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BC60538">
      <w:pPr>
        <w:spacing w:line="240" w:lineRule="auto"/>
        <w:jc w:val="center"/>
        <w:rPr>
          <w:rFonts w:ascii="仿宋_GB2312" w:hAnsi="仿宋_GB2312" w:eastAsia="仿宋_GB2312" w:cs="仿宋_GB2312"/>
          <w:sz w:val="36"/>
          <w:szCs w:val="36"/>
        </w:rPr>
      </w:pPr>
    </w:p>
    <w:p w14:paraId="027DE81A">
      <w:pPr>
        <w:spacing w:line="240" w:lineRule="auto"/>
        <w:jc w:val="center"/>
        <w:rPr>
          <w:rFonts w:ascii="仿宋_GB2312" w:hAnsi="仿宋_GB2312" w:eastAsia="仿宋_GB2312" w:cs="仿宋_GB2312"/>
          <w:sz w:val="36"/>
          <w:szCs w:val="36"/>
        </w:rPr>
      </w:pPr>
    </w:p>
    <w:p w14:paraId="42C93389">
      <w:pPr>
        <w:spacing w:line="240" w:lineRule="auto"/>
        <w:jc w:val="center"/>
        <w:rPr>
          <w:rFonts w:ascii="仿宋_GB2312" w:hAnsi="仿宋_GB2312" w:eastAsia="仿宋_GB2312" w:cs="仿宋_GB2312"/>
          <w:sz w:val="36"/>
          <w:szCs w:val="36"/>
        </w:rPr>
      </w:pPr>
    </w:p>
    <w:p w14:paraId="5C9ADD11">
      <w:pPr>
        <w:spacing w:line="240" w:lineRule="auto"/>
        <w:jc w:val="center"/>
        <w:rPr>
          <w:rFonts w:ascii="仿宋_GB2312" w:hAnsi="仿宋_GB2312" w:eastAsia="仿宋_GB2312" w:cs="仿宋_GB2312"/>
          <w:sz w:val="36"/>
          <w:szCs w:val="36"/>
        </w:rPr>
      </w:pPr>
    </w:p>
    <w:p w14:paraId="1599C830">
      <w:pPr>
        <w:spacing w:line="240" w:lineRule="auto"/>
        <w:jc w:val="center"/>
        <w:rPr>
          <w:rFonts w:ascii="仿宋_GB2312" w:hAnsi="仿宋_GB2312" w:eastAsia="仿宋_GB2312" w:cs="仿宋_GB2312"/>
          <w:sz w:val="36"/>
          <w:szCs w:val="36"/>
        </w:rPr>
      </w:pPr>
    </w:p>
    <w:p w14:paraId="0BEC7EFD">
      <w:pPr>
        <w:spacing w:line="240" w:lineRule="auto"/>
        <w:jc w:val="center"/>
        <w:rPr>
          <w:rFonts w:ascii="仿宋_GB2312" w:hAnsi="仿宋_GB2312" w:eastAsia="仿宋_GB2312" w:cs="仿宋_GB2312"/>
          <w:sz w:val="36"/>
          <w:szCs w:val="36"/>
        </w:rPr>
      </w:pPr>
    </w:p>
    <w:p w14:paraId="57445322">
      <w:pPr>
        <w:spacing w:line="240" w:lineRule="auto"/>
        <w:ind w:firstLine="0" w:firstLineChars="0"/>
        <w:jc w:val="center"/>
      </w:pPr>
      <w:bookmarkStart w:id="0" w:name="_Toc18433"/>
      <w:r>
        <w:rPr>
          <w:rFonts w:hint="eastAsia" w:ascii="方正小标宋_GBK" w:eastAsia="方正小标宋_GBK"/>
          <w:bCs/>
          <w:sz w:val="72"/>
          <w:szCs w:val="72"/>
        </w:rPr>
        <w:t>建设项目环境影响报告表</w:t>
      </w:r>
    </w:p>
    <w:bookmarkEnd w:id="0"/>
    <w:p w14:paraId="23C12397">
      <w:pPr>
        <w:adjustRightInd w:val="0"/>
        <w:snapToGrid w:val="0"/>
        <w:spacing w:before="192" w:beforeLines="80" w:line="240" w:lineRule="auto"/>
        <w:ind w:firstLine="0" w:firstLineChars="0"/>
        <w:jc w:val="center"/>
        <w:rPr>
          <w:rFonts w:ascii="楷体_GB2312"/>
          <w:bCs/>
          <w:sz w:val="48"/>
          <w:szCs w:val="48"/>
        </w:rPr>
      </w:pPr>
      <w:r>
        <w:rPr>
          <w:rFonts w:hint="eastAsia" w:ascii="宋体" w:hAnsi="宋体" w:cs="宋体"/>
          <w:bCs/>
          <w:sz w:val="48"/>
          <w:szCs w:val="48"/>
        </w:rPr>
        <w:t>（污染影响类）</w:t>
      </w:r>
    </w:p>
    <w:p w14:paraId="55679DFA">
      <w:pPr>
        <w:spacing w:line="240" w:lineRule="auto"/>
        <w:jc w:val="center"/>
        <w:rPr>
          <w:rFonts w:ascii="仿宋_GB2312" w:hAnsi="仿宋_GB2312" w:eastAsia="仿宋_GB2312" w:cs="仿宋_GB2312"/>
          <w:sz w:val="36"/>
          <w:szCs w:val="36"/>
        </w:rPr>
      </w:pPr>
    </w:p>
    <w:p w14:paraId="68D57B2E">
      <w:pPr>
        <w:spacing w:line="240" w:lineRule="auto"/>
        <w:jc w:val="center"/>
        <w:rPr>
          <w:rFonts w:ascii="仿宋_GB2312" w:hAnsi="仿宋_GB2312" w:eastAsia="仿宋_GB2312" w:cs="仿宋_GB2312"/>
          <w:sz w:val="36"/>
          <w:szCs w:val="36"/>
        </w:rPr>
      </w:pPr>
    </w:p>
    <w:p w14:paraId="36140F14">
      <w:pPr>
        <w:spacing w:line="240" w:lineRule="auto"/>
        <w:jc w:val="center"/>
        <w:rPr>
          <w:rFonts w:ascii="仿宋_GB2312" w:hAnsi="仿宋_GB2312" w:eastAsia="仿宋_GB2312" w:cs="仿宋_GB2312"/>
          <w:sz w:val="36"/>
          <w:szCs w:val="36"/>
        </w:rPr>
      </w:pPr>
    </w:p>
    <w:p w14:paraId="04A27627">
      <w:pPr>
        <w:spacing w:line="240" w:lineRule="auto"/>
        <w:jc w:val="center"/>
        <w:rPr>
          <w:rFonts w:ascii="仿宋_GB2312" w:hAnsi="仿宋_GB2312" w:eastAsia="仿宋_GB2312" w:cs="仿宋_GB2312"/>
          <w:sz w:val="36"/>
          <w:szCs w:val="36"/>
        </w:rPr>
      </w:pPr>
    </w:p>
    <w:p w14:paraId="285DFDC4">
      <w:pPr>
        <w:spacing w:line="240" w:lineRule="auto"/>
        <w:jc w:val="center"/>
        <w:rPr>
          <w:rFonts w:ascii="仿宋_GB2312" w:hAnsi="仿宋_GB2312" w:eastAsia="仿宋_GB2312" w:cs="仿宋_GB2312"/>
          <w:sz w:val="36"/>
          <w:szCs w:val="36"/>
        </w:rPr>
      </w:pPr>
    </w:p>
    <w:p w14:paraId="2A2EB66C">
      <w:pPr>
        <w:spacing w:line="240" w:lineRule="auto"/>
        <w:jc w:val="center"/>
        <w:rPr>
          <w:rFonts w:ascii="仿宋_GB2312" w:hAnsi="仿宋_GB2312" w:eastAsia="仿宋_GB2312" w:cs="仿宋_GB2312"/>
          <w:sz w:val="36"/>
          <w:szCs w:val="36"/>
        </w:rPr>
      </w:pPr>
    </w:p>
    <w:p w14:paraId="3805E096">
      <w:pPr>
        <w:spacing w:line="240" w:lineRule="auto"/>
        <w:jc w:val="center"/>
        <w:rPr>
          <w:rFonts w:ascii="仿宋_GB2312" w:hAnsi="仿宋_GB2312" w:eastAsia="仿宋_GB2312" w:cs="仿宋_GB2312"/>
          <w:sz w:val="36"/>
          <w:szCs w:val="36"/>
        </w:rPr>
      </w:pPr>
    </w:p>
    <w:p w14:paraId="3914097B">
      <w:pPr>
        <w:spacing w:line="240" w:lineRule="auto"/>
        <w:jc w:val="center"/>
        <w:rPr>
          <w:rFonts w:ascii="仿宋_GB2312" w:hAnsi="仿宋_GB2312" w:eastAsia="仿宋_GB2312" w:cs="仿宋_GB2312"/>
          <w:sz w:val="36"/>
          <w:szCs w:val="36"/>
        </w:rPr>
      </w:pPr>
    </w:p>
    <w:p w14:paraId="6A5D525E">
      <w:pPr>
        <w:spacing w:line="240" w:lineRule="auto"/>
        <w:jc w:val="center"/>
        <w:rPr>
          <w:rFonts w:ascii="仿宋_GB2312" w:hAnsi="仿宋_GB2312" w:eastAsia="仿宋_GB2312" w:cs="仿宋_GB2312"/>
          <w:sz w:val="36"/>
          <w:szCs w:val="36"/>
        </w:rPr>
      </w:pPr>
    </w:p>
    <w:p w14:paraId="4426C590">
      <w:pPr>
        <w:ind w:firstLine="840" w:firstLineChars="300"/>
        <w:jc w:val="both"/>
        <w:rPr>
          <w:rFonts w:ascii="宋体" w:hAnsi="宋体" w:cs="宋体"/>
          <w:sz w:val="28"/>
          <w:szCs w:val="28"/>
          <w:u w:val="single"/>
        </w:rPr>
      </w:pPr>
      <w:r>
        <w:rPr>
          <w:rFonts w:hint="eastAsia" w:ascii="宋体" w:hAnsi="宋体" w:cs="宋体"/>
          <w:sz w:val="28"/>
          <w:szCs w:val="28"/>
        </w:rPr>
        <w:t>项目名称：</w:t>
      </w:r>
      <w:r>
        <w:rPr>
          <w:rFonts w:hint="eastAsia" w:ascii="宋体" w:hAnsi="宋体" w:cs="宋体"/>
          <w:sz w:val="28"/>
          <w:szCs w:val="28"/>
          <w:u w:val="single"/>
        </w:rPr>
        <w:t xml:space="preserve">鄂托克经济开发区蒙西产业园危险化学品运输车辆    </w:t>
      </w:r>
    </w:p>
    <w:p w14:paraId="13797D75">
      <w:pPr>
        <w:ind w:firstLine="840" w:firstLineChars="300"/>
        <w:jc w:val="both"/>
        <w:rPr>
          <w:rFonts w:ascii="宋体" w:hAnsi="宋体" w:cs="宋体"/>
          <w:sz w:val="28"/>
          <w:szCs w:val="28"/>
          <w:u w:val="single"/>
        </w:rPr>
      </w:pPr>
      <w:r>
        <w:rPr>
          <w:rFonts w:hint="eastAsia" w:ascii="宋体" w:hAnsi="宋体" w:cs="宋体"/>
          <w:sz w:val="28"/>
          <w:szCs w:val="28"/>
        </w:rPr>
        <w:t xml:space="preserve">          </w:t>
      </w:r>
      <w:r>
        <w:rPr>
          <w:rFonts w:hint="eastAsia" w:ascii="宋体" w:hAnsi="宋体" w:cs="宋体"/>
          <w:sz w:val="28"/>
          <w:szCs w:val="28"/>
          <w:u w:val="single"/>
        </w:rPr>
        <w:t xml:space="preserve">专用停车场项目                                  </w:t>
      </w:r>
    </w:p>
    <w:p w14:paraId="58A661DC">
      <w:pPr>
        <w:ind w:firstLine="840" w:firstLineChars="300"/>
        <w:jc w:val="both"/>
        <w:rPr>
          <w:rFonts w:ascii="宋体" w:hAnsi="宋体" w:cs="宋体"/>
          <w:sz w:val="28"/>
          <w:szCs w:val="28"/>
          <w:u w:val="single"/>
        </w:rPr>
      </w:pPr>
      <w:r>
        <w:rPr>
          <w:rFonts w:hint="eastAsia" w:ascii="宋体" w:hAnsi="宋体" w:cs="宋体"/>
          <w:sz w:val="28"/>
          <w:szCs w:val="28"/>
        </w:rPr>
        <w:t>建设单位（盖章）：</w:t>
      </w:r>
      <w:r>
        <w:rPr>
          <w:rFonts w:hint="eastAsia" w:ascii="宋体" w:hAnsi="宋体" w:cs="宋体"/>
          <w:sz w:val="28"/>
          <w:szCs w:val="28"/>
          <w:u w:val="single"/>
        </w:rPr>
        <w:t>内蒙古鄂尔多斯鄂托克经济开发区管理委员会</w:t>
      </w:r>
    </w:p>
    <w:p w14:paraId="3D0CF4D2">
      <w:pPr>
        <w:ind w:firstLine="840" w:firstLineChars="300"/>
        <w:jc w:val="both"/>
        <w:rPr>
          <w:rFonts w:ascii="宋体" w:hAnsi="宋体" w:cs="宋体"/>
          <w:sz w:val="28"/>
          <w:szCs w:val="28"/>
          <w:u w:val="single"/>
        </w:rPr>
      </w:pPr>
      <w:r>
        <w:rPr>
          <w:rFonts w:hint="eastAsia" w:ascii="宋体" w:hAnsi="宋体" w:cs="宋体"/>
          <w:sz w:val="28"/>
          <w:szCs w:val="28"/>
        </w:rPr>
        <w:t>编制日期：</w:t>
      </w:r>
      <w:r>
        <w:rPr>
          <w:sz w:val="28"/>
          <w:szCs w:val="28"/>
          <w:u w:val="single"/>
        </w:rPr>
        <w:t xml:space="preserve">            </w:t>
      </w:r>
      <w:r>
        <w:rPr>
          <w:rFonts w:hint="eastAsia"/>
          <w:sz w:val="28"/>
          <w:szCs w:val="28"/>
          <w:u w:val="single"/>
        </w:rPr>
        <w:t xml:space="preserve"> </w:t>
      </w:r>
      <w:r>
        <w:rPr>
          <w:sz w:val="28"/>
          <w:szCs w:val="28"/>
          <w:u w:val="single"/>
        </w:rPr>
        <w:t xml:space="preserve">  202</w:t>
      </w:r>
      <w:r>
        <w:rPr>
          <w:rFonts w:hint="eastAsia"/>
          <w:sz w:val="28"/>
          <w:szCs w:val="28"/>
          <w:u w:val="single"/>
        </w:rPr>
        <w:t>4</w:t>
      </w:r>
      <w:r>
        <w:rPr>
          <w:sz w:val="28"/>
          <w:szCs w:val="28"/>
          <w:u w:val="single"/>
        </w:rPr>
        <w:t>年1月</w:t>
      </w:r>
      <w:bookmarkStart w:id="1" w:name="_Hlk57884087"/>
      <w:r>
        <w:rPr>
          <w:sz w:val="28"/>
          <w:szCs w:val="28"/>
          <w:u w:val="single"/>
        </w:rPr>
        <w:t xml:space="preserve">                      </w:t>
      </w:r>
    </w:p>
    <w:p w14:paraId="2B6A13EC">
      <w:pPr>
        <w:spacing w:line="240" w:lineRule="auto"/>
        <w:jc w:val="center"/>
        <w:rPr>
          <w:rFonts w:ascii="仿宋_GB2312" w:hAnsi="仿宋_GB2312" w:eastAsia="仿宋_GB2312" w:cs="仿宋_GB2312"/>
          <w:sz w:val="36"/>
          <w:szCs w:val="36"/>
        </w:rPr>
      </w:pPr>
    </w:p>
    <w:p w14:paraId="5735DF5A">
      <w:pPr>
        <w:spacing w:line="240" w:lineRule="auto"/>
        <w:jc w:val="center"/>
        <w:rPr>
          <w:rFonts w:ascii="仿宋_GB2312" w:hAnsi="仿宋_GB2312" w:eastAsia="仿宋_GB2312" w:cs="仿宋_GB2312"/>
          <w:sz w:val="36"/>
          <w:szCs w:val="36"/>
        </w:rPr>
      </w:pPr>
    </w:p>
    <w:p w14:paraId="2E29F2EF">
      <w:pPr>
        <w:spacing w:line="240" w:lineRule="auto"/>
        <w:jc w:val="center"/>
        <w:rPr>
          <w:rFonts w:ascii="仿宋_GB2312" w:hAnsi="仿宋_GB2312" w:eastAsia="仿宋_GB2312" w:cs="仿宋_GB2312"/>
          <w:sz w:val="36"/>
          <w:szCs w:val="36"/>
        </w:rPr>
      </w:pPr>
    </w:p>
    <w:p w14:paraId="20C2394D">
      <w:pPr>
        <w:spacing w:line="240" w:lineRule="auto"/>
        <w:jc w:val="center"/>
        <w:rPr>
          <w:rFonts w:ascii="仿宋_GB2312" w:hAnsi="仿宋_GB2312" w:eastAsia="仿宋_GB2312" w:cs="仿宋_GB2312"/>
          <w:sz w:val="36"/>
          <w:szCs w:val="36"/>
        </w:rPr>
      </w:pPr>
    </w:p>
    <w:bookmarkEnd w:id="1"/>
    <w:p w14:paraId="0A52AA70">
      <w:pPr>
        <w:ind w:firstLine="0" w:firstLineChars="0"/>
        <w:jc w:val="center"/>
      </w:pPr>
      <w:bookmarkStart w:id="2" w:name="_Toc14568"/>
      <w:r>
        <w:rPr>
          <w:rFonts w:hint="eastAsia"/>
          <w:sz w:val="32"/>
          <w:szCs w:val="32"/>
        </w:rPr>
        <w:t>中华人民共和国生态环境部制</w:t>
      </w:r>
      <w:bookmarkEnd w:id="2"/>
    </w:p>
    <w:p w14:paraId="2C689EE2">
      <w:pPr>
        <w:adjustRightInd w:val="0"/>
        <w:snapToGrid w:val="0"/>
        <w:spacing w:line="288" w:lineRule="auto"/>
        <w:rPr>
          <w:rFonts w:ascii="仿宋_GB2312" w:eastAsia="仿宋_GB2312"/>
          <w:sz w:val="36"/>
          <w:szCs w:val="36"/>
        </w:rPr>
        <w:sectPr>
          <w:headerReference r:id="rId7" w:type="first"/>
          <w:footerReference r:id="rId10" w:type="first"/>
          <w:headerReference r:id="rId5" w:type="default"/>
          <w:footerReference r:id="rId8" w:type="default"/>
          <w:headerReference r:id="rId6" w:type="even"/>
          <w:footerReference r:id="rId9" w:type="even"/>
          <w:pgSz w:w="11906" w:h="16838"/>
          <w:pgMar w:top="1134" w:right="1134" w:bottom="1134" w:left="1134" w:header="851" w:footer="1077" w:gutter="0"/>
          <w:pgNumType w:start="3"/>
          <w:cols w:space="720" w:num="1"/>
          <w:docGrid w:linePitch="312" w:charSpace="0"/>
        </w:sectPr>
      </w:pPr>
    </w:p>
    <w:p w14:paraId="2EFF9509">
      <w:pPr>
        <w:pStyle w:val="2"/>
        <w:rPr>
          <w:color w:val="auto"/>
        </w:rPr>
      </w:pPr>
      <w:bookmarkStart w:id="3" w:name="_Toc31051"/>
      <w:bookmarkStart w:id="4" w:name="_Toc9579"/>
      <w:r>
        <w:rPr>
          <w:rFonts w:hint="eastAsia"/>
          <w:color w:val="auto"/>
        </w:rPr>
        <w:t>一、建设项目基本情况</w:t>
      </w:r>
      <w:bookmarkEnd w:id="3"/>
      <w:bookmarkEnd w:id="4"/>
    </w:p>
    <w:tbl>
      <w:tblPr>
        <w:tblStyle w:val="15"/>
        <w:tblW w:w="486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694"/>
        <w:gridCol w:w="2201"/>
        <w:gridCol w:w="2292"/>
        <w:gridCol w:w="2937"/>
      </w:tblGrid>
      <w:tr w14:paraId="4F7B67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83" w:hRule="atLeast"/>
          <w:jc w:val="center"/>
        </w:trPr>
        <w:tc>
          <w:tcPr>
            <w:tcW w:w="928" w:type="pct"/>
            <w:tcMar>
              <w:top w:w="16" w:type="dxa"/>
              <w:left w:w="16" w:type="dxa"/>
              <w:right w:w="16" w:type="dxa"/>
            </w:tcMar>
            <w:vAlign w:val="center"/>
          </w:tcPr>
          <w:p w14:paraId="6C94AB2E">
            <w:pPr>
              <w:pStyle w:val="19"/>
              <w:spacing w:before="120" w:after="120"/>
              <w:rPr>
                <w:sz w:val="24"/>
                <w:szCs w:val="21"/>
              </w:rPr>
            </w:pPr>
            <w:r>
              <w:rPr>
                <w:sz w:val="24"/>
                <w:szCs w:val="21"/>
              </w:rPr>
              <w:t>建设项目名称</w:t>
            </w:r>
          </w:p>
        </w:tc>
        <w:tc>
          <w:tcPr>
            <w:tcW w:w="4071" w:type="pct"/>
            <w:gridSpan w:val="3"/>
            <w:vAlign w:val="center"/>
          </w:tcPr>
          <w:p w14:paraId="0845A149">
            <w:pPr>
              <w:pStyle w:val="19"/>
              <w:spacing w:before="120" w:after="120"/>
              <w:rPr>
                <w:sz w:val="24"/>
                <w:szCs w:val="21"/>
              </w:rPr>
            </w:pPr>
            <w:r>
              <w:rPr>
                <w:rFonts w:hint="eastAsia"/>
                <w:sz w:val="24"/>
                <w:szCs w:val="21"/>
              </w:rPr>
              <w:t>鄂托克经济开发区蒙西产业园危险化学品运输车辆专用停车场项目</w:t>
            </w:r>
          </w:p>
        </w:tc>
      </w:tr>
      <w:tr w14:paraId="132F71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28" w:type="pct"/>
            <w:tcMar>
              <w:top w:w="16" w:type="dxa"/>
              <w:left w:w="16" w:type="dxa"/>
              <w:right w:w="16" w:type="dxa"/>
            </w:tcMar>
            <w:vAlign w:val="center"/>
          </w:tcPr>
          <w:p w14:paraId="244FCEC0">
            <w:pPr>
              <w:pStyle w:val="19"/>
              <w:spacing w:before="120" w:after="120"/>
              <w:rPr>
                <w:sz w:val="24"/>
                <w:szCs w:val="21"/>
              </w:rPr>
            </w:pPr>
            <w:r>
              <w:rPr>
                <w:sz w:val="24"/>
                <w:szCs w:val="21"/>
              </w:rPr>
              <w:t>项目代码</w:t>
            </w:r>
          </w:p>
        </w:tc>
        <w:tc>
          <w:tcPr>
            <w:tcW w:w="4071" w:type="pct"/>
            <w:gridSpan w:val="3"/>
            <w:vAlign w:val="center"/>
          </w:tcPr>
          <w:p w14:paraId="47D96F7A">
            <w:pPr>
              <w:pStyle w:val="19"/>
              <w:spacing w:before="120" w:after="120"/>
              <w:rPr>
                <w:sz w:val="24"/>
                <w:szCs w:val="21"/>
              </w:rPr>
            </w:pPr>
            <w:r>
              <w:rPr>
                <w:rFonts w:hint="eastAsia"/>
                <w:sz w:val="24"/>
                <w:szCs w:val="21"/>
              </w:rPr>
              <w:t>2305-150624-04-01-265954</w:t>
            </w:r>
          </w:p>
        </w:tc>
      </w:tr>
      <w:tr w14:paraId="42204F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28" w:type="pct"/>
            <w:tcMar>
              <w:top w:w="16" w:type="dxa"/>
              <w:left w:w="16" w:type="dxa"/>
              <w:right w:w="16" w:type="dxa"/>
            </w:tcMar>
            <w:vAlign w:val="center"/>
          </w:tcPr>
          <w:p w14:paraId="34A88424">
            <w:pPr>
              <w:pStyle w:val="19"/>
              <w:spacing w:before="120" w:after="120"/>
              <w:rPr>
                <w:sz w:val="24"/>
                <w:szCs w:val="21"/>
              </w:rPr>
            </w:pPr>
            <w:r>
              <w:rPr>
                <w:rFonts w:hint="eastAsia"/>
                <w:sz w:val="24"/>
                <w:szCs w:val="21"/>
              </w:rPr>
              <w:t>建设单位</w:t>
            </w:r>
          </w:p>
          <w:p w14:paraId="215A1B36">
            <w:pPr>
              <w:pStyle w:val="19"/>
              <w:spacing w:before="120" w:after="120"/>
              <w:rPr>
                <w:sz w:val="24"/>
                <w:szCs w:val="21"/>
              </w:rPr>
            </w:pPr>
            <w:r>
              <w:rPr>
                <w:rFonts w:hint="eastAsia"/>
                <w:sz w:val="24"/>
                <w:szCs w:val="21"/>
              </w:rPr>
              <w:t>联系人</w:t>
            </w:r>
          </w:p>
        </w:tc>
        <w:tc>
          <w:tcPr>
            <w:tcW w:w="1206" w:type="pct"/>
            <w:vAlign w:val="center"/>
          </w:tcPr>
          <w:p w14:paraId="602305CA">
            <w:pPr>
              <w:pStyle w:val="19"/>
              <w:spacing w:before="120" w:after="120"/>
              <w:rPr>
                <w:sz w:val="24"/>
                <w:szCs w:val="21"/>
              </w:rPr>
            </w:pPr>
            <w:r>
              <w:rPr>
                <w:rFonts w:hint="eastAsia"/>
                <w:sz w:val="24"/>
                <w:szCs w:val="21"/>
              </w:rPr>
              <w:t>闫从翔</w:t>
            </w:r>
          </w:p>
        </w:tc>
        <w:tc>
          <w:tcPr>
            <w:tcW w:w="1256" w:type="pct"/>
            <w:vAlign w:val="center"/>
          </w:tcPr>
          <w:p w14:paraId="096187E3">
            <w:pPr>
              <w:pStyle w:val="19"/>
              <w:spacing w:before="120" w:after="120"/>
              <w:rPr>
                <w:sz w:val="24"/>
                <w:szCs w:val="21"/>
              </w:rPr>
            </w:pPr>
            <w:r>
              <w:rPr>
                <w:rFonts w:hint="eastAsia"/>
                <w:sz w:val="24"/>
                <w:szCs w:val="21"/>
              </w:rPr>
              <w:t>联系方式</w:t>
            </w:r>
          </w:p>
        </w:tc>
        <w:tc>
          <w:tcPr>
            <w:tcW w:w="1608" w:type="pct"/>
            <w:vAlign w:val="center"/>
          </w:tcPr>
          <w:p w14:paraId="02ADE847">
            <w:pPr>
              <w:pStyle w:val="19"/>
              <w:spacing w:before="120" w:after="120"/>
              <w:rPr>
                <w:sz w:val="24"/>
                <w:szCs w:val="21"/>
              </w:rPr>
            </w:pPr>
            <w:r>
              <w:rPr>
                <w:rFonts w:hint="eastAsia"/>
                <w:sz w:val="24"/>
                <w:szCs w:val="21"/>
              </w:rPr>
              <w:t>13947714177</w:t>
            </w:r>
          </w:p>
        </w:tc>
      </w:tr>
      <w:tr w14:paraId="6C2C60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28" w:type="pct"/>
            <w:tcMar>
              <w:top w:w="16" w:type="dxa"/>
              <w:left w:w="16" w:type="dxa"/>
              <w:right w:w="16" w:type="dxa"/>
            </w:tcMar>
            <w:vAlign w:val="center"/>
          </w:tcPr>
          <w:p w14:paraId="0ACEA3D6">
            <w:pPr>
              <w:pStyle w:val="19"/>
              <w:spacing w:before="120" w:after="120"/>
              <w:rPr>
                <w:sz w:val="24"/>
                <w:szCs w:val="21"/>
              </w:rPr>
            </w:pPr>
            <w:r>
              <w:rPr>
                <w:sz w:val="24"/>
                <w:szCs w:val="21"/>
              </w:rPr>
              <w:t>建设地点</w:t>
            </w:r>
          </w:p>
        </w:tc>
        <w:tc>
          <w:tcPr>
            <w:tcW w:w="4071" w:type="pct"/>
            <w:gridSpan w:val="3"/>
            <w:vAlign w:val="center"/>
          </w:tcPr>
          <w:p w14:paraId="2DE3C8C4">
            <w:pPr>
              <w:pStyle w:val="19"/>
              <w:spacing w:before="120" w:after="120"/>
              <w:rPr>
                <w:sz w:val="24"/>
                <w:szCs w:val="21"/>
              </w:rPr>
            </w:pPr>
            <w:r>
              <w:rPr>
                <w:rFonts w:hint="eastAsia"/>
                <w:sz w:val="24"/>
                <w:szCs w:val="21"/>
              </w:rPr>
              <w:t>鄂托克经济开发区蒙西产业园，君正街北、东外环线西</w:t>
            </w:r>
          </w:p>
        </w:tc>
      </w:tr>
      <w:tr w14:paraId="146867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87" w:hRule="atLeast"/>
          <w:jc w:val="center"/>
        </w:trPr>
        <w:tc>
          <w:tcPr>
            <w:tcW w:w="928" w:type="pct"/>
            <w:tcMar>
              <w:top w:w="16" w:type="dxa"/>
              <w:left w:w="16" w:type="dxa"/>
              <w:right w:w="16" w:type="dxa"/>
            </w:tcMar>
            <w:vAlign w:val="center"/>
          </w:tcPr>
          <w:p w14:paraId="1C8350E9">
            <w:pPr>
              <w:pStyle w:val="19"/>
              <w:spacing w:before="120" w:after="120"/>
              <w:rPr>
                <w:sz w:val="24"/>
                <w:szCs w:val="21"/>
              </w:rPr>
            </w:pPr>
            <w:r>
              <w:rPr>
                <w:sz w:val="24"/>
                <w:szCs w:val="21"/>
              </w:rPr>
              <w:t>地理坐标</w:t>
            </w:r>
          </w:p>
        </w:tc>
        <w:tc>
          <w:tcPr>
            <w:tcW w:w="4071" w:type="pct"/>
            <w:gridSpan w:val="3"/>
            <w:vAlign w:val="center"/>
          </w:tcPr>
          <w:p w14:paraId="7E33C165">
            <w:pPr>
              <w:pStyle w:val="19"/>
              <w:spacing w:before="120" w:after="120"/>
              <w:rPr>
                <w:sz w:val="24"/>
                <w:szCs w:val="21"/>
              </w:rPr>
            </w:pPr>
            <w:r>
              <w:rPr>
                <w:rFonts w:hint="eastAsia"/>
                <w:sz w:val="24"/>
                <w:szCs w:val="21"/>
              </w:rPr>
              <w:t>E106°48′39.229″，N39°54′8.132″</w:t>
            </w:r>
          </w:p>
        </w:tc>
      </w:tr>
      <w:tr w14:paraId="0B429F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61" w:hRule="atLeast"/>
          <w:jc w:val="center"/>
        </w:trPr>
        <w:tc>
          <w:tcPr>
            <w:tcW w:w="928" w:type="pct"/>
            <w:tcMar>
              <w:top w:w="16" w:type="dxa"/>
              <w:left w:w="16" w:type="dxa"/>
              <w:right w:w="16" w:type="dxa"/>
            </w:tcMar>
            <w:vAlign w:val="center"/>
          </w:tcPr>
          <w:p w14:paraId="47E8747E">
            <w:pPr>
              <w:pStyle w:val="19"/>
              <w:spacing w:before="120" w:after="120"/>
              <w:rPr>
                <w:sz w:val="24"/>
                <w:szCs w:val="21"/>
              </w:rPr>
            </w:pPr>
            <w:r>
              <w:rPr>
                <w:rFonts w:hint="eastAsia"/>
                <w:sz w:val="24"/>
                <w:szCs w:val="21"/>
              </w:rPr>
              <w:t>国民经济行业类别</w:t>
            </w:r>
          </w:p>
        </w:tc>
        <w:tc>
          <w:tcPr>
            <w:tcW w:w="1206" w:type="pct"/>
            <w:vAlign w:val="center"/>
          </w:tcPr>
          <w:p w14:paraId="2A0974EE">
            <w:pPr>
              <w:pStyle w:val="19"/>
              <w:spacing w:before="120" w:after="120"/>
              <w:rPr>
                <w:sz w:val="24"/>
                <w:szCs w:val="21"/>
              </w:rPr>
            </w:pPr>
            <w:r>
              <w:rPr>
                <w:rFonts w:hint="eastAsia"/>
                <w:sz w:val="24"/>
                <w:szCs w:val="21"/>
              </w:rPr>
              <w:t>G5449其他道路运输</w:t>
            </w:r>
          </w:p>
          <w:p w14:paraId="1BB1ED28">
            <w:pPr>
              <w:pStyle w:val="19"/>
              <w:spacing w:before="120" w:after="120"/>
              <w:rPr>
                <w:sz w:val="24"/>
                <w:szCs w:val="21"/>
              </w:rPr>
            </w:pPr>
            <w:r>
              <w:rPr>
                <w:rFonts w:hint="eastAsia"/>
                <w:sz w:val="24"/>
                <w:szCs w:val="21"/>
              </w:rPr>
              <w:t>辅助活动</w:t>
            </w:r>
          </w:p>
        </w:tc>
        <w:tc>
          <w:tcPr>
            <w:tcW w:w="1256" w:type="pct"/>
            <w:vAlign w:val="center"/>
          </w:tcPr>
          <w:p w14:paraId="4CDECC8E">
            <w:pPr>
              <w:pStyle w:val="19"/>
              <w:spacing w:before="120" w:after="120"/>
              <w:rPr>
                <w:sz w:val="24"/>
                <w:szCs w:val="21"/>
              </w:rPr>
            </w:pPr>
            <w:bookmarkStart w:id="5" w:name="_Hlk49843745"/>
            <w:r>
              <w:rPr>
                <w:rFonts w:hint="eastAsia"/>
                <w:sz w:val="24"/>
                <w:szCs w:val="21"/>
              </w:rPr>
              <w:t>建设项目行业类别</w:t>
            </w:r>
            <w:bookmarkEnd w:id="5"/>
          </w:p>
        </w:tc>
        <w:tc>
          <w:tcPr>
            <w:tcW w:w="1608" w:type="pct"/>
            <w:vAlign w:val="center"/>
          </w:tcPr>
          <w:p w14:paraId="703841A2">
            <w:pPr>
              <w:pStyle w:val="19"/>
              <w:spacing w:before="120" w:after="120"/>
              <w:rPr>
                <w:sz w:val="24"/>
                <w:szCs w:val="21"/>
              </w:rPr>
            </w:pPr>
            <w:r>
              <w:rPr>
                <w:rFonts w:hint="eastAsia"/>
                <w:sz w:val="24"/>
                <w:szCs w:val="21"/>
              </w:rPr>
              <w:t>五十、社会事业与服务业</w:t>
            </w:r>
          </w:p>
          <w:p w14:paraId="01C9CF6C">
            <w:pPr>
              <w:pStyle w:val="19"/>
              <w:spacing w:before="120" w:after="120"/>
              <w:rPr>
                <w:szCs w:val="21"/>
              </w:rPr>
            </w:pPr>
            <w:r>
              <w:rPr>
                <w:rFonts w:hint="eastAsia"/>
                <w:sz w:val="24"/>
                <w:szCs w:val="21"/>
              </w:rPr>
              <w:t>120、洗车场-危险化学品运输车辆洗车场</w:t>
            </w:r>
          </w:p>
        </w:tc>
      </w:tr>
      <w:tr w14:paraId="37D314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7" w:hRule="atLeast"/>
          <w:jc w:val="center"/>
        </w:trPr>
        <w:tc>
          <w:tcPr>
            <w:tcW w:w="928" w:type="pct"/>
            <w:tcMar>
              <w:top w:w="16" w:type="dxa"/>
              <w:left w:w="16" w:type="dxa"/>
              <w:right w:w="16" w:type="dxa"/>
            </w:tcMar>
            <w:vAlign w:val="center"/>
          </w:tcPr>
          <w:p w14:paraId="31EBD6B7">
            <w:pPr>
              <w:pStyle w:val="19"/>
              <w:spacing w:before="120" w:after="120"/>
              <w:rPr>
                <w:sz w:val="24"/>
                <w:szCs w:val="21"/>
              </w:rPr>
            </w:pPr>
            <w:r>
              <w:rPr>
                <w:sz w:val="24"/>
                <w:szCs w:val="21"/>
              </w:rPr>
              <w:t>建设性质</w:t>
            </w:r>
          </w:p>
        </w:tc>
        <w:tc>
          <w:tcPr>
            <w:tcW w:w="1206" w:type="pct"/>
            <w:vAlign w:val="center"/>
          </w:tcPr>
          <w:p w14:paraId="6A25C2AE">
            <w:pPr>
              <w:pStyle w:val="19"/>
              <w:spacing w:before="120" w:after="120"/>
              <w:jc w:val="left"/>
              <w:rPr>
                <w:sz w:val="24"/>
                <w:szCs w:val="21"/>
              </w:rPr>
            </w:pPr>
            <w:r>
              <w:rPr>
                <w:sz w:val="24"/>
                <w:szCs w:val="21"/>
              </w:rPr>
              <w:t>☑新建（迁建</w:t>
            </w:r>
            <w:r>
              <w:rPr>
                <w:rFonts w:hint="eastAsia"/>
                <w:sz w:val="24"/>
                <w:szCs w:val="21"/>
              </w:rPr>
              <w:t>）</w:t>
            </w:r>
          </w:p>
          <w:p w14:paraId="512F80D6">
            <w:pPr>
              <w:pStyle w:val="19"/>
              <w:spacing w:before="120" w:after="120"/>
              <w:jc w:val="left"/>
              <w:rPr>
                <w:sz w:val="24"/>
                <w:szCs w:val="21"/>
              </w:rPr>
            </w:pPr>
            <w:r>
              <w:rPr>
                <w:rFonts w:hint="eastAsia"/>
                <w:sz w:val="24"/>
                <w:szCs w:val="21"/>
              </w:rPr>
              <w:t>□</w:t>
            </w:r>
            <w:r>
              <w:rPr>
                <w:sz w:val="24"/>
                <w:szCs w:val="21"/>
              </w:rPr>
              <w:t>改建</w:t>
            </w:r>
          </w:p>
          <w:p w14:paraId="30B9A5FF">
            <w:pPr>
              <w:pStyle w:val="19"/>
              <w:spacing w:before="120" w:after="120"/>
              <w:jc w:val="left"/>
              <w:rPr>
                <w:sz w:val="24"/>
                <w:szCs w:val="21"/>
              </w:rPr>
            </w:pPr>
            <w:r>
              <w:rPr>
                <w:rFonts w:hint="eastAsia"/>
                <w:sz w:val="24"/>
                <w:szCs w:val="21"/>
              </w:rPr>
              <w:t>□</w:t>
            </w:r>
            <w:r>
              <w:rPr>
                <w:sz w:val="24"/>
                <w:szCs w:val="21"/>
              </w:rPr>
              <w:t>扩建</w:t>
            </w:r>
          </w:p>
          <w:p w14:paraId="02364F5A">
            <w:pPr>
              <w:pStyle w:val="19"/>
              <w:spacing w:before="120" w:after="120"/>
              <w:jc w:val="left"/>
              <w:rPr>
                <w:sz w:val="24"/>
                <w:szCs w:val="21"/>
              </w:rPr>
            </w:pPr>
            <w:r>
              <w:rPr>
                <w:rFonts w:hint="eastAsia"/>
                <w:sz w:val="24"/>
                <w:szCs w:val="21"/>
              </w:rPr>
              <w:t>□</w:t>
            </w:r>
            <w:r>
              <w:rPr>
                <w:sz w:val="24"/>
                <w:szCs w:val="21"/>
              </w:rPr>
              <w:t>技术改造</w:t>
            </w:r>
          </w:p>
        </w:tc>
        <w:tc>
          <w:tcPr>
            <w:tcW w:w="1256" w:type="pct"/>
            <w:vAlign w:val="center"/>
          </w:tcPr>
          <w:p w14:paraId="00D62190">
            <w:pPr>
              <w:pStyle w:val="19"/>
              <w:spacing w:before="120" w:after="120"/>
              <w:rPr>
                <w:sz w:val="24"/>
                <w:szCs w:val="21"/>
              </w:rPr>
            </w:pPr>
            <w:r>
              <w:rPr>
                <w:sz w:val="24"/>
                <w:szCs w:val="21"/>
              </w:rPr>
              <w:t>建设项目</w:t>
            </w:r>
          </w:p>
          <w:p w14:paraId="0FDBF491">
            <w:pPr>
              <w:pStyle w:val="19"/>
              <w:spacing w:before="120" w:after="120"/>
              <w:rPr>
                <w:sz w:val="24"/>
                <w:szCs w:val="21"/>
              </w:rPr>
            </w:pPr>
            <w:r>
              <w:rPr>
                <w:sz w:val="24"/>
                <w:szCs w:val="21"/>
              </w:rPr>
              <w:t>申报情形</w:t>
            </w:r>
          </w:p>
        </w:tc>
        <w:tc>
          <w:tcPr>
            <w:tcW w:w="1608" w:type="pct"/>
            <w:vAlign w:val="center"/>
          </w:tcPr>
          <w:p w14:paraId="5A9EEB82">
            <w:pPr>
              <w:pStyle w:val="19"/>
              <w:spacing w:before="120" w:after="120"/>
              <w:jc w:val="left"/>
              <w:rPr>
                <w:sz w:val="24"/>
                <w:szCs w:val="21"/>
              </w:rPr>
            </w:pPr>
            <w:r>
              <w:rPr>
                <w:sz w:val="24"/>
                <w:szCs w:val="21"/>
              </w:rPr>
              <w:t>☑首次申报项目</w:t>
            </w:r>
          </w:p>
          <w:p w14:paraId="741962E8">
            <w:pPr>
              <w:pStyle w:val="19"/>
              <w:spacing w:before="120" w:after="120"/>
              <w:jc w:val="left"/>
              <w:rPr>
                <w:sz w:val="24"/>
                <w:szCs w:val="21"/>
              </w:rPr>
            </w:pPr>
            <w:r>
              <w:rPr>
                <w:rFonts w:hint="eastAsia"/>
                <w:sz w:val="24"/>
                <w:szCs w:val="21"/>
              </w:rPr>
              <w:t>□</w:t>
            </w:r>
            <w:r>
              <w:rPr>
                <w:sz w:val="24"/>
                <w:szCs w:val="21"/>
              </w:rPr>
              <w:t>不予批准后再次申报项目</w:t>
            </w:r>
          </w:p>
          <w:p w14:paraId="37BF5692">
            <w:pPr>
              <w:pStyle w:val="19"/>
              <w:spacing w:before="120" w:after="120"/>
              <w:jc w:val="left"/>
              <w:rPr>
                <w:sz w:val="24"/>
                <w:szCs w:val="21"/>
              </w:rPr>
            </w:pPr>
            <w:r>
              <w:rPr>
                <w:rFonts w:hint="eastAsia"/>
                <w:sz w:val="24"/>
                <w:szCs w:val="21"/>
              </w:rPr>
              <w:t>□</w:t>
            </w:r>
            <w:r>
              <w:rPr>
                <w:sz w:val="24"/>
                <w:szCs w:val="21"/>
              </w:rPr>
              <w:t>超五年重新审核项目</w:t>
            </w:r>
          </w:p>
          <w:p w14:paraId="76AF22C6">
            <w:pPr>
              <w:pStyle w:val="19"/>
              <w:spacing w:before="120" w:after="120"/>
              <w:jc w:val="left"/>
              <w:rPr>
                <w:sz w:val="24"/>
                <w:szCs w:val="21"/>
              </w:rPr>
            </w:pPr>
            <w:r>
              <w:rPr>
                <w:rFonts w:hint="eastAsia"/>
                <w:sz w:val="24"/>
                <w:szCs w:val="21"/>
              </w:rPr>
              <w:t>□</w:t>
            </w:r>
            <w:r>
              <w:rPr>
                <w:sz w:val="24"/>
                <w:szCs w:val="21"/>
              </w:rPr>
              <w:t>重大变动重新报批项目</w:t>
            </w:r>
          </w:p>
        </w:tc>
      </w:tr>
      <w:tr w14:paraId="1660C6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28" w:type="pct"/>
            <w:tcMar>
              <w:top w:w="16" w:type="dxa"/>
              <w:left w:w="16" w:type="dxa"/>
              <w:right w:w="16" w:type="dxa"/>
            </w:tcMar>
            <w:vAlign w:val="center"/>
          </w:tcPr>
          <w:p w14:paraId="27D9F0AE">
            <w:pPr>
              <w:pStyle w:val="19"/>
              <w:spacing w:before="120" w:after="120"/>
              <w:rPr>
                <w:sz w:val="24"/>
                <w:szCs w:val="21"/>
              </w:rPr>
            </w:pPr>
            <w:r>
              <w:rPr>
                <w:sz w:val="24"/>
                <w:szCs w:val="21"/>
              </w:rPr>
              <w:t>项目审批部门</w:t>
            </w:r>
          </w:p>
        </w:tc>
        <w:tc>
          <w:tcPr>
            <w:tcW w:w="1206" w:type="pct"/>
            <w:vAlign w:val="center"/>
          </w:tcPr>
          <w:p w14:paraId="676A6A87">
            <w:pPr>
              <w:pStyle w:val="19"/>
              <w:spacing w:before="120" w:after="120"/>
              <w:rPr>
                <w:sz w:val="24"/>
                <w:szCs w:val="21"/>
              </w:rPr>
            </w:pPr>
            <w:r>
              <w:rPr>
                <w:rFonts w:hint="eastAsia"/>
                <w:sz w:val="24"/>
                <w:szCs w:val="21"/>
              </w:rPr>
              <w:t>鄂托克旗发展和</w:t>
            </w:r>
          </w:p>
          <w:p w14:paraId="4A8F2401">
            <w:pPr>
              <w:pStyle w:val="19"/>
              <w:spacing w:before="120" w:after="120"/>
              <w:rPr>
                <w:sz w:val="24"/>
                <w:szCs w:val="21"/>
              </w:rPr>
            </w:pPr>
            <w:r>
              <w:rPr>
                <w:rFonts w:hint="eastAsia"/>
                <w:sz w:val="24"/>
                <w:szCs w:val="21"/>
              </w:rPr>
              <w:t>改革委员会</w:t>
            </w:r>
          </w:p>
        </w:tc>
        <w:tc>
          <w:tcPr>
            <w:tcW w:w="1256" w:type="pct"/>
            <w:vAlign w:val="center"/>
          </w:tcPr>
          <w:p w14:paraId="1857FB6B">
            <w:pPr>
              <w:pStyle w:val="19"/>
              <w:spacing w:before="120" w:after="120"/>
              <w:rPr>
                <w:sz w:val="24"/>
                <w:szCs w:val="21"/>
              </w:rPr>
            </w:pPr>
            <w:r>
              <w:rPr>
                <w:sz w:val="24"/>
                <w:szCs w:val="21"/>
              </w:rPr>
              <w:t>项目审批文号</w:t>
            </w:r>
          </w:p>
        </w:tc>
        <w:tc>
          <w:tcPr>
            <w:tcW w:w="1608" w:type="pct"/>
            <w:vAlign w:val="center"/>
          </w:tcPr>
          <w:p w14:paraId="7DB050E0">
            <w:pPr>
              <w:pStyle w:val="19"/>
              <w:spacing w:before="120" w:after="120"/>
              <w:rPr>
                <w:sz w:val="24"/>
                <w:szCs w:val="21"/>
              </w:rPr>
            </w:pPr>
            <w:r>
              <w:rPr>
                <w:rFonts w:hint="eastAsia"/>
                <w:sz w:val="24"/>
                <w:szCs w:val="21"/>
              </w:rPr>
              <w:t>鄂旗发改审批发〔2023〕</w:t>
            </w:r>
          </w:p>
          <w:p w14:paraId="4C110011">
            <w:pPr>
              <w:pStyle w:val="19"/>
              <w:spacing w:before="120" w:after="120"/>
              <w:rPr>
                <w:sz w:val="24"/>
                <w:szCs w:val="21"/>
              </w:rPr>
            </w:pPr>
            <w:r>
              <w:rPr>
                <w:rFonts w:hint="eastAsia"/>
                <w:sz w:val="24"/>
                <w:szCs w:val="21"/>
              </w:rPr>
              <w:t>87号</w:t>
            </w:r>
          </w:p>
        </w:tc>
      </w:tr>
      <w:tr w14:paraId="1452D0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28" w:type="pct"/>
            <w:tcMar>
              <w:top w:w="16" w:type="dxa"/>
              <w:left w:w="16" w:type="dxa"/>
              <w:right w:w="16" w:type="dxa"/>
            </w:tcMar>
            <w:vAlign w:val="center"/>
          </w:tcPr>
          <w:p w14:paraId="508A9DCC">
            <w:pPr>
              <w:pStyle w:val="19"/>
              <w:spacing w:before="120" w:after="120"/>
              <w:rPr>
                <w:sz w:val="24"/>
                <w:szCs w:val="21"/>
              </w:rPr>
            </w:pPr>
            <w:r>
              <w:rPr>
                <w:sz w:val="24"/>
                <w:szCs w:val="21"/>
              </w:rPr>
              <w:t>总投资（万元</w:t>
            </w:r>
            <w:r>
              <w:rPr>
                <w:rFonts w:hint="eastAsia"/>
                <w:sz w:val="24"/>
                <w:szCs w:val="21"/>
              </w:rPr>
              <w:t>）</w:t>
            </w:r>
          </w:p>
        </w:tc>
        <w:tc>
          <w:tcPr>
            <w:tcW w:w="1206" w:type="pct"/>
            <w:vAlign w:val="center"/>
          </w:tcPr>
          <w:p w14:paraId="6AA1A254">
            <w:pPr>
              <w:pStyle w:val="19"/>
              <w:spacing w:before="120" w:after="120"/>
              <w:rPr>
                <w:sz w:val="24"/>
                <w:szCs w:val="21"/>
              </w:rPr>
            </w:pPr>
            <w:r>
              <w:rPr>
                <w:rFonts w:hint="eastAsia"/>
                <w:sz w:val="24"/>
                <w:szCs w:val="21"/>
              </w:rPr>
              <w:t>2400</w:t>
            </w:r>
          </w:p>
        </w:tc>
        <w:tc>
          <w:tcPr>
            <w:tcW w:w="1256" w:type="pct"/>
            <w:tcMar>
              <w:top w:w="16" w:type="dxa"/>
              <w:left w:w="16" w:type="dxa"/>
              <w:right w:w="16" w:type="dxa"/>
            </w:tcMar>
            <w:vAlign w:val="center"/>
          </w:tcPr>
          <w:p w14:paraId="7B591668">
            <w:pPr>
              <w:pStyle w:val="19"/>
              <w:spacing w:before="120" w:after="120"/>
              <w:rPr>
                <w:sz w:val="24"/>
                <w:szCs w:val="21"/>
              </w:rPr>
            </w:pPr>
            <w:r>
              <w:rPr>
                <w:sz w:val="24"/>
                <w:szCs w:val="21"/>
              </w:rPr>
              <w:t>环保投资（万元</w:t>
            </w:r>
            <w:r>
              <w:rPr>
                <w:rFonts w:hint="eastAsia"/>
                <w:sz w:val="24"/>
                <w:szCs w:val="21"/>
              </w:rPr>
              <w:t>）</w:t>
            </w:r>
          </w:p>
        </w:tc>
        <w:tc>
          <w:tcPr>
            <w:tcW w:w="1608" w:type="pct"/>
            <w:vAlign w:val="center"/>
          </w:tcPr>
          <w:p w14:paraId="30E4B03F">
            <w:pPr>
              <w:pStyle w:val="19"/>
              <w:spacing w:before="120" w:after="120"/>
              <w:rPr>
                <w:sz w:val="24"/>
                <w:szCs w:val="21"/>
              </w:rPr>
            </w:pPr>
            <w:r>
              <w:rPr>
                <w:rFonts w:hint="eastAsia"/>
                <w:sz w:val="24"/>
                <w:szCs w:val="21"/>
              </w:rPr>
              <w:t>150</w:t>
            </w:r>
          </w:p>
        </w:tc>
      </w:tr>
      <w:tr w14:paraId="015992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28" w:type="pct"/>
            <w:tcMar>
              <w:top w:w="16" w:type="dxa"/>
              <w:left w:w="16" w:type="dxa"/>
              <w:right w:w="16" w:type="dxa"/>
            </w:tcMar>
            <w:vAlign w:val="center"/>
          </w:tcPr>
          <w:p w14:paraId="331C475B">
            <w:pPr>
              <w:pStyle w:val="19"/>
              <w:spacing w:before="120" w:after="120"/>
              <w:rPr>
                <w:sz w:val="24"/>
                <w:szCs w:val="21"/>
              </w:rPr>
            </w:pPr>
            <w:r>
              <w:rPr>
                <w:sz w:val="24"/>
                <w:szCs w:val="21"/>
              </w:rPr>
              <w:t>环保投资占比（%</w:t>
            </w:r>
            <w:r>
              <w:rPr>
                <w:rFonts w:hint="eastAsia"/>
                <w:sz w:val="24"/>
                <w:szCs w:val="21"/>
              </w:rPr>
              <w:t>）</w:t>
            </w:r>
          </w:p>
        </w:tc>
        <w:tc>
          <w:tcPr>
            <w:tcW w:w="1206" w:type="pct"/>
            <w:vAlign w:val="center"/>
          </w:tcPr>
          <w:p w14:paraId="1BCAD560">
            <w:pPr>
              <w:pStyle w:val="19"/>
              <w:spacing w:before="120" w:after="120"/>
              <w:rPr>
                <w:sz w:val="24"/>
                <w:szCs w:val="21"/>
              </w:rPr>
            </w:pPr>
            <w:r>
              <w:rPr>
                <w:rFonts w:hint="eastAsia"/>
                <w:sz w:val="24"/>
                <w:szCs w:val="21"/>
              </w:rPr>
              <w:t>6.25</w:t>
            </w:r>
          </w:p>
        </w:tc>
        <w:tc>
          <w:tcPr>
            <w:tcW w:w="1256" w:type="pct"/>
            <w:tcMar>
              <w:top w:w="16" w:type="dxa"/>
              <w:left w:w="16" w:type="dxa"/>
              <w:right w:w="16" w:type="dxa"/>
            </w:tcMar>
            <w:vAlign w:val="center"/>
          </w:tcPr>
          <w:p w14:paraId="4FBF0710">
            <w:pPr>
              <w:pStyle w:val="19"/>
              <w:spacing w:before="120" w:after="120"/>
              <w:rPr>
                <w:sz w:val="24"/>
                <w:szCs w:val="21"/>
              </w:rPr>
            </w:pPr>
            <w:r>
              <w:rPr>
                <w:sz w:val="24"/>
                <w:szCs w:val="21"/>
              </w:rPr>
              <w:t>施工工期</w:t>
            </w:r>
          </w:p>
        </w:tc>
        <w:tc>
          <w:tcPr>
            <w:tcW w:w="1608" w:type="pct"/>
            <w:vAlign w:val="center"/>
          </w:tcPr>
          <w:p w14:paraId="718C9EE2">
            <w:pPr>
              <w:pStyle w:val="19"/>
              <w:spacing w:before="120" w:after="120"/>
              <w:rPr>
                <w:sz w:val="24"/>
                <w:szCs w:val="21"/>
              </w:rPr>
            </w:pPr>
            <w:r>
              <w:rPr>
                <w:rFonts w:hint="eastAsia"/>
                <w:sz w:val="24"/>
                <w:szCs w:val="21"/>
              </w:rPr>
              <w:t>3个月</w:t>
            </w:r>
          </w:p>
        </w:tc>
      </w:tr>
      <w:tr w14:paraId="263B8D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28" w:type="pct"/>
            <w:tcMar>
              <w:top w:w="16" w:type="dxa"/>
              <w:left w:w="16" w:type="dxa"/>
              <w:right w:w="16" w:type="dxa"/>
            </w:tcMar>
            <w:vAlign w:val="center"/>
          </w:tcPr>
          <w:p w14:paraId="54F36319">
            <w:pPr>
              <w:pStyle w:val="19"/>
              <w:spacing w:before="120" w:after="120"/>
              <w:rPr>
                <w:sz w:val="24"/>
                <w:szCs w:val="21"/>
              </w:rPr>
            </w:pPr>
            <w:r>
              <w:rPr>
                <w:sz w:val="24"/>
                <w:szCs w:val="21"/>
              </w:rPr>
              <w:t>是否开工建设</w:t>
            </w:r>
          </w:p>
        </w:tc>
        <w:tc>
          <w:tcPr>
            <w:tcW w:w="1206" w:type="pct"/>
            <w:vAlign w:val="center"/>
          </w:tcPr>
          <w:p w14:paraId="32E4C69D">
            <w:pPr>
              <w:pStyle w:val="19"/>
              <w:spacing w:before="120" w:after="120"/>
              <w:jc w:val="left"/>
              <w:rPr>
                <w:sz w:val="24"/>
                <w:szCs w:val="21"/>
              </w:rPr>
            </w:pPr>
            <w:r>
              <w:rPr>
                <w:sz w:val="24"/>
                <w:szCs w:val="21"/>
              </w:rPr>
              <w:t>☑否</w:t>
            </w:r>
          </w:p>
          <w:p w14:paraId="2C70EA09">
            <w:pPr>
              <w:pStyle w:val="19"/>
              <w:spacing w:before="120" w:after="120"/>
              <w:jc w:val="left"/>
              <w:rPr>
                <w:sz w:val="24"/>
                <w:szCs w:val="21"/>
              </w:rPr>
            </w:pPr>
            <w:r>
              <w:rPr>
                <w:rFonts w:hint="eastAsia"/>
                <w:sz w:val="24"/>
                <w:szCs w:val="21"/>
              </w:rPr>
              <w:t>□</w:t>
            </w:r>
            <w:r>
              <w:rPr>
                <w:sz w:val="24"/>
                <w:szCs w:val="21"/>
              </w:rPr>
              <w:t>是：</w:t>
            </w:r>
          </w:p>
        </w:tc>
        <w:tc>
          <w:tcPr>
            <w:tcW w:w="1256" w:type="pct"/>
            <w:tcMar>
              <w:top w:w="16" w:type="dxa"/>
              <w:left w:w="16" w:type="dxa"/>
              <w:right w:w="16" w:type="dxa"/>
            </w:tcMar>
            <w:vAlign w:val="center"/>
          </w:tcPr>
          <w:p w14:paraId="511663CF">
            <w:pPr>
              <w:pStyle w:val="19"/>
              <w:spacing w:before="120" w:after="120"/>
              <w:rPr>
                <w:sz w:val="24"/>
                <w:szCs w:val="21"/>
              </w:rPr>
            </w:pPr>
            <w:r>
              <w:rPr>
                <w:sz w:val="24"/>
                <w:szCs w:val="21"/>
              </w:rPr>
              <w:t>用地面积（m</w:t>
            </w:r>
            <w:r>
              <w:rPr>
                <w:sz w:val="24"/>
                <w:szCs w:val="21"/>
                <w:vertAlign w:val="superscript"/>
              </w:rPr>
              <w:t>2</w:t>
            </w:r>
            <w:r>
              <w:rPr>
                <w:rFonts w:hint="eastAsia"/>
                <w:sz w:val="24"/>
                <w:szCs w:val="21"/>
              </w:rPr>
              <w:t>）</w:t>
            </w:r>
          </w:p>
        </w:tc>
        <w:tc>
          <w:tcPr>
            <w:tcW w:w="1608" w:type="pct"/>
            <w:vAlign w:val="center"/>
          </w:tcPr>
          <w:p w14:paraId="4710B8F3">
            <w:pPr>
              <w:pStyle w:val="19"/>
              <w:spacing w:before="120" w:after="120"/>
              <w:rPr>
                <w:sz w:val="24"/>
                <w:szCs w:val="21"/>
              </w:rPr>
            </w:pPr>
            <w:r>
              <w:rPr>
                <w:rFonts w:hint="eastAsia"/>
                <w:sz w:val="24"/>
                <w:szCs w:val="21"/>
              </w:rPr>
              <w:t>35296.11</w:t>
            </w:r>
          </w:p>
        </w:tc>
      </w:tr>
      <w:tr w14:paraId="5AD7E2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928" w:type="pct"/>
            <w:vAlign w:val="center"/>
          </w:tcPr>
          <w:p w14:paraId="2A1FB68D">
            <w:pPr>
              <w:pStyle w:val="19"/>
              <w:spacing w:before="120" w:after="120"/>
            </w:pPr>
            <w:r>
              <w:rPr>
                <w:sz w:val="24"/>
                <w:szCs w:val="22"/>
              </w:rPr>
              <w:t>专项评价设置情况</w:t>
            </w:r>
          </w:p>
        </w:tc>
        <w:tc>
          <w:tcPr>
            <w:tcW w:w="4071" w:type="pct"/>
            <w:gridSpan w:val="3"/>
            <w:vAlign w:val="center"/>
          </w:tcPr>
          <w:p w14:paraId="5E3E8E9C">
            <w:pPr>
              <w:ind w:firstLine="480"/>
            </w:pPr>
            <w:r>
              <w:rPr>
                <w:rFonts w:hint="eastAsia"/>
              </w:rPr>
              <w:t>根据《建设项目环境影响报告表编制技术指南（污染影响类）（试行）》，“建设项目产生的环境影响需要深入论证的，应按照环境影响评价相关技术导则开展专项评价工作。根据建设项目排污情况及所涉环境敏感程度，确定专项评价的类别”，“</w:t>
            </w:r>
            <w:r>
              <w:t>土壤、声环境</w:t>
            </w:r>
            <w:r>
              <w:rPr>
                <w:rFonts w:hint="eastAsia"/>
              </w:rPr>
              <w:t>不开展专项评价。地下水原则上不开展专项评价，涉及集中式饮用水水源和热水、矿泉水、温泉等特殊地下水资源保护区的开展地下水专项评价工作”。本项目与专项评价设置原则对比情况见下表：</w:t>
            </w:r>
          </w:p>
          <w:p w14:paraId="3B657E2A">
            <w:pPr>
              <w:pStyle w:val="21"/>
              <w:spacing w:before="120"/>
              <w:rPr>
                <w:rFonts w:hint="default"/>
              </w:rPr>
            </w:pPr>
            <w:bookmarkStart w:id="6" w:name="_Toc31981"/>
            <w:bookmarkStart w:id="7" w:name="_Toc22723"/>
            <w:r>
              <w:t>表1-1  本项目与专项评价设置原则对比情况表</w:t>
            </w:r>
            <w:bookmarkEnd w:id="6"/>
            <w:bookmarkEnd w:id="7"/>
          </w:p>
          <w:tbl>
            <w:tblPr>
              <w:tblStyle w:val="15"/>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1"/>
              <w:gridCol w:w="2399"/>
              <w:gridCol w:w="4107"/>
            </w:tblGrid>
            <w:tr w14:paraId="5704F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pct"/>
                  <w:tcBorders>
                    <w:tl2br w:val="nil"/>
                    <w:tr2bl w:val="nil"/>
                  </w:tcBorders>
                  <w:vAlign w:val="center"/>
                </w:tcPr>
                <w:p w14:paraId="017EC828">
                  <w:pPr>
                    <w:pStyle w:val="19"/>
                    <w:spacing w:before="120" w:after="120"/>
                  </w:pPr>
                  <w:r>
                    <w:rPr>
                      <w:rFonts w:hint="eastAsia"/>
                    </w:rPr>
                    <w:t>专项评价类别</w:t>
                  </w:r>
                </w:p>
              </w:tc>
              <w:tc>
                <w:tcPr>
                  <w:tcW w:w="1667" w:type="pct"/>
                  <w:tcBorders>
                    <w:tl2br w:val="nil"/>
                    <w:tr2bl w:val="nil"/>
                  </w:tcBorders>
                  <w:vAlign w:val="center"/>
                </w:tcPr>
                <w:p w14:paraId="0395B8C8">
                  <w:pPr>
                    <w:pStyle w:val="19"/>
                    <w:spacing w:before="120" w:after="120"/>
                  </w:pPr>
                  <w:r>
                    <w:rPr>
                      <w:rFonts w:hint="eastAsia"/>
                    </w:rPr>
                    <w:t>设置原则</w:t>
                  </w:r>
                </w:p>
              </w:tc>
              <w:tc>
                <w:tcPr>
                  <w:tcW w:w="2852" w:type="pct"/>
                  <w:tcBorders>
                    <w:tl2br w:val="nil"/>
                    <w:tr2bl w:val="nil"/>
                  </w:tcBorders>
                  <w:vAlign w:val="center"/>
                </w:tcPr>
                <w:p w14:paraId="01A64018">
                  <w:pPr>
                    <w:pStyle w:val="19"/>
                    <w:spacing w:before="120" w:after="120"/>
                  </w:pPr>
                  <w:r>
                    <w:rPr>
                      <w:rFonts w:hint="eastAsia"/>
                    </w:rPr>
                    <w:t>本项目情况</w:t>
                  </w:r>
                </w:p>
              </w:tc>
            </w:tr>
            <w:tr w14:paraId="18811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pct"/>
                  <w:tcBorders>
                    <w:tl2br w:val="nil"/>
                    <w:tr2bl w:val="nil"/>
                  </w:tcBorders>
                  <w:vAlign w:val="center"/>
                </w:tcPr>
                <w:p w14:paraId="15943636">
                  <w:pPr>
                    <w:pStyle w:val="19"/>
                    <w:spacing w:before="120" w:after="120"/>
                  </w:pPr>
                  <w:r>
                    <w:rPr>
                      <w:rFonts w:hint="eastAsia"/>
                    </w:rPr>
                    <w:t>大气</w:t>
                  </w:r>
                </w:p>
              </w:tc>
              <w:tc>
                <w:tcPr>
                  <w:tcW w:w="1667" w:type="pct"/>
                  <w:tcBorders>
                    <w:tl2br w:val="nil"/>
                    <w:tr2bl w:val="nil"/>
                  </w:tcBorders>
                  <w:vAlign w:val="center"/>
                </w:tcPr>
                <w:p w14:paraId="0DEF9243">
                  <w:pPr>
                    <w:pStyle w:val="19"/>
                    <w:spacing w:before="120" w:after="120"/>
                  </w:pPr>
                  <w:r>
                    <w:rPr>
                      <w:rFonts w:hint="eastAsia"/>
                    </w:rPr>
                    <w:t>排放废气含有毒有害污染物1、二噁英、苯并[a]芘、氰化物、氯气且厂界外500米范围内有环境空气保护目标2的建设项目</w:t>
                  </w:r>
                </w:p>
              </w:tc>
              <w:tc>
                <w:tcPr>
                  <w:tcW w:w="2852" w:type="pct"/>
                  <w:tcBorders>
                    <w:tl2br w:val="nil"/>
                    <w:tr2bl w:val="nil"/>
                  </w:tcBorders>
                  <w:vAlign w:val="center"/>
                </w:tcPr>
                <w:p w14:paraId="3E0795A9">
                  <w:pPr>
                    <w:pStyle w:val="19"/>
                    <w:spacing w:before="120" w:after="120"/>
                  </w:pPr>
                  <w:r>
                    <w:rPr>
                      <w:rFonts w:hint="eastAsia"/>
                    </w:rPr>
                    <w:t>根据《鄂托克经济开发区蒙西产业园危险化学品运输车辆专用停车场项目可行性研究报告》，园区车辆运输物质以易燃液体、遇水释放易燃</w:t>
                  </w:r>
                  <w:r>
                    <w:t>气体的物质和腐蚀性物质为主</w:t>
                  </w:r>
                  <w:r>
                    <w:rPr>
                      <w:rFonts w:hint="eastAsia"/>
                    </w:rPr>
                    <w:t>，不涉及有毒有害污染物、二噁英、苯并[a]芘、氰化物，液氯罐车涉及少量的无组织氯气排放，但本项目位于鄂托克经济开发区蒙西产业园，场址周边500米范围内没有自然保护区、风景名胜区、居住区、文化区和农村地区中人群较集中的区域，因此本次未开展大气专项评价工作。</w:t>
                  </w:r>
                </w:p>
              </w:tc>
            </w:tr>
            <w:tr w14:paraId="59113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pct"/>
                  <w:tcBorders>
                    <w:tl2br w:val="nil"/>
                    <w:tr2bl w:val="nil"/>
                  </w:tcBorders>
                  <w:vAlign w:val="center"/>
                </w:tcPr>
                <w:p w14:paraId="20DE39A8">
                  <w:pPr>
                    <w:pStyle w:val="19"/>
                    <w:spacing w:before="120" w:after="120"/>
                  </w:pPr>
                  <w:r>
                    <w:rPr>
                      <w:rFonts w:hint="eastAsia"/>
                    </w:rPr>
                    <w:t>地表水</w:t>
                  </w:r>
                </w:p>
              </w:tc>
              <w:tc>
                <w:tcPr>
                  <w:tcW w:w="1667" w:type="pct"/>
                  <w:tcBorders>
                    <w:tl2br w:val="nil"/>
                    <w:tr2bl w:val="nil"/>
                  </w:tcBorders>
                  <w:vAlign w:val="center"/>
                </w:tcPr>
                <w:p w14:paraId="2841A71E">
                  <w:pPr>
                    <w:pStyle w:val="19"/>
                    <w:spacing w:before="120" w:after="120"/>
                  </w:pPr>
                  <w:r>
                    <w:rPr>
                      <w:rFonts w:hint="eastAsia"/>
                    </w:rPr>
                    <w:t>新增工业废水直排建设项目（槽罐车外送污水处理厂的除外）；</w:t>
                  </w:r>
                </w:p>
                <w:p w14:paraId="529AD4A4">
                  <w:pPr>
                    <w:pStyle w:val="19"/>
                    <w:spacing w:before="120" w:after="120"/>
                  </w:pPr>
                  <w:r>
                    <w:rPr>
                      <w:rFonts w:hint="eastAsia"/>
                    </w:rPr>
                    <w:t>新增废水直排的污水集中处理厂</w:t>
                  </w:r>
                </w:p>
              </w:tc>
              <w:tc>
                <w:tcPr>
                  <w:tcW w:w="2852" w:type="pct"/>
                  <w:tcBorders>
                    <w:tl2br w:val="nil"/>
                    <w:tr2bl w:val="nil"/>
                  </w:tcBorders>
                  <w:vAlign w:val="center"/>
                </w:tcPr>
                <w:p w14:paraId="5A914AF8">
                  <w:pPr>
                    <w:pStyle w:val="19"/>
                    <w:spacing w:before="120" w:after="120"/>
                  </w:pPr>
                  <w:r>
                    <w:rPr>
                      <w:rFonts w:hint="eastAsia"/>
                    </w:rPr>
                    <w:t>不涉及，无需开展</w:t>
                  </w:r>
                </w:p>
              </w:tc>
            </w:tr>
            <w:tr w14:paraId="58BD6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pct"/>
                  <w:tcBorders>
                    <w:tl2br w:val="nil"/>
                    <w:tr2bl w:val="nil"/>
                  </w:tcBorders>
                  <w:vAlign w:val="center"/>
                </w:tcPr>
                <w:p w14:paraId="574A7D23">
                  <w:pPr>
                    <w:pStyle w:val="19"/>
                    <w:spacing w:before="120" w:after="120"/>
                  </w:pPr>
                  <w:r>
                    <w:rPr>
                      <w:rFonts w:hint="eastAsia"/>
                    </w:rPr>
                    <w:t>环境</w:t>
                  </w:r>
                </w:p>
                <w:p w14:paraId="1B6E7009">
                  <w:pPr>
                    <w:pStyle w:val="19"/>
                    <w:spacing w:before="120" w:after="120"/>
                  </w:pPr>
                  <w:r>
                    <w:rPr>
                      <w:rFonts w:hint="eastAsia"/>
                    </w:rPr>
                    <w:t>风险</w:t>
                  </w:r>
                </w:p>
              </w:tc>
              <w:tc>
                <w:tcPr>
                  <w:tcW w:w="1667" w:type="pct"/>
                  <w:tcBorders>
                    <w:tl2br w:val="nil"/>
                    <w:tr2bl w:val="nil"/>
                  </w:tcBorders>
                  <w:vAlign w:val="center"/>
                </w:tcPr>
                <w:p w14:paraId="4BE8B91E">
                  <w:pPr>
                    <w:pStyle w:val="19"/>
                    <w:spacing w:before="120" w:after="120"/>
                  </w:pPr>
                  <w:r>
                    <w:rPr>
                      <w:rFonts w:hint="eastAsia"/>
                    </w:rPr>
                    <w:t>有毒有害和易燃易爆危险物质存储量超过临界量3的建设项目</w:t>
                  </w:r>
                </w:p>
              </w:tc>
              <w:tc>
                <w:tcPr>
                  <w:tcW w:w="2852" w:type="pct"/>
                  <w:tcBorders>
                    <w:tl2br w:val="nil"/>
                    <w:tr2bl w:val="nil"/>
                  </w:tcBorders>
                  <w:vAlign w:val="center"/>
                </w:tcPr>
                <w:p w14:paraId="3DF53CDE">
                  <w:pPr>
                    <w:pStyle w:val="19"/>
                    <w:spacing w:before="120" w:after="120"/>
                  </w:pPr>
                  <w:r>
                    <w:rPr>
                      <w:rFonts w:hint="eastAsia"/>
                    </w:rPr>
                    <w:t>本项目为蒙西产业园危险化学品运输车辆专用停车场项目，停车场建成运行后，场内车辆状态包括重车和空车。本项目共设置80个停车位，其中重车车位10个，空车车位70个。根据《建设项目环境风险评价技术导则》（HJ169）附录B、附录C，日常重载区车辆满负荷停放时，危险化学品存储量超过临界量，因此本次开展环境风险专题评价工作。</w:t>
                  </w:r>
                </w:p>
              </w:tc>
            </w:tr>
            <w:tr w14:paraId="3B08F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480" w:type="pct"/>
                  <w:tcBorders>
                    <w:tl2br w:val="nil"/>
                    <w:tr2bl w:val="nil"/>
                  </w:tcBorders>
                  <w:vAlign w:val="center"/>
                </w:tcPr>
                <w:p w14:paraId="566BC899">
                  <w:pPr>
                    <w:pStyle w:val="19"/>
                    <w:spacing w:before="120" w:after="120"/>
                  </w:pPr>
                  <w:r>
                    <w:rPr>
                      <w:rFonts w:hint="eastAsia"/>
                    </w:rPr>
                    <w:t>生态</w:t>
                  </w:r>
                </w:p>
              </w:tc>
              <w:tc>
                <w:tcPr>
                  <w:tcW w:w="1667" w:type="pct"/>
                  <w:tcBorders>
                    <w:tl2br w:val="nil"/>
                    <w:tr2bl w:val="nil"/>
                  </w:tcBorders>
                  <w:vAlign w:val="center"/>
                </w:tcPr>
                <w:p w14:paraId="5A7DA897">
                  <w:pPr>
                    <w:pStyle w:val="19"/>
                    <w:spacing w:before="120" w:after="120"/>
                  </w:pPr>
                  <w:r>
                    <w:rPr>
                      <w:rFonts w:hint="eastAsia"/>
                    </w:rPr>
                    <w:t>取水口下游500米范围内有重要水生生物的自然产卵场、索饵场、越冬场和洄游通道的新增河道取水的污染类建设项目</w:t>
                  </w:r>
                </w:p>
              </w:tc>
              <w:tc>
                <w:tcPr>
                  <w:tcW w:w="2852" w:type="pct"/>
                  <w:tcBorders>
                    <w:tl2br w:val="nil"/>
                    <w:tr2bl w:val="nil"/>
                  </w:tcBorders>
                  <w:vAlign w:val="center"/>
                </w:tcPr>
                <w:p w14:paraId="256F5D8C">
                  <w:pPr>
                    <w:pStyle w:val="19"/>
                    <w:spacing w:before="120" w:after="120"/>
                  </w:pPr>
                  <w:r>
                    <w:rPr>
                      <w:rFonts w:hint="eastAsia"/>
                    </w:rPr>
                    <w:t>不涉及，无需开展</w:t>
                  </w:r>
                </w:p>
              </w:tc>
            </w:tr>
            <w:tr w14:paraId="10281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pct"/>
                  <w:tcBorders>
                    <w:tl2br w:val="nil"/>
                    <w:tr2bl w:val="nil"/>
                  </w:tcBorders>
                  <w:vAlign w:val="center"/>
                </w:tcPr>
                <w:p w14:paraId="4D93BF7F">
                  <w:pPr>
                    <w:pStyle w:val="19"/>
                    <w:spacing w:before="120" w:after="120"/>
                  </w:pPr>
                  <w:r>
                    <w:rPr>
                      <w:rFonts w:hint="eastAsia"/>
                    </w:rPr>
                    <w:t>海洋</w:t>
                  </w:r>
                </w:p>
              </w:tc>
              <w:tc>
                <w:tcPr>
                  <w:tcW w:w="1667" w:type="pct"/>
                  <w:tcBorders>
                    <w:tl2br w:val="nil"/>
                    <w:tr2bl w:val="nil"/>
                  </w:tcBorders>
                  <w:vAlign w:val="center"/>
                </w:tcPr>
                <w:p w14:paraId="3F03D90F">
                  <w:pPr>
                    <w:pStyle w:val="19"/>
                    <w:spacing w:before="120" w:after="120"/>
                  </w:pPr>
                  <w:r>
                    <w:rPr>
                      <w:rFonts w:hint="eastAsia"/>
                    </w:rPr>
                    <w:t>直接向海排放污染物的海洋工程建设项目</w:t>
                  </w:r>
                </w:p>
              </w:tc>
              <w:tc>
                <w:tcPr>
                  <w:tcW w:w="2852" w:type="pct"/>
                  <w:tcBorders>
                    <w:tl2br w:val="nil"/>
                    <w:tr2bl w:val="nil"/>
                  </w:tcBorders>
                  <w:vAlign w:val="center"/>
                </w:tcPr>
                <w:p w14:paraId="294FC924">
                  <w:pPr>
                    <w:pStyle w:val="19"/>
                    <w:spacing w:before="120" w:after="120"/>
                  </w:pPr>
                  <w:r>
                    <w:rPr>
                      <w:rFonts w:hint="eastAsia"/>
                    </w:rPr>
                    <w:t>不涉及，无需开展</w:t>
                  </w:r>
                </w:p>
              </w:tc>
            </w:tr>
            <w:tr w14:paraId="347D3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3"/>
                  <w:tcBorders>
                    <w:tl2br w:val="nil"/>
                    <w:tr2bl w:val="nil"/>
                  </w:tcBorders>
                  <w:vAlign w:val="center"/>
                </w:tcPr>
                <w:p w14:paraId="5237CE92">
                  <w:pPr>
                    <w:pStyle w:val="19"/>
                    <w:spacing w:beforeLines="0" w:afterLines="0"/>
                    <w:jc w:val="left"/>
                    <w:rPr>
                      <w:sz w:val="21"/>
                      <w:szCs w:val="18"/>
                    </w:rPr>
                  </w:pPr>
                  <w:r>
                    <w:rPr>
                      <w:rFonts w:hint="eastAsia"/>
                      <w:sz w:val="21"/>
                      <w:szCs w:val="18"/>
                    </w:rPr>
                    <w:t>注：1.废气中有毒有害污染物指纳入《有毒有害大气污染物名录》的污染物（不包括无排放标准的污染物）。</w:t>
                  </w:r>
                </w:p>
                <w:p w14:paraId="76E34338">
                  <w:pPr>
                    <w:pStyle w:val="19"/>
                    <w:spacing w:beforeLines="0" w:afterLines="0"/>
                    <w:jc w:val="left"/>
                    <w:rPr>
                      <w:sz w:val="21"/>
                      <w:szCs w:val="18"/>
                    </w:rPr>
                  </w:pPr>
                  <w:r>
                    <w:rPr>
                      <w:rFonts w:hint="eastAsia"/>
                      <w:sz w:val="21"/>
                      <w:szCs w:val="18"/>
                    </w:rPr>
                    <w:t>2.环境空气保护目标指自然保护区、风景名胜区、居住区、文化区和农村地区中人群较集中的区域。</w:t>
                  </w:r>
                </w:p>
                <w:p w14:paraId="3D2CCDF9">
                  <w:pPr>
                    <w:pStyle w:val="19"/>
                    <w:spacing w:beforeLines="0" w:afterLines="0"/>
                    <w:jc w:val="left"/>
                  </w:pPr>
                  <w:r>
                    <w:rPr>
                      <w:rFonts w:hint="eastAsia"/>
                      <w:sz w:val="21"/>
                      <w:szCs w:val="18"/>
                    </w:rPr>
                    <w:t>3.临界量及其计算方法可参考《建设项目环境风险评价技术导则》（HJ169）附录B、附录C。</w:t>
                  </w:r>
                </w:p>
              </w:tc>
            </w:tr>
          </w:tbl>
          <w:p w14:paraId="30FDDE76">
            <w:pPr>
              <w:pStyle w:val="19"/>
              <w:spacing w:beforeLines="0" w:afterLines="0"/>
            </w:pPr>
          </w:p>
        </w:tc>
      </w:tr>
      <w:tr w14:paraId="345282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28" w:type="pct"/>
            <w:vAlign w:val="center"/>
          </w:tcPr>
          <w:p w14:paraId="1BBF5364">
            <w:pPr>
              <w:pStyle w:val="19"/>
              <w:spacing w:before="120" w:after="120"/>
              <w:rPr>
                <w:sz w:val="24"/>
                <w:szCs w:val="22"/>
              </w:rPr>
            </w:pPr>
            <w:r>
              <w:rPr>
                <w:sz w:val="24"/>
                <w:szCs w:val="22"/>
              </w:rPr>
              <w:t>规划情况</w:t>
            </w:r>
          </w:p>
        </w:tc>
        <w:tc>
          <w:tcPr>
            <w:tcW w:w="4071" w:type="pct"/>
            <w:gridSpan w:val="3"/>
            <w:vAlign w:val="center"/>
          </w:tcPr>
          <w:p w14:paraId="7B501C96">
            <w:pPr>
              <w:ind w:firstLine="480"/>
            </w:pPr>
            <w:r>
              <w:t>2006</w:t>
            </w:r>
            <w:r>
              <w:rPr>
                <w:rFonts w:hint="eastAsia"/>
              </w:rPr>
              <w:t>年，内蒙古自治区建设厅批准了《内蒙古蒙西经济技术开发区总体规划（</w:t>
            </w:r>
            <w:r>
              <w:t>2006-2020</w:t>
            </w:r>
            <w:r>
              <w:rPr>
                <w:rFonts w:hint="eastAsia"/>
              </w:rPr>
              <w:t>年）》（内建规</w:t>
            </w:r>
            <w:r>
              <w:t>[2006]139</w:t>
            </w:r>
            <w:r>
              <w:rPr>
                <w:rFonts w:hint="eastAsia"/>
              </w:rPr>
              <w:t>号）。</w:t>
            </w:r>
          </w:p>
          <w:p w14:paraId="76C9B561">
            <w:pPr>
              <w:ind w:firstLine="480"/>
            </w:pPr>
            <w:r>
              <w:rPr>
                <w:rFonts w:hint="eastAsia"/>
              </w:rPr>
              <w:t>2012年，《鄂尔多斯市蒙西镇（蒙西高新技术工业园区）总体规划（</w:t>
            </w:r>
            <w:r>
              <w:t>2010~2030</w:t>
            </w:r>
            <w:r>
              <w:rPr>
                <w:rFonts w:hint="eastAsia"/>
              </w:rPr>
              <w:t>）》编制完成，规划范围总面积为140平方公里，经鄂尔多斯市人民政府批复（鄂府函</w:t>
            </w:r>
            <w:r>
              <w:t>[2012]222</w:t>
            </w:r>
            <w:r>
              <w:rPr>
                <w:rFonts w:hint="eastAsia"/>
              </w:rPr>
              <w:t>号）。</w:t>
            </w:r>
          </w:p>
        </w:tc>
      </w:tr>
      <w:tr w14:paraId="10A735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28" w:type="pct"/>
            <w:vAlign w:val="center"/>
          </w:tcPr>
          <w:p w14:paraId="41700F9C">
            <w:pPr>
              <w:pStyle w:val="19"/>
              <w:spacing w:before="120" w:after="120"/>
              <w:rPr>
                <w:sz w:val="24"/>
                <w:szCs w:val="22"/>
              </w:rPr>
            </w:pPr>
            <w:r>
              <w:rPr>
                <w:sz w:val="24"/>
                <w:szCs w:val="22"/>
              </w:rPr>
              <w:t>规划环境影响评价情况</w:t>
            </w:r>
          </w:p>
        </w:tc>
        <w:tc>
          <w:tcPr>
            <w:tcW w:w="4071" w:type="pct"/>
            <w:gridSpan w:val="3"/>
            <w:vAlign w:val="center"/>
          </w:tcPr>
          <w:p w14:paraId="634FD483">
            <w:pPr>
              <w:ind w:firstLine="480"/>
            </w:pPr>
            <w:r>
              <w:t>2013</w:t>
            </w:r>
            <w:r>
              <w:rPr>
                <w:rFonts w:hint="eastAsia"/>
              </w:rPr>
              <w:t>年，北京师范大学与北京万澈环境科学与工程技术有限责任公司编制完成《蒙西高新技术工业园区总体规划环境影响报告书》，原内蒙古自治区环境保护厅签发了《关于蒙西高新技术工业园区总体规划环境影响报告书的审查意见》（内环审</w:t>
            </w:r>
            <w:r>
              <w:t>[2013]10</w:t>
            </w:r>
            <w:r>
              <w:rPr>
                <w:rFonts w:hint="eastAsia"/>
              </w:rPr>
              <w:t>号）。</w:t>
            </w:r>
          </w:p>
          <w:p w14:paraId="57BD66BA">
            <w:pPr>
              <w:ind w:firstLine="480"/>
            </w:pPr>
            <w:r>
              <w:rPr>
                <w:rFonts w:hint="eastAsia"/>
              </w:rPr>
              <w:t>2022年，内蒙古鄂托克经济开发区管理委员会组织编制《内蒙古鄂尔多斯鄂托克经济开发区蒙西产业园环境影响区域评估报告》，经鄂尔多斯市生态环境局《关于内蒙古鄂尔多斯鄂托克经济开发区蒙西产业园环境影响区域评估审查意见》（鄂环函</w:t>
            </w:r>
            <w:r>
              <w:t>[</w:t>
            </w:r>
            <w:r>
              <w:rPr>
                <w:rFonts w:hint="eastAsia"/>
              </w:rPr>
              <w:t>2022</w:t>
            </w:r>
            <w:r>
              <w:t>]</w:t>
            </w:r>
            <w:r>
              <w:rPr>
                <w:rFonts w:hint="eastAsia"/>
              </w:rPr>
              <w:t>4</w:t>
            </w:r>
            <w:r>
              <w:t>2</w:t>
            </w:r>
            <w:r>
              <w:rPr>
                <w:rFonts w:hint="eastAsia"/>
              </w:rPr>
              <w:t>号）通过审查，意见表示园区应依法及时启动园区规划环评修编工作，该工作目前正在进行中。</w:t>
            </w:r>
          </w:p>
        </w:tc>
      </w:tr>
      <w:tr w14:paraId="579EA6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28" w:type="pct"/>
            <w:vAlign w:val="center"/>
          </w:tcPr>
          <w:p w14:paraId="061596CF">
            <w:pPr>
              <w:pStyle w:val="19"/>
              <w:spacing w:before="120" w:after="120"/>
              <w:rPr>
                <w:sz w:val="24"/>
                <w:szCs w:val="22"/>
              </w:rPr>
            </w:pPr>
            <w:r>
              <w:rPr>
                <w:sz w:val="24"/>
                <w:szCs w:val="22"/>
              </w:rPr>
              <w:t>规划及规划环境影响评价符合性分析</w:t>
            </w:r>
          </w:p>
        </w:tc>
        <w:tc>
          <w:tcPr>
            <w:tcW w:w="4071" w:type="pct"/>
            <w:gridSpan w:val="3"/>
            <w:vAlign w:val="center"/>
          </w:tcPr>
          <w:p w14:paraId="5F729CEF">
            <w:pPr>
              <w:pStyle w:val="3"/>
              <w:numPr>
                <w:ilvl w:val="0"/>
                <w:numId w:val="2"/>
              </w:numPr>
              <w:ind w:firstLine="480"/>
            </w:pPr>
            <w:bookmarkStart w:id="8" w:name="_Toc20276"/>
            <w:bookmarkStart w:id="9" w:name="_Toc2737"/>
            <w:r>
              <w:rPr>
                <w:rFonts w:hint="eastAsia"/>
              </w:rPr>
              <w:t>与园区规划的符合性分析</w:t>
            </w:r>
            <w:bookmarkEnd w:id="8"/>
            <w:bookmarkEnd w:id="9"/>
          </w:p>
          <w:p w14:paraId="693BC221">
            <w:pPr>
              <w:ind w:firstLine="480"/>
            </w:pPr>
            <w:r>
              <w:rPr>
                <w:rFonts w:hint="eastAsia"/>
              </w:rPr>
              <w:t>本项目为鄂托克经济开发区蒙西产业园危险化学品运输车辆专用停车场项目，蒙西高新技术工业园区定位为以建设高端产业建设新园区和工业高端化为方向，以PVA/PVC延伸新型化工、硅铝深加工及其他新型加工为主导，以现代物流服务业为配套，建设自治区“小三角”科技环保型企业集群和新技术应用研发集中的西部一流特色园区和国家级终端工业品生产基地。根据《鄂托克旗自然资源局关于鄂托克经济开发区蒙西产业园危险化学品运输车辆专用停车场项目规划意见的函》（鄂自然资函</w:t>
            </w:r>
            <w:r>
              <w:t>[</w:t>
            </w:r>
            <w:r>
              <w:rPr>
                <w:rFonts w:hint="eastAsia"/>
              </w:rPr>
              <w:t>2023</w:t>
            </w:r>
            <w:r>
              <w:t>]</w:t>
            </w:r>
            <w:r>
              <w:rPr>
                <w:rFonts w:hint="eastAsia"/>
              </w:rPr>
              <w:t>96号），项目选址符合《鄂尔多斯市蒙西镇（蒙西高新技术工业园区）详细性控制规划》。</w:t>
            </w:r>
          </w:p>
          <w:p w14:paraId="5C090AE8">
            <w:pPr>
              <w:pStyle w:val="3"/>
              <w:numPr>
                <w:ilvl w:val="0"/>
                <w:numId w:val="2"/>
              </w:numPr>
              <w:ind w:firstLine="480"/>
            </w:pPr>
            <w:bookmarkStart w:id="10" w:name="_Toc32292"/>
            <w:bookmarkStart w:id="11" w:name="_Toc24211"/>
            <w:r>
              <w:rPr>
                <w:rFonts w:hint="eastAsia"/>
              </w:rPr>
              <w:t>与园区规划环境影响评价的符合性分析</w:t>
            </w:r>
            <w:bookmarkEnd w:id="10"/>
            <w:bookmarkEnd w:id="11"/>
          </w:p>
          <w:p w14:paraId="4380A8C1">
            <w:pPr>
              <w:ind w:firstLine="480"/>
            </w:pPr>
            <w:r>
              <w:rPr>
                <w:rFonts w:hint="eastAsia"/>
              </w:rPr>
              <w:t>园区规划环评修编工作正在进行中。本项目为鄂托克经济开发区蒙西产业园危险化学品运输车辆专用停车场项目，</w:t>
            </w:r>
            <w:r>
              <w:t>建设危险化学品车辆专用停车场并严格管理</w:t>
            </w:r>
            <w:r>
              <w:rPr>
                <w:rFonts w:hint="eastAsia"/>
              </w:rPr>
              <w:t>，</w:t>
            </w:r>
            <w:r>
              <w:t>对危险化学品运输车辆进出进行实时监控</w:t>
            </w:r>
            <w:r>
              <w:rPr>
                <w:rFonts w:hint="eastAsia"/>
              </w:rPr>
              <w:t>，可降低园区</w:t>
            </w:r>
            <w:r>
              <w:t>危险化学品运输安全风险</w:t>
            </w:r>
            <w:r>
              <w:rPr>
                <w:rFonts w:hint="eastAsia"/>
              </w:rPr>
              <w:t>，</w:t>
            </w:r>
            <w:r>
              <w:rPr>
                <w:rFonts w:hint="eastAsia"/>
                <w:color w:val="000000"/>
              </w:rPr>
              <w:t>可在较大程度上避免</w:t>
            </w:r>
            <w:r>
              <w:rPr>
                <w:rFonts w:hint="eastAsia"/>
              </w:rPr>
              <w:t>突发事故造成环境污染。</w:t>
            </w:r>
          </w:p>
        </w:tc>
      </w:tr>
      <w:tr w14:paraId="5E8716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928" w:type="pct"/>
            <w:vAlign w:val="center"/>
          </w:tcPr>
          <w:p w14:paraId="41DAC806">
            <w:pPr>
              <w:adjustRightInd w:val="0"/>
              <w:snapToGrid w:val="0"/>
              <w:spacing w:line="240" w:lineRule="auto"/>
              <w:ind w:firstLine="0" w:firstLineChars="0"/>
              <w:jc w:val="center"/>
              <w:rPr>
                <w:highlight w:val="yellow"/>
              </w:rPr>
            </w:pPr>
            <w:r>
              <w:rPr>
                <w:rFonts w:hint="eastAsia"/>
                <w:b/>
                <w:bCs/>
                <w:kern w:val="0"/>
                <w:szCs w:val="20"/>
              </w:rPr>
              <w:t>其他符合性分析</w:t>
            </w:r>
          </w:p>
        </w:tc>
        <w:tc>
          <w:tcPr>
            <w:tcW w:w="4071" w:type="pct"/>
            <w:gridSpan w:val="3"/>
            <w:vAlign w:val="center"/>
          </w:tcPr>
          <w:p w14:paraId="23722D58">
            <w:pPr>
              <w:pStyle w:val="3"/>
              <w:ind w:firstLine="480"/>
            </w:pPr>
            <w:bookmarkStart w:id="12" w:name="_Toc21978"/>
            <w:bookmarkStart w:id="13" w:name="_Toc4816"/>
            <w:r>
              <w:rPr>
                <w:rFonts w:hint="eastAsia"/>
              </w:rPr>
              <w:t>1、与“三线一单”的符合性分析</w:t>
            </w:r>
            <w:bookmarkEnd w:id="12"/>
            <w:bookmarkEnd w:id="13"/>
          </w:p>
          <w:p w14:paraId="2EA51137">
            <w:pPr>
              <w:ind w:firstLine="480"/>
            </w:pPr>
            <w:r>
              <w:rPr>
                <w:rFonts w:hint="eastAsia"/>
              </w:rPr>
              <w:t>（1）生态环境空间管控</w:t>
            </w:r>
          </w:p>
          <w:p w14:paraId="3A1D0A7C">
            <w:pPr>
              <w:ind w:firstLine="480"/>
            </w:pPr>
            <w:r>
              <w:rPr>
                <w:rFonts w:hint="eastAsia"/>
              </w:rPr>
              <w:t>按照《鄂尔多斯市人民政府关于</w:t>
            </w:r>
            <w:r>
              <w:t>“</w:t>
            </w:r>
            <w:r>
              <w:rPr>
                <w:rFonts w:hint="eastAsia"/>
              </w:rPr>
              <w:t>三线一单</w:t>
            </w:r>
            <w:r>
              <w:t>”</w:t>
            </w:r>
            <w:r>
              <w:rPr>
                <w:rFonts w:hint="eastAsia"/>
              </w:rPr>
              <w:t>生态环境分区管控的实施意见》（鄂府发</w:t>
            </w:r>
            <w:r>
              <w:t>[2021]218</w:t>
            </w:r>
            <w:r>
              <w:rPr>
                <w:rFonts w:hint="eastAsia"/>
              </w:rPr>
              <w:t>号），根据生态环境功能、自然资源禀赋和经济社会发展实际，划定环境管控单元，实施差别化生态环境管控措施，促进生态环境质量持续改善。鄂尔多斯市共划定环境管控单元</w:t>
            </w:r>
            <w:r>
              <w:t>163</w:t>
            </w:r>
            <w:r>
              <w:rPr>
                <w:rFonts w:hint="eastAsia"/>
              </w:rPr>
              <w:t>个，包括优先保护单元、重点管控单元、一般管控单元三类，实施分类管控。本项目位于鄂托克经济开发区蒙西产业园，属于“重点管控单元</w:t>
            </w:r>
            <w:r>
              <w:t>-</w:t>
            </w:r>
            <w:r>
              <w:rPr>
                <w:rFonts w:hint="eastAsia"/>
              </w:rPr>
              <w:t>内蒙古鄂托克经济开发区蒙西产业园”。本项目与鄂尔多斯市生态环境空间管控要求符合性分析见下表。</w:t>
            </w:r>
          </w:p>
          <w:p w14:paraId="1BCA1501">
            <w:pPr>
              <w:pStyle w:val="21"/>
              <w:spacing w:before="120"/>
              <w:rPr>
                <w:rFonts w:hint="default"/>
              </w:rPr>
            </w:pPr>
            <w:bookmarkStart w:id="14" w:name="_Toc18283"/>
            <w:r>
              <w:t>表1-1  本项目与鄂尔多斯市生态环境空间管控要求的符合性分析</w:t>
            </w:r>
            <w:bookmarkEnd w:id="14"/>
          </w:p>
          <w:tbl>
            <w:tblPr>
              <w:tblStyle w:val="16"/>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6"/>
              <w:gridCol w:w="4194"/>
              <w:gridCol w:w="1910"/>
            </w:tblGrid>
            <w:tr w14:paraId="79129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pct"/>
                  <w:vAlign w:val="center"/>
                </w:tcPr>
                <w:p w14:paraId="1FF2B437">
                  <w:pPr>
                    <w:pStyle w:val="19"/>
                    <w:spacing w:before="120" w:after="120"/>
                  </w:pPr>
                  <w:r>
                    <w:rPr>
                      <w:rFonts w:hint="eastAsia"/>
                    </w:rPr>
                    <w:t>管控区域</w:t>
                  </w:r>
                </w:p>
              </w:tc>
              <w:tc>
                <w:tcPr>
                  <w:tcW w:w="2912" w:type="pct"/>
                  <w:vAlign w:val="center"/>
                </w:tcPr>
                <w:p w14:paraId="7474D11E">
                  <w:pPr>
                    <w:pStyle w:val="19"/>
                    <w:spacing w:before="120" w:after="120"/>
                  </w:pPr>
                  <w:r>
                    <w:rPr>
                      <w:rFonts w:hint="eastAsia"/>
                    </w:rPr>
                    <w:t>生态环境空间管控要求</w:t>
                  </w:r>
                </w:p>
              </w:tc>
              <w:tc>
                <w:tcPr>
                  <w:tcW w:w="1326" w:type="pct"/>
                  <w:vAlign w:val="center"/>
                </w:tcPr>
                <w:p w14:paraId="556AC047">
                  <w:pPr>
                    <w:pStyle w:val="19"/>
                    <w:spacing w:before="120" w:after="120"/>
                  </w:pPr>
                  <w:r>
                    <w:rPr>
                      <w:rFonts w:hint="eastAsia"/>
                    </w:rPr>
                    <w:t>本项目</w:t>
                  </w:r>
                </w:p>
              </w:tc>
            </w:tr>
            <w:tr w14:paraId="5C5AC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761" w:type="pct"/>
                  <w:vAlign w:val="center"/>
                </w:tcPr>
                <w:p w14:paraId="09088C0D">
                  <w:pPr>
                    <w:pStyle w:val="19"/>
                    <w:spacing w:before="120" w:after="120"/>
                  </w:pPr>
                  <w:r>
                    <w:rPr>
                      <w:rFonts w:hint="eastAsia"/>
                    </w:rPr>
                    <w:t>优先保护单元</w:t>
                  </w:r>
                </w:p>
              </w:tc>
              <w:tc>
                <w:tcPr>
                  <w:tcW w:w="2912" w:type="pct"/>
                  <w:vAlign w:val="center"/>
                </w:tcPr>
                <w:p w14:paraId="4D1A4A49">
                  <w:pPr>
                    <w:pStyle w:val="19"/>
                    <w:spacing w:before="120" w:after="120"/>
                  </w:pPr>
                  <w:r>
                    <w:rPr>
                      <w:rFonts w:hint="eastAsia"/>
                    </w:rPr>
                    <w:t>主要包括我市生态保护红线、自然保护地、集中式饮用水水源保护区等生态功能重要区和生态环境敏感区。该区域以生态环境保护优先为原则，依法禁止或限制大规模、高强度的工业开发和城镇建设，确保生态环境功能不降低。</w:t>
                  </w:r>
                </w:p>
              </w:tc>
              <w:tc>
                <w:tcPr>
                  <w:tcW w:w="1326" w:type="pct"/>
                  <w:vMerge w:val="restart"/>
                  <w:vAlign w:val="center"/>
                </w:tcPr>
                <w:p w14:paraId="5EA29E95">
                  <w:pPr>
                    <w:pStyle w:val="19"/>
                    <w:spacing w:before="120" w:after="120"/>
                  </w:pPr>
                  <w:r>
                    <w:rPr>
                      <w:rFonts w:hint="eastAsia"/>
                    </w:rPr>
                    <w:t>本项目位于鄂托克经济开发区蒙西产业园，属于“重点管控单元</w:t>
                  </w:r>
                  <w:r>
                    <w:t>-</w:t>
                  </w:r>
                  <w:r>
                    <w:rPr>
                      <w:rFonts w:hint="eastAsia"/>
                    </w:rPr>
                    <w:t>内蒙古鄂托克经济开发区蒙西产业园”，项目不涉及工业生产，主要功能是</w:t>
                  </w:r>
                  <w:r>
                    <w:t>对危险化学品运输车辆进出进行</w:t>
                  </w:r>
                  <w:r>
                    <w:rPr>
                      <w:rFonts w:hint="eastAsia"/>
                    </w:rPr>
                    <w:t>严格管理，项目运行过程中产生少量的生活污水、固体废物，采取了有效的防</w:t>
                  </w:r>
                </w:p>
                <w:p w14:paraId="31852527">
                  <w:pPr>
                    <w:pStyle w:val="19"/>
                    <w:spacing w:before="120" w:after="120"/>
                  </w:pPr>
                  <w:r>
                    <w:rPr>
                      <w:rFonts w:hint="eastAsia"/>
                    </w:rPr>
                    <w:t>护措施，符合管控要求</w:t>
                  </w:r>
                </w:p>
              </w:tc>
            </w:tr>
            <w:tr w14:paraId="1339F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pct"/>
                  <w:vAlign w:val="center"/>
                </w:tcPr>
                <w:p w14:paraId="02DEC274">
                  <w:pPr>
                    <w:pStyle w:val="19"/>
                    <w:spacing w:before="120" w:after="120"/>
                  </w:pPr>
                  <w:r>
                    <w:rPr>
                      <w:rFonts w:hint="eastAsia"/>
                    </w:rPr>
                    <w:t>重点管控单元</w:t>
                  </w:r>
                </w:p>
              </w:tc>
              <w:tc>
                <w:tcPr>
                  <w:tcW w:w="2912" w:type="pct"/>
                  <w:vAlign w:val="center"/>
                </w:tcPr>
                <w:p w14:paraId="4E16CB17">
                  <w:pPr>
                    <w:pStyle w:val="19"/>
                    <w:spacing w:before="120" w:after="120"/>
                  </w:pPr>
                  <w:r>
                    <w:t>87</w:t>
                  </w:r>
                  <w:r>
                    <w:rPr>
                      <w:rFonts w:hint="eastAsia"/>
                    </w:rPr>
                    <w:t>个，主要包括工业园区、城市、矿区等开发强度高、污染排放量大、环境问题相对集中的区域，以及生态需水补给区等。该区域应不断提升资源利用效率，有针对性地加强污染物排放控制和环境风险防控，解决生态环境质量不达标、生态环境风险高等问题。</w:t>
                  </w:r>
                </w:p>
              </w:tc>
              <w:tc>
                <w:tcPr>
                  <w:tcW w:w="1326" w:type="pct"/>
                  <w:vMerge w:val="continue"/>
                  <w:vAlign w:val="center"/>
                </w:tcPr>
                <w:p w14:paraId="1A474720">
                  <w:pPr>
                    <w:pStyle w:val="19"/>
                    <w:spacing w:before="120" w:after="120"/>
                  </w:pPr>
                </w:p>
              </w:tc>
            </w:tr>
            <w:tr w14:paraId="1B48D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pct"/>
                  <w:vAlign w:val="center"/>
                </w:tcPr>
                <w:p w14:paraId="2F19B2A8">
                  <w:pPr>
                    <w:pStyle w:val="19"/>
                    <w:spacing w:before="120" w:after="120"/>
                  </w:pPr>
                  <w:r>
                    <w:rPr>
                      <w:rFonts w:hint="eastAsia"/>
                    </w:rPr>
                    <w:t>一般管控单元</w:t>
                  </w:r>
                </w:p>
              </w:tc>
              <w:tc>
                <w:tcPr>
                  <w:tcW w:w="2912" w:type="pct"/>
                  <w:vAlign w:val="center"/>
                </w:tcPr>
                <w:p w14:paraId="1626783F">
                  <w:pPr>
                    <w:pStyle w:val="19"/>
                    <w:spacing w:before="120" w:after="120"/>
                  </w:pPr>
                  <w:r>
                    <w:t>7</w:t>
                  </w:r>
                  <w:r>
                    <w:rPr>
                      <w:rFonts w:hint="eastAsia"/>
                    </w:rPr>
                    <w:t>个，优先保护单元、重点管控单元之外为一般管控单元，该区域主要落实生态环境保护基本要求。</w:t>
                  </w:r>
                </w:p>
              </w:tc>
              <w:tc>
                <w:tcPr>
                  <w:tcW w:w="1326" w:type="pct"/>
                  <w:vMerge w:val="continue"/>
                  <w:vAlign w:val="center"/>
                </w:tcPr>
                <w:p w14:paraId="74542F16">
                  <w:pPr>
                    <w:pStyle w:val="19"/>
                    <w:spacing w:before="120" w:after="120"/>
                  </w:pPr>
                </w:p>
              </w:tc>
            </w:tr>
          </w:tbl>
          <w:p w14:paraId="1F00D975">
            <w:pPr>
              <w:numPr>
                <w:ilvl w:val="0"/>
                <w:numId w:val="3"/>
              </w:numPr>
              <w:ind w:firstLine="480"/>
            </w:pPr>
            <w:r>
              <w:rPr>
                <w:rFonts w:hint="eastAsia"/>
              </w:rPr>
              <w:t>生态保护红线</w:t>
            </w:r>
          </w:p>
          <w:p w14:paraId="75425ECF">
            <w:pPr>
              <w:ind w:firstLine="480"/>
            </w:pPr>
            <w:r>
              <w:rPr>
                <w:rFonts w:hint="eastAsia"/>
              </w:rPr>
              <w:t>鄂尔多斯市生态空间总面积为</w:t>
            </w:r>
            <w:r>
              <w:t>54408.94</w:t>
            </w:r>
            <w:r>
              <w:rPr>
                <w:rFonts w:hint="eastAsia"/>
              </w:rPr>
              <w:t>平方公里，占全市国土面积的</w:t>
            </w:r>
            <w:r>
              <w:t>62.63%</w:t>
            </w:r>
            <w:r>
              <w:rPr>
                <w:rFonts w:hint="eastAsia"/>
              </w:rPr>
              <w:t>。其中：生态保护红线面积</w:t>
            </w:r>
            <w:r>
              <w:t>22900.81</w:t>
            </w:r>
            <w:r>
              <w:rPr>
                <w:rFonts w:hint="eastAsia"/>
              </w:rPr>
              <w:t>平方公里，占全市国土面积的</w:t>
            </w:r>
            <w:r>
              <w:t>26.36%</w:t>
            </w:r>
            <w:r>
              <w:rPr>
                <w:rFonts w:hint="eastAsia"/>
              </w:rPr>
              <w:t>；一般生态空间面积</w:t>
            </w:r>
            <w:r>
              <w:t>31508.13</w:t>
            </w:r>
            <w:r>
              <w:rPr>
                <w:rFonts w:hint="eastAsia"/>
              </w:rPr>
              <w:t>平方公里，占全市国土面积的</w:t>
            </w:r>
            <w:r>
              <w:t>36.27%</w:t>
            </w:r>
            <w:r>
              <w:rPr>
                <w:rFonts w:hint="eastAsia"/>
              </w:rPr>
              <w:t>。</w:t>
            </w:r>
          </w:p>
          <w:p w14:paraId="70F961BF">
            <w:pPr>
              <w:ind w:firstLine="480"/>
            </w:pPr>
            <w:r>
              <w:rPr>
                <w:rFonts w:hint="eastAsia"/>
              </w:rPr>
              <w:t>本项目位于鄂托克经济开发区蒙西产业园，项目已取得用地选址意见，选址不涉及鄂尔多斯市生态保护红线范围。</w:t>
            </w:r>
          </w:p>
          <w:p w14:paraId="29C4D188">
            <w:pPr>
              <w:numPr>
                <w:ilvl w:val="0"/>
                <w:numId w:val="3"/>
              </w:numPr>
              <w:ind w:firstLine="480"/>
            </w:pPr>
            <w:r>
              <w:rPr>
                <w:rFonts w:hint="eastAsia"/>
              </w:rPr>
              <w:t>环境质量底线</w:t>
            </w:r>
          </w:p>
          <w:p w14:paraId="196AECBA">
            <w:pPr>
              <w:ind w:firstLine="480"/>
            </w:pPr>
            <w:r>
              <w:rPr>
                <w:rFonts w:hint="eastAsia"/>
              </w:rPr>
              <w:t>本项目运营后会产生一定的污染物，如扬尘、生活污水、固废、噪声等，但在采取相应的污染防治措施后，各类污染物均可达实现标排放或回用，不会对周边环境造成不良影响，不会降低区域环境质量。</w:t>
            </w:r>
          </w:p>
          <w:p w14:paraId="22043938">
            <w:pPr>
              <w:numPr>
                <w:ilvl w:val="0"/>
                <w:numId w:val="3"/>
              </w:numPr>
              <w:ind w:firstLine="480"/>
            </w:pPr>
            <w:r>
              <w:rPr>
                <w:rFonts w:hint="eastAsia"/>
              </w:rPr>
              <w:t>资源利用上线</w:t>
            </w:r>
          </w:p>
          <w:p w14:paraId="69B296B1">
            <w:pPr>
              <w:ind w:firstLine="480"/>
            </w:pPr>
            <w:r>
              <w:t>本项目运营过程中消耗一定量的电源、水资源等资源</w:t>
            </w:r>
            <w:r>
              <w:rPr>
                <w:rFonts w:hint="eastAsia"/>
              </w:rPr>
              <w:t>，</w:t>
            </w:r>
            <w:r>
              <w:t>项目</w:t>
            </w:r>
            <w:r>
              <w:rPr>
                <w:rFonts w:hint="eastAsia"/>
              </w:rPr>
              <w:t>所用的</w:t>
            </w:r>
            <w:r>
              <w:t>电源、水资源</w:t>
            </w:r>
            <w:r>
              <w:rPr>
                <w:rFonts w:hint="eastAsia"/>
              </w:rPr>
              <w:t>依托园区</w:t>
            </w:r>
            <w:r>
              <w:t>给水管网</w:t>
            </w:r>
            <w:r>
              <w:rPr>
                <w:rFonts w:hint="eastAsia"/>
              </w:rPr>
              <w:t>和</w:t>
            </w:r>
            <w:r>
              <w:t>供电管网</w:t>
            </w:r>
            <w:r>
              <w:rPr>
                <w:rFonts w:hint="eastAsia"/>
              </w:rPr>
              <w:t>，能源</w:t>
            </w:r>
            <w:r>
              <w:t>消耗量</w:t>
            </w:r>
            <w:r>
              <w:rPr>
                <w:rFonts w:hint="eastAsia"/>
              </w:rPr>
              <w:t>在园区的可接受范围内，</w:t>
            </w:r>
            <w:r>
              <w:t>符合资源利用上线要求。</w:t>
            </w:r>
          </w:p>
          <w:p w14:paraId="6E559B1C">
            <w:pPr>
              <w:numPr>
                <w:ilvl w:val="0"/>
                <w:numId w:val="3"/>
              </w:numPr>
              <w:ind w:firstLine="480"/>
            </w:pPr>
            <w:r>
              <w:rPr>
                <w:rFonts w:hint="eastAsia"/>
              </w:rPr>
              <w:t>生态环境准入清单</w:t>
            </w:r>
          </w:p>
          <w:p w14:paraId="7A084129">
            <w:pPr>
              <w:ind w:firstLine="480"/>
            </w:pPr>
            <w:r>
              <w:rPr>
                <w:rFonts w:hint="eastAsia"/>
              </w:rPr>
              <w:t>本项目位于内蒙古鄂托克旗蒙西高新技术工业园区，隶属于鄂尔多斯市鄂托克旗管辖，根据《鄂尔多斯市生态环境准入清单》，本项目属于重点管控单元</w:t>
            </w:r>
            <w:r>
              <w:t>-</w:t>
            </w:r>
            <w:r>
              <w:rPr>
                <w:rFonts w:hint="eastAsia"/>
              </w:rPr>
              <w:t>内蒙古鄂托克经济开发区蒙西产业园（编码</w:t>
            </w:r>
            <w:r>
              <w:t>ZH15062220003</w:t>
            </w:r>
            <w:r>
              <w:rPr>
                <w:rFonts w:hint="eastAsia"/>
              </w:rPr>
              <w:t>）。本项目与生态环境准入清单符合性分析见下表。</w:t>
            </w:r>
          </w:p>
          <w:p w14:paraId="70664A4F">
            <w:pPr>
              <w:pStyle w:val="21"/>
              <w:spacing w:before="120"/>
              <w:rPr>
                <w:rFonts w:hint="default"/>
              </w:rPr>
            </w:pPr>
            <w:bookmarkStart w:id="15" w:name="_Toc7163"/>
            <w:r>
              <w:t>表1-2  本项目与生态环境准入清单的符合性分析</w:t>
            </w:r>
            <w:bookmarkEnd w:id="15"/>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8"/>
              <w:gridCol w:w="872"/>
              <w:gridCol w:w="3380"/>
              <w:gridCol w:w="1348"/>
              <w:gridCol w:w="686"/>
            </w:tblGrid>
            <w:tr w14:paraId="0F212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8" w:type="dxa"/>
                  <w:vAlign w:val="center"/>
                </w:tcPr>
                <w:p w14:paraId="705C48A6">
                  <w:pPr>
                    <w:pStyle w:val="19"/>
                    <w:spacing w:before="120" w:after="120"/>
                  </w:pPr>
                  <w:r>
                    <w:rPr>
                      <w:rFonts w:hint="eastAsia"/>
                    </w:rPr>
                    <w:t>管控单元类别</w:t>
                  </w:r>
                </w:p>
              </w:tc>
              <w:tc>
                <w:tcPr>
                  <w:tcW w:w="4252" w:type="dxa"/>
                  <w:gridSpan w:val="2"/>
                  <w:vAlign w:val="center"/>
                </w:tcPr>
                <w:p w14:paraId="467CA0CC">
                  <w:pPr>
                    <w:pStyle w:val="19"/>
                    <w:spacing w:before="120" w:after="120"/>
                  </w:pPr>
                  <w:r>
                    <w:rPr>
                      <w:rFonts w:hint="eastAsia"/>
                    </w:rPr>
                    <w:t>管控要求</w:t>
                  </w:r>
                </w:p>
              </w:tc>
              <w:tc>
                <w:tcPr>
                  <w:tcW w:w="1348" w:type="dxa"/>
                  <w:vAlign w:val="center"/>
                </w:tcPr>
                <w:p w14:paraId="37DC6A26">
                  <w:pPr>
                    <w:pStyle w:val="19"/>
                    <w:spacing w:before="120" w:after="120"/>
                  </w:pPr>
                  <w:r>
                    <w:rPr>
                      <w:rFonts w:hint="eastAsia"/>
                    </w:rPr>
                    <w:t>本项目情况</w:t>
                  </w:r>
                </w:p>
              </w:tc>
              <w:tc>
                <w:tcPr>
                  <w:tcW w:w="686" w:type="dxa"/>
                  <w:vAlign w:val="center"/>
                </w:tcPr>
                <w:p w14:paraId="43CA95AB">
                  <w:pPr>
                    <w:pStyle w:val="19"/>
                    <w:spacing w:before="120" w:after="120"/>
                  </w:pPr>
                  <w:r>
                    <w:rPr>
                      <w:rFonts w:hint="eastAsia"/>
                    </w:rPr>
                    <w:t>是否符合</w:t>
                  </w:r>
                </w:p>
              </w:tc>
            </w:tr>
            <w:tr w14:paraId="0C2F6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8" w:type="dxa"/>
                  <w:vMerge w:val="restart"/>
                  <w:vAlign w:val="center"/>
                </w:tcPr>
                <w:p w14:paraId="2A4AC9FC">
                  <w:pPr>
                    <w:pStyle w:val="19"/>
                    <w:spacing w:before="120" w:after="120"/>
                  </w:pPr>
                  <w:r>
                    <w:rPr>
                      <w:rFonts w:hint="eastAsia"/>
                    </w:rPr>
                    <w:t>重点管控单元</w:t>
                  </w:r>
                  <w:r>
                    <w:t>-</w:t>
                  </w:r>
                  <w:r>
                    <w:rPr>
                      <w:rFonts w:hint="eastAsia"/>
                    </w:rPr>
                    <w:t>内蒙古鄂托克经济开发区蒙西产业园</w:t>
                  </w:r>
                </w:p>
              </w:tc>
              <w:tc>
                <w:tcPr>
                  <w:tcW w:w="872" w:type="dxa"/>
                  <w:vAlign w:val="center"/>
                </w:tcPr>
                <w:p w14:paraId="7F22937D">
                  <w:pPr>
                    <w:pStyle w:val="19"/>
                    <w:spacing w:before="120" w:after="120"/>
                  </w:pPr>
                  <w:r>
                    <w:rPr>
                      <w:rFonts w:hint="eastAsia"/>
                    </w:rPr>
                    <w:t>空间布局约束</w:t>
                  </w:r>
                </w:p>
              </w:tc>
              <w:tc>
                <w:tcPr>
                  <w:tcW w:w="3380" w:type="dxa"/>
                  <w:vAlign w:val="center"/>
                </w:tcPr>
                <w:p w14:paraId="2D75A01B">
                  <w:pPr>
                    <w:pStyle w:val="19"/>
                    <w:spacing w:before="120" w:after="120"/>
                    <w:jc w:val="left"/>
                  </w:pPr>
                  <w:r>
                    <w:t>1.</w:t>
                  </w:r>
                  <w:r>
                    <w:rPr>
                      <w:rFonts w:hint="eastAsia"/>
                    </w:rPr>
                    <w:t>严格控制煤电、煤化工、电石等产业发展规模。</w:t>
                  </w:r>
                </w:p>
                <w:p w14:paraId="5BFD9620">
                  <w:pPr>
                    <w:pStyle w:val="19"/>
                    <w:spacing w:before="120" w:after="120"/>
                    <w:jc w:val="left"/>
                  </w:pPr>
                  <w:r>
                    <w:t>2.</w:t>
                  </w:r>
                  <w:r>
                    <w:rPr>
                      <w:rFonts w:hint="eastAsia"/>
                    </w:rPr>
                    <w:t>按照“西重东轻”原则，优化产业布局。</w:t>
                  </w:r>
                </w:p>
                <w:p w14:paraId="51C12248">
                  <w:pPr>
                    <w:pStyle w:val="19"/>
                    <w:spacing w:before="120" w:after="120"/>
                    <w:jc w:val="left"/>
                  </w:pPr>
                  <w:r>
                    <w:t>3.</w:t>
                  </w:r>
                  <w:r>
                    <w:rPr>
                      <w:rFonts w:hint="eastAsia"/>
                    </w:rPr>
                    <w:t>居住用地周边严控布局潜在污染扰民和环境风险突出的建设项目，新（改、扩）建化工项目必须与居民区或城市规划的居住用地保持足够的缓冲距离。</w:t>
                  </w:r>
                </w:p>
              </w:tc>
              <w:tc>
                <w:tcPr>
                  <w:tcW w:w="1348" w:type="dxa"/>
                  <w:vAlign w:val="center"/>
                </w:tcPr>
                <w:p w14:paraId="57F8CB1C">
                  <w:pPr>
                    <w:pStyle w:val="19"/>
                    <w:spacing w:before="120" w:after="120"/>
                  </w:pPr>
                  <w:r>
                    <w:rPr>
                      <w:rFonts w:hint="eastAsia"/>
                    </w:rPr>
                    <w:t>本项目不属于煤电、煤化工、电石等产业，不属于化工项目</w:t>
                  </w:r>
                </w:p>
              </w:tc>
              <w:tc>
                <w:tcPr>
                  <w:tcW w:w="686" w:type="dxa"/>
                  <w:vAlign w:val="center"/>
                </w:tcPr>
                <w:p w14:paraId="57DD6B2B">
                  <w:pPr>
                    <w:pStyle w:val="19"/>
                    <w:spacing w:before="120" w:after="120"/>
                  </w:pPr>
                  <w:r>
                    <w:rPr>
                      <w:rFonts w:hint="eastAsia"/>
                    </w:rPr>
                    <w:t>符合</w:t>
                  </w:r>
                </w:p>
              </w:tc>
            </w:tr>
            <w:tr w14:paraId="5E498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8" w:type="dxa"/>
                  <w:vMerge w:val="continue"/>
                  <w:vAlign w:val="center"/>
                </w:tcPr>
                <w:p w14:paraId="38D10239">
                  <w:pPr>
                    <w:pStyle w:val="19"/>
                    <w:spacing w:before="120" w:after="120"/>
                  </w:pPr>
                </w:p>
              </w:tc>
              <w:tc>
                <w:tcPr>
                  <w:tcW w:w="872" w:type="dxa"/>
                  <w:vAlign w:val="center"/>
                </w:tcPr>
                <w:p w14:paraId="7230B7A5">
                  <w:pPr>
                    <w:pStyle w:val="19"/>
                    <w:spacing w:before="120" w:after="120"/>
                  </w:pPr>
                  <w:r>
                    <w:rPr>
                      <w:rFonts w:hint="eastAsia"/>
                    </w:rPr>
                    <w:t>污染物排放管控</w:t>
                  </w:r>
                </w:p>
              </w:tc>
              <w:tc>
                <w:tcPr>
                  <w:tcW w:w="3380" w:type="dxa"/>
                  <w:vAlign w:val="center"/>
                </w:tcPr>
                <w:p w14:paraId="1C777DB8">
                  <w:pPr>
                    <w:pStyle w:val="19"/>
                    <w:spacing w:before="120" w:after="120"/>
                    <w:jc w:val="left"/>
                  </w:pPr>
                  <w:r>
                    <w:t>1.</w:t>
                  </w:r>
                  <w:r>
                    <w:rPr>
                      <w:rFonts w:hint="eastAsia"/>
                    </w:rPr>
                    <w:t>化工等重点行业及</w:t>
                  </w:r>
                  <w:r>
                    <w:t>65</w:t>
                  </w:r>
                  <w:r>
                    <w:rPr>
                      <w:rFonts w:hint="eastAsia"/>
                    </w:rPr>
                    <w:t>蒸吨</w:t>
                  </w:r>
                  <w:r>
                    <w:t>/</w:t>
                  </w:r>
                  <w:r>
                    <w:rPr>
                      <w:rFonts w:hint="eastAsia"/>
                    </w:rPr>
                    <w:t>小时及以上燃煤锅炉的现役企业和新建项目一律执行大气污染物特别排放限值。强化企业大气污染物排放精细化管理、无组织废气排放控制以及高效治污设施建设。重点行业粉状物料堆场实现全封闭，块状物料安装抑尘设施。</w:t>
                  </w:r>
                </w:p>
                <w:p w14:paraId="1D8C44F7">
                  <w:pPr>
                    <w:pStyle w:val="19"/>
                    <w:spacing w:before="120" w:after="120"/>
                    <w:jc w:val="left"/>
                  </w:pPr>
                  <w:r>
                    <w:t>2.</w:t>
                  </w:r>
                  <w:r>
                    <w:rPr>
                      <w:rFonts w:hint="eastAsia"/>
                    </w:rPr>
                    <w:t>积极推广集中供热，禁止新建</w:t>
                  </w:r>
                  <w:r>
                    <w:t>35</w:t>
                  </w:r>
                  <w:r>
                    <w:rPr>
                      <w:rFonts w:hint="eastAsia"/>
                    </w:rPr>
                    <w:t>蒸吨以下燃煤锅炉。</w:t>
                  </w:r>
                </w:p>
                <w:p w14:paraId="72831C45">
                  <w:pPr>
                    <w:pStyle w:val="19"/>
                    <w:spacing w:before="120" w:after="120"/>
                    <w:jc w:val="left"/>
                  </w:pPr>
                  <w:r>
                    <w:t>3.</w:t>
                  </w:r>
                  <w:r>
                    <w:rPr>
                      <w:rFonts w:hint="eastAsia"/>
                    </w:rPr>
                    <w:t>完善园区污水集中处理设施和配套管网。实行“清污分流、雨污分流”，污水应收尽收，全部回用，区内一律不得新建晾晒池、蒸发塘。</w:t>
                  </w:r>
                </w:p>
              </w:tc>
              <w:tc>
                <w:tcPr>
                  <w:tcW w:w="1348" w:type="dxa"/>
                  <w:vAlign w:val="center"/>
                </w:tcPr>
                <w:p w14:paraId="341B4966">
                  <w:pPr>
                    <w:pStyle w:val="19"/>
                    <w:spacing w:before="120" w:after="120"/>
                  </w:pPr>
                  <w:r>
                    <w:rPr>
                      <w:rFonts w:hint="eastAsia"/>
                    </w:rPr>
                    <w:t>本项目不涉及燃煤锅炉的使用，废水排放实施“清污分流、雨污分流”，洗车污水经</w:t>
                  </w:r>
                  <w:r>
                    <w:t>地埋式一体化污水处理</w:t>
                  </w:r>
                  <w:r>
                    <w:rPr>
                      <w:rFonts w:hint="eastAsia"/>
                    </w:rPr>
                    <w:t>设备处理后回用，不外排</w:t>
                  </w:r>
                </w:p>
              </w:tc>
              <w:tc>
                <w:tcPr>
                  <w:tcW w:w="686" w:type="dxa"/>
                  <w:vAlign w:val="center"/>
                </w:tcPr>
                <w:p w14:paraId="372453C3">
                  <w:pPr>
                    <w:pStyle w:val="19"/>
                    <w:spacing w:before="120" w:after="120"/>
                  </w:pPr>
                  <w:r>
                    <w:rPr>
                      <w:rFonts w:hint="eastAsia"/>
                    </w:rPr>
                    <w:t>符合</w:t>
                  </w:r>
                </w:p>
              </w:tc>
            </w:tr>
            <w:tr w14:paraId="36A70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8" w:type="dxa"/>
                  <w:vMerge w:val="continue"/>
                  <w:vAlign w:val="center"/>
                </w:tcPr>
                <w:p w14:paraId="21026C5D">
                  <w:pPr>
                    <w:pStyle w:val="19"/>
                    <w:spacing w:before="120" w:after="120"/>
                  </w:pPr>
                </w:p>
              </w:tc>
              <w:tc>
                <w:tcPr>
                  <w:tcW w:w="872" w:type="dxa"/>
                  <w:vAlign w:val="center"/>
                </w:tcPr>
                <w:p w14:paraId="21087DF3">
                  <w:pPr>
                    <w:pStyle w:val="19"/>
                    <w:spacing w:before="120" w:after="120"/>
                  </w:pPr>
                  <w:r>
                    <w:rPr>
                      <w:rFonts w:hint="eastAsia"/>
                    </w:rPr>
                    <w:t>环境风险防范</w:t>
                  </w:r>
                </w:p>
              </w:tc>
              <w:tc>
                <w:tcPr>
                  <w:tcW w:w="3380" w:type="dxa"/>
                  <w:vAlign w:val="center"/>
                </w:tcPr>
                <w:p w14:paraId="088C44A5">
                  <w:pPr>
                    <w:pStyle w:val="19"/>
                    <w:spacing w:before="120" w:after="120"/>
                    <w:jc w:val="left"/>
                  </w:pPr>
                  <w:r>
                    <w:t>1.</w:t>
                  </w:r>
                  <w:r>
                    <w:rPr>
                      <w:rFonts w:hint="eastAsia"/>
                    </w:rPr>
                    <w:t>园区应建立三级防控及应急救援体系，编制园区环境风险应急预案；园区应落实环境风险防范措施，做好风险防护距离的管理，防止发生环境污染事件建立重点风险源动态管理信息库、园区内外环境风险救援力量管理库以及应急监测小组，在发生风险环境污染事故时事故现场及周边区域实施应急监测，不断完善环境风险防范机制和应急体系，构建有效的区域环境风险联防联控机制，最大限度降低环境风险。劳动密集型的非化工企业不得与化工企业混建在同园区内。</w:t>
                  </w:r>
                </w:p>
                <w:p w14:paraId="5B146109">
                  <w:pPr>
                    <w:pStyle w:val="19"/>
                    <w:spacing w:before="120" w:after="120"/>
                    <w:jc w:val="left"/>
                  </w:pPr>
                  <w:r>
                    <w:t>2.</w:t>
                  </w:r>
                  <w:r>
                    <w:rPr>
                      <w:rFonts w:hint="eastAsia"/>
                    </w:rPr>
                    <w:t>土壤污染重点监管单位应当严格控制有毒有害物质排放，并按年度向生态环境主管部门报告排放情况；建立土壤污染隐患排查制度，保证持续有效防止有毒有害物质渗漏、流失、扬散；制定、实施自行监测方案，并将监测数据报生态环境主管部门。</w:t>
                  </w:r>
                </w:p>
              </w:tc>
              <w:tc>
                <w:tcPr>
                  <w:tcW w:w="1348" w:type="dxa"/>
                  <w:vAlign w:val="center"/>
                </w:tcPr>
                <w:p w14:paraId="16EF2CDD">
                  <w:pPr>
                    <w:pStyle w:val="19"/>
                    <w:spacing w:before="120" w:after="120"/>
                  </w:pPr>
                  <w:r>
                    <w:rPr>
                      <w:rFonts w:hint="eastAsia"/>
                    </w:rPr>
                    <w:t>项目按照《企业事业单位突发环境事件应急预案备案管理办法（试行）》的</w:t>
                  </w:r>
                  <w:r>
                    <w:t>要求</w:t>
                  </w:r>
                  <w:r>
                    <w:rPr>
                      <w:rFonts w:hint="eastAsia"/>
                    </w:rPr>
                    <w:t>编制突发环境事件</w:t>
                  </w:r>
                  <w:r>
                    <w:t>应急预案</w:t>
                  </w:r>
                  <w:r>
                    <w:rPr>
                      <w:rFonts w:hint="eastAsia"/>
                    </w:rPr>
                    <w:t>，采用合理可靠的手段降低突发环境事件的发生概率，利用消防水池、事故池、雨水收集池等措施收集事故可能产生的废水，有效</w:t>
                  </w:r>
                  <w:r>
                    <w:rPr>
                      <w:rFonts w:hint="eastAsia"/>
                      <w:color w:val="000000"/>
                    </w:rPr>
                    <w:t>降低环境风险事故对外环境造成不良影响。</w:t>
                  </w:r>
                </w:p>
              </w:tc>
              <w:tc>
                <w:tcPr>
                  <w:tcW w:w="686" w:type="dxa"/>
                  <w:vAlign w:val="center"/>
                </w:tcPr>
                <w:p w14:paraId="359D64B8">
                  <w:pPr>
                    <w:pStyle w:val="19"/>
                    <w:spacing w:before="120" w:after="120"/>
                  </w:pPr>
                  <w:r>
                    <w:rPr>
                      <w:rFonts w:hint="eastAsia"/>
                    </w:rPr>
                    <w:t>符合</w:t>
                  </w:r>
                </w:p>
              </w:tc>
            </w:tr>
            <w:tr w14:paraId="18618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8" w:type="dxa"/>
                  <w:vMerge w:val="continue"/>
                  <w:vAlign w:val="center"/>
                </w:tcPr>
                <w:p w14:paraId="1F8E2784">
                  <w:pPr>
                    <w:pStyle w:val="19"/>
                    <w:spacing w:before="120" w:after="120"/>
                  </w:pPr>
                </w:p>
              </w:tc>
              <w:tc>
                <w:tcPr>
                  <w:tcW w:w="872" w:type="dxa"/>
                  <w:vAlign w:val="center"/>
                </w:tcPr>
                <w:p w14:paraId="378CA246">
                  <w:pPr>
                    <w:pStyle w:val="19"/>
                    <w:spacing w:before="120" w:after="120"/>
                  </w:pPr>
                  <w:r>
                    <w:rPr>
                      <w:rFonts w:hint="eastAsia"/>
                    </w:rPr>
                    <w:t>资源利用效率</w:t>
                  </w:r>
                </w:p>
              </w:tc>
              <w:tc>
                <w:tcPr>
                  <w:tcW w:w="3380" w:type="dxa"/>
                  <w:vAlign w:val="center"/>
                </w:tcPr>
                <w:p w14:paraId="112DBC8E">
                  <w:pPr>
                    <w:pStyle w:val="19"/>
                    <w:spacing w:before="120" w:after="120"/>
                    <w:jc w:val="left"/>
                  </w:pPr>
                  <w:r>
                    <w:t>1.</w:t>
                  </w:r>
                  <w:r>
                    <w:rPr>
                      <w:rFonts w:hint="eastAsia"/>
                    </w:rPr>
                    <w:t>坚持“以水定产业、以水定规模”，做好节水工作，按分质供水原则，合理进行水资源分配，优先使用中水。严控地下水超采。实行地下水“五控”制度。五控即严格管控地下水开发利用总量、水位、用途、水质及机电井数量。</w:t>
                  </w:r>
                </w:p>
                <w:p w14:paraId="1B1C8F4D">
                  <w:pPr>
                    <w:pStyle w:val="19"/>
                    <w:spacing w:before="120" w:after="120"/>
                    <w:jc w:val="left"/>
                  </w:pPr>
                  <w:r>
                    <w:t>2.</w:t>
                  </w:r>
                  <w:r>
                    <w:rPr>
                      <w:rFonts w:hint="eastAsia"/>
                    </w:rPr>
                    <w:t>推进能源梯级利用，提高能源利用效率，鼓励使用清洁燃料或可再生能源。</w:t>
                  </w:r>
                </w:p>
              </w:tc>
              <w:tc>
                <w:tcPr>
                  <w:tcW w:w="1348" w:type="dxa"/>
                  <w:vAlign w:val="center"/>
                </w:tcPr>
                <w:p w14:paraId="60287102">
                  <w:pPr>
                    <w:pStyle w:val="19"/>
                    <w:spacing w:before="120" w:after="120"/>
                  </w:pPr>
                  <w:r>
                    <w:rPr>
                      <w:rFonts w:hint="eastAsia"/>
                    </w:rPr>
                    <w:t>本项目用水均由园区供水管网提供，不涉及地下水开采</w:t>
                  </w:r>
                </w:p>
              </w:tc>
              <w:tc>
                <w:tcPr>
                  <w:tcW w:w="686" w:type="dxa"/>
                  <w:vAlign w:val="center"/>
                </w:tcPr>
                <w:p w14:paraId="36F84096">
                  <w:pPr>
                    <w:pStyle w:val="19"/>
                    <w:spacing w:before="120" w:after="120"/>
                  </w:pPr>
                  <w:r>
                    <w:rPr>
                      <w:rFonts w:hint="eastAsia"/>
                    </w:rPr>
                    <w:t>符合</w:t>
                  </w:r>
                </w:p>
              </w:tc>
            </w:tr>
          </w:tbl>
          <w:p w14:paraId="4F269786">
            <w:pPr>
              <w:pStyle w:val="3"/>
              <w:numPr>
                <w:ilvl w:val="0"/>
                <w:numId w:val="2"/>
              </w:numPr>
              <w:ind w:firstLine="480"/>
            </w:pPr>
            <w:bookmarkStart w:id="16" w:name="_Toc21560"/>
            <w:bookmarkStart w:id="17" w:name="_Toc12149"/>
            <w:r>
              <w:rPr>
                <w:rFonts w:hint="eastAsia"/>
              </w:rPr>
              <w:t>与产业政策的符合性分析</w:t>
            </w:r>
            <w:bookmarkEnd w:id="16"/>
          </w:p>
          <w:p w14:paraId="61ABF4A2">
            <w:pPr>
              <w:ind w:firstLine="480"/>
            </w:pPr>
            <w:r>
              <w:rPr>
                <w:rFonts w:hint="eastAsia"/>
              </w:rPr>
              <w:t>本项目主要从事园区危险品运输车辆专业停车场管理服务，根据《产业结构调整指导目录（2024年本）》，本项目不属于淘汰类和限制类行业，属于允许类项目，项目建设符合国家产业政策要求。</w:t>
            </w:r>
          </w:p>
          <w:p w14:paraId="74F9F112">
            <w:pPr>
              <w:ind w:firstLine="480"/>
              <w:rPr>
                <w:szCs w:val="21"/>
              </w:rPr>
            </w:pPr>
            <w:r>
              <w:rPr>
                <w:rFonts w:hint="eastAsia"/>
              </w:rPr>
              <w:t>本项目已经取得了《鄂托克旗发展和改革委员会关于鄂托克经济开发区蒙西产业园危险化学品运输车辆专用停车场项目可行性研究报告的批复》（鄂旗发改审批发〔2023〕87号），项目代码：</w:t>
            </w:r>
            <w:r>
              <w:rPr>
                <w:rFonts w:hint="eastAsia"/>
                <w:szCs w:val="21"/>
              </w:rPr>
              <w:t>2305-150624-</w:t>
            </w:r>
          </w:p>
          <w:p w14:paraId="2AAD5619">
            <w:pPr>
              <w:ind w:firstLine="0" w:firstLineChars="0"/>
            </w:pPr>
            <w:r>
              <w:rPr>
                <w:rFonts w:hint="eastAsia"/>
              </w:rPr>
              <w:t>04-01-265954，项目建设符合地方产业政策要求。</w:t>
            </w:r>
          </w:p>
          <w:p w14:paraId="533AB0A3">
            <w:pPr>
              <w:pStyle w:val="3"/>
              <w:numPr>
                <w:ilvl w:val="0"/>
                <w:numId w:val="2"/>
              </w:numPr>
              <w:ind w:firstLine="480"/>
            </w:pPr>
            <w:bookmarkStart w:id="18" w:name="_Toc13479"/>
            <w:r>
              <w:rPr>
                <w:rFonts w:hint="eastAsia"/>
              </w:rPr>
              <w:t>与《鄂尔多斯市“十四五”生态环境保护规划》符合性分析</w:t>
            </w:r>
            <w:bookmarkEnd w:id="17"/>
            <w:bookmarkEnd w:id="18"/>
          </w:p>
          <w:p w14:paraId="69288DED">
            <w:pPr>
              <w:ind w:firstLine="480"/>
            </w:pPr>
            <w:r>
              <w:rPr>
                <w:rFonts w:hint="eastAsia"/>
              </w:rPr>
              <w:t>根据《鄂尔多斯市“十四五”生态环境保护规划》“鼓励工业园区配套建设危险废物集中贮存、预处理和处置设施。”、“推行工业园区危废智慧监管，开展危废实时申报、全程记录、自动管理，对企业危废的产生、贮存、转移到处置各环节进行全过程监控和严格管理。”、“加强输入型危废处置监管，加强对危险废物贮存转移监督，严格执行转移联单制度，规范企业危险废物管理档案。”、“强化地下水污染风险防控，对高风险的化工生产企业以及工业集聚区、危险废物处置场、垃圾填埋场等区域开展必要的防渗处理，防止持续污染地下水”。</w:t>
            </w:r>
          </w:p>
          <w:p w14:paraId="3A03038E">
            <w:pPr>
              <w:ind w:firstLine="480"/>
            </w:pPr>
            <w:r>
              <w:rPr>
                <w:rFonts w:hint="eastAsia"/>
              </w:rPr>
              <w:t>本项目为鄂托克经济开发区蒙西产业园危险化学品运输车辆专用停车场项目，</w:t>
            </w:r>
            <w:r>
              <w:t>建设危险化学品车辆专用停车场并严格管理</w:t>
            </w:r>
            <w:r>
              <w:rPr>
                <w:rFonts w:hint="eastAsia"/>
              </w:rPr>
              <w:t>，</w:t>
            </w:r>
            <w:r>
              <w:t>对危险化学品运输车辆进出进行实时监控</w:t>
            </w:r>
            <w:r>
              <w:rPr>
                <w:rFonts w:hint="eastAsia"/>
              </w:rPr>
              <w:t>，可降低</w:t>
            </w:r>
            <w:r>
              <w:t>危险化学品运输安全风险</w:t>
            </w:r>
            <w:r>
              <w:rPr>
                <w:rFonts w:hint="eastAsia"/>
              </w:rPr>
              <w:t>。项目对场区采取分区防渗，其中</w:t>
            </w:r>
            <w:r>
              <w:t>危化车辆停车区</w:t>
            </w:r>
            <w:r>
              <w:rPr>
                <w:rFonts w:hint="eastAsia"/>
              </w:rPr>
              <w:t>、</w:t>
            </w:r>
            <w:r>
              <w:t>候检区</w:t>
            </w:r>
            <w:r>
              <w:rPr>
                <w:rFonts w:hint="eastAsia"/>
              </w:rPr>
              <w:t>、</w:t>
            </w:r>
            <w:r>
              <w:t>维修车间</w:t>
            </w:r>
            <w:r>
              <w:rPr>
                <w:rFonts w:hint="eastAsia"/>
              </w:rPr>
              <w:t>、洗车车间、危废暂存间、消防</w:t>
            </w:r>
            <w:r>
              <w:t>水池</w:t>
            </w:r>
            <w:r>
              <w:rPr>
                <w:rFonts w:hint="eastAsia"/>
              </w:rPr>
              <w:t>、消防泵房、事故水池和初期雨水池、一体化</w:t>
            </w:r>
            <w:r>
              <w:t>污</w:t>
            </w:r>
            <w:r>
              <w:rPr>
                <w:rFonts w:hint="eastAsia"/>
              </w:rPr>
              <w:t>水处理设备存放处、场区道路等均按照《</w:t>
            </w:r>
            <w:r>
              <w:t>危险废物贮存污染控制标准</w:t>
            </w:r>
            <w:r>
              <w:rPr>
                <w:rFonts w:hint="eastAsia"/>
              </w:rPr>
              <w:t>》（</w:t>
            </w:r>
            <w:r>
              <w:t>GB18597—2023</w:t>
            </w:r>
            <w:r>
              <w:rPr>
                <w:rFonts w:hint="eastAsia"/>
              </w:rPr>
              <w:t>）相关要求进行重点防渗，对</w:t>
            </w:r>
            <w:r>
              <w:t>辅助用房</w:t>
            </w:r>
            <w:r>
              <w:rPr>
                <w:rFonts w:hint="eastAsia"/>
              </w:rPr>
              <w:t>、管理用房进行一般防渗，可有效防止地下水及土壤污染，降低环境风险。</w:t>
            </w:r>
          </w:p>
          <w:p w14:paraId="4B7AA04A">
            <w:pPr>
              <w:ind w:firstLine="480"/>
            </w:pPr>
            <w:r>
              <w:rPr>
                <w:rFonts w:hint="eastAsia"/>
              </w:rPr>
              <w:t>项目建设符合《鄂尔多斯市“十四五”生态环境保护规划》相关要求。</w:t>
            </w:r>
          </w:p>
          <w:p w14:paraId="1F30C26D">
            <w:pPr>
              <w:pStyle w:val="3"/>
              <w:ind w:firstLine="480"/>
            </w:pPr>
            <w:bookmarkStart w:id="19" w:name="_Toc14104"/>
            <w:bookmarkStart w:id="20" w:name="_Toc18082"/>
            <w:r>
              <w:rPr>
                <w:rFonts w:hint="eastAsia"/>
              </w:rPr>
              <w:t>5、项目选址合理性分析</w:t>
            </w:r>
            <w:bookmarkEnd w:id="19"/>
            <w:bookmarkEnd w:id="20"/>
          </w:p>
          <w:p w14:paraId="41F28557">
            <w:pPr>
              <w:ind w:firstLine="480"/>
              <w:rPr>
                <w:highlight w:val="yellow"/>
              </w:rPr>
            </w:pPr>
            <w:r>
              <w:rPr>
                <w:rFonts w:hint="eastAsia"/>
              </w:rPr>
              <w:t>本项目拟建场址位于鄂托克经济开发区蒙西产业园，周</w:t>
            </w:r>
            <w:r>
              <w:t>边公路网络纵横交错</w:t>
            </w:r>
            <w:r>
              <w:rPr>
                <w:rFonts w:hint="eastAsia"/>
              </w:rPr>
              <w:t>，</w:t>
            </w:r>
            <w:r>
              <w:t>四通八达</w:t>
            </w:r>
            <w:r>
              <w:rPr>
                <w:rFonts w:hint="eastAsia"/>
              </w:rPr>
              <w:t>，</w:t>
            </w:r>
            <w:r>
              <w:t>运出、运入货物十分方便。</w:t>
            </w:r>
            <w:r>
              <w:rPr>
                <w:rFonts w:hint="eastAsia"/>
              </w:rPr>
              <w:t>拟建地</w:t>
            </w:r>
            <w:r>
              <w:t>基础设施一应俱全</w:t>
            </w:r>
            <w:r>
              <w:rPr>
                <w:rFonts w:hint="eastAsia"/>
              </w:rPr>
              <w:t>，场区</w:t>
            </w:r>
            <w:r>
              <w:t>场地较为平坦</w:t>
            </w:r>
            <w:r>
              <w:rPr>
                <w:rFonts w:hint="eastAsia"/>
              </w:rPr>
              <w:t>，场区</w:t>
            </w:r>
            <w:r>
              <w:t>四周</w:t>
            </w:r>
            <w:r>
              <w:rPr>
                <w:rFonts w:hint="eastAsia"/>
              </w:rPr>
              <w:t>多为其他工业企业。项目区占地不涉及自然保护区、风景旅游区、文物保护区等特殊环境敏感区，不在西鄂尔多斯国家级自然保护区范围内，从环保角度分析，项目选址合理。</w:t>
            </w:r>
          </w:p>
          <w:p w14:paraId="0FFF559D">
            <w:pPr>
              <w:pStyle w:val="3"/>
              <w:ind w:firstLine="480"/>
            </w:pPr>
            <w:bookmarkStart w:id="21" w:name="_Toc1435"/>
            <w:bookmarkStart w:id="22" w:name="_Toc18170"/>
            <w:r>
              <w:rPr>
                <w:rFonts w:hint="eastAsia"/>
              </w:rPr>
              <w:t>6、工程依托的可行性分析</w:t>
            </w:r>
            <w:bookmarkEnd w:id="21"/>
            <w:bookmarkEnd w:id="22"/>
          </w:p>
          <w:p w14:paraId="4640FD76">
            <w:pPr>
              <w:ind w:firstLine="480"/>
            </w:pPr>
            <w:r>
              <w:rPr>
                <w:rFonts w:hint="eastAsia"/>
              </w:rPr>
              <w:t>项目为鄂托克经济开发区蒙西产业园危险化学品运输车辆专用停车场项目，建设内容为危险化学品车辆专用停车场以及辅助设施，辅助设施包括危险化学品车辆</w:t>
            </w:r>
            <w:r>
              <w:t>候检区</w:t>
            </w:r>
            <w:r>
              <w:rPr>
                <w:rFonts w:hint="eastAsia"/>
              </w:rPr>
              <w:t>、</w:t>
            </w:r>
            <w:r>
              <w:t>综合管理用房</w:t>
            </w:r>
            <w:r>
              <w:rPr>
                <w:rFonts w:hint="eastAsia"/>
              </w:rPr>
              <w:t>、</w:t>
            </w:r>
            <w:r>
              <w:t>辅助用房</w:t>
            </w:r>
            <w:r>
              <w:rPr>
                <w:rFonts w:hint="eastAsia"/>
              </w:rPr>
              <w:t>、</w:t>
            </w:r>
            <w:r>
              <w:t>维修车间</w:t>
            </w:r>
            <w:r>
              <w:rPr>
                <w:rFonts w:hint="eastAsia"/>
              </w:rPr>
              <w:t>、洗车车间、危废暂存间、消防</w:t>
            </w:r>
            <w:r>
              <w:t>水池</w:t>
            </w:r>
            <w:r>
              <w:rPr>
                <w:rFonts w:hint="eastAsia"/>
              </w:rPr>
              <w:t>、消防泵房、事故水池和初期雨水池、一体化</w:t>
            </w:r>
            <w:r>
              <w:t>污</w:t>
            </w:r>
            <w:r>
              <w:rPr>
                <w:rFonts w:hint="eastAsia"/>
              </w:rPr>
              <w:t>水处理设施等。项目依托工程主要为能源依托、园区施工与产业条件依托。</w:t>
            </w:r>
          </w:p>
          <w:p w14:paraId="7B5CE9E3">
            <w:pPr>
              <w:ind w:firstLine="480"/>
              <w:rPr>
                <w:highlight w:val="yellow"/>
              </w:rPr>
            </w:pPr>
            <w:r>
              <w:rPr>
                <w:rFonts w:hint="eastAsia"/>
              </w:rPr>
              <w:t>蒙西产业园周边市政设施较为完善，交通便捷，地理位置优越，区域产业环境较好,项目运营所需</w:t>
            </w:r>
            <w:r>
              <w:t>电源、水资源</w:t>
            </w:r>
            <w:r>
              <w:rPr>
                <w:rFonts w:hint="eastAsia"/>
              </w:rPr>
              <w:t>均可依托园区现有能源供应能力，园区可以为项目施工与运行提供可靠的材料供应与运营支撑。</w:t>
            </w:r>
          </w:p>
          <w:p w14:paraId="7F08B34E">
            <w:pPr>
              <w:spacing w:line="240" w:lineRule="auto"/>
              <w:ind w:firstLine="560"/>
              <w:rPr>
                <w:sz w:val="28"/>
                <w:szCs w:val="28"/>
              </w:rPr>
            </w:pPr>
          </w:p>
        </w:tc>
      </w:tr>
    </w:tbl>
    <w:p w14:paraId="6D8F9AAB">
      <w:pPr>
        <w:ind w:firstLine="600"/>
        <w:rPr>
          <w:rFonts w:eastAsia="黑体"/>
          <w:sz w:val="30"/>
        </w:rPr>
        <w:sectPr>
          <w:footerReference r:id="rId11" w:type="default"/>
          <w:pgSz w:w="11906" w:h="16838"/>
          <w:pgMar w:top="1134" w:right="1134" w:bottom="1134" w:left="1417" w:header="851" w:footer="1077" w:gutter="0"/>
          <w:pgNumType w:start="1"/>
          <w:cols w:space="720" w:num="1"/>
          <w:docGrid w:linePitch="312" w:charSpace="0"/>
        </w:sectPr>
      </w:pPr>
    </w:p>
    <w:p w14:paraId="299C431A">
      <w:pPr>
        <w:pStyle w:val="2"/>
        <w:rPr>
          <w:color w:val="auto"/>
        </w:rPr>
      </w:pPr>
      <w:bookmarkStart w:id="23" w:name="_Toc2658"/>
      <w:bookmarkStart w:id="24" w:name="_Toc15076"/>
      <w:r>
        <w:rPr>
          <w:rFonts w:hint="eastAsia"/>
          <w:color w:val="auto"/>
        </w:rPr>
        <w:t>二、建设项目工程分析</w:t>
      </w:r>
      <w:bookmarkEnd w:id="23"/>
      <w:bookmarkEnd w:id="24"/>
    </w:p>
    <w:tbl>
      <w:tblPr>
        <w:tblStyle w:val="1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604"/>
      </w:tblGrid>
      <w:tr w14:paraId="3B7D9A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30" w:hRule="atLeast"/>
          <w:jc w:val="center"/>
        </w:trPr>
        <w:tc>
          <w:tcPr>
            <w:tcW w:w="608" w:type="dxa"/>
            <w:vAlign w:val="center"/>
          </w:tcPr>
          <w:p w14:paraId="53537440">
            <w:pPr>
              <w:pStyle w:val="19"/>
              <w:spacing w:before="120" w:after="120"/>
              <w:rPr>
                <w:bCs/>
                <w:kern w:val="44"/>
                <w:szCs w:val="30"/>
              </w:rPr>
            </w:pPr>
            <w:r>
              <w:rPr>
                <w:bCs/>
                <w:kern w:val="44"/>
                <w:sz w:val="24"/>
                <w:szCs w:val="32"/>
              </w:rPr>
              <w:t>建设内容</w:t>
            </w:r>
          </w:p>
        </w:tc>
        <w:tc>
          <w:tcPr>
            <w:tcW w:w="8452" w:type="dxa"/>
          </w:tcPr>
          <w:p w14:paraId="782FDEDD">
            <w:pPr>
              <w:pStyle w:val="3"/>
              <w:ind w:firstLine="480"/>
            </w:pPr>
            <w:bookmarkStart w:id="25" w:name="_Toc2527"/>
            <w:bookmarkStart w:id="26" w:name="_Toc31987"/>
            <w:r>
              <w:rPr>
                <w:rFonts w:hint="eastAsia"/>
              </w:rPr>
              <w:t>1、项目由来</w:t>
            </w:r>
            <w:bookmarkEnd w:id="25"/>
            <w:bookmarkEnd w:id="26"/>
          </w:p>
          <w:p w14:paraId="0A24E02F">
            <w:pPr>
              <w:ind w:firstLine="480"/>
            </w:pPr>
            <w:r>
              <w:rPr>
                <w:rFonts w:hint="eastAsia"/>
              </w:rPr>
              <w:t>鄂尔多斯鄂托克经济开发区蒙西产业园（以下简称：蒙西产业园）始建于</w:t>
            </w:r>
            <w:r>
              <w:t>1998年底</w:t>
            </w:r>
            <w:r>
              <w:rPr>
                <w:rFonts w:hint="eastAsia"/>
              </w:rPr>
              <w:t>，位于内蒙古自治区鄂尔多斯市鄂托克旗境内，最初为伊克昭盟行署批准的盟级工业园区。2001年，蒙西产业园经内蒙古自治区人民政府（内政字</w:t>
            </w:r>
            <w:r>
              <w:t>[2001]360</w:t>
            </w:r>
            <w:r>
              <w:rPr>
                <w:rFonts w:hint="eastAsia"/>
              </w:rPr>
              <w:t>号）批准设立为自治区级工业园区；2002年，蒙西产业园被科技部认定为国家新</w:t>
            </w:r>
            <w:r>
              <w:t>材料成果转化及产业化示范基地；2004年</w:t>
            </w:r>
            <w:r>
              <w:rPr>
                <w:rFonts w:hint="eastAsia"/>
              </w:rPr>
              <w:t>，蒙西产业园</w:t>
            </w:r>
            <w:r>
              <w:t>被自治区党委、政府列入全区20家重点扶持园区；2005年</w:t>
            </w:r>
            <w:r>
              <w:rPr>
                <w:rFonts w:hint="eastAsia"/>
              </w:rPr>
              <w:t>，蒙西产业园</w:t>
            </w:r>
            <w:r>
              <w:t>被国家发改委等六部委列为全国第一批循环经济试点产业园区；2006年</w:t>
            </w:r>
            <w:r>
              <w:rPr>
                <w:rFonts w:hint="eastAsia"/>
              </w:rPr>
              <w:t>，</w:t>
            </w:r>
            <w:r>
              <w:t>《蒙西高新技术工业园区循环经济试点实施方案》获国家发改委核准通过</w:t>
            </w:r>
            <w:r>
              <w:rPr>
                <w:rFonts w:hint="eastAsia"/>
              </w:rPr>
              <w:t>。</w:t>
            </w:r>
          </w:p>
          <w:p w14:paraId="556617DE">
            <w:pPr>
              <w:ind w:firstLine="480"/>
            </w:pPr>
            <w:r>
              <w:rPr>
                <w:rFonts w:hint="eastAsia"/>
              </w:rPr>
              <w:t>2000年后，蒙西产业园通过</w:t>
            </w:r>
            <w:r>
              <w:t>招商引资</w:t>
            </w:r>
            <w:r>
              <w:rPr>
                <w:rFonts w:hint="eastAsia"/>
              </w:rPr>
              <w:t>，</w:t>
            </w:r>
            <w:r>
              <w:t>先后引进了神华、鸿达、君正、蒙西、北方联合电力、双欣资源、亿阳物流、星光等30多户企业</w:t>
            </w:r>
            <w:r>
              <w:rPr>
                <w:rFonts w:hint="eastAsia"/>
              </w:rPr>
              <w:t>，</w:t>
            </w:r>
            <w:r>
              <w:t>形成了煤化工、氯碱化工、建材、冶金四大产业平台和煤矸石综合利用循环产业体系</w:t>
            </w:r>
            <w:r>
              <w:rPr>
                <w:rFonts w:hint="eastAsia"/>
              </w:rPr>
              <w:t>，</w:t>
            </w:r>
            <w:r>
              <w:t>构筑了以</w:t>
            </w:r>
            <w:r>
              <w:rPr>
                <w:rFonts w:hint="eastAsia"/>
              </w:rPr>
              <w:t>“</w:t>
            </w:r>
            <w:r>
              <w:t>资源→产品→再生资源</w:t>
            </w:r>
            <w:r>
              <w:rPr>
                <w:rFonts w:hint="eastAsia"/>
              </w:rPr>
              <w:t>”</w:t>
            </w:r>
            <w:r>
              <w:t>为特征的循环发展模式。</w:t>
            </w:r>
            <w:r>
              <w:rPr>
                <w:rFonts w:hint="eastAsia"/>
              </w:rPr>
              <w:t>截至目前，蒙西产业园区</w:t>
            </w:r>
            <w:r>
              <w:t>主要企业产业及规模</w:t>
            </w:r>
            <w:r>
              <w:rPr>
                <w:rFonts w:hint="eastAsia"/>
              </w:rPr>
              <w:t>为</w:t>
            </w:r>
            <w:r>
              <w:t>氯碱化工产业：双欣44</w:t>
            </w:r>
            <w:r>
              <w:rPr>
                <w:rFonts w:hint="eastAsia"/>
              </w:rPr>
              <w:t>万吨</w:t>
            </w:r>
            <w:r>
              <w:t>PVA、君正120</w:t>
            </w:r>
            <w:r>
              <w:rPr>
                <w:rFonts w:hint="eastAsia"/>
              </w:rPr>
              <w:t>万吨</w:t>
            </w:r>
            <w:r>
              <w:t>PVC、中谷矿业60</w:t>
            </w:r>
            <w:r>
              <w:rPr>
                <w:rFonts w:hint="eastAsia"/>
              </w:rPr>
              <w:t>万吨</w:t>
            </w:r>
            <w:r>
              <w:t>PVC；煤化工产业：神西煤化10</w:t>
            </w:r>
            <w:r>
              <w:rPr>
                <w:rFonts w:hint="eastAsia"/>
              </w:rPr>
              <w:t>万吨</w:t>
            </w:r>
            <w:r>
              <w:t>甲醇；建材产业：星光4500吨水泥熟料、蒙西5000吨水泥生产线余热发电项目、蒙西6</w:t>
            </w:r>
            <w:r>
              <w:rPr>
                <w:rFonts w:hint="eastAsia"/>
              </w:rPr>
              <w:t>万吨</w:t>
            </w:r>
            <w:r>
              <w:t>高岭土；冶金产业：星光80</w:t>
            </w:r>
            <w:r>
              <w:rPr>
                <w:rFonts w:hint="eastAsia"/>
              </w:rPr>
              <w:t>万吨</w:t>
            </w:r>
            <w:r>
              <w:t>特种钢、德晟300</w:t>
            </w:r>
            <w:r>
              <w:rPr>
                <w:rFonts w:hint="eastAsia"/>
              </w:rPr>
              <w:t>万吨</w:t>
            </w:r>
            <w:r>
              <w:t>特种钢等60多项大项目落地实施。产业园形成PVC180万吨、PVA44万吨、水泥产能602万吨、焦炭产能280万吨、甲醇产能10万吨、发电能力23亿千瓦、物流吞吐量2000万吨。</w:t>
            </w:r>
          </w:p>
          <w:p w14:paraId="4360BFE8">
            <w:pPr>
              <w:ind w:firstLine="480"/>
            </w:pPr>
            <w:r>
              <w:rPr>
                <w:rFonts w:hint="eastAsia"/>
              </w:rPr>
              <w:t>通过对蒙西产业园</w:t>
            </w:r>
            <w:r>
              <w:t>现有和在建企业的调查统计</w:t>
            </w:r>
            <w:r>
              <w:rPr>
                <w:rFonts w:hint="eastAsia"/>
              </w:rPr>
              <w:t>，</w:t>
            </w:r>
            <w:r>
              <w:t>蒙西产业园</w:t>
            </w:r>
            <w:r>
              <w:rPr>
                <w:rFonts w:hint="eastAsia"/>
              </w:rPr>
              <w:t>目前</w:t>
            </w:r>
            <w:r>
              <w:t>共有49个重大危险源</w:t>
            </w:r>
            <w:r>
              <w:rPr>
                <w:rFonts w:hint="eastAsia"/>
              </w:rPr>
              <w:t>，其中</w:t>
            </w:r>
            <w:r>
              <w:t>一级3个、二级1个、三级25个、四级20个</w:t>
            </w:r>
            <w:r>
              <w:rPr>
                <w:rFonts w:hint="eastAsia"/>
              </w:rPr>
              <w:t>，</w:t>
            </w:r>
            <w:r>
              <w:t>重点监管危险化工工艺</w:t>
            </w:r>
            <w:r>
              <w:rPr>
                <w:rFonts w:hint="eastAsia"/>
              </w:rPr>
              <w:t>为</w:t>
            </w:r>
            <w:r>
              <w:t>6种</w:t>
            </w:r>
            <w:r>
              <w:rPr>
                <w:rFonts w:hint="eastAsia"/>
              </w:rPr>
              <w:t>，共</w:t>
            </w:r>
            <w:r>
              <w:t>14个；重点监管危险化学品</w:t>
            </w:r>
            <w:r>
              <w:rPr>
                <w:rFonts w:hint="eastAsia"/>
              </w:rPr>
              <w:t>为</w:t>
            </w:r>
            <w:r>
              <w:t>17种</w:t>
            </w:r>
            <w:r>
              <w:rPr>
                <w:rFonts w:hint="eastAsia"/>
              </w:rPr>
              <w:t>，共</w:t>
            </w:r>
            <w:r>
              <w:t>33个</w:t>
            </w:r>
            <w:r>
              <w:rPr>
                <w:rFonts w:hint="eastAsia"/>
              </w:rPr>
              <w:t>。</w:t>
            </w:r>
            <w:r>
              <w:t>《化工园区安全风险排查治理导则》中明确指出</w:t>
            </w:r>
            <w:r>
              <w:rPr>
                <w:rFonts w:hint="eastAsia"/>
              </w:rPr>
              <w:t>“</w:t>
            </w:r>
            <w:r>
              <w:t>化工园区应严格管控运输安全风险</w:t>
            </w:r>
            <w:r>
              <w:rPr>
                <w:rFonts w:hint="eastAsia"/>
              </w:rPr>
              <w:t>，</w:t>
            </w:r>
            <w:r>
              <w:t>运用物联网等先进技术对危险化学品运输车辆进出进行实时监控</w:t>
            </w:r>
            <w:r>
              <w:rPr>
                <w:rFonts w:hint="eastAsia"/>
              </w:rPr>
              <w:t>，</w:t>
            </w:r>
            <w:r>
              <w:t>实行专用道路、专用车道和限时限速行驶等措施</w:t>
            </w:r>
            <w:r>
              <w:rPr>
                <w:rFonts w:hint="eastAsia"/>
              </w:rPr>
              <w:t>，</w:t>
            </w:r>
            <w:r>
              <w:t>由化工园区实施统一管理、科学调度</w:t>
            </w:r>
            <w:r>
              <w:rPr>
                <w:rFonts w:hint="eastAsia"/>
              </w:rPr>
              <w:t>，</w:t>
            </w:r>
            <w:r>
              <w:t>防止安全风险积聚。有危险化学品车辆聚集较大安全风险的化工园区应建设危险化学品车辆专用停车场并严格管理</w:t>
            </w:r>
            <w:r>
              <w:rPr>
                <w:rFonts w:hint="eastAsia"/>
              </w:rPr>
              <w:t>”。蒙西产业园</w:t>
            </w:r>
            <w:r>
              <w:t>内危险化学品运输车辆乱停乱放</w:t>
            </w:r>
            <w:r>
              <w:rPr>
                <w:rFonts w:hint="eastAsia"/>
              </w:rPr>
              <w:t>，</w:t>
            </w:r>
            <w:r>
              <w:t>危险化学品运输体系和现状已经不能适应安全、绿色和有序监管的要求</w:t>
            </w:r>
            <w:r>
              <w:rPr>
                <w:rFonts w:hint="eastAsia"/>
              </w:rPr>
              <w:t>，</w:t>
            </w:r>
            <w:r>
              <w:t>因此建设危化品车辆停车场已经迫在眉睫。</w:t>
            </w:r>
          </w:p>
          <w:p w14:paraId="70D89BA5">
            <w:pPr>
              <w:ind w:firstLine="480"/>
            </w:pPr>
            <w:r>
              <w:rPr>
                <w:rFonts w:hAnsi="宋体"/>
                <w:bCs/>
              </w:rPr>
              <w:t>建设危化品运输车辆专业停车场对于完善园区投资环境</w:t>
            </w:r>
            <w:r>
              <w:rPr>
                <w:rFonts w:hint="eastAsia" w:hAnsi="宋体"/>
                <w:bCs/>
              </w:rPr>
              <w:t>，</w:t>
            </w:r>
            <w:r>
              <w:rPr>
                <w:rFonts w:hAnsi="宋体"/>
                <w:bCs/>
              </w:rPr>
              <w:t>助力园区企业发展将发挥重要作用</w:t>
            </w:r>
            <w:r>
              <w:rPr>
                <w:rFonts w:hint="eastAsia" w:hAnsi="宋体"/>
                <w:bCs/>
              </w:rPr>
              <w:t>。</w:t>
            </w:r>
            <w:r>
              <w:rPr>
                <w:rFonts w:hint="eastAsia"/>
              </w:rPr>
              <w:t>为确保</w:t>
            </w:r>
            <w:r>
              <w:t>园区内危化品车辆统一安全停放</w:t>
            </w:r>
            <w:r>
              <w:rPr>
                <w:rFonts w:hint="eastAsia"/>
              </w:rPr>
              <w:t>，保障</w:t>
            </w:r>
            <w:r>
              <w:t>危化品车辆经过定期的检测安全上路</w:t>
            </w:r>
            <w:r>
              <w:rPr>
                <w:rFonts w:hint="eastAsia"/>
              </w:rPr>
              <w:t>，做到</w:t>
            </w:r>
            <w:r>
              <w:t>所有危险品货物运输有据可查</w:t>
            </w:r>
            <w:r>
              <w:rPr>
                <w:rFonts w:hint="eastAsia"/>
              </w:rPr>
              <w:t>，当</w:t>
            </w:r>
            <w:r>
              <w:t>危化品运输车辆发生</w:t>
            </w:r>
            <w:r>
              <w:rPr>
                <w:rFonts w:hint="eastAsia"/>
              </w:rPr>
              <w:t>事故时</w:t>
            </w:r>
            <w:r>
              <w:t>危化品车辆服务保障中心提供专业、高效、安全、环保的救援</w:t>
            </w:r>
            <w:r>
              <w:rPr>
                <w:rFonts w:hint="eastAsia"/>
              </w:rPr>
              <w:t>，内蒙古鄂尔多斯鄂托克经济开发区管理委员会计划开展“鄂托克经济开发区蒙西产业园危险化学品运输车辆专用停车场项目”，完善蒙西产业园基础设施条件，</w:t>
            </w:r>
            <w:r>
              <w:t>形成更加安全有序的</w:t>
            </w:r>
            <w:r>
              <w:rPr>
                <w:rFonts w:hint="eastAsia"/>
              </w:rPr>
              <w:t>危化品运输管理</w:t>
            </w:r>
            <w:r>
              <w:t>格局</w:t>
            </w:r>
            <w:r>
              <w:rPr>
                <w:rFonts w:hint="eastAsia"/>
              </w:rPr>
              <w:t>。</w:t>
            </w:r>
          </w:p>
          <w:p w14:paraId="66FBAB99">
            <w:pPr>
              <w:ind w:firstLine="480"/>
            </w:pPr>
            <w:r>
              <w:rPr>
                <w:rFonts w:hint="eastAsia"/>
              </w:rPr>
              <w:t>根据《中华人民共和国环境保护法》、《中华人民共和国环境影响评价法》、《建设项目环境保护管理条例》等相关要求，建设项目应当依法开展环境影响评价工作。根据《建设项目环境影响评价分类管理名录》（</w:t>
            </w:r>
            <w:r>
              <w:t>2021</w:t>
            </w:r>
            <w:r>
              <w:rPr>
                <w:rFonts w:hint="eastAsia"/>
              </w:rPr>
              <w:t>年版），本项目属于“五十、社会事业与服务业120、洗车场-危险化学品运输车辆洗车场”，应编制环境影响报告表。为此，内蒙古鄂尔多斯鄂托克经济开发区管理委员会委托我公司</w:t>
            </w:r>
            <w:r>
              <w:t>承担</w:t>
            </w:r>
            <w:r>
              <w:rPr>
                <w:rFonts w:hint="eastAsia"/>
              </w:rPr>
              <w:t>该</w:t>
            </w:r>
            <w:r>
              <w:t>项目</w:t>
            </w:r>
            <w:r>
              <w:rPr>
                <w:rFonts w:hint="eastAsia"/>
              </w:rPr>
              <w:t>的</w:t>
            </w:r>
            <w:r>
              <w:t>环境影响</w:t>
            </w:r>
            <w:r>
              <w:rPr>
                <w:rFonts w:hint="eastAsia"/>
              </w:rPr>
              <w:t>评价</w:t>
            </w:r>
            <w:r>
              <w:t>工作</w:t>
            </w:r>
            <w:r>
              <w:rPr>
                <w:rFonts w:hint="eastAsia"/>
              </w:rPr>
              <w:t>。</w:t>
            </w:r>
            <w:r>
              <w:t>接受委托后</w:t>
            </w:r>
            <w:r>
              <w:rPr>
                <w:rFonts w:hint="eastAsia"/>
              </w:rPr>
              <w:t>，</w:t>
            </w:r>
            <w:r>
              <w:t>我公司成立评价技术小组</w:t>
            </w:r>
            <w:r>
              <w:rPr>
                <w:rFonts w:hint="eastAsia"/>
              </w:rPr>
              <w:t>，</w:t>
            </w:r>
            <w:r>
              <w:t>评价组成员根据项目特点、性质</w:t>
            </w:r>
            <w:r>
              <w:rPr>
                <w:rFonts w:hint="eastAsia"/>
              </w:rPr>
              <w:t>，</w:t>
            </w:r>
            <w:r>
              <w:t>认真分析了项目主要内容、性质及建设方案</w:t>
            </w:r>
            <w:r>
              <w:rPr>
                <w:rFonts w:hint="eastAsia"/>
              </w:rPr>
              <w:t>，</w:t>
            </w:r>
            <w:r>
              <w:t>进行了现场调查</w:t>
            </w:r>
            <w:r>
              <w:rPr>
                <w:rFonts w:hint="eastAsia"/>
              </w:rPr>
              <w:t>，</w:t>
            </w:r>
            <w:r>
              <w:t>收集了与项目有关的社会、经济和环境现状资料</w:t>
            </w:r>
            <w:r>
              <w:rPr>
                <w:rFonts w:hint="eastAsia"/>
              </w:rPr>
              <w:t>，</w:t>
            </w:r>
            <w:r>
              <w:t>结合</w:t>
            </w:r>
            <w:r>
              <w:rPr>
                <w:rFonts w:hint="eastAsia"/>
              </w:rPr>
              <w:t>各</w:t>
            </w:r>
            <w:r>
              <w:t>环境</w:t>
            </w:r>
            <w:r>
              <w:rPr>
                <w:rFonts w:hint="eastAsia"/>
              </w:rPr>
              <w:t>要素</w:t>
            </w:r>
            <w:r>
              <w:t>影响评价技术导则</w:t>
            </w:r>
            <w:r>
              <w:rPr>
                <w:rFonts w:hint="eastAsia"/>
              </w:rPr>
              <w:t>，</w:t>
            </w:r>
            <w:r>
              <w:t>编制完成本项目环境影响报告表。</w:t>
            </w:r>
          </w:p>
          <w:p w14:paraId="2C052C4C">
            <w:pPr>
              <w:pStyle w:val="3"/>
              <w:ind w:firstLine="480"/>
            </w:pPr>
            <w:bookmarkStart w:id="27" w:name="_Toc27922"/>
            <w:bookmarkStart w:id="28" w:name="_Toc16405"/>
            <w:r>
              <w:rPr>
                <w:rFonts w:hint="eastAsia"/>
              </w:rPr>
              <w:t>2、项目概况</w:t>
            </w:r>
            <w:bookmarkEnd w:id="27"/>
            <w:bookmarkEnd w:id="28"/>
          </w:p>
          <w:p w14:paraId="1172EFC7">
            <w:pPr>
              <w:ind w:firstLine="480"/>
            </w:pPr>
            <w:r>
              <w:rPr>
                <w:rFonts w:hint="eastAsia"/>
              </w:rPr>
              <w:t>（1）项目名称：鄂托克经济开发区蒙西产业园危险化学品运输车辆专用停车场项目；</w:t>
            </w:r>
          </w:p>
          <w:p w14:paraId="5CB4631C">
            <w:pPr>
              <w:ind w:firstLine="480"/>
            </w:pPr>
            <w:r>
              <w:rPr>
                <w:rFonts w:hint="eastAsia"/>
              </w:rPr>
              <w:t>（2）建设单位：内蒙古鄂尔多斯鄂托克经济开发区管理委员会；</w:t>
            </w:r>
          </w:p>
          <w:p w14:paraId="4D9792C9">
            <w:pPr>
              <w:ind w:firstLine="480"/>
            </w:pPr>
            <w:r>
              <w:rPr>
                <w:rFonts w:hint="eastAsia"/>
              </w:rPr>
              <w:t>（3）建设地点：</w:t>
            </w:r>
            <w:r>
              <w:rPr>
                <w:rFonts w:hint="eastAsia"/>
                <w:szCs w:val="22"/>
              </w:rPr>
              <w:t>鄂托克经济开发区蒙西产业园，君正街北、东外环线西</w:t>
            </w:r>
            <w:r>
              <w:rPr>
                <w:rFonts w:hint="eastAsia"/>
              </w:rPr>
              <w:t>；</w:t>
            </w:r>
          </w:p>
          <w:p w14:paraId="596DE374">
            <w:pPr>
              <w:ind w:firstLine="480"/>
            </w:pPr>
            <w:r>
              <w:rPr>
                <w:rFonts w:hint="eastAsia"/>
              </w:rPr>
              <w:t>（4）建设性质：新建；</w:t>
            </w:r>
          </w:p>
          <w:p w14:paraId="3437A7B1">
            <w:pPr>
              <w:ind w:firstLine="480"/>
            </w:pPr>
            <w:r>
              <w:rPr>
                <w:rFonts w:hint="eastAsia"/>
              </w:rPr>
              <w:t>（5）占地面积：</w:t>
            </w:r>
            <w:r>
              <w:rPr>
                <w:rFonts w:hint="eastAsia"/>
                <w:bCs/>
                <w:kern w:val="44"/>
                <w:szCs w:val="36"/>
              </w:rPr>
              <w:t>35296.11</w:t>
            </w:r>
            <w:r>
              <w:rPr>
                <w:rFonts w:hint="eastAsia"/>
              </w:rPr>
              <w:t>m</w:t>
            </w:r>
            <w:r>
              <w:rPr>
                <w:rFonts w:hint="eastAsia"/>
                <w:vertAlign w:val="superscript"/>
              </w:rPr>
              <w:t>2</w:t>
            </w:r>
            <w:r>
              <w:rPr>
                <w:rFonts w:hint="eastAsia"/>
              </w:rPr>
              <w:t>；</w:t>
            </w:r>
          </w:p>
          <w:p w14:paraId="27550339">
            <w:pPr>
              <w:ind w:firstLine="480"/>
            </w:pPr>
            <w:r>
              <w:rPr>
                <w:rFonts w:hint="eastAsia"/>
              </w:rPr>
              <w:t>（6）总投资与环保投资：本项目总投资2400万元，其中环保投资150万元，环保投资占总投资的6.25%。</w:t>
            </w:r>
          </w:p>
          <w:p w14:paraId="3C5266E7">
            <w:pPr>
              <w:pStyle w:val="3"/>
              <w:ind w:firstLine="480"/>
            </w:pPr>
            <w:bookmarkStart w:id="29" w:name="_Toc9454"/>
            <w:bookmarkStart w:id="30" w:name="_Toc2734"/>
            <w:r>
              <w:rPr>
                <w:rFonts w:hint="eastAsia"/>
              </w:rPr>
              <w:t>3、项目所在位置与四邻关系</w:t>
            </w:r>
            <w:bookmarkEnd w:id="29"/>
            <w:bookmarkEnd w:id="30"/>
          </w:p>
          <w:p w14:paraId="4412BB78">
            <w:pPr>
              <w:ind w:firstLine="480"/>
            </w:pPr>
            <w:r>
              <w:rPr>
                <w:rFonts w:hint="eastAsia"/>
              </w:rPr>
              <w:t>本项目位于鄂托克经济开发区蒙西产业园，君正街北、东外环线西，拟建场址中心坐标为E106°48′39.229″，N39°54′8.132″。拟建场址现状为空地，东侧为东外环线，南侧为君正街，西侧500米外是</w:t>
            </w:r>
            <w:r>
              <w:t>鄂尔多斯市君正能源化工有限公司</w:t>
            </w:r>
            <w:r>
              <w:rPr>
                <w:rFonts w:hint="eastAsia"/>
              </w:rPr>
              <w:t>，北侧是空地。</w:t>
            </w:r>
            <w:r>
              <w:t>项目前期用地预审和规划选址等手续</w:t>
            </w:r>
            <w:r>
              <w:rPr>
                <w:rFonts w:hint="eastAsia"/>
              </w:rPr>
              <w:t>均</w:t>
            </w:r>
            <w:r>
              <w:t>已办理</w:t>
            </w:r>
            <w:r>
              <w:rPr>
                <w:rFonts w:hint="eastAsia"/>
              </w:rPr>
              <w:t>，详见附件。本项目拐点坐标见表2-1，项目具体位置及四邻关系详见附图。</w:t>
            </w:r>
          </w:p>
          <w:p w14:paraId="74E8C085">
            <w:pPr>
              <w:pStyle w:val="21"/>
              <w:spacing w:before="120"/>
              <w:rPr>
                <w:rFonts w:hint="default"/>
              </w:rPr>
            </w:pPr>
            <w:bookmarkStart w:id="31" w:name="_Toc19751"/>
            <w:bookmarkStart w:id="32" w:name="_Toc22435"/>
            <w:r>
              <w:t>表2-1  项目拐点坐标一览表</w:t>
            </w:r>
            <w:bookmarkEnd w:id="31"/>
            <w:bookmarkEnd w:id="32"/>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7"/>
              <w:gridCol w:w="2807"/>
              <w:gridCol w:w="2549"/>
              <w:gridCol w:w="1712"/>
            </w:tblGrid>
            <w:tr w14:paraId="2D1E0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pct"/>
                  <w:tcBorders>
                    <w:tl2br w:val="nil"/>
                    <w:tr2bl w:val="nil"/>
                  </w:tcBorders>
                  <w:vAlign w:val="center"/>
                </w:tcPr>
                <w:p w14:paraId="439B2315">
                  <w:pPr>
                    <w:pStyle w:val="19"/>
                    <w:spacing w:before="120" w:after="120"/>
                  </w:pPr>
                  <w:r>
                    <w:rPr>
                      <w:rFonts w:hint="eastAsia"/>
                    </w:rPr>
                    <w:t>拐点序号</w:t>
                  </w:r>
                </w:p>
              </w:tc>
              <w:tc>
                <w:tcPr>
                  <w:tcW w:w="1676" w:type="pct"/>
                  <w:tcBorders>
                    <w:tl2br w:val="nil"/>
                    <w:tr2bl w:val="nil"/>
                  </w:tcBorders>
                  <w:vAlign w:val="center"/>
                </w:tcPr>
                <w:p w14:paraId="6B4EED0C">
                  <w:pPr>
                    <w:pStyle w:val="19"/>
                    <w:spacing w:before="120" w:after="120"/>
                  </w:pPr>
                  <w:r>
                    <w:rPr>
                      <w:rFonts w:hint="eastAsia"/>
                    </w:rPr>
                    <w:t>×（</w:t>
                  </w:r>
                  <w:r>
                    <w:t>国家2000坐标系</w:t>
                  </w:r>
                  <w:r>
                    <w:rPr>
                      <w:rFonts w:hint="eastAsia"/>
                    </w:rPr>
                    <w:t>）</w:t>
                  </w:r>
                </w:p>
              </w:tc>
              <w:tc>
                <w:tcPr>
                  <w:tcW w:w="1522" w:type="pct"/>
                  <w:tcBorders>
                    <w:tl2br w:val="nil"/>
                    <w:tr2bl w:val="nil"/>
                  </w:tcBorders>
                  <w:vAlign w:val="center"/>
                </w:tcPr>
                <w:p w14:paraId="198E7E2F">
                  <w:pPr>
                    <w:pStyle w:val="19"/>
                    <w:spacing w:before="120" w:after="120"/>
                  </w:pPr>
                  <w:r>
                    <w:rPr>
                      <w:rFonts w:hint="eastAsia"/>
                    </w:rPr>
                    <w:t>Y（</w:t>
                  </w:r>
                  <w:r>
                    <w:t>国家2000坐标系</w:t>
                  </w:r>
                  <w:r>
                    <w:rPr>
                      <w:rFonts w:hint="eastAsia"/>
                    </w:rPr>
                    <w:t>）</w:t>
                  </w:r>
                </w:p>
              </w:tc>
              <w:tc>
                <w:tcPr>
                  <w:tcW w:w="1020" w:type="pct"/>
                  <w:tcBorders>
                    <w:tl2br w:val="nil"/>
                    <w:tr2bl w:val="nil"/>
                  </w:tcBorders>
                  <w:vAlign w:val="center"/>
                </w:tcPr>
                <w:p w14:paraId="7F36F98D">
                  <w:pPr>
                    <w:pStyle w:val="19"/>
                    <w:spacing w:before="120" w:after="120"/>
                  </w:pPr>
                  <w:r>
                    <w:rPr>
                      <w:rFonts w:hint="eastAsia"/>
                    </w:rPr>
                    <w:t>长度</w:t>
                  </w:r>
                </w:p>
              </w:tc>
            </w:tr>
            <w:tr w14:paraId="71E56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80" w:type="pct"/>
                  <w:vMerge w:val="restart"/>
                  <w:tcBorders>
                    <w:tl2br w:val="nil"/>
                    <w:tr2bl w:val="nil"/>
                  </w:tcBorders>
                  <w:vAlign w:val="center"/>
                </w:tcPr>
                <w:p w14:paraId="054D84AA">
                  <w:pPr>
                    <w:pStyle w:val="19"/>
                    <w:spacing w:before="120" w:after="120"/>
                  </w:pPr>
                  <w:r>
                    <w:rPr>
                      <w:rFonts w:hint="eastAsia"/>
                    </w:rPr>
                    <w:t>1</w:t>
                  </w:r>
                </w:p>
              </w:tc>
              <w:tc>
                <w:tcPr>
                  <w:tcW w:w="1676" w:type="pct"/>
                  <w:vMerge w:val="restart"/>
                  <w:tcBorders>
                    <w:tl2br w:val="nil"/>
                    <w:tr2bl w:val="nil"/>
                  </w:tcBorders>
                  <w:vAlign w:val="center"/>
                </w:tcPr>
                <w:p w14:paraId="6996B109">
                  <w:pPr>
                    <w:pStyle w:val="19"/>
                    <w:spacing w:before="120" w:after="120"/>
                  </w:pPr>
                  <w:r>
                    <w:rPr>
                      <w:rFonts w:hint="eastAsia"/>
                    </w:rPr>
                    <w:t>4419459.5715</w:t>
                  </w:r>
                </w:p>
              </w:tc>
              <w:tc>
                <w:tcPr>
                  <w:tcW w:w="1522" w:type="pct"/>
                  <w:vMerge w:val="restart"/>
                  <w:tcBorders>
                    <w:tl2br w:val="nil"/>
                    <w:tr2bl w:val="nil"/>
                  </w:tcBorders>
                  <w:vAlign w:val="center"/>
                </w:tcPr>
                <w:p w14:paraId="047084C1">
                  <w:pPr>
                    <w:pStyle w:val="19"/>
                    <w:spacing w:before="120" w:after="120"/>
                  </w:pPr>
                  <w:r>
                    <w:rPr>
                      <w:rFonts w:hint="eastAsia"/>
                    </w:rPr>
                    <w:t>36398230.0729</w:t>
                  </w:r>
                </w:p>
              </w:tc>
              <w:tc>
                <w:tcPr>
                  <w:tcW w:w="1020" w:type="pct"/>
                  <w:tcBorders>
                    <w:tl2br w:val="nil"/>
                    <w:tr2bl w:val="nil"/>
                  </w:tcBorders>
                  <w:vAlign w:val="center"/>
                </w:tcPr>
                <w:p w14:paraId="2FADEA79">
                  <w:pPr>
                    <w:pStyle w:val="19"/>
                    <w:spacing w:beforeLines="0" w:afterLines="0"/>
                  </w:pPr>
                  <w:r>
                    <w:rPr>
                      <w:rFonts w:hint="eastAsia"/>
                    </w:rPr>
                    <w:t>/</w:t>
                  </w:r>
                </w:p>
              </w:tc>
            </w:tr>
            <w:tr w14:paraId="528B0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780" w:type="pct"/>
                  <w:vMerge w:val="continue"/>
                  <w:tcBorders>
                    <w:tl2br w:val="nil"/>
                    <w:tr2bl w:val="nil"/>
                  </w:tcBorders>
                  <w:vAlign w:val="center"/>
                </w:tcPr>
                <w:p w14:paraId="70C0AACB">
                  <w:pPr>
                    <w:pStyle w:val="19"/>
                    <w:spacing w:before="120" w:after="120"/>
                  </w:pPr>
                </w:p>
              </w:tc>
              <w:tc>
                <w:tcPr>
                  <w:tcW w:w="1676" w:type="pct"/>
                  <w:vMerge w:val="continue"/>
                  <w:tcBorders>
                    <w:tl2br w:val="nil"/>
                    <w:tr2bl w:val="nil"/>
                  </w:tcBorders>
                  <w:vAlign w:val="center"/>
                </w:tcPr>
                <w:p w14:paraId="4EB733CB">
                  <w:pPr>
                    <w:pStyle w:val="19"/>
                    <w:spacing w:before="120" w:after="120"/>
                  </w:pPr>
                </w:p>
              </w:tc>
              <w:tc>
                <w:tcPr>
                  <w:tcW w:w="1522" w:type="pct"/>
                  <w:vMerge w:val="continue"/>
                  <w:tcBorders>
                    <w:tl2br w:val="nil"/>
                    <w:tr2bl w:val="nil"/>
                  </w:tcBorders>
                  <w:vAlign w:val="center"/>
                </w:tcPr>
                <w:p w14:paraId="40FCD755">
                  <w:pPr>
                    <w:pStyle w:val="19"/>
                    <w:spacing w:before="120" w:after="120"/>
                  </w:pPr>
                </w:p>
              </w:tc>
              <w:tc>
                <w:tcPr>
                  <w:tcW w:w="1020" w:type="pct"/>
                  <w:vMerge w:val="restart"/>
                  <w:tcBorders>
                    <w:tl2br w:val="nil"/>
                    <w:tr2bl w:val="nil"/>
                  </w:tcBorders>
                  <w:vAlign w:val="center"/>
                </w:tcPr>
                <w:p w14:paraId="33302E92">
                  <w:pPr>
                    <w:pStyle w:val="19"/>
                    <w:spacing w:before="120" w:after="120"/>
                  </w:pPr>
                  <w:r>
                    <w:rPr>
                      <w:rFonts w:hint="eastAsia"/>
                    </w:rPr>
                    <w:t>150.13</w:t>
                  </w:r>
                </w:p>
              </w:tc>
            </w:tr>
            <w:tr w14:paraId="495C1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80" w:type="pct"/>
                  <w:vMerge w:val="restart"/>
                  <w:tcBorders>
                    <w:tl2br w:val="nil"/>
                    <w:tr2bl w:val="nil"/>
                  </w:tcBorders>
                  <w:vAlign w:val="center"/>
                </w:tcPr>
                <w:p w14:paraId="5B602B7F">
                  <w:pPr>
                    <w:pStyle w:val="19"/>
                    <w:spacing w:before="120" w:after="120"/>
                  </w:pPr>
                  <w:r>
                    <w:rPr>
                      <w:rFonts w:hint="eastAsia"/>
                    </w:rPr>
                    <w:t>2</w:t>
                  </w:r>
                </w:p>
              </w:tc>
              <w:tc>
                <w:tcPr>
                  <w:tcW w:w="1676" w:type="pct"/>
                  <w:vMerge w:val="restart"/>
                  <w:tcBorders>
                    <w:tl2br w:val="nil"/>
                    <w:tr2bl w:val="nil"/>
                  </w:tcBorders>
                  <w:vAlign w:val="center"/>
                </w:tcPr>
                <w:p w14:paraId="23C2691F">
                  <w:pPr>
                    <w:pStyle w:val="19"/>
                    <w:spacing w:before="120" w:after="120"/>
                  </w:pPr>
                  <w:r>
                    <w:rPr>
                      <w:rFonts w:hint="eastAsia"/>
                    </w:rPr>
                    <w:t>4419454.3190</w:t>
                  </w:r>
                </w:p>
              </w:tc>
              <w:tc>
                <w:tcPr>
                  <w:tcW w:w="1522" w:type="pct"/>
                  <w:vMerge w:val="restart"/>
                  <w:tcBorders>
                    <w:tl2br w:val="nil"/>
                    <w:tr2bl w:val="nil"/>
                  </w:tcBorders>
                  <w:vAlign w:val="center"/>
                </w:tcPr>
                <w:p w14:paraId="18D1FEA4">
                  <w:pPr>
                    <w:pStyle w:val="19"/>
                    <w:spacing w:before="120" w:after="120"/>
                  </w:pPr>
                  <w:r>
                    <w:rPr>
                      <w:rFonts w:hint="eastAsia"/>
                    </w:rPr>
                    <w:t>36398380.1092</w:t>
                  </w:r>
                </w:p>
              </w:tc>
              <w:tc>
                <w:tcPr>
                  <w:tcW w:w="1020" w:type="pct"/>
                  <w:vMerge w:val="continue"/>
                  <w:tcBorders>
                    <w:tl2br w:val="nil"/>
                    <w:tr2bl w:val="nil"/>
                  </w:tcBorders>
                  <w:vAlign w:val="center"/>
                </w:tcPr>
                <w:p w14:paraId="5E3A26E8">
                  <w:pPr>
                    <w:pStyle w:val="19"/>
                    <w:spacing w:before="120" w:after="120"/>
                  </w:pPr>
                </w:p>
              </w:tc>
            </w:tr>
            <w:tr w14:paraId="3401D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780" w:type="pct"/>
                  <w:vMerge w:val="continue"/>
                  <w:tcBorders>
                    <w:tl2br w:val="nil"/>
                    <w:tr2bl w:val="nil"/>
                  </w:tcBorders>
                  <w:vAlign w:val="center"/>
                </w:tcPr>
                <w:p w14:paraId="3B2A2D02">
                  <w:pPr>
                    <w:pStyle w:val="19"/>
                    <w:spacing w:before="120" w:after="120"/>
                  </w:pPr>
                </w:p>
              </w:tc>
              <w:tc>
                <w:tcPr>
                  <w:tcW w:w="1676" w:type="pct"/>
                  <w:vMerge w:val="continue"/>
                  <w:tcBorders>
                    <w:tl2br w:val="nil"/>
                    <w:tr2bl w:val="nil"/>
                  </w:tcBorders>
                  <w:vAlign w:val="center"/>
                </w:tcPr>
                <w:p w14:paraId="4131FB3E">
                  <w:pPr>
                    <w:pStyle w:val="19"/>
                    <w:spacing w:before="120" w:after="120"/>
                  </w:pPr>
                </w:p>
              </w:tc>
              <w:tc>
                <w:tcPr>
                  <w:tcW w:w="1522" w:type="pct"/>
                  <w:vMerge w:val="continue"/>
                  <w:tcBorders>
                    <w:tl2br w:val="nil"/>
                    <w:tr2bl w:val="nil"/>
                  </w:tcBorders>
                  <w:vAlign w:val="center"/>
                </w:tcPr>
                <w:p w14:paraId="5D4701FF">
                  <w:pPr>
                    <w:pStyle w:val="19"/>
                    <w:spacing w:before="120" w:after="120"/>
                  </w:pPr>
                </w:p>
              </w:tc>
              <w:tc>
                <w:tcPr>
                  <w:tcW w:w="1020" w:type="pct"/>
                  <w:vMerge w:val="restart"/>
                  <w:tcBorders>
                    <w:tl2br w:val="nil"/>
                    <w:tr2bl w:val="nil"/>
                  </w:tcBorders>
                  <w:vAlign w:val="center"/>
                </w:tcPr>
                <w:p w14:paraId="7927F931">
                  <w:pPr>
                    <w:pStyle w:val="19"/>
                    <w:spacing w:before="120" w:after="120"/>
                  </w:pPr>
                  <w:r>
                    <w:rPr>
                      <w:rFonts w:hint="eastAsia"/>
                    </w:rPr>
                    <w:t>83.69</w:t>
                  </w:r>
                </w:p>
              </w:tc>
            </w:tr>
            <w:tr w14:paraId="60347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80" w:type="pct"/>
                  <w:vMerge w:val="restart"/>
                  <w:tcBorders>
                    <w:tl2br w:val="nil"/>
                    <w:tr2bl w:val="nil"/>
                  </w:tcBorders>
                  <w:vAlign w:val="center"/>
                </w:tcPr>
                <w:p w14:paraId="161EB237">
                  <w:pPr>
                    <w:pStyle w:val="19"/>
                    <w:spacing w:before="120" w:after="120"/>
                  </w:pPr>
                  <w:r>
                    <w:rPr>
                      <w:rFonts w:hint="eastAsia"/>
                    </w:rPr>
                    <w:t>3</w:t>
                  </w:r>
                </w:p>
              </w:tc>
              <w:tc>
                <w:tcPr>
                  <w:tcW w:w="1676" w:type="pct"/>
                  <w:vMerge w:val="restart"/>
                  <w:tcBorders>
                    <w:tl2br w:val="nil"/>
                    <w:tr2bl w:val="nil"/>
                  </w:tcBorders>
                  <w:vAlign w:val="center"/>
                </w:tcPr>
                <w:p w14:paraId="231FA43A">
                  <w:pPr>
                    <w:pStyle w:val="19"/>
                    <w:spacing w:before="120" w:after="120"/>
                  </w:pPr>
                  <w:r>
                    <w:rPr>
                      <w:rFonts w:hint="eastAsia"/>
                    </w:rPr>
                    <w:t>4419370.6307</w:t>
                  </w:r>
                </w:p>
              </w:tc>
              <w:tc>
                <w:tcPr>
                  <w:tcW w:w="1522" w:type="pct"/>
                  <w:vMerge w:val="restart"/>
                  <w:tcBorders>
                    <w:tl2br w:val="nil"/>
                    <w:tr2bl w:val="nil"/>
                  </w:tcBorders>
                  <w:vAlign w:val="center"/>
                </w:tcPr>
                <w:p w14:paraId="2AE2CD45">
                  <w:pPr>
                    <w:pStyle w:val="19"/>
                    <w:spacing w:before="120" w:after="120"/>
                  </w:pPr>
                  <w:r>
                    <w:rPr>
                      <w:rFonts w:hint="eastAsia"/>
                    </w:rPr>
                    <w:t>36398380.1388</w:t>
                  </w:r>
                </w:p>
              </w:tc>
              <w:tc>
                <w:tcPr>
                  <w:tcW w:w="1020" w:type="pct"/>
                  <w:vMerge w:val="continue"/>
                  <w:tcBorders>
                    <w:tl2br w:val="nil"/>
                    <w:tr2bl w:val="nil"/>
                  </w:tcBorders>
                  <w:vAlign w:val="center"/>
                </w:tcPr>
                <w:p w14:paraId="170EE61E">
                  <w:pPr>
                    <w:pStyle w:val="19"/>
                    <w:spacing w:before="120" w:after="120"/>
                  </w:pPr>
                </w:p>
              </w:tc>
            </w:tr>
            <w:tr w14:paraId="13031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780" w:type="pct"/>
                  <w:vMerge w:val="continue"/>
                  <w:tcBorders>
                    <w:tl2br w:val="nil"/>
                    <w:tr2bl w:val="nil"/>
                  </w:tcBorders>
                  <w:vAlign w:val="center"/>
                </w:tcPr>
                <w:p w14:paraId="47238DDA">
                  <w:pPr>
                    <w:pStyle w:val="19"/>
                    <w:spacing w:before="120" w:after="120"/>
                  </w:pPr>
                </w:p>
              </w:tc>
              <w:tc>
                <w:tcPr>
                  <w:tcW w:w="1676" w:type="pct"/>
                  <w:vMerge w:val="continue"/>
                  <w:tcBorders>
                    <w:tl2br w:val="nil"/>
                    <w:tr2bl w:val="nil"/>
                  </w:tcBorders>
                  <w:vAlign w:val="center"/>
                </w:tcPr>
                <w:p w14:paraId="109E69E6">
                  <w:pPr>
                    <w:pStyle w:val="19"/>
                    <w:spacing w:before="120" w:after="120"/>
                  </w:pPr>
                </w:p>
              </w:tc>
              <w:tc>
                <w:tcPr>
                  <w:tcW w:w="1522" w:type="pct"/>
                  <w:vMerge w:val="continue"/>
                  <w:tcBorders>
                    <w:tl2br w:val="nil"/>
                    <w:tr2bl w:val="nil"/>
                  </w:tcBorders>
                  <w:vAlign w:val="center"/>
                </w:tcPr>
                <w:p w14:paraId="4D28241D">
                  <w:pPr>
                    <w:pStyle w:val="19"/>
                    <w:spacing w:before="120" w:after="120"/>
                  </w:pPr>
                </w:p>
              </w:tc>
              <w:tc>
                <w:tcPr>
                  <w:tcW w:w="1020" w:type="pct"/>
                  <w:vMerge w:val="restart"/>
                  <w:tcBorders>
                    <w:tl2br w:val="nil"/>
                    <w:tr2bl w:val="nil"/>
                  </w:tcBorders>
                  <w:vAlign w:val="center"/>
                </w:tcPr>
                <w:p w14:paraId="75F8F2B7">
                  <w:pPr>
                    <w:pStyle w:val="19"/>
                    <w:spacing w:before="120" w:after="120"/>
                  </w:pPr>
                  <w:r>
                    <w:rPr>
                      <w:rFonts w:hint="eastAsia"/>
                    </w:rPr>
                    <w:t>10.46</w:t>
                  </w:r>
                </w:p>
              </w:tc>
            </w:tr>
            <w:tr w14:paraId="6699E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80" w:type="pct"/>
                  <w:vMerge w:val="restart"/>
                  <w:tcBorders>
                    <w:tl2br w:val="nil"/>
                    <w:tr2bl w:val="nil"/>
                  </w:tcBorders>
                  <w:vAlign w:val="center"/>
                </w:tcPr>
                <w:p w14:paraId="57DC436E">
                  <w:pPr>
                    <w:pStyle w:val="19"/>
                    <w:spacing w:before="120" w:after="120"/>
                  </w:pPr>
                  <w:r>
                    <w:rPr>
                      <w:rFonts w:hint="eastAsia"/>
                    </w:rPr>
                    <w:t>4</w:t>
                  </w:r>
                </w:p>
              </w:tc>
              <w:tc>
                <w:tcPr>
                  <w:tcW w:w="1676" w:type="pct"/>
                  <w:vMerge w:val="restart"/>
                  <w:tcBorders>
                    <w:tl2br w:val="nil"/>
                    <w:tr2bl w:val="nil"/>
                  </w:tcBorders>
                  <w:vAlign w:val="center"/>
                </w:tcPr>
                <w:p w14:paraId="777CF337">
                  <w:pPr>
                    <w:pStyle w:val="19"/>
                    <w:spacing w:before="120" w:after="120"/>
                  </w:pPr>
                  <w:r>
                    <w:rPr>
                      <w:rFonts w:hint="eastAsia"/>
                    </w:rPr>
                    <w:t>4419360.1675</w:t>
                  </w:r>
                </w:p>
              </w:tc>
              <w:tc>
                <w:tcPr>
                  <w:tcW w:w="1522" w:type="pct"/>
                  <w:vMerge w:val="restart"/>
                  <w:tcBorders>
                    <w:tl2br w:val="nil"/>
                    <w:tr2bl w:val="nil"/>
                  </w:tcBorders>
                  <w:vAlign w:val="center"/>
                </w:tcPr>
                <w:p w14:paraId="302FFCF1">
                  <w:pPr>
                    <w:pStyle w:val="19"/>
                    <w:spacing w:before="120" w:after="120"/>
                  </w:pPr>
                  <w:r>
                    <w:rPr>
                      <w:rFonts w:hint="eastAsia"/>
                    </w:rPr>
                    <w:t>36398380.0164</w:t>
                  </w:r>
                </w:p>
              </w:tc>
              <w:tc>
                <w:tcPr>
                  <w:tcW w:w="1020" w:type="pct"/>
                  <w:vMerge w:val="continue"/>
                  <w:tcBorders>
                    <w:tl2br w:val="nil"/>
                    <w:tr2bl w:val="nil"/>
                  </w:tcBorders>
                  <w:vAlign w:val="center"/>
                </w:tcPr>
                <w:p w14:paraId="32125FE2">
                  <w:pPr>
                    <w:pStyle w:val="19"/>
                    <w:spacing w:before="120" w:after="120"/>
                  </w:pPr>
                </w:p>
              </w:tc>
            </w:tr>
            <w:tr w14:paraId="47078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780" w:type="pct"/>
                  <w:vMerge w:val="continue"/>
                  <w:tcBorders>
                    <w:tl2br w:val="nil"/>
                    <w:tr2bl w:val="nil"/>
                  </w:tcBorders>
                  <w:vAlign w:val="center"/>
                </w:tcPr>
                <w:p w14:paraId="71AD23A9">
                  <w:pPr>
                    <w:pStyle w:val="19"/>
                    <w:spacing w:before="120" w:after="120"/>
                  </w:pPr>
                </w:p>
              </w:tc>
              <w:tc>
                <w:tcPr>
                  <w:tcW w:w="1676" w:type="pct"/>
                  <w:vMerge w:val="continue"/>
                  <w:tcBorders>
                    <w:tl2br w:val="nil"/>
                    <w:tr2bl w:val="nil"/>
                  </w:tcBorders>
                  <w:vAlign w:val="center"/>
                </w:tcPr>
                <w:p w14:paraId="3E7E5CF3">
                  <w:pPr>
                    <w:pStyle w:val="19"/>
                    <w:spacing w:before="120" w:after="120"/>
                  </w:pPr>
                </w:p>
              </w:tc>
              <w:tc>
                <w:tcPr>
                  <w:tcW w:w="1522" w:type="pct"/>
                  <w:vMerge w:val="continue"/>
                  <w:tcBorders>
                    <w:tl2br w:val="nil"/>
                    <w:tr2bl w:val="nil"/>
                  </w:tcBorders>
                  <w:vAlign w:val="center"/>
                </w:tcPr>
                <w:p w14:paraId="4B3497D1">
                  <w:pPr>
                    <w:pStyle w:val="19"/>
                    <w:spacing w:before="120" w:after="120"/>
                  </w:pPr>
                </w:p>
              </w:tc>
              <w:tc>
                <w:tcPr>
                  <w:tcW w:w="1020" w:type="pct"/>
                  <w:vMerge w:val="restart"/>
                  <w:tcBorders>
                    <w:tl2br w:val="nil"/>
                    <w:tr2bl w:val="nil"/>
                  </w:tcBorders>
                  <w:vAlign w:val="center"/>
                </w:tcPr>
                <w:p w14:paraId="70836C92">
                  <w:pPr>
                    <w:pStyle w:val="19"/>
                    <w:spacing w:before="120" w:after="120"/>
                  </w:pPr>
                  <w:r>
                    <w:rPr>
                      <w:rFonts w:hint="eastAsia"/>
                    </w:rPr>
                    <w:t>0</w:t>
                  </w:r>
                </w:p>
              </w:tc>
            </w:tr>
            <w:tr w14:paraId="1E62A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80" w:type="pct"/>
                  <w:vMerge w:val="restart"/>
                  <w:tcBorders>
                    <w:tl2br w:val="nil"/>
                    <w:tr2bl w:val="nil"/>
                  </w:tcBorders>
                  <w:vAlign w:val="center"/>
                </w:tcPr>
                <w:p w14:paraId="4268D2BC">
                  <w:pPr>
                    <w:pStyle w:val="19"/>
                    <w:spacing w:before="120" w:after="120"/>
                  </w:pPr>
                  <w:r>
                    <w:rPr>
                      <w:rFonts w:hint="eastAsia"/>
                    </w:rPr>
                    <w:t>4</w:t>
                  </w:r>
                </w:p>
              </w:tc>
              <w:tc>
                <w:tcPr>
                  <w:tcW w:w="1676" w:type="pct"/>
                  <w:vMerge w:val="restart"/>
                  <w:tcBorders>
                    <w:tl2br w:val="nil"/>
                    <w:tr2bl w:val="nil"/>
                  </w:tcBorders>
                  <w:vAlign w:val="center"/>
                </w:tcPr>
                <w:p w14:paraId="37F30390">
                  <w:pPr>
                    <w:pStyle w:val="19"/>
                    <w:spacing w:before="120" w:after="120"/>
                  </w:pPr>
                  <w:r>
                    <w:rPr>
                      <w:rFonts w:hint="eastAsia"/>
                    </w:rPr>
                    <w:t>4419360.1675</w:t>
                  </w:r>
                </w:p>
              </w:tc>
              <w:tc>
                <w:tcPr>
                  <w:tcW w:w="1522" w:type="pct"/>
                  <w:vMerge w:val="restart"/>
                  <w:tcBorders>
                    <w:tl2br w:val="nil"/>
                    <w:tr2bl w:val="nil"/>
                  </w:tcBorders>
                  <w:vAlign w:val="center"/>
                </w:tcPr>
                <w:p w14:paraId="32EAC212">
                  <w:pPr>
                    <w:pStyle w:val="19"/>
                    <w:spacing w:before="120" w:after="120"/>
                  </w:pPr>
                  <w:r>
                    <w:rPr>
                      <w:rFonts w:hint="eastAsia"/>
                    </w:rPr>
                    <w:t>36398380.0164</w:t>
                  </w:r>
                </w:p>
              </w:tc>
              <w:tc>
                <w:tcPr>
                  <w:tcW w:w="1020" w:type="pct"/>
                  <w:vMerge w:val="continue"/>
                  <w:tcBorders>
                    <w:tl2br w:val="nil"/>
                    <w:tr2bl w:val="nil"/>
                  </w:tcBorders>
                  <w:vAlign w:val="center"/>
                </w:tcPr>
                <w:p w14:paraId="14C449AF">
                  <w:pPr>
                    <w:pStyle w:val="19"/>
                    <w:spacing w:before="120" w:after="120"/>
                  </w:pPr>
                </w:p>
              </w:tc>
            </w:tr>
            <w:tr w14:paraId="1B92E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780" w:type="pct"/>
                  <w:vMerge w:val="continue"/>
                  <w:tcBorders>
                    <w:tl2br w:val="nil"/>
                    <w:tr2bl w:val="nil"/>
                  </w:tcBorders>
                  <w:vAlign w:val="center"/>
                </w:tcPr>
                <w:p w14:paraId="16620908">
                  <w:pPr>
                    <w:pStyle w:val="19"/>
                    <w:spacing w:before="120" w:after="120"/>
                  </w:pPr>
                </w:p>
              </w:tc>
              <w:tc>
                <w:tcPr>
                  <w:tcW w:w="1676" w:type="pct"/>
                  <w:vMerge w:val="continue"/>
                  <w:tcBorders>
                    <w:tl2br w:val="nil"/>
                    <w:tr2bl w:val="nil"/>
                  </w:tcBorders>
                  <w:vAlign w:val="center"/>
                </w:tcPr>
                <w:p w14:paraId="6C47AE80">
                  <w:pPr>
                    <w:pStyle w:val="19"/>
                    <w:spacing w:before="120" w:after="120"/>
                  </w:pPr>
                </w:p>
              </w:tc>
              <w:tc>
                <w:tcPr>
                  <w:tcW w:w="1522" w:type="pct"/>
                  <w:vMerge w:val="continue"/>
                  <w:tcBorders>
                    <w:tl2br w:val="nil"/>
                    <w:tr2bl w:val="nil"/>
                  </w:tcBorders>
                  <w:vAlign w:val="center"/>
                </w:tcPr>
                <w:p w14:paraId="2F44D09D">
                  <w:pPr>
                    <w:pStyle w:val="19"/>
                    <w:spacing w:before="120" w:after="120"/>
                  </w:pPr>
                </w:p>
              </w:tc>
              <w:tc>
                <w:tcPr>
                  <w:tcW w:w="1020" w:type="pct"/>
                  <w:vMerge w:val="restart"/>
                  <w:tcBorders>
                    <w:tl2br w:val="nil"/>
                    <w:tr2bl w:val="nil"/>
                  </w:tcBorders>
                  <w:vAlign w:val="center"/>
                </w:tcPr>
                <w:p w14:paraId="494B0B2E">
                  <w:pPr>
                    <w:pStyle w:val="19"/>
                    <w:spacing w:before="120" w:after="120"/>
                  </w:pPr>
                  <w:r>
                    <w:rPr>
                      <w:rFonts w:hint="eastAsia"/>
                    </w:rPr>
                    <w:t>20.15</w:t>
                  </w:r>
                </w:p>
              </w:tc>
            </w:tr>
            <w:tr w14:paraId="2FB70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80" w:type="pct"/>
                  <w:vMerge w:val="restart"/>
                  <w:tcBorders>
                    <w:tl2br w:val="nil"/>
                    <w:tr2bl w:val="nil"/>
                  </w:tcBorders>
                  <w:vAlign w:val="center"/>
                </w:tcPr>
                <w:p w14:paraId="5B2C38BC">
                  <w:pPr>
                    <w:pStyle w:val="19"/>
                    <w:spacing w:before="120" w:after="120"/>
                  </w:pPr>
                  <w:r>
                    <w:rPr>
                      <w:rFonts w:hint="eastAsia"/>
                    </w:rPr>
                    <w:t>5</w:t>
                  </w:r>
                </w:p>
              </w:tc>
              <w:tc>
                <w:tcPr>
                  <w:tcW w:w="1676" w:type="pct"/>
                  <w:vMerge w:val="restart"/>
                  <w:tcBorders>
                    <w:tl2br w:val="nil"/>
                    <w:tr2bl w:val="nil"/>
                  </w:tcBorders>
                  <w:vAlign w:val="center"/>
                </w:tcPr>
                <w:p w14:paraId="5E2AE086">
                  <w:pPr>
                    <w:pStyle w:val="19"/>
                    <w:spacing w:before="120" w:after="120"/>
                  </w:pPr>
                  <w:r>
                    <w:rPr>
                      <w:rFonts w:hint="eastAsia"/>
                    </w:rPr>
                    <w:t>4419340.0158</w:t>
                  </w:r>
                </w:p>
              </w:tc>
              <w:tc>
                <w:tcPr>
                  <w:tcW w:w="1522" w:type="pct"/>
                  <w:vMerge w:val="restart"/>
                  <w:tcBorders>
                    <w:tl2br w:val="nil"/>
                    <w:tr2bl w:val="nil"/>
                  </w:tcBorders>
                  <w:vAlign w:val="center"/>
                </w:tcPr>
                <w:p w14:paraId="129B8351">
                  <w:pPr>
                    <w:pStyle w:val="19"/>
                    <w:spacing w:before="120" w:after="120"/>
                  </w:pPr>
                  <w:r>
                    <w:rPr>
                      <w:rFonts w:hint="eastAsia"/>
                    </w:rPr>
                    <w:t>36398379.9499</w:t>
                  </w:r>
                </w:p>
              </w:tc>
              <w:tc>
                <w:tcPr>
                  <w:tcW w:w="1020" w:type="pct"/>
                  <w:vMerge w:val="continue"/>
                  <w:tcBorders>
                    <w:tl2br w:val="nil"/>
                    <w:tr2bl w:val="nil"/>
                  </w:tcBorders>
                  <w:vAlign w:val="center"/>
                </w:tcPr>
                <w:p w14:paraId="433C7EB2">
                  <w:pPr>
                    <w:pStyle w:val="19"/>
                    <w:spacing w:before="120" w:after="120"/>
                  </w:pPr>
                </w:p>
              </w:tc>
            </w:tr>
            <w:tr w14:paraId="5FCB9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780" w:type="pct"/>
                  <w:vMerge w:val="continue"/>
                  <w:tcBorders>
                    <w:tl2br w:val="nil"/>
                    <w:tr2bl w:val="nil"/>
                  </w:tcBorders>
                  <w:vAlign w:val="center"/>
                </w:tcPr>
                <w:p w14:paraId="762EA6EC">
                  <w:pPr>
                    <w:pStyle w:val="19"/>
                    <w:spacing w:before="120" w:after="120"/>
                  </w:pPr>
                </w:p>
              </w:tc>
              <w:tc>
                <w:tcPr>
                  <w:tcW w:w="1676" w:type="pct"/>
                  <w:vMerge w:val="continue"/>
                  <w:tcBorders>
                    <w:tl2br w:val="nil"/>
                    <w:tr2bl w:val="nil"/>
                  </w:tcBorders>
                  <w:vAlign w:val="center"/>
                </w:tcPr>
                <w:p w14:paraId="2147F879">
                  <w:pPr>
                    <w:pStyle w:val="19"/>
                    <w:spacing w:before="120" w:after="120"/>
                  </w:pPr>
                </w:p>
              </w:tc>
              <w:tc>
                <w:tcPr>
                  <w:tcW w:w="1522" w:type="pct"/>
                  <w:vMerge w:val="continue"/>
                  <w:tcBorders>
                    <w:tl2br w:val="nil"/>
                    <w:tr2bl w:val="nil"/>
                  </w:tcBorders>
                  <w:vAlign w:val="center"/>
                </w:tcPr>
                <w:p w14:paraId="718EF753">
                  <w:pPr>
                    <w:pStyle w:val="19"/>
                    <w:spacing w:before="120" w:after="120"/>
                  </w:pPr>
                </w:p>
              </w:tc>
              <w:tc>
                <w:tcPr>
                  <w:tcW w:w="1020" w:type="pct"/>
                  <w:vMerge w:val="restart"/>
                  <w:tcBorders>
                    <w:tl2br w:val="nil"/>
                    <w:tr2bl w:val="nil"/>
                  </w:tcBorders>
                  <w:vAlign w:val="center"/>
                </w:tcPr>
                <w:p w14:paraId="2E7C605A">
                  <w:pPr>
                    <w:pStyle w:val="19"/>
                    <w:spacing w:before="120" w:after="120"/>
                  </w:pPr>
                  <w:r>
                    <w:rPr>
                      <w:rFonts w:hint="eastAsia"/>
                    </w:rPr>
                    <w:t>32.02</w:t>
                  </w:r>
                </w:p>
              </w:tc>
            </w:tr>
            <w:tr w14:paraId="25639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80" w:type="pct"/>
                  <w:vMerge w:val="restart"/>
                  <w:tcBorders>
                    <w:tl2br w:val="nil"/>
                    <w:tr2bl w:val="nil"/>
                  </w:tcBorders>
                  <w:vAlign w:val="center"/>
                </w:tcPr>
                <w:p w14:paraId="2AE17E14">
                  <w:pPr>
                    <w:pStyle w:val="19"/>
                    <w:spacing w:before="120" w:after="120"/>
                  </w:pPr>
                  <w:r>
                    <w:rPr>
                      <w:rFonts w:hint="eastAsia"/>
                    </w:rPr>
                    <w:t>6</w:t>
                  </w:r>
                </w:p>
              </w:tc>
              <w:tc>
                <w:tcPr>
                  <w:tcW w:w="1676" w:type="pct"/>
                  <w:vMerge w:val="restart"/>
                  <w:tcBorders>
                    <w:tl2br w:val="nil"/>
                    <w:tr2bl w:val="nil"/>
                  </w:tcBorders>
                  <w:vAlign w:val="center"/>
                </w:tcPr>
                <w:p w14:paraId="19BA8BBA">
                  <w:pPr>
                    <w:pStyle w:val="19"/>
                    <w:spacing w:before="120" w:after="120"/>
                  </w:pPr>
                  <w:r>
                    <w:rPr>
                      <w:rFonts w:hint="eastAsia"/>
                    </w:rPr>
                    <w:t>4419307.9966</w:t>
                  </w:r>
                </w:p>
              </w:tc>
              <w:tc>
                <w:tcPr>
                  <w:tcW w:w="1522" w:type="pct"/>
                  <w:vMerge w:val="restart"/>
                  <w:tcBorders>
                    <w:tl2br w:val="nil"/>
                    <w:tr2bl w:val="nil"/>
                  </w:tcBorders>
                  <w:vAlign w:val="center"/>
                </w:tcPr>
                <w:p w14:paraId="12C5830D">
                  <w:pPr>
                    <w:pStyle w:val="19"/>
                    <w:spacing w:before="120" w:after="120"/>
                  </w:pPr>
                  <w:r>
                    <w:rPr>
                      <w:rFonts w:hint="eastAsia"/>
                    </w:rPr>
                    <w:t>36398380.0529</w:t>
                  </w:r>
                </w:p>
              </w:tc>
              <w:tc>
                <w:tcPr>
                  <w:tcW w:w="1020" w:type="pct"/>
                  <w:vMerge w:val="continue"/>
                  <w:tcBorders>
                    <w:tl2br w:val="nil"/>
                    <w:tr2bl w:val="nil"/>
                  </w:tcBorders>
                  <w:vAlign w:val="center"/>
                </w:tcPr>
                <w:p w14:paraId="1242A211">
                  <w:pPr>
                    <w:pStyle w:val="19"/>
                    <w:spacing w:before="120" w:after="120"/>
                  </w:pPr>
                </w:p>
              </w:tc>
            </w:tr>
            <w:tr w14:paraId="5DEF5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780" w:type="pct"/>
                  <w:vMerge w:val="continue"/>
                  <w:tcBorders>
                    <w:tl2br w:val="nil"/>
                    <w:tr2bl w:val="nil"/>
                  </w:tcBorders>
                  <w:vAlign w:val="center"/>
                </w:tcPr>
                <w:p w14:paraId="4B655CEC">
                  <w:pPr>
                    <w:pStyle w:val="19"/>
                    <w:spacing w:before="120" w:after="120"/>
                  </w:pPr>
                </w:p>
              </w:tc>
              <w:tc>
                <w:tcPr>
                  <w:tcW w:w="1676" w:type="pct"/>
                  <w:vMerge w:val="continue"/>
                  <w:tcBorders>
                    <w:tl2br w:val="nil"/>
                    <w:tr2bl w:val="nil"/>
                  </w:tcBorders>
                  <w:vAlign w:val="center"/>
                </w:tcPr>
                <w:p w14:paraId="459BEE90">
                  <w:pPr>
                    <w:pStyle w:val="19"/>
                    <w:spacing w:before="120" w:after="120"/>
                  </w:pPr>
                </w:p>
              </w:tc>
              <w:tc>
                <w:tcPr>
                  <w:tcW w:w="1522" w:type="pct"/>
                  <w:vMerge w:val="continue"/>
                  <w:tcBorders>
                    <w:tl2br w:val="nil"/>
                    <w:tr2bl w:val="nil"/>
                  </w:tcBorders>
                  <w:vAlign w:val="center"/>
                </w:tcPr>
                <w:p w14:paraId="4A9F5756">
                  <w:pPr>
                    <w:pStyle w:val="19"/>
                    <w:spacing w:before="120" w:after="120"/>
                  </w:pPr>
                </w:p>
              </w:tc>
              <w:tc>
                <w:tcPr>
                  <w:tcW w:w="1020" w:type="pct"/>
                  <w:vMerge w:val="restart"/>
                  <w:tcBorders>
                    <w:tl2br w:val="nil"/>
                    <w:tr2bl w:val="nil"/>
                  </w:tcBorders>
                  <w:vAlign w:val="center"/>
                </w:tcPr>
                <w:p w14:paraId="7F3D547D">
                  <w:pPr>
                    <w:pStyle w:val="19"/>
                    <w:spacing w:before="120" w:after="120"/>
                  </w:pPr>
                  <w:r>
                    <w:rPr>
                      <w:rFonts w:hint="eastAsia"/>
                    </w:rPr>
                    <w:t>88.81</w:t>
                  </w:r>
                </w:p>
              </w:tc>
            </w:tr>
            <w:tr w14:paraId="6F736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80" w:type="pct"/>
                  <w:vMerge w:val="restart"/>
                  <w:tcBorders>
                    <w:tl2br w:val="nil"/>
                    <w:tr2bl w:val="nil"/>
                  </w:tcBorders>
                  <w:vAlign w:val="center"/>
                </w:tcPr>
                <w:p w14:paraId="6259A937">
                  <w:pPr>
                    <w:pStyle w:val="19"/>
                    <w:spacing w:before="120" w:after="120"/>
                  </w:pPr>
                  <w:r>
                    <w:rPr>
                      <w:rFonts w:hint="eastAsia"/>
                    </w:rPr>
                    <w:t>7</w:t>
                  </w:r>
                </w:p>
              </w:tc>
              <w:tc>
                <w:tcPr>
                  <w:tcW w:w="1676" w:type="pct"/>
                  <w:vMerge w:val="restart"/>
                  <w:tcBorders>
                    <w:tl2br w:val="nil"/>
                    <w:tr2bl w:val="nil"/>
                  </w:tcBorders>
                  <w:vAlign w:val="center"/>
                </w:tcPr>
                <w:p w14:paraId="7A278014">
                  <w:pPr>
                    <w:pStyle w:val="19"/>
                    <w:spacing w:before="120" w:after="120"/>
                  </w:pPr>
                  <w:r>
                    <w:rPr>
                      <w:rFonts w:hint="eastAsia"/>
                    </w:rPr>
                    <w:t>4419219.1827</w:t>
                  </w:r>
                </w:p>
              </w:tc>
              <w:tc>
                <w:tcPr>
                  <w:tcW w:w="1522" w:type="pct"/>
                  <w:vMerge w:val="restart"/>
                  <w:tcBorders>
                    <w:tl2br w:val="nil"/>
                    <w:tr2bl w:val="nil"/>
                  </w:tcBorders>
                  <w:vAlign w:val="center"/>
                </w:tcPr>
                <w:p w14:paraId="5341D745">
                  <w:pPr>
                    <w:pStyle w:val="19"/>
                    <w:spacing w:before="120" w:after="120"/>
                  </w:pPr>
                  <w:r>
                    <w:rPr>
                      <w:rFonts w:hint="eastAsia"/>
                    </w:rPr>
                    <w:t>36398379.8904</w:t>
                  </w:r>
                </w:p>
              </w:tc>
              <w:tc>
                <w:tcPr>
                  <w:tcW w:w="1020" w:type="pct"/>
                  <w:vMerge w:val="continue"/>
                  <w:tcBorders>
                    <w:tl2br w:val="nil"/>
                    <w:tr2bl w:val="nil"/>
                  </w:tcBorders>
                  <w:vAlign w:val="center"/>
                </w:tcPr>
                <w:p w14:paraId="73E35E11">
                  <w:pPr>
                    <w:pStyle w:val="19"/>
                    <w:spacing w:before="120" w:after="120"/>
                  </w:pPr>
                </w:p>
              </w:tc>
            </w:tr>
            <w:tr w14:paraId="2A100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780" w:type="pct"/>
                  <w:vMerge w:val="continue"/>
                  <w:tcBorders>
                    <w:tl2br w:val="nil"/>
                    <w:tr2bl w:val="nil"/>
                  </w:tcBorders>
                  <w:vAlign w:val="center"/>
                </w:tcPr>
                <w:p w14:paraId="315D51FC">
                  <w:pPr>
                    <w:pStyle w:val="19"/>
                    <w:spacing w:before="120" w:after="120"/>
                  </w:pPr>
                </w:p>
              </w:tc>
              <w:tc>
                <w:tcPr>
                  <w:tcW w:w="1676" w:type="pct"/>
                  <w:vMerge w:val="continue"/>
                  <w:tcBorders>
                    <w:tl2br w:val="nil"/>
                    <w:tr2bl w:val="nil"/>
                  </w:tcBorders>
                  <w:vAlign w:val="center"/>
                </w:tcPr>
                <w:p w14:paraId="202F8309">
                  <w:pPr>
                    <w:pStyle w:val="19"/>
                    <w:spacing w:before="120" w:after="120"/>
                  </w:pPr>
                </w:p>
              </w:tc>
              <w:tc>
                <w:tcPr>
                  <w:tcW w:w="1522" w:type="pct"/>
                  <w:vMerge w:val="continue"/>
                  <w:tcBorders>
                    <w:tl2br w:val="nil"/>
                    <w:tr2bl w:val="nil"/>
                  </w:tcBorders>
                  <w:vAlign w:val="center"/>
                </w:tcPr>
                <w:p w14:paraId="32B372DC">
                  <w:pPr>
                    <w:pStyle w:val="19"/>
                    <w:spacing w:before="120" w:after="120"/>
                  </w:pPr>
                </w:p>
              </w:tc>
              <w:tc>
                <w:tcPr>
                  <w:tcW w:w="1020" w:type="pct"/>
                  <w:vMerge w:val="restart"/>
                  <w:tcBorders>
                    <w:tl2br w:val="nil"/>
                    <w:tr2bl w:val="nil"/>
                  </w:tcBorders>
                  <w:vAlign w:val="center"/>
                </w:tcPr>
                <w:p w14:paraId="7A2DD030">
                  <w:pPr>
                    <w:pStyle w:val="19"/>
                    <w:spacing w:before="120" w:after="120"/>
                  </w:pPr>
                  <w:r>
                    <w:rPr>
                      <w:rFonts w:hint="eastAsia"/>
                    </w:rPr>
                    <w:t>81.46</w:t>
                  </w:r>
                </w:p>
              </w:tc>
            </w:tr>
            <w:tr w14:paraId="4E35B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80" w:type="pct"/>
                  <w:vMerge w:val="restart"/>
                  <w:tcBorders>
                    <w:tl2br w:val="nil"/>
                    <w:tr2bl w:val="nil"/>
                  </w:tcBorders>
                  <w:vAlign w:val="center"/>
                </w:tcPr>
                <w:p w14:paraId="7FB1AEDD">
                  <w:pPr>
                    <w:pStyle w:val="19"/>
                    <w:spacing w:before="120" w:after="120"/>
                  </w:pPr>
                  <w:r>
                    <w:rPr>
                      <w:rFonts w:hint="eastAsia"/>
                    </w:rPr>
                    <w:t>8</w:t>
                  </w:r>
                </w:p>
              </w:tc>
              <w:tc>
                <w:tcPr>
                  <w:tcW w:w="1676" w:type="pct"/>
                  <w:vMerge w:val="restart"/>
                  <w:tcBorders>
                    <w:tl2br w:val="nil"/>
                    <w:tr2bl w:val="nil"/>
                  </w:tcBorders>
                  <w:vAlign w:val="center"/>
                </w:tcPr>
                <w:p w14:paraId="7D07BC1B">
                  <w:pPr>
                    <w:pStyle w:val="19"/>
                    <w:spacing w:before="120" w:after="120"/>
                  </w:pPr>
                  <w:r>
                    <w:rPr>
                      <w:rFonts w:hint="eastAsia"/>
                    </w:rPr>
                    <w:t>4419221.8758</w:t>
                  </w:r>
                </w:p>
              </w:tc>
              <w:tc>
                <w:tcPr>
                  <w:tcW w:w="1522" w:type="pct"/>
                  <w:vMerge w:val="restart"/>
                  <w:tcBorders>
                    <w:tl2br w:val="nil"/>
                    <w:tr2bl w:val="nil"/>
                  </w:tcBorders>
                  <w:vAlign w:val="center"/>
                </w:tcPr>
                <w:p w14:paraId="38CD25AD">
                  <w:pPr>
                    <w:pStyle w:val="19"/>
                    <w:spacing w:before="120" w:after="120"/>
                  </w:pPr>
                  <w:r>
                    <w:rPr>
                      <w:rFonts w:hint="eastAsia"/>
                    </w:rPr>
                    <w:t>36398298.4759</w:t>
                  </w:r>
                </w:p>
              </w:tc>
              <w:tc>
                <w:tcPr>
                  <w:tcW w:w="1020" w:type="pct"/>
                  <w:vMerge w:val="continue"/>
                  <w:tcBorders>
                    <w:tl2br w:val="nil"/>
                    <w:tr2bl w:val="nil"/>
                  </w:tcBorders>
                  <w:vAlign w:val="center"/>
                </w:tcPr>
                <w:p w14:paraId="2334E238">
                  <w:pPr>
                    <w:pStyle w:val="19"/>
                    <w:spacing w:before="120" w:after="120"/>
                  </w:pPr>
                </w:p>
              </w:tc>
            </w:tr>
            <w:tr w14:paraId="5D0FC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780" w:type="pct"/>
                  <w:vMerge w:val="continue"/>
                  <w:tcBorders>
                    <w:tl2br w:val="nil"/>
                    <w:tr2bl w:val="nil"/>
                  </w:tcBorders>
                  <w:vAlign w:val="center"/>
                </w:tcPr>
                <w:p w14:paraId="06DDE58B">
                  <w:pPr>
                    <w:pStyle w:val="19"/>
                    <w:spacing w:before="120" w:after="120"/>
                  </w:pPr>
                </w:p>
              </w:tc>
              <w:tc>
                <w:tcPr>
                  <w:tcW w:w="1676" w:type="pct"/>
                  <w:vMerge w:val="continue"/>
                  <w:tcBorders>
                    <w:tl2br w:val="nil"/>
                    <w:tr2bl w:val="nil"/>
                  </w:tcBorders>
                  <w:vAlign w:val="center"/>
                </w:tcPr>
                <w:p w14:paraId="4493E532">
                  <w:pPr>
                    <w:pStyle w:val="19"/>
                    <w:spacing w:before="120" w:after="120"/>
                  </w:pPr>
                </w:p>
              </w:tc>
              <w:tc>
                <w:tcPr>
                  <w:tcW w:w="1522" w:type="pct"/>
                  <w:vMerge w:val="continue"/>
                  <w:tcBorders>
                    <w:tl2br w:val="nil"/>
                    <w:tr2bl w:val="nil"/>
                  </w:tcBorders>
                  <w:vAlign w:val="center"/>
                </w:tcPr>
                <w:p w14:paraId="1B61583F">
                  <w:pPr>
                    <w:pStyle w:val="19"/>
                    <w:spacing w:before="120" w:after="120"/>
                  </w:pPr>
                </w:p>
              </w:tc>
              <w:tc>
                <w:tcPr>
                  <w:tcW w:w="1020" w:type="pct"/>
                  <w:vMerge w:val="restart"/>
                  <w:tcBorders>
                    <w:tl2br w:val="nil"/>
                    <w:tr2bl w:val="nil"/>
                  </w:tcBorders>
                  <w:vAlign w:val="center"/>
                </w:tcPr>
                <w:p w14:paraId="4416443A">
                  <w:pPr>
                    <w:pStyle w:val="19"/>
                    <w:spacing w:before="120" w:after="120"/>
                  </w:pPr>
                  <w:r>
                    <w:rPr>
                      <w:rFonts w:hint="eastAsia"/>
                    </w:rPr>
                    <w:t>68.63</w:t>
                  </w:r>
                </w:p>
              </w:tc>
            </w:tr>
            <w:tr w14:paraId="38389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80" w:type="pct"/>
                  <w:vMerge w:val="restart"/>
                  <w:tcBorders>
                    <w:tl2br w:val="nil"/>
                    <w:tr2bl w:val="nil"/>
                  </w:tcBorders>
                  <w:vAlign w:val="center"/>
                </w:tcPr>
                <w:p w14:paraId="0F333CF0">
                  <w:pPr>
                    <w:pStyle w:val="19"/>
                    <w:spacing w:before="120" w:after="120"/>
                  </w:pPr>
                  <w:r>
                    <w:rPr>
                      <w:rFonts w:hint="eastAsia"/>
                    </w:rPr>
                    <w:t>9</w:t>
                  </w:r>
                </w:p>
              </w:tc>
              <w:tc>
                <w:tcPr>
                  <w:tcW w:w="1676" w:type="pct"/>
                  <w:vMerge w:val="restart"/>
                  <w:tcBorders>
                    <w:tl2br w:val="nil"/>
                    <w:tr2bl w:val="nil"/>
                  </w:tcBorders>
                  <w:vAlign w:val="center"/>
                </w:tcPr>
                <w:p w14:paraId="461CA476">
                  <w:pPr>
                    <w:pStyle w:val="19"/>
                    <w:spacing w:before="120" w:after="120"/>
                  </w:pPr>
                  <w:r>
                    <w:rPr>
                      <w:rFonts w:hint="eastAsia"/>
                    </w:rPr>
                    <w:t>4419224.4187</w:t>
                  </w:r>
                </w:p>
              </w:tc>
              <w:tc>
                <w:tcPr>
                  <w:tcW w:w="1522" w:type="pct"/>
                  <w:vMerge w:val="restart"/>
                  <w:tcBorders>
                    <w:tl2br w:val="nil"/>
                    <w:tr2bl w:val="nil"/>
                  </w:tcBorders>
                  <w:vAlign w:val="center"/>
                </w:tcPr>
                <w:p w14:paraId="5A8A350D">
                  <w:pPr>
                    <w:pStyle w:val="19"/>
                    <w:spacing w:before="120" w:after="120"/>
                  </w:pPr>
                  <w:r>
                    <w:rPr>
                      <w:rFonts w:hint="eastAsia"/>
                    </w:rPr>
                    <w:t>36398229.8943</w:t>
                  </w:r>
                </w:p>
              </w:tc>
              <w:tc>
                <w:tcPr>
                  <w:tcW w:w="1020" w:type="pct"/>
                  <w:vMerge w:val="continue"/>
                  <w:tcBorders>
                    <w:tl2br w:val="nil"/>
                    <w:tr2bl w:val="nil"/>
                  </w:tcBorders>
                  <w:vAlign w:val="center"/>
                </w:tcPr>
                <w:p w14:paraId="2CD20719">
                  <w:pPr>
                    <w:pStyle w:val="19"/>
                    <w:spacing w:before="120" w:after="120"/>
                  </w:pPr>
                </w:p>
              </w:tc>
            </w:tr>
            <w:tr w14:paraId="2C887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780" w:type="pct"/>
                  <w:vMerge w:val="continue"/>
                  <w:tcBorders>
                    <w:tl2br w:val="nil"/>
                    <w:tr2bl w:val="nil"/>
                  </w:tcBorders>
                  <w:vAlign w:val="center"/>
                </w:tcPr>
                <w:p w14:paraId="747F4210">
                  <w:pPr>
                    <w:pStyle w:val="19"/>
                    <w:spacing w:before="120" w:after="120"/>
                  </w:pPr>
                </w:p>
              </w:tc>
              <w:tc>
                <w:tcPr>
                  <w:tcW w:w="1676" w:type="pct"/>
                  <w:vMerge w:val="continue"/>
                  <w:tcBorders>
                    <w:tl2br w:val="nil"/>
                    <w:tr2bl w:val="nil"/>
                  </w:tcBorders>
                  <w:vAlign w:val="center"/>
                </w:tcPr>
                <w:p w14:paraId="3307535F">
                  <w:pPr>
                    <w:pStyle w:val="19"/>
                    <w:spacing w:before="120" w:after="120"/>
                  </w:pPr>
                </w:p>
              </w:tc>
              <w:tc>
                <w:tcPr>
                  <w:tcW w:w="1522" w:type="pct"/>
                  <w:vMerge w:val="continue"/>
                  <w:tcBorders>
                    <w:tl2br w:val="nil"/>
                    <w:tr2bl w:val="nil"/>
                  </w:tcBorders>
                  <w:vAlign w:val="center"/>
                </w:tcPr>
                <w:p w14:paraId="7A735C34">
                  <w:pPr>
                    <w:pStyle w:val="19"/>
                    <w:spacing w:before="120" w:after="120"/>
                  </w:pPr>
                </w:p>
              </w:tc>
              <w:tc>
                <w:tcPr>
                  <w:tcW w:w="1020" w:type="pct"/>
                  <w:vMerge w:val="restart"/>
                  <w:tcBorders>
                    <w:tl2br w:val="nil"/>
                    <w:tr2bl w:val="nil"/>
                  </w:tcBorders>
                  <w:vAlign w:val="center"/>
                </w:tcPr>
                <w:p w14:paraId="3799B79E">
                  <w:pPr>
                    <w:pStyle w:val="19"/>
                    <w:spacing w:before="120" w:after="120"/>
                  </w:pPr>
                  <w:r>
                    <w:rPr>
                      <w:rFonts w:hint="eastAsia"/>
                    </w:rPr>
                    <w:t>235.15</w:t>
                  </w:r>
                </w:p>
              </w:tc>
            </w:tr>
            <w:tr w14:paraId="55E6F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80" w:type="pct"/>
                  <w:vMerge w:val="restart"/>
                  <w:tcBorders>
                    <w:tl2br w:val="nil"/>
                    <w:tr2bl w:val="nil"/>
                  </w:tcBorders>
                  <w:vAlign w:val="center"/>
                </w:tcPr>
                <w:p w14:paraId="3C96EC76">
                  <w:pPr>
                    <w:pStyle w:val="19"/>
                    <w:spacing w:before="120" w:after="120"/>
                  </w:pPr>
                  <w:r>
                    <w:rPr>
                      <w:rFonts w:hint="eastAsia"/>
                    </w:rPr>
                    <w:t>1</w:t>
                  </w:r>
                </w:p>
              </w:tc>
              <w:tc>
                <w:tcPr>
                  <w:tcW w:w="1676" w:type="pct"/>
                  <w:vMerge w:val="restart"/>
                  <w:tcBorders>
                    <w:tl2br w:val="nil"/>
                    <w:tr2bl w:val="nil"/>
                  </w:tcBorders>
                  <w:vAlign w:val="center"/>
                </w:tcPr>
                <w:p w14:paraId="35283107">
                  <w:pPr>
                    <w:pStyle w:val="19"/>
                    <w:spacing w:before="120" w:after="120"/>
                  </w:pPr>
                  <w:r>
                    <w:rPr>
                      <w:rFonts w:hint="eastAsia"/>
                    </w:rPr>
                    <w:t>4419459.5715</w:t>
                  </w:r>
                </w:p>
              </w:tc>
              <w:tc>
                <w:tcPr>
                  <w:tcW w:w="1522" w:type="pct"/>
                  <w:vMerge w:val="restart"/>
                  <w:tcBorders>
                    <w:tl2br w:val="nil"/>
                    <w:tr2bl w:val="nil"/>
                  </w:tcBorders>
                  <w:vAlign w:val="center"/>
                </w:tcPr>
                <w:p w14:paraId="381C7CF6">
                  <w:pPr>
                    <w:pStyle w:val="19"/>
                    <w:spacing w:before="120" w:after="120"/>
                  </w:pPr>
                  <w:r>
                    <w:rPr>
                      <w:rFonts w:hint="eastAsia"/>
                    </w:rPr>
                    <w:t>36398230.0729</w:t>
                  </w:r>
                </w:p>
              </w:tc>
              <w:tc>
                <w:tcPr>
                  <w:tcW w:w="1020" w:type="pct"/>
                  <w:vMerge w:val="continue"/>
                  <w:tcBorders>
                    <w:tl2br w:val="nil"/>
                    <w:tr2bl w:val="nil"/>
                  </w:tcBorders>
                  <w:vAlign w:val="center"/>
                </w:tcPr>
                <w:p w14:paraId="52EA070B">
                  <w:pPr>
                    <w:pStyle w:val="19"/>
                    <w:spacing w:before="120" w:after="120"/>
                  </w:pPr>
                </w:p>
              </w:tc>
            </w:tr>
            <w:tr w14:paraId="4C41D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pct"/>
                  <w:vMerge w:val="continue"/>
                  <w:tcBorders>
                    <w:tl2br w:val="nil"/>
                    <w:tr2bl w:val="nil"/>
                  </w:tcBorders>
                  <w:vAlign w:val="center"/>
                </w:tcPr>
                <w:p w14:paraId="54ED3414">
                  <w:pPr>
                    <w:pStyle w:val="19"/>
                    <w:spacing w:before="120" w:after="120"/>
                  </w:pPr>
                </w:p>
              </w:tc>
              <w:tc>
                <w:tcPr>
                  <w:tcW w:w="1676" w:type="pct"/>
                  <w:vMerge w:val="continue"/>
                  <w:tcBorders>
                    <w:tl2br w:val="nil"/>
                    <w:tr2bl w:val="nil"/>
                  </w:tcBorders>
                  <w:vAlign w:val="center"/>
                </w:tcPr>
                <w:p w14:paraId="1E721134">
                  <w:pPr>
                    <w:pStyle w:val="19"/>
                    <w:spacing w:before="120" w:after="120"/>
                  </w:pPr>
                </w:p>
              </w:tc>
              <w:tc>
                <w:tcPr>
                  <w:tcW w:w="1522" w:type="pct"/>
                  <w:vMerge w:val="continue"/>
                  <w:tcBorders>
                    <w:tl2br w:val="nil"/>
                    <w:tr2bl w:val="nil"/>
                  </w:tcBorders>
                  <w:vAlign w:val="center"/>
                </w:tcPr>
                <w:p w14:paraId="7DE240B8">
                  <w:pPr>
                    <w:pStyle w:val="19"/>
                    <w:spacing w:before="120" w:after="120"/>
                  </w:pPr>
                </w:p>
              </w:tc>
              <w:tc>
                <w:tcPr>
                  <w:tcW w:w="1020" w:type="pct"/>
                  <w:tcBorders>
                    <w:tl2br w:val="nil"/>
                    <w:tr2bl w:val="nil"/>
                  </w:tcBorders>
                  <w:vAlign w:val="center"/>
                </w:tcPr>
                <w:p w14:paraId="6F36ED08">
                  <w:pPr>
                    <w:pStyle w:val="19"/>
                    <w:spacing w:beforeLines="0" w:afterLines="0"/>
                  </w:pPr>
                  <w:r>
                    <w:rPr>
                      <w:rFonts w:hint="eastAsia"/>
                    </w:rPr>
                    <w:t>/</w:t>
                  </w:r>
                </w:p>
              </w:tc>
            </w:tr>
            <w:tr w14:paraId="35D38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tcBorders>
                    <w:tl2br w:val="nil"/>
                    <w:tr2bl w:val="nil"/>
                  </w:tcBorders>
                  <w:vAlign w:val="center"/>
                </w:tcPr>
                <w:p w14:paraId="5E1498C5">
                  <w:pPr>
                    <w:pStyle w:val="19"/>
                    <w:spacing w:beforeLines="0" w:afterLines="0"/>
                  </w:pPr>
                  <w:r>
                    <w:rPr>
                      <w:rFonts w:hint="eastAsia"/>
                    </w:rPr>
                    <w:t>S=35296.11m</w:t>
                  </w:r>
                  <w:r>
                    <w:rPr>
                      <w:rFonts w:hint="eastAsia"/>
                      <w:vertAlign w:val="superscript"/>
                    </w:rPr>
                    <w:t>2</w:t>
                  </w:r>
                </w:p>
              </w:tc>
            </w:tr>
          </w:tbl>
          <w:p w14:paraId="66457220">
            <w:pPr>
              <w:pStyle w:val="3"/>
              <w:ind w:firstLine="480"/>
            </w:pPr>
            <w:bookmarkStart w:id="33" w:name="_Toc18594"/>
            <w:bookmarkStart w:id="34" w:name="_Toc28765"/>
            <w:r>
              <w:rPr>
                <w:rFonts w:hint="eastAsia"/>
              </w:rPr>
              <w:t>4、工程内容与规模</w:t>
            </w:r>
            <w:bookmarkEnd w:id="33"/>
            <w:bookmarkEnd w:id="34"/>
          </w:p>
          <w:p w14:paraId="501B61F0">
            <w:pPr>
              <w:ind w:firstLine="480"/>
            </w:pPr>
            <w:r>
              <w:rPr>
                <w:rFonts w:hint="eastAsia"/>
              </w:rPr>
              <w:t>本项目为鄂托克经济开发区蒙西产业园危险化学品运输车辆专用停车场项目，建设内容为危险化学品车辆专用停车场以及辅助设施。辅助设施包括危险化学品车辆</w:t>
            </w:r>
            <w:r>
              <w:t>候检区</w:t>
            </w:r>
            <w:r>
              <w:rPr>
                <w:rFonts w:hint="eastAsia"/>
              </w:rPr>
              <w:t>、</w:t>
            </w:r>
            <w:r>
              <w:t>综合管理用房</w:t>
            </w:r>
            <w:r>
              <w:rPr>
                <w:rFonts w:hint="eastAsia"/>
              </w:rPr>
              <w:t>、</w:t>
            </w:r>
            <w:r>
              <w:t>辅助用房</w:t>
            </w:r>
            <w:r>
              <w:rPr>
                <w:rFonts w:hint="eastAsia"/>
              </w:rPr>
              <w:t>、</w:t>
            </w:r>
            <w:r>
              <w:t>维修车间</w:t>
            </w:r>
            <w:r>
              <w:rPr>
                <w:rFonts w:hint="eastAsia"/>
              </w:rPr>
              <w:t>、洗车车间、危废暂存间、消防</w:t>
            </w:r>
            <w:r>
              <w:t>水池</w:t>
            </w:r>
            <w:r>
              <w:rPr>
                <w:rFonts w:hint="eastAsia"/>
              </w:rPr>
              <w:t>、消防泵房、事故水池和初期雨水池、一体化</w:t>
            </w:r>
            <w:r>
              <w:t>污</w:t>
            </w:r>
            <w:r>
              <w:rPr>
                <w:rFonts w:hint="eastAsia"/>
              </w:rPr>
              <w:t>水处理设施等，具体建设内容见下表。</w:t>
            </w:r>
          </w:p>
          <w:p w14:paraId="2BBD4026">
            <w:pPr>
              <w:pStyle w:val="21"/>
              <w:spacing w:before="120"/>
              <w:rPr>
                <w:rFonts w:hint="default"/>
              </w:rPr>
            </w:pPr>
            <w:bookmarkStart w:id="35" w:name="_Toc20592"/>
            <w:bookmarkStart w:id="36" w:name="_Toc5266"/>
            <w:r>
              <w:t>表2-2  项目组成一览表</w:t>
            </w:r>
            <w:bookmarkEnd w:id="35"/>
            <w:bookmarkEnd w:id="36"/>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4"/>
              <w:gridCol w:w="1647"/>
              <w:gridCol w:w="5994"/>
            </w:tblGrid>
            <w:tr w14:paraId="451D9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pct"/>
                  <w:tcBorders>
                    <w:tl2br w:val="nil"/>
                    <w:tr2bl w:val="nil"/>
                  </w:tcBorders>
                  <w:vAlign w:val="center"/>
                </w:tcPr>
                <w:p w14:paraId="53239665">
                  <w:pPr>
                    <w:pStyle w:val="19"/>
                    <w:spacing w:before="120" w:after="120"/>
                  </w:pPr>
                  <w:r>
                    <w:t>工程名称</w:t>
                  </w:r>
                </w:p>
              </w:tc>
              <w:tc>
                <w:tcPr>
                  <w:tcW w:w="983" w:type="pct"/>
                  <w:tcBorders>
                    <w:tl2br w:val="nil"/>
                    <w:tr2bl w:val="nil"/>
                  </w:tcBorders>
                  <w:vAlign w:val="center"/>
                </w:tcPr>
                <w:p w14:paraId="50B52340">
                  <w:pPr>
                    <w:pStyle w:val="19"/>
                    <w:spacing w:before="120" w:after="120"/>
                  </w:pPr>
                  <w:r>
                    <w:t>建设内容</w:t>
                  </w:r>
                </w:p>
              </w:tc>
              <w:tc>
                <w:tcPr>
                  <w:tcW w:w="3577" w:type="pct"/>
                  <w:tcBorders>
                    <w:tl2br w:val="nil"/>
                    <w:tr2bl w:val="nil"/>
                  </w:tcBorders>
                  <w:vAlign w:val="center"/>
                </w:tcPr>
                <w:p w14:paraId="641C8C4C">
                  <w:pPr>
                    <w:pStyle w:val="19"/>
                    <w:spacing w:before="120" w:after="120"/>
                  </w:pPr>
                  <w:r>
                    <w:t>建设情况</w:t>
                  </w:r>
                </w:p>
              </w:tc>
            </w:tr>
            <w:tr w14:paraId="1931F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pct"/>
                  <w:tcBorders>
                    <w:tl2br w:val="nil"/>
                    <w:tr2bl w:val="nil"/>
                  </w:tcBorders>
                  <w:vAlign w:val="center"/>
                </w:tcPr>
                <w:p w14:paraId="177FA965">
                  <w:pPr>
                    <w:pStyle w:val="19"/>
                    <w:spacing w:before="120" w:after="120"/>
                  </w:pPr>
                  <w:r>
                    <w:t>主体工程</w:t>
                  </w:r>
                </w:p>
              </w:tc>
              <w:tc>
                <w:tcPr>
                  <w:tcW w:w="983" w:type="pct"/>
                  <w:tcBorders>
                    <w:tl2br w:val="nil"/>
                    <w:tr2bl w:val="nil"/>
                  </w:tcBorders>
                  <w:vAlign w:val="center"/>
                </w:tcPr>
                <w:p w14:paraId="66FEA4FF">
                  <w:pPr>
                    <w:pStyle w:val="19"/>
                    <w:spacing w:before="120" w:after="120"/>
                  </w:pPr>
                  <w:r>
                    <w:rPr>
                      <w:rFonts w:hint="eastAsia"/>
                    </w:rPr>
                    <w:t>危险化学品车辆专用停车场</w:t>
                  </w:r>
                </w:p>
              </w:tc>
              <w:tc>
                <w:tcPr>
                  <w:tcW w:w="3577" w:type="pct"/>
                  <w:tcBorders>
                    <w:tl2br w:val="nil"/>
                    <w:tr2bl w:val="nil"/>
                  </w:tcBorders>
                  <w:vAlign w:val="center"/>
                </w:tcPr>
                <w:p w14:paraId="3E725D2B">
                  <w:pPr>
                    <w:pStyle w:val="19"/>
                    <w:spacing w:before="120" w:after="120"/>
                  </w:pPr>
                  <w:r>
                    <w:rPr>
                      <w:rFonts w:hint="eastAsia"/>
                    </w:rPr>
                    <w:t>新建危化品运输车辆停车场1处，占地面积7848.03m</w:t>
                  </w:r>
                  <w:r>
                    <w:rPr>
                      <w:rFonts w:hint="eastAsia"/>
                      <w:vertAlign w:val="superscript"/>
                    </w:rPr>
                    <w:t>2</w:t>
                  </w:r>
                  <w:r>
                    <w:rPr>
                      <w:rFonts w:hint="eastAsia"/>
                    </w:rPr>
                    <w:t>，停车位共80个，其中</w:t>
                  </w:r>
                  <w:r>
                    <w:t>重载车辆停车位</w:t>
                  </w:r>
                  <w:r>
                    <w:rPr>
                      <w:rFonts w:hint="eastAsia"/>
                    </w:rPr>
                    <w:t>10个，</w:t>
                  </w:r>
                  <w:r>
                    <w:t>空车停车位</w:t>
                  </w:r>
                  <w:r>
                    <w:rPr>
                      <w:rFonts w:hint="eastAsia"/>
                    </w:rPr>
                    <w:t>70个</w:t>
                  </w:r>
                  <w:r>
                    <w:t>。</w:t>
                  </w:r>
                </w:p>
              </w:tc>
            </w:tr>
            <w:tr w14:paraId="5583C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pct"/>
                  <w:vMerge w:val="restart"/>
                  <w:tcBorders>
                    <w:tl2br w:val="nil"/>
                    <w:tr2bl w:val="nil"/>
                  </w:tcBorders>
                  <w:vAlign w:val="center"/>
                </w:tcPr>
                <w:p w14:paraId="46F9C002">
                  <w:pPr>
                    <w:pStyle w:val="19"/>
                    <w:spacing w:before="120" w:after="120"/>
                  </w:pPr>
                  <w:r>
                    <w:t>辅助工程</w:t>
                  </w:r>
                </w:p>
              </w:tc>
              <w:tc>
                <w:tcPr>
                  <w:tcW w:w="983" w:type="pct"/>
                  <w:tcBorders>
                    <w:tl2br w:val="nil"/>
                    <w:tr2bl w:val="nil"/>
                  </w:tcBorders>
                  <w:vAlign w:val="center"/>
                </w:tcPr>
                <w:p w14:paraId="468C6EAE">
                  <w:pPr>
                    <w:pStyle w:val="19"/>
                    <w:spacing w:before="120" w:after="120"/>
                  </w:pPr>
                  <w:r>
                    <w:rPr>
                      <w:rFonts w:hint="eastAsia"/>
                    </w:rPr>
                    <w:t>危险化学品车辆</w:t>
                  </w:r>
                  <w:r>
                    <w:t>候检区</w:t>
                  </w:r>
                </w:p>
              </w:tc>
              <w:tc>
                <w:tcPr>
                  <w:tcW w:w="3577" w:type="pct"/>
                  <w:tcBorders>
                    <w:tl2br w:val="nil"/>
                    <w:tr2bl w:val="nil"/>
                  </w:tcBorders>
                  <w:vAlign w:val="center"/>
                </w:tcPr>
                <w:p w14:paraId="53976717">
                  <w:pPr>
                    <w:pStyle w:val="19"/>
                    <w:spacing w:before="120" w:after="120"/>
                  </w:pPr>
                  <w:r>
                    <w:rPr>
                      <w:rFonts w:hint="eastAsia"/>
                    </w:rPr>
                    <w:t>新建危险化学品车辆</w:t>
                  </w:r>
                  <w:r>
                    <w:t>候检区</w:t>
                  </w:r>
                  <w:r>
                    <w:rPr>
                      <w:rFonts w:hint="eastAsia"/>
                    </w:rPr>
                    <w:t>1处，占地面积924m</w:t>
                  </w:r>
                  <w:r>
                    <w:rPr>
                      <w:rFonts w:hint="eastAsia"/>
                      <w:vertAlign w:val="superscript"/>
                    </w:rPr>
                    <w:t>2</w:t>
                  </w:r>
                  <w:r>
                    <w:rPr>
                      <w:rFonts w:hint="eastAsia"/>
                    </w:rPr>
                    <w:t>。</w:t>
                  </w:r>
                  <w:r>
                    <w:t>车辆候检</w:t>
                  </w:r>
                  <w:r>
                    <w:rPr>
                      <w:rFonts w:hint="eastAsia"/>
                    </w:rPr>
                    <w:t>需</w:t>
                  </w:r>
                  <w:r>
                    <w:t>分区停车</w:t>
                  </w:r>
                  <w:r>
                    <w:rPr>
                      <w:rFonts w:hint="eastAsia"/>
                    </w:rPr>
                    <w:t>，便于</w:t>
                  </w:r>
                  <w:r>
                    <w:t>检查车辆</w:t>
                  </w:r>
                  <w:r>
                    <w:rPr>
                      <w:rFonts w:hint="eastAsia"/>
                    </w:rPr>
                    <w:t>载重情况，</w:t>
                  </w:r>
                  <w:r>
                    <w:t>识别</w:t>
                  </w:r>
                  <w:r>
                    <w:rPr>
                      <w:rFonts w:hint="eastAsia"/>
                    </w:rPr>
                    <w:t>危险化学品</w:t>
                  </w:r>
                  <w:r>
                    <w:t>类别</w:t>
                  </w:r>
                  <w:r>
                    <w:rPr>
                      <w:rFonts w:hint="eastAsia"/>
                    </w:rPr>
                    <w:t>，进行车辆管理。</w:t>
                  </w:r>
                </w:p>
              </w:tc>
            </w:tr>
            <w:tr w14:paraId="08E7F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438" w:type="pct"/>
                  <w:vMerge w:val="continue"/>
                  <w:tcBorders>
                    <w:tl2br w:val="nil"/>
                    <w:tr2bl w:val="nil"/>
                  </w:tcBorders>
                  <w:vAlign w:val="center"/>
                </w:tcPr>
                <w:p w14:paraId="4BB503BC">
                  <w:pPr>
                    <w:pStyle w:val="19"/>
                    <w:spacing w:before="120" w:after="120"/>
                  </w:pPr>
                </w:p>
              </w:tc>
              <w:tc>
                <w:tcPr>
                  <w:tcW w:w="983" w:type="pct"/>
                  <w:tcBorders>
                    <w:tl2br w:val="nil"/>
                    <w:tr2bl w:val="nil"/>
                  </w:tcBorders>
                  <w:vAlign w:val="center"/>
                </w:tcPr>
                <w:p w14:paraId="071B1642">
                  <w:pPr>
                    <w:pStyle w:val="19"/>
                    <w:spacing w:before="120" w:after="120"/>
                  </w:pPr>
                  <w:r>
                    <w:t>综合管理用房</w:t>
                  </w:r>
                </w:p>
              </w:tc>
              <w:tc>
                <w:tcPr>
                  <w:tcW w:w="3577" w:type="pct"/>
                  <w:tcBorders>
                    <w:tl2br w:val="nil"/>
                    <w:tr2bl w:val="nil"/>
                  </w:tcBorders>
                  <w:vAlign w:val="center"/>
                </w:tcPr>
                <w:p w14:paraId="0BBAC80C">
                  <w:pPr>
                    <w:pStyle w:val="19"/>
                    <w:spacing w:before="120" w:after="120"/>
                  </w:pPr>
                  <w:r>
                    <w:rPr>
                      <w:rFonts w:hint="eastAsia"/>
                    </w:rPr>
                    <w:t>新建</w:t>
                  </w:r>
                  <w:r>
                    <w:t>综合管理用房</w:t>
                  </w:r>
                  <w:r>
                    <w:rPr>
                      <w:rFonts w:hint="eastAsia"/>
                    </w:rPr>
                    <w:t>1栋，单层框架结构，建筑面积315m</w:t>
                  </w:r>
                  <w:r>
                    <w:rPr>
                      <w:rFonts w:hint="eastAsia"/>
                      <w:vertAlign w:val="superscript"/>
                    </w:rPr>
                    <w:t>2</w:t>
                  </w:r>
                  <w:r>
                    <w:rPr>
                      <w:rFonts w:hint="eastAsia"/>
                    </w:rPr>
                    <w:t>。该构筑物是场区</w:t>
                  </w:r>
                  <w:r>
                    <w:t>管理人员的办公场所</w:t>
                  </w:r>
                  <w:r>
                    <w:rPr>
                      <w:rFonts w:hint="eastAsia"/>
                    </w:rPr>
                    <w:t>，</w:t>
                  </w:r>
                  <w:r>
                    <w:t>设有办公室</w:t>
                  </w:r>
                  <w:r>
                    <w:rPr>
                      <w:rFonts w:hint="eastAsia"/>
                    </w:rPr>
                    <w:t>、</w:t>
                  </w:r>
                  <w:r>
                    <w:t>监测监控室等功能房间。</w:t>
                  </w:r>
                </w:p>
              </w:tc>
            </w:tr>
            <w:tr w14:paraId="52BA7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438" w:type="pct"/>
                  <w:vMerge w:val="continue"/>
                  <w:tcBorders>
                    <w:tl2br w:val="nil"/>
                    <w:tr2bl w:val="nil"/>
                  </w:tcBorders>
                  <w:vAlign w:val="center"/>
                </w:tcPr>
                <w:p w14:paraId="30187269">
                  <w:pPr>
                    <w:pStyle w:val="19"/>
                    <w:spacing w:before="120" w:after="120"/>
                  </w:pPr>
                </w:p>
              </w:tc>
              <w:tc>
                <w:tcPr>
                  <w:tcW w:w="983" w:type="pct"/>
                  <w:tcBorders>
                    <w:tl2br w:val="nil"/>
                    <w:tr2bl w:val="nil"/>
                  </w:tcBorders>
                  <w:vAlign w:val="center"/>
                </w:tcPr>
                <w:p w14:paraId="7175C6B6">
                  <w:pPr>
                    <w:pStyle w:val="19"/>
                    <w:spacing w:before="120" w:after="120"/>
                  </w:pPr>
                  <w:r>
                    <w:t>辅助用房</w:t>
                  </w:r>
                </w:p>
              </w:tc>
              <w:tc>
                <w:tcPr>
                  <w:tcW w:w="3577" w:type="pct"/>
                  <w:tcBorders>
                    <w:tl2br w:val="nil"/>
                    <w:tr2bl w:val="nil"/>
                  </w:tcBorders>
                  <w:vAlign w:val="center"/>
                </w:tcPr>
                <w:p w14:paraId="0F28723E">
                  <w:pPr>
                    <w:pStyle w:val="19"/>
                    <w:spacing w:before="120" w:after="120"/>
                  </w:pPr>
                  <w:r>
                    <w:rPr>
                      <w:rFonts w:hint="eastAsia"/>
                    </w:rPr>
                    <w:t>新建</w:t>
                  </w:r>
                  <w:r>
                    <w:t>辅助用房</w:t>
                  </w:r>
                  <w:r>
                    <w:rPr>
                      <w:rFonts w:hint="eastAsia"/>
                    </w:rPr>
                    <w:t>1栋，单层框架结构，建筑面积972m</w:t>
                  </w:r>
                  <w:r>
                    <w:rPr>
                      <w:rFonts w:hint="eastAsia"/>
                      <w:vertAlign w:val="superscript"/>
                    </w:rPr>
                    <w:t>2</w:t>
                  </w:r>
                  <w:r>
                    <w:rPr>
                      <w:rFonts w:hint="eastAsia"/>
                    </w:rPr>
                    <w:t>。该构筑物用于</w:t>
                  </w:r>
                  <w:r>
                    <w:t>司机临时休息</w:t>
                  </w:r>
                  <w:r>
                    <w:rPr>
                      <w:rFonts w:hint="eastAsia"/>
                    </w:rPr>
                    <w:t>、</w:t>
                  </w:r>
                  <w:r>
                    <w:t>放置应急救援器材、应急救援物资、个体防护设施</w:t>
                  </w:r>
                  <w:r>
                    <w:rPr>
                      <w:rFonts w:hint="eastAsia"/>
                    </w:rPr>
                    <w:t>、</w:t>
                  </w:r>
                  <w:r>
                    <w:t>变电设备以及柴油发电机</w:t>
                  </w:r>
                  <w:r>
                    <w:rPr>
                      <w:rFonts w:hint="eastAsia"/>
                    </w:rPr>
                    <w:t>。</w:t>
                  </w:r>
                </w:p>
              </w:tc>
            </w:tr>
            <w:tr w14:paraId="70070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438" w:type="pct"/>
                  <w:vMerge w:val="continue"/>
                  <w:tcBorders>
                    <w:tl2br w:val="nil"/>
                    <w:tr2bl w:val="nil"/>
                  </w:tcBorders>
                  <w:vAlign w:val="center"/>
                </w:tcPr>
                <w:p w14:paraId="4E5A5580">
                  <w:pPr>
                    <w:pStyle w:val="19"/>
                    <w:spacing w:before="120" w:after="120"/>
                  </w:pPr>
                </w:p>
              </w:tc>
              <w:tc>
                <w:tcPr>
                  <w:tcW w:w="983" w:type="pct"/>
                  <w:tcBorders>
                    <w:tl2br w:val="nil"/>
                    <w:tr2bl w:val="nil"/>
                  </w:tcBorders>
                  <w:vAlign w:val="center"/>
                </w:tcPr>
                <w:p w14:paraId="4C5A37C6">
                  <w:pPr>
                    <w:pStyle w:val="19"/>
                    <w:spacing w:before="120" w:after="120"/>
                  </w:pPr>
                  <w:r>
                    <w:rPr>
                      <w:rFonts w:hint="eastAsia"/>
                    </w:rPr>
                    <w:t>门卫</w:t>
                  </w:r>
                </w:p>
              </w:tc>
              <w:tc>
                <w:tcPr>
                  <w:tcW w:w="3577" w:type="pct"/>
                  <w:tcBorders>
                    <w:tl2br w:val="nil"/>
                    <w:tr2bl w:val="nil"/>
                  </w:tcBorders>
                  <w:vAlign w:val="center"/>
                </w:tcPr>
                <w:p w14:paraId="7EA3BD36">
                  <w:pPr>
                    <w:pStyle w:val="19"/>
                    <w:spacing w:before="120" w:after="120"/>
                  </w:pPr>
                  <w:r>
                    <w:rPr>
                      <w:rFonts w:hint="eastAsia"/>
                    </w:rPr>
                    <w:t>新建门卫1座，建筑面积72m</w:t>
                  </w:r>
                  <w:r>
                    <w:rPr>
                      <w:rFonts w:hint="eastAsia"/>
                      <w:vertAlign w:val="superscript"/>
                    </w:rPr>
                    <w:t>2</w:t>
                  </w:r>
                  <w:r>
                    <w:rPr>
                      <w:rFonts w:hint="eastAsia"/>
                    </w:rPr>
                    <w:t>，安保人员需控制门禁、停车收费等，是</w:t>
                  </w:r>
                  <w:r>
                    <w:t>安保人员办公的场所</w:t>
                  </w:r>
                  <w:r>
                    <w:rPr>
                      <w:rFonts w:hint="eastAsia"/>
                    </w:rPr>
                    <w:t>。</w:t>
                  </w:r>
                </w:p>
              </w:tc>
            </w:tr>
            <w:tr w14:paraId="6E47C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pct"/>
                  <w:vMerge w:val="continue"/>
                  <w:tcBorders>
                    <w:tl2br w:val="nil"/>
                    <w:tr2bl w:val="nil"/>
                  </w:tcBorders>
                  <w:vAlign w:val="center"/>
                </w:tcPr>
                <w:p w14:paraId="1B4558ED">
                  <w:pPr>
                    <w:pStyle w:val="19"/>
                    <w:spacing w:before="120" w:after="120"/>
                  </w:pPr>
                </w:p>
              </w:tc>
              <w:tc>
                <w:tcPr>
                  <w:tcW w:w="983" w:type="pct"/>
                  <w:tcBorders>
                    <w:tl2br w:val="nil"/>
                    <w:tr2bl w:val="nil"/>
                  </w:tcBorders>
                  <w:vAlign w:val="center"/>
                </w:tcPr>
                <w:p w14:paraId="39734E46">
                  <w:pPr>
                    <w:pStyle w:val="19"/>
                    <w:spacing w:before="120" w:after="120"/>
                  </w:pPr>
                  <w:r>
                    <w:t>维修车间</w:t>
                  </w:r>
                </w:p>
              </w:tc>
              <w:tc>
                <w:tcPr>
                  <w:tcW w:w="3577" w:type="pct"/>
                  <w:tcBorders>
                    <w:tl2br w:val="nil"/>
                    <w:tr2bl w:val="nil"/>
                  </w:tcBorders>
                  <w:vAlign w:val="center"/>
                </w:tcPr>
                <w:p w14:paraId="00CE8BC1">
                  <w:pPr>
                    <w:pStyle w:val="19"/>
                    <w:spacing w:before="120" w:after="120"/>
                  </w:pPr>
                  <w:r>
                    <w:rPr>
                      <w:rFonts w:hint="eastAsia"/>
                    </w:rPr>
                    <w:t>新建维修车间1座，建筑面积160.276m</w:t>
                  </w:r>
                  <w:r>
                    <w:rPr>
                      <w:rFonts w:hint="eastAsia"/>
                      <w:vertAlign w:val="superscript"/>
                    </w:rPr>
                    <w:t>2</w:t>
                  </w:r>
                  <w:r>
                    <w:rPr>
                      <w:rFonts w:hint="eastAsia"/>
                    </w:rPr>
                    <w:t>。用于车辆简单维修，如更换机油、换轮胎等，不进行喷漆、焊接等活动。</w:t>
                  </w:r>
                </w:p>
              </w:tc>
            </w:tr>
            <w:tr w14:paraId="0587F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pct"/>
                  <w:vMerge w:val="continue"/>
                  <w:tcBorders>
                    <w:tl2br w:val="nil"/>
                    <w:tr2bl w:val="nil"/>
                  </w:tcBorders>
                  <w:vAlign w:val="center"/>
                </w:tcPr>
                <w:p w14:paraId="1CCA72BA">
                  <w:pPr>
                    <w:pStyle w:val="19"/>
                    <w:spacing w:before="120" w:after="120"/>
                  </w:pPr>
                </w:p>
              </w:tc>
              <w:tc>
                <w:tcPr>
                  <w:tcW w:w="983" w:type="pct"/>
                  <w:tcBorders>
                    <w:tl2br w:val="nil"/>
                    <w:tr2bl w:val="nil"/>
                  </w:tcBorders>
                  <w:vAlign w:val="center"/>
                </w:tcPr>
                <w:p w14:paraId="2AB4C766">
                  <w:pPr>
                    <w:pStyle w:val="19"/>
                    <w:spacing w:before="120" w:after="120"/>
                  </w:pPr>
                  <w:r>
                    <w:rPr>
                      <w:rFonts w:hint="eastAsia"/>
                    </w:rPr>
                    <w:t>洗车车间</w:t>
                  </w:r>
                </w:p>
              </w:tc>
              <w:tc>
                <w:tcPr>
                  <w:tcW w:w="3577" w:type="pct"/>
                  <w:tcBorders>
                    <w:tl2br w:val="nil"/>
                    <w:tr2bl w:val="nil"/>
                  </w:tcBorders>
                  <w:vAlign w:val="center"/>
                </w:tcPr>
                <w:p w14:paraId="066EFF0D">
                  <w:pPr>
                    <w:pStyle w:val="19"/>
                    <w:spacing w:before="120" w:after="120"/>
                  </w:pPr>
                  <w:r>
                    <w:rPr>
                      <w:rFonts w:hint="eastAsia"/>
                    </w:rPr>
                    <w:t>新建洗车车间1座，建筑面积160.276m</w:t>
                  </w:r>
                  <w:r>
                    <w:rPr>
                      <w:rFonts w:hint="eastAsia"/>
                      <w:vertAlign w:val="superscript"/>
                    </w:rPr>
                    <w:t>2</w:t>
                  </w:r>
                  <w:r>
                    <w:rPr>
                      <w:rFonts w:hint="eastAsia"/>
                    </w:rPr>
                    <w:t>。用于车辆外部简单冲洗，不对车（罐）内壁进行清洗。</w:t>
                  </w:r>
                </w:p>
              </w:tc>
            </w:tr>
            <w:tr w14:paraId="644BF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pct"/>
                  <w:vMerge w:val="continue"/>
                  <w:tcBorders>
                    <w:tl2br w:val="nil"/>
                    <w:tr2bl w:val="nil"/>
                  </w:tcBorders>
                  <w:vAlign w:val="center"/>
                </w:tcPr>
                <w:p w14:paraId="5399DEE2">
                  <w:pPr>
                    <w:pStyle w:val="19"/>
                    <w:spacing w:before="120" w:after="120"/>
                  </w:pPr>
                </w:p>
              </w:tc>
              <w:tc>
                <w:tcPr>
                  <w:tcW w:w="983" w:type="pct"/>
                  <w:tcBorders>
                    <w:tl2br w:val="nil"/>
                    <w:tr2bl w:val="nil"/>
                  </w:tcBorders>
                  <w:vAlign w:val="center"/>
                </w:tcPr>
                <w:p w14:paraId="264BCE84">
                  <w:pPr>
                    <w:pStyle w:val="19"/>
                    <w:spacing w:before="120" w:after="120"/>
                  </w:pPr>
                  <w:r>
                    <w:rPr>
                      <w:rFonts w:hint="eastAsia"/>
                    </w:rPr>
                    <w:t>事故水池和初期雨水池</w:t>
                  </w:r>
                </w:p>
              </w:tc>
              <w:tc>
                <w:tcPr>
                  <w:tcW w:w="3577" w:type="pct"/>
                  <w:tcBorders>
                    <w:tl2br w:val="nil"/>
                    <w:tr2bl w:val="nil"/>
                  </w:tcBorders>
                  <w:vAlign w:val="center"/>
                </w:tcPr>
                <w:p w14:paraId="4E68F8F7">
                  <w:pPr>
                    <w:pStyle w:val="19"/>
                    <w:spacing w:before="120" w:after="120"/>
                  </w:pPr>
                  <w:r>
                    <w:rPr>
                      <w:rFonts w:hint="eastAsia"/>
                    </w:rPr>
                    <w:t>新建</w:t>
                  </w:r>
                  <w:r>
                    <w:t>事故水池和初期雨水池</w:t>
                  </w:r>
                  <w:r>
                    <w:rPr>
                      <w:rFonts w:hint="eastAsia"/>
                    </w:rPr>
                    <w:t>，总占地面积300m</w:t>
                  </w:r>
                  <w:r>
                    <w:rPr>
                      <w:rFonts w:hint="eastAsia"/>
                      <w:vertAlign w:val="superscript"/>
                    </w:rPr>
                    <w:t>2</w:t>
                  </w:r>
                  <w:r>
                    <w:rPr>
                      <w:rFonts w:hint="eastAsia"/>
                    </w:rPr>
                    <w:t>。</w:t>
                  </w:r>
                  <w:r>
                    <w:t>事故水池</w:t>
                  </w:r>
                  <w:r>
                    <w:rPr>
                      <w:rFonts w:hint="eastAsia"/>
                    </w:rPr>
                    <w:t>用于收集消防废水及事故废水，</w:t>
                  </w:r>
                  <w:r>
                    <w:t>初期雨水池</w:t>
                  </w:r>
                  <w:r>
                    <w:rPr>
                      <w:rFonts w:hint="eastAsia"/>
                    </w:rPr>
                    <w:t>用于收集</w:t>
                  </w:r>
                  <w:r>
                    <w:t>初期雨水</w:t>
                  </w:r>
                  <w:r>
                    <w:rPr>
                      <w:rFonts w:hint="eastAsia"/>
                    </w:rPr>
                    <w:t>。</w:t>
                  </w:r>
                </w:p>
              </w:tc>
            </w:tr>
            <w:tr w14:paraId="0C0B0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pct"/>
                  <w:vMerge w:val="continue"/>
                  <w:tcBorders>
                    <w:tl2br w:val="nil"/>
                    <w:tr2bl w:val="nil"/>
                  </w:tcBorders>
                  <w:vAlign w:val="center"/>
                </w:tcPr>
                <w:p w14:paraId="73FDFF87">
                  <w:pPr>
                    <w:pStyle w:val="19"/>
                    <w:spacing w:before="120" w:after="120"/>
                  </w:pPr>
                </w:p>
              </w:tc>
              <w:tc>
                <w:tcPr>
                  <w:tcW w:w="983" w:type="pct"/>
                  <w:tcBorders>
                    <w:tl2br w:val="nil"/>
                    <w:tr2bl w:val="nil"/>
                  </w:tcBorders>
                  <w:vAlign w:val="center"/>
                </w:tcPr>
                <w:p w14:paraId="28D8DA3B">
                  <w:pPr>
                    <w:pStyle w:val="19"/>
                    <w:spacing w:before="120" w:after="120"/>
                  </w:pPr>
                  <w:r>
                    <w:t>一体化污水处理</w:t>
                  </w:r>
                  <w:r>
                    <w:rPr>
                      <w:rFonts w:hint="eastAsia"/>
                    </w:rPr>
                    <w:t>设备</w:t>
                  </w:r>
                </w:p>
              </w:tc>
              <w:tc>
                <w:tcPr>
                  <w:tcW w:w="3577" w:type="pct"/>
                  <w:tcBorders>
                    <w:tl2br w:val="nil"/>
                    <w:tr2bl w:val="nil"/>
                  </w:tcBorders>
                  <w:vAlign w:val="center"/>
                </w:tcPr>
                <w:p w14:paraId="50011EC4">
                  <w:pPr>
                    <w:pStyle w:val="19"/>
                    <w:spacing w:before="120" w:after="120"/>
                  </w:pPr>
                  <w:r>
                    <w:rPr>
                      <w:rFonts w:hint="eastAsia"/>
                    </w:rPr>
                    <w:t>采购</w:t>
                  </w:r>
                  <w:r>
                    <w:t>WSZ-AO-5地埋式一体化污水处理</w:t>
                  </w:r>
                  <w:r>
                    <w:rPr>
                      <w:rFonts w:hint="eastAsia"/>
                    </w:rPr>
                    <w:t>设备，标准处理量为5t/h，占地面积105m</w:t>
                  </w:r>
                  <w:r>
                    <w:rPr>
                      <w:rFonts w:hint="eastAsia"/>
                      <w:vertAlign w:val="superscript"/>
                    </w:rPr>
                    <w:t>2</w:t>
                  </w:r>
                  <w:r>
                    <w:rPr>
                      <w:rFonts w:hint="eastAsia"/>
                    </w:rPr>
                    <w:t>。</w:t>
                  </w:r>
                </w:p>
              </w:tc>
            </w:tr>
            <w:tr w14:paraId="1D284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pct"/>
                  <w:vMerge w:val="continue"/>
                  <w:tcBorders>
                    <w:tl2br w:val="nil"/>
                    <w:tr2bl w:val="nil"/>
                  </w:tcBorders>
                  <w:vAlign w:val="center"/>
                </w:tcPr>
                <w:p w14:paraId="35F7511E">
                  <w:pPr>
                    <w:pStyle w:val="19"/>
                    <w:spacing w:before="120" w:after="120"/>
                  </w:pPr>
                </w:p>
              </w:tc>
              <w:tc>
                <w:tcPr>
                  <w:tcW w:w="983" w:type="pct"/>
                  <w:tcBorders>
                    <w:tl2br w:val="nil"/>
                    <w:tr2bl w:val="nil"/>
                  </w:tcBorders>
                  <w:vAlign w:val="center"/>
                </w:tcPr>
                <w:p w14:paraId="60E332E1">
                  <w:pPr>
                    <w:pStyle w:val="19"/>
                    <w:spacing w:before="120" w:after="120"/>
                  </w:pPr>
                  <w:r>
                    <w:rPr>
                      <w:rFonts w:hint="eastAsia"/>
                    </w:rPr>
                    <w:t>消防</w:t>
                  </w:r>
                  <w:r>
                    <w:t>水池</w:t>
                  </w:r>
                </w:p>
              </w:tc>
              <w:tc>
                <w:tcPr>
                  <w:tcW w:w="3577" w:type="pct"/>
                  <w:tcBorders>
                    <w:tl2br w:val="nil"/>
                    <w:tr2bl w:val="nil"/>
                  </w:tcBorders>
                  <w:vAlign w:val="center"/>
                </w:tcPr>
                <w:p w14:paraId="60A59947">
                  <w:pPr>
                    <w:pStyle w:val="19"/>
                    <w:spacing w:before="120" w:after="120"/>
                  </w:pPr>
                  <w:r>
                    <w:t>新建</w:t>
                  </w:r>
                  <w:r>
                    <w:rPr>
                      <w:rFonts w:hint="eastAsia"/>
                    </w:rPr>
                    <w:t>消防</w:t>
                  </w:r>
                  <w:r>
                    <w:t>水池</w:t>
                  </w:r>
                  <w:r>
                    <w:rPr>
                      <w:rFonts w:hint="eastAsia"/>
                    </w:rPr>
                    <w:t>1座，占地面积260.82m</w:t>
                  </w:r>
                  <w:r>
                    <w:rPr>
                      <w:rFonts w:hint="eastAsia"/>
                      <w:vertAlign w:val="superscript"/>
                    </w:rPr>
                    <w:t>2</w:t>
                  </w:r>
                  <w:r>
                    <w:rPr>
                      <w:rFonts w:hint="eastAsia"/>
                    </w:rPr>
                    <w:t>，</w:t>
                  </w:r>
                  <w:r>
                    <w:t>有效容积400</w:t>
                  </w:r>
                  <w:r>
                    <w:rPr>
                      <w:rFonts w:hint="eastAsia"/>
                    </w:rPr>
                    <w:t>m</w:t>
                  </w:r>
                  <w:r>
                    <w:rPr>
                      <w:rFonts w:hint="eastAsia"/>
                      <w:vertAlign w:val="superscript"/>
                    </w:rPr>
                    <w:t>3</w:t>
                  </w:r>
                  <w:r>
                    <w:rPr>
                      <w:rFonts w:hint="eastAsia"/>
                    </w:rPr>
                    <w:t>。水池</w:t>
                  </w:r>
                  <w:r>
                    <w:t>分两格</w:t>
                  </w:r>
                  <w:r>
                    <w:rPr>
                      <w:rFonts w:hint="eastAsia"/>
                    </w:rPr>
                    <w:t>，</w:t>
                  </w:r>
                  <w:r>
                    <w:t>封顶1000mm覆土</w:t>
                  </w:r>
                  <w:r>
                    <w:rPr>
                      <w:rFonts w:hint="eastAsia"/>
                    </w:rPr>
                    <w:t>，</w:t>
                  </w:r>
                  <w:r>
                    <w:t>设DN300连通管将两格水池相连。消防水池由园区自来水补水</w:t>
                  </w:r>
                  <w:r>
                    <w:rPr>
                      <w:rFonts w:hint="eastAsia"/>
                    </w:rPr>
                    <w:t>，</w:t>
                  </w:r>
                  <w:r>
                    <w:t>补水时间小于48小时</w:t>
                  </w:r>
                  <w:r>
                    <w:rPr>
                      <w:rFonts w:hint="eastAsia"/>
                    </w:rPr>
                    <w:t>，</w:t>
                  </w:r>
                  <w:r>
                    <w:t>每格消防水池分别设DN100补水管。</w:t>
                  </w:r>
                </w:p>
              </w:tc>
            </w:tr>
            <w:tr w14:paraId="713D8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pct"/>
                  <w:vMerge w:val="continue"/>
                  <w:tcBorders>
                    <w:tl2br w:val="nil"/>
                    <w:tr2bl w:val="nil"/>
                  </w:tcBorders>
                  <w:vAlign w:val="center"/>
                </w:tcPr>
                <w:p w14:paraId="710AA841">
                  <w:pPr>
                    <w:pStyle w:val="19"/>
                    <w:spacing w:before="120" w:after="120"/>
                  </w:pPr>
                </w:p>
              </w:tc>
              <w:tc>
                <w:tcPr>
                  <w:tcW w:w="983" w:type="pct"/>
                  <w:tcBorders>
                    <w:tl2br w:val="nil"/>
                    <w:tr2bl w:val="nil"/>
                  </w:tcBorders>
                  <w:vAlign w:val="center"/>
                </w:tcPr>
                <w:p w14:paraId="7AF47E97">
                  <w:pPr>
                    <w:pStyle w:val="19"/>
                    <w:spacing w:before="120" w:after="120"/>
                  </w:pPr>
                  <w:r>
                    <w:rPr>
                      <w:rFonts w:hint="eastAsia"/>
                    </w:rPr>
                    <w:t>消防泵房</w:t>
                  </w:r>
                </w:p>
              </w:tc>
              <w:tc>
                <w:tcPr>
                  <w:tcW w:w="3577" w:type="pct"/>
                  <w:tcBorders>
                    <w:tl2br w:val="nil"/>
                    <w:tr2bl w:val="nil"/>
                  </w:tcBorders>
                  <w:vAlign w:val="center"/>
                </w:tcPr>
                <w:p w14:paraId="54BC5D8D">
                  <w:pPr>
                    <w:pStyle w:val="19"/>
                    <w:spacing w:before="120" w:after="120"/>
                  </w:pPr>
                  <w:r>
                    <w:rPr>
                      <w:rFonts w:hint="eastAsia"/>
                    </w:rPr>
                    <w:t>新建半地下式消防泵泵房一座，单层框架结构，建筑面积111.78m</w:t>
                  </w:r>
                  <w:r>
                    <w:rPr>
                      <w:rFonts w:hint="eastAsia"/>
                      <w:vertAlign w:val="superscript"/>
                    </w:rPr>
                    <w:t>2</w:t>
                  </w:r>
                  <w:r>
                    <w:rPr>
                      <w:rFonts w:hint="eastAsia"/>
                    </w:rPr>
                    <w:t>，埋地深3米，地面高6米，有配电室，</w:t>
                  </w:r>
                  <w:r>
                    <w:t>设消防电泵、消防柴油泵各一台</w:t>
                  </w:r>
                  <w:r>
                    <w:rPr>
                      <w:rFonts w:hint="eastAsia"/>
                    </w:rPr>
                    <w:t>（</w:t>
                  </w:r>
                  <w:r>
                    <w:t>柴油泵</w:t>
                  </w:r>
                  <w:r>
                    <w:rPr>
                      <w:rFonts w:hint="eastAsia"/>
                    </w:rPr>
                    <w:t>为备用）。</w:t>
                  </w:r>
                </w:p>
              </w:tc>
            </w:tr>
            <w:tr w14:paraId="5F87F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pct"/>
                  <w:vMerge w:val="restart"/>
                  <w:tcBorders>
                    <w:tl2br w:val="nil"/>
                    <w:tr2bl w:val="nil"/>
                  </w:tcBorders>
                  <w:vAlign w:val="center"/>
                </w:tcPr>
                <w:p w14:paraId="1C20345C">
                  <w:pPr>
                    <w:pStyle w:val="19"/>
                    <w:spacing w:before="120" w:after="120"/>
                  </w:pPr>
                  <w:r>
                    <w:t>公用工程</w:t>
                  </w:r>
                </w:p>
              </w:tc>
              <w:tc>
                <w:tcPr>
                  <w:tcW w:w="983" w:type="pct"/>
                  <w:tcBorders>
                    <w:tl2br w:val="nil"/>
                    <w:tr2bl w:val="nil"/>
                  </w:tcBorders>
                  <w:vAlign w:val="center"/>
                </w:tcPr>
                <w:p w14:paraId="3272918F">
                  <w:pPr>
                    <w:pStyle w:val="19"/>
                    <w:spacing w:before="120" w:after="120"/>
                  </w:pPr>
                  <w:r>
                    <w:rPr>
                      <w:rFonts w:hint="eastAsia"/>
                    </w:rPr>
                    <w:t>给水</w:t>
                  </w:r>
                </w:p>
              </w:tc>
              <w:tc>
                <w:tcPr>
                  <w:tcW w:w="3577" w:type="pct"/>
                  <w:tcBorders>
                    <w:tl2br w:val="nil"/>
                    <w:tr2bl w:val="nil"/>
                  </w:tcBorders>
                  <w:vAlign w:val="center"/>
                </w:tcPr>
                <w:p w14:paraId="29B2A50B">
                  <w:pPr>
                    <w:pStyle w:val="19"/>
                    <w:spacing w:before="120" w:after="120"/>
                  </w:pPr>
                  <w:r>
                    <w:rPr>
                      <w:rFonts w:hint="eastAsia"/>
                    </w:rPr>
                    <w:t>本项目用水项为员工用水、绿化用水、洗车用水和消防用水。消防用水由场区的消防给水系统提供，其余用水由</w:t>
                  </w:r>
                  <w:r>
                    <w:t>园区自来水给水管网直接供应自来水</w:t>
                  </w:r>
                  <w:r>
                    <w:rPr>
                      <w:rFonts w:hint="eastAsia"/>
                    </w:rPr>
                    <w:t>。</w:t>
                  </w:r>
                </w:p>
              </w:tc>
            </w:tr>
            <w:tr w14:paraId="622DC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pct"/>
                  <w:vMerge w:val="continue"/>
                  <w:tcBorders>
                    <w:tl2br w:val="nil"/>
                    <w:tr2bl w:val="nil"/>
                  </w:tcBorders>
                  <w:vAlign w:val="center"/>
                </w:tcPr>
                <w:p w14:paraId="0C5C5607">
                  <w:pPr>
                    <w:pStyle w:val="19"/>
                    <w:spacing w:before="120" w:after="120"/>
                  </w:pPr>
                </w:p>
              </w:tc>
              <w:tc>
                <w:tcPr>
                  <w:tcW w:w="983" w:type="pct"/>
                  <w:tcBorders>
                    <w:tl2br w:val="nil"/>
                    <w:tr2bl w:val="nil"/>
                  </w:tcBorders>
                  <w:vAlign w:val="center"/>
                </w:tcPr>
                <w:p w14:paraId="3C42E719">
                  <w:pPr>
                    <w:pStyle w:val="19"/>
                    <w:spacing w:before="120" w:after="120"/>
                  </w:pPr>
                  <w:r>
                    <w:rPr>
                      <w:rFonts w:hint="eastAsia"/>
                    </w:rPr>
                    <w:t>排水</w:t>
                  </w:r>
                </w:p>
              </w:tc>
              <w:tc>
                <w:tcPr>
                  <w:tcW w:w="3577" w:type="pct"/>
                  <w:tcBorders>
                    <w:tl2br w:val="nil"/>
                    <w:tr2bl w:val="nil"/>
                  </w:tcBorders>
                  <w:vAlign w:val="center"/>
                </w:tcPr>
                <w:p w14:paraId="2B7283F8">
                  <w:pPr>
                    <w:pStyle w:val="19"/>
                    <w:spacing w:before="120" w:after="120"/>
                  </w:pPr>
                  <w:r>
                    <w:rPr>
                      <w:rFonts w:hint="eastAsia"/>
                    </w:rPr>
                    <w:t>本项目排水采用雨污分流制，</w:t>
                  </w:r>
                  <w:r>
                    <w:t>生活污水、消防废水</w:t>
                  </w:r>
                  <w:r>
                    <w:rPr>
                      <w:rFonts w:hint="eastAsia"/>
                    </w:rPr>
                    <w:t>集中</w:t>
                  </w:r>
                  <w:r>
                    <w:t>收集后排入园区污水管网</w:t>
                  </w:r>
                  <w:r>
                    <w:rPr>
                      <w:rFonts w:hint="eastAsia"/>
                    </w:rPr>
                    <w:t>，初期</w:t>
                  </w:r>
                  <w:r>
                    <w:t>雨水排入园区雨水管网</w:t>
                  </w:r>
                  <w:r>
                    <w:rPr>
                      <w:rFonts w:hint="eastAsia"/>
                    </w:rPr>
                    <w:t>，洗车污水经一体化处理设施处理后回用于洗车。</w:t>
                  </w:r>
                </w:p>
              </w:tc>
            </w:tr>
            <w:tr w14:paraId="7D889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vMerge w:val="continue"/>
                  <w:tcBorders>
                    <w:tl2br w:val="nil"/>
                    <w:tr2bl w:val="nil"/>
                  </w:tcBorders>
                  <w:vAlign w:val="center"/>
                </w:tcPr>
                <w:p w14:paraId="59A31483">
                  <w:pPr>
                    <w:pStyle w:val="19"/>
                    <w:spacing w:before="120" w:after="120"/>
                  </w:pPr>
                </w:p>
              </w:tc>
              <w:tc>
                <w:tcPr>
                  <w:tcW w:w="983" w:type="pct"/>
                  <w:tcBorders>
                    <w:tl2br w:val="nil"/>
                    <w:tr2bl w:val="nil"/>
                  </w:tcBorders>
                  <w:vAlign w:val="center"/>
                </w:tcPr>
                <w:p w14:paraId="0164FCA9">
                  <w:pPr>
                    <w:pStyle w:val="19"/>
                    <w:spacing w:before="120" w:after="120"/>
                  </w:pPr>
                  <w:r>
                    <w:rPr>
                      <w:rFonts w:hint="eastAsia"/>
                    </w:rPr>
                    <w:t>供电</w:t>
                  </w:r>
                </w:p>
              </w:tc>
              <w:tc>
                <w:tcPr>
                  <w:tcW w:w="3577" w:type="pct"/>
                  <w:tcBorders>
                    <w:tl2br w:val="nil"/>
                    <w:tr2bl w:val="nil"/>
                  </w:tcBorders>
                  <w:vAlign w:val="center"/>
                </w:tcPr>
                <w:p w14:paraId="6624EA77">
                  <w:pPr>
                    <w:pStyle w:val="19"/>
                    <w:spacing w:before="120" w:after="120"/>
                  </w:pPr>
                  <w:r>
                    <w:t>本项目供电电源由鄂托克经济开发区蒙西产业园变电站10kV侧引入1回高压线路</w:t>
                  </w:r>
                  <w:r>
                    <w:rPr>
                      <w:rFonts w:hint="eastAsia"/>
                    </w:rPr>
                    <w:t>，</w:t>
                  </w:r>
                  <w:r>
                    <w:t>10kV线路接入本项目变电站</w:t>
                  </w:r>
                  <w:r>
                    <w:rPr>
                      <w:rFonts w:hint="eastAsia"/>
                    </w:rPr>
                    <w:t>，</w:t>
                  </w:r>
                  <w:r>
                    <w:t>经10/0.4kV变压器降压为0.4kV后供给本项目场区内各车间及辅助附属系统供电。</w:t>
                  </w:r>
                </w:p>
              </w:tc>
            </w:tr>
            <w:tr w14:paraId="2D991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pct"/>
                  <w:vMerge w:val="continue"/>
                  <w:tcBorders>
                    <w:tl2br w:val="nil"/>
                    <w:tr2bl w:val="nil"/>
                  </w:tcBorders>
                  <w:vAlign w:val="center"/>
                </w:tcPr>
                <w:p w14:paraId="77539BDF">
                  <w:pPr>
                    <w:pStyle w:val="19"/>
                    <w:spacing w:before="120" w:after="120"/>
                  </w:pPr>
                </w:p>
              </w:tc>
              <w:tc>
                <w:tcPr>
                  <w:tcW w:w="983" w:type="pct"/>
                  <w:tcBorders>
                    <w:tl2br w:val="nil"/>
                    <w:tr2bl w:val="nil"/>
                  </w:tcBorders>
                  <w:vAlign w:val="center"/>
                </w:tcPr>
                <w:p w14:paraId="341D87C7">
                  <w:pPr>
                    <w:pStyle w:val="19"/>
                    <w:spacing w:before="120" w:after="120"/>
                  </w:pPr>
                  <w:r>
                    <w:rPr>
                      <w:rFonts w:hint="eastAsia"/>
                    </w:rPr>
                    <w:t>供暖</w:t>
                  </w:r>
                </w:p>
              </w:tc>
              <w:tc>
                <w:tcPr>
                  <w:tcW w:w="3577" w:type="pct"/>
                  <w:tcBorders>
                    <w:tl2br w:val="nil"/>
                    <w:tr2bl w:val="nil"/>
                  </w:tcBorders>
                  <w:vAlign w:val="center"/>
                </w:tcPr>
                <w:p w14:paraId="13A16DE5">
                  <w:pPr>
                    <w:pStyle w:val="19"/>
                    <w:spacing w:before="120" w:after="120"/>
                  </w:pPr>
                  <w:r>
                    <w:rPr>
                      <w:rFonts w:hint="eastAsia"/>
                    </w:rPr>
                    <w:t>本项目冬季运行个别构筑物需供暖，</w:t>
                  </w:r>
                  <w:r>
                    <w:t>由园区换热站供给</w:t>
                  </w:r>
                  <w:r>
                    <w:rPr>
                      <w:rFonts w:hint="eastAsia"/>
                    </w:rPr>
                    <w:t>，供暖指标为</w:t>
                  </w:r>
                  <w:r>
                    <w:t>75℃热水</w:t>
                  </w:r>
                  <w:r>
                    <w:rPr>
                      <w:rFonts w:hint="eastAsia"/>
                    </w:rPr>
                    <w:t>，</w:t>
                  </w:r>
                  <w:r>
                    <w:t>50℃回水</w:t>
                  </w:r>
                  <w:r>
                    <w:rPr>
                      <w:rFonts w:hint="eastAsia"/>
                    </w:rPr>
                    <w:t>。</w:t>
                  </w:r>
                </w:p>
              </w:tc>
            </w:tr>
            <w:tr w14:paraId="16FD1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pct"/>
                  <w:vMerge w:val="continue"/>
                  <w:tcBorders>
                    <w:tl2br w:val="nil"/>
                    <w:tr2bl w:val="nil"/>
                  </w:tcBorders>
                  <w:vAlign w:val="center"/>
                </w:tcPr>
                <w:p w14:paraId="2CE468E4">
                  <w:pPr>
                    <w:pStyle w:val="19"/>
                    <w:spacing w:before="120" w:after="120"/>
                  </w:pPr>
                </w:p>
              </w:tc>
              <w:tc>
                <w:tcPr>
                  <w:tcW w:w="983" w:type="pct"/>
                  <w:tcBorders>
                    <w:tl2br w:val="nil"/>
                    <w:tr2bl w:val="nil"/>
                  </w:tcBorders>
                  <w:vAlign w:val="center"/>
                </w:tcPr>
                <w:p w14:paraId="7DC67823">
                  <w:pPr>
                    <w:pStyle w:val="19"/>
                    <w:spacing w:before="120" w:after="120"/>
                  </w:pPr>
                  <w:r>
                    <w:rPr>
                      <w:rFonts w:hint="eastAsia"/>
                    </w:rPr>
                    <w:t>消防</w:t>
                  </w:r>
                </w:p>
              </w:tc>
              <w:tc>
                <w:tcPr>
                  <w:tcW w:w="3577" w:type="pct"/>
                  <w:tcBorders>
                    <w:tl2br w:val="nil"/>
                    <w:tr2bl w:val="nil"/>
                  </w:tcBorders>
                  <w:vAlign w:val="center"/>
                </w:tcPr>
                <w:p w14:paraId="3B88F6C9">
                  <w:pPr>
                    <w:pStyle w:val="19"/>
                    <w:spacing w:before="120" w:after="120"/>
                  </w:pPr>
                  <w:r>
                    <w:rPr>
                      <w:rFonts w:hint="eastAsia"/>
                    </w:rPr>
                    <w:t>消防泵房外接2</w:t>
                  </w:r>
                  <w:r>
                    <w:t>条DN250</w:t>
                  </w:r>
                  <w:r>
                    <w:rPr>
                      <w:rFonts w:hint="eastAsia"/>
                    </w:rPr>
                    <w:t>的</w:t>
                  </w:r>
                  <w:r>
                    <w:t>消防供水管与</w:t>
                  </w:r>
                  <w:r>
                    <w:rPr>
                      <w:rFonts w:hint="eastAsia"/>
                    </w:rPr>
                    <w:t>园区</w:t>
                  </w:r>
                  <w:r>
                    <w:t>环状消防管网相接</w:t>
                  </w:r>
                  <w:r>
                    <w:rPr>
                      <w:rFonts w:hint="eastAsia"/>
                    </w:rPr>
                    <w:t>，提供消防用水，内接2条</w:t>
                  </w:r>
                  <w:r>
                    <w:t>DN250</w:t>
                  </w:r>
                  <w:r>
                    <w:rPr>
                      <w:rFonts w:hint="eastAsia"/>
                    </w:rPr>
                    <w:t>的主干管至停车场，为</w:t>
                  </w:r>
                  <w:r>
                    <w:t>停车场</w:t>
                  </w:r>
                  <w:r>
                    <w:rPr>
                      <w:rFonts w:hint="eastAsia"/>
                    </w:rPr>
                    <w:t>提供</w:t>
                  </w:r>
                  <w:r>
                    <w:t>消防</w:t>
                  </w:r>
                  <w:r>
                    <w:rPr>
                      <w:rFonts w:hint="eastAsia"/>
                    </w:rPr>
                    <w:t>用</w:t>
                  </w:r>
                  <w:r>
                    <w:t>水</w:t>
                  </w:r>
                  <w:r>
                    <w:rPr>
                      <w:rFonts w:hint="eastAsia"/>
                    </w:rPr>
                    <w:t>。</w:t>
                  </w:r>
                  <w:r>
                    <w:t>停车场周边布置室外地下式减压稳压型消火栓</w:t>
                  </w:r>
                  <w:r>
                    <w:rPr>
                      <w:rFonts w:hint="eastAsia"/>
                    </w:rPr>
                    <w:t>，</w:t>
                  </w:r>
                  <w:r>
                    <w:t>建筑物内按规范要求设置一定数量的手提式干粉灭火器</w:t>
                  </w:r>
                  <w:r>
                    <w:rPr>
                      <w:rFonts w:hint="eastAsia"/>
                    </w:rPr>
                    <w:t>。</w:t>
                  </w:r>
                  <w:r>
                    <w:t>易燃液体重车停车区域配置推车式磷酸铵盐干粉灭火器和手提式磷酸铵盐干粉灭火器</w:t>
                  </w:r>
                  <w:r>
                    <w:rPr>
                      <w:rFonts w:hint="eastAsia"/>
                    </w:rPr>
                    <w:t>，</w:t>
                  </w:r>
                  <w:r>
                    <w:t>配置一定量的消防沙和灭火毯；在机柜间、计算机室、变配电室等处设置二氧化碳灭火器</w:t>
                  </w:r>
                  <w:r>
                    <w:rPr>
                      <w:rFonts w:hint="eastAsia"/>
                    </w:rPr>
                    <w:t>，</w:t>
                  </w:r>
                  <w:r>
                    <w:t>用以扑灭初期小型火灾。</w:t>
                  </w:r>
                </w:p>
              </w:tc>
            </w:tr>
            <w:tr w14:paraId="2471B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vMerge w:val="restart"/>
                  <w:tcBorders>
                    <w:tl2br w:val="nil"/>
                    <w:tr2bl w:val="nil"/>
                  </w:tcBorders>
                  <w:vAlign w:val="center"/>
                </w:tcPr>
                <w:p w14:paraId="699014F0">
                  <w:pPr>
                    <w:pStyle w:val="19"/>
                    <w:spacing w:before="120" w:after="120"/>
                    <w:rPr>
                      <w:color w:val="auto"/>
                    </w:rPr>
                  </w:pPr>
                  <w:r>
                    <w:rPr>
                      <w:color w:val="auto"/>
                    </w:rPr>
                    <w:t>环保工程</w:t>
                  </w:r>
                </w:p>
              </w:tc>
              <w:tc>
                <w:tcPr>
                  <w:tcW w:w="983" w:type="pct"/>
                  <w:tcBorders>
                    <w:tl2br w:val="nil"/>
                    <w:tr2bl w:val="nil"/>
                  </w:tcBorders>
                  <w:vAlign w:val="center"/>
                </w:tcPr>
                <w:p w14:paraId="0508FA52">
                  <w:pPr>
                    <w:pStyle w:val="19"/>
                    <w:spacing w:before="120" w:after="120"/>
                    <w:rPr>
                      <w:color w:val="auto"/>
                    </w:rPr>
                  </w:pPr>
                  <w:r>
                    <w:rPr>
                      <w:rFonts w:hint="eastAsia"/>
                      <w:color w:val="auto"/>
                    </w:rPr>
                    <w:t>废气</w:t>
                  </w:r>
                </w:p>
              </w:tc>
              <w:tc>
                <w:tcPr>
                  <w:tcW w:w="3577" w:type="pct"/>
                  <w:tcBorders>
                    <w:tl2br w:val="nil"/>
                    <w:tr2bl w:val="nil"/>
                  </w:tcBorders>
                  <w:vAlign w:val="center"/>
                </w:tcPr>
                <w:p w14:paraId="7B88F509">
                  <w:pPr>
                    <w:pStyle w:val="19"/>
                    <w:spacing w:before="120" w:after="120"/>
                    <w:rPr>
                      <w:color w:val="auto"/>
                    </w:rPr>
                  </w:pPr>
                  <w:r>
                    <w:rPr>
                      <w:rFonts w:hint="eastAsia"/>
                      <w:color w:val="auto"/>
                    </w:rPr>
                    <w:t>项目运营期产生的废气主要是运输车辆行驶产生的扬尘和汽车尾气，均为无组织排放。项目区场地开阔，厂区基础硬化，配套种植绿植，可有效降低无组织废气的扩散。</w:t>
                  </w:r>
                </w:p>
              </w:tc>
            </w:tr>
            <w:tr w14:paraId="1E286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vMerge w:val="continue"/>
                  <w:tcBorders>
                    <w:tl2br w:val="nil"/>
                    <w:tr2bl w:val="nil"/>
                  </w:tcBorders>
                  <w:vAlign w:val="center"/>
                </w:tcPr>
                <w:p w14:paraId="682274CC">
                  <w:pPr>
                    <w:pStyle w:val="19"/>
                    <w:spacing w:before="120" w:after="120"/>
                    <w:rPr>
                      <w:color w:val="auto"/>
                    </w:rPr>
                  </w:pPr>
                </w:p>
              </w:tc>
              <w:tc>
                <w:tcPr>
                  <w:tcW w:w="983" w:type="pct"/>
                  <w:tcBorders>
                    <w:tl2br w:val="nil"/>
                    <w:tr2bl w:val="nil"/>
                  </w:tcBorders>
                  <w:vAlign w:val="center"/>
                </w:tcPr>
                <w:p w14:paraId="42F4B977">
                  <w:pPr>
                    <w:pStyle w:val="19"/>
                    <w:spacing w:before="120" w:after="120"/>
                    <w:rPr>
                      <w:color w:val="auto"/>
                    </w:rPr>
                  </w:pPr>
                  <w:r>
                    <w:rPr>
                      <w:rFonts w:hint="eastAsia"/>
                      <w:color w:val="auto"/>
                    </w:rPr>
                    <w:t>废水</w:t>
                  </w:r>
                </w:p>
              </w:tc>
              <w:tc>
                <w:tcPr>
                  <w:tcW w:w="3577" w:type="pct"/>
                  <w:tcBorders>
                    <w:tl2br w:val="nil"/>
                    <w:tr2bl w:val="nil"/>
                  </w:tcBorders>
                  <w:vAlign w:val="center"/>
                </w:tcPr>
                <w:p w14:paraId="5A3648CB">
                  <w:pPr>
                    <w:pStyle w:val="19"/>
                    <w:spacing w:before="120" w:after="120"/>
                    <w:rPr>
                      <w:color w:val="auto"/>
                    </w:rPr>
                  </w:pPr>
                  <w:r>
                    <w:rPr>
                      <w:color w:val="auto"/>
                    </w:rPr>
                    <w:t>项目</w:t>
                  </w:r>
                  <w:r>
                    <w:rPr>
                      <w:rFonts w:hint="eastAsia"/>
                      <w:color w:val="auto"/>
                    </w:rPr>
                    <w:t>运营期</w:t>
                  </w:r>
                  <w:r>
                    <w:rPr>
                      <w:color w:val="auto"/>
                    </w:rPr>
                    <w:t>产生的废水主要为生活污水</w:t>
                  </w:r>
                  <w:r>
                    <w:rPr>
                      <w:rFonts w:hint="eastAsia"/>
                      <w:color w:val="auto"/>
                    </w:rPr>
                    <w:t>、洗车污水和消防废水。洗车污水经一体化处理设施处理</w:t>
                  </w:r>
                  <w:r>
                    <w:rPr>
                      <w:rFonts w:hint="eastAsia"/>
                      <w:color w:val="auto"/>
                      <w:lang w:eastAsia="zh-CN"/>
                    </w:rPr>
                    <w:t>，</w:t>
                  </w:r>
                  <w:r>
                    <w:rPr>
                      <w:rFonts w:hint="eastAsia"/>
                      <w:color w:val="auto"/>
                      <w:highlight w:val="none"/>
                      <w:lang w:val="en-US" w:eastAsia="zh-CN"/>
                    </w:rPr>
                    <w:t>满足《城市污水再生利用 城市杂用水水质》（GB/T18920-2020）标准后，</w:t>
                  </w:r>
                  <w:r>
                    <w:rPr>
                      <w:rFonts w:hint="eastAsia"/>
                      <w:color w:val="auto"/>
                      <w:highlight w:val="none"/>
                    </w:rPr>
                    <w:t>回用于洗车，消防废水产生后收集至事故水池，</w:t>
                  </w:r>
                  <w:r>
                    <w:rPr>
                      <w:color w:val="auto"/>
                      <w:highlight w:val="none"/>
                    </w:rPr>
                    <w:t>事故后将废</w:t>
                  </w:r>
                  <w:r>
                    <w:rPr>
                      <w:color w:val="auto"/>
                    </w:rPr>
                    <w:t>水</w:t>
                  </w:r>
                  <w:r>
                    <w:rPr>
                      <w:rFonts w:hint="eastAsia"/>
                      <w:color w:val="auto"/>
                    </w:rPr>
                    <w:t>送至工业</w:t>
                  </w:r>
                  <w:r>
                    <w:rPr>
                      <w:color w:val="auto"/>
                    </w:rPr>
                    <w:t>污水处理厂处理</w:t>
                  </w:r>
                  <w:r>
                    <w:rPr>
                      <w:rFonts w:hint="eastAsia"/>
                      <w:color w:val="auto"/>
                    </w:rPr>
                    <w:t>，涉及排放废水主要是生活污水。生活污水排入场区化粪池处理，满足《污水综合排放标准》（</w:t>
                  </w:r>
                  <w:r>
                    <w:rPr>
                      <w:color w:val="auto"/>
                    </w:rPr>
                    <w:t>GB8978-1996</w:t>
                  </w:r>
                  <w:r>
                    <w:rPr>
                      <w:rFonts w:hint="eastAsia"/>
                      <w:color w:val="auto"/>
                    </w:rPr>
                    <w:t>）三级标准及</w:t>
                  </w:r>
                  <w:r>
                    <w:rPr>
                      <w:color w:val="auto"/>
                    </w:rPr>
                    <w:t>园区生活污水处理厂接管标准后</w:t>
                  </w:r>
                  <w:r>
                    <w:rPr>
                      <w:rFonts w:hint="eastAsia"/>
                      <w:color w:val="auto"/>
                    </w:rPr>
                    <w:t>，进入园区生活污水管网。</w:t>
                  </w:r>
                </w:p>
              </w:tc>
            </w:tr>
            <w:tr w14:paraId="68E80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vMerge w:val="continue"/>
                  <w:tcBorders>
                    <w:tl2br w:val="nil"/>
                    <w:tr2bl w:val="nil"/>
                  </w:tcBorders>
                  <w:vAlign w:val="center"/>
                </w:tcPr>
                <w:p w14:paraId="05B56E16">
                  <w:pPr>
                    <w:pStyle w:val="19"/>
                    <w:spacing w:before="120" w:after="120"/>
                    <w:rPr>
                      <w:color w:val="auto"/>
                    </w:rPr>
                  </w:pPr>
                </w:p>
              </w:tc>
              <w:tc>
                <w:tcPr>
                  <w:tcW w:w="983" w:type="pct"/>
                  <w:tcBorders>
                    <w:tl2br w:val="nil"/>
                    <w:tr2bl w:val="nil"/>
                  </w:tcBorders>
                  <w:vAlign w:val="center"/>
                </w:tcPr>
                <w:p w14:paraId="68FBDAE7">
                  <w:pPr>
                    <w:pStyle w:val="19"/>
                    <w:spacing w:before="120" w:after="120"/>
                    <w:rPr>
                      <w:color w:val="auto"/>
                    </w:rPr>
                  </w:pPr>
                  <w:r>
                    <w:rPr>
                      <w:rFonts w:hint="eastAsia"/>
                      <w:color w:val="auto"/>
                    </w:rPr>
                    <w:t>噪声</w:t>
                  </w:r>
                </w:p>
              </w:tc>
              <w:tc>
                <w:tcPr>
                  <w:tcW w:w="3577" w:type="pct"/>
                  <w:tcBorders>
                    <w:tl2br w:val="nil"/>
                    <w:tr2bl w:val="nil"/>
                  </w:tcBorders>
                  <w:vAlign w:val="center"/>
                </w:tcPr>
                <w:p w14:paraId="46126C03">
                  <w:pPr>
                    <w:pStyle w:val="19"/>
                    <w:bidi w:val="0"/>
                    <w:rPr>
                      <w:color w:val="auto"/>
                    </w:rPr>
                  </w:pPr>
                  <w:r>
                    <w:rPr>
                      <w:rFonts w:hint="eastAsia"/>
                      <w:color w:val="auto"/>
                    </w:rPr>
                    <w:t>项目运营期噪声污染主要来源于车辆进出停车场时的噪声、清洗车间高压清洗水枪运行噪声，采取合理布局、选择低噪声设备等措施后，厂界噪声能够满足《工业企业厂界环境噪声排放标准》（GB12348-2008）3类区标准。</w:t>
                  </w:r>
                </w:p>
              </w:tc>
            </w:tr>
            <w:tr w14:paraId="2A563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pct"/>
                  <w:vMerge w:val="continue"/>
                  <w:tcBorders>
                    <w:tl2br w:val="nil"/>
                    <w:tr2bl w:val="nil"/>
                  </w:tcBorders>
                  <w:vAlign w:val="center"/>
                </w:tcPr>
                <w:p w14:paraId="191E932D">
                  <w:pPr>
                    <w:pStyle w:val="19"/>
                    <w:spacing w:before="120" w:after="120"/>
                    <w:rPr>
                      <w:color w:val="auto"/>
                    </w:rPr>
                  </w:pPr>
                </w:p>
              </w:tc>
              <w:tc>
                <w:tcPr>
                  <w:tcW w:w="983" w:type="pct"/>
                  <w:tcBorders>
                    <w:tl2br w:val="nil"/>
                    <w:tr2bl w:val="nil"/>
                  </w:tcBorders>
                  <w:vAlign w:val="center"/>
                </w:tcPr>
                <w:p w14:paraId="5405D685">
                  <w:pPr>
                    <w:pStyle w:val="19"/>
                    <w:bidi w:val="0"/>
                    <w:rPr>
                      <w:color w:val="auto"/>
                    </w:rPr>
                  </w:pPr>
                  <w:r>
                    <w:rPr>
                      <w:rFonts w:hint="eastAsia"/>
                      <w:color w:val="auto"/>
                    </w:rPr>
                    <w:t>固体废物</w:t>
                  </w:r>
                </w:p>
              </w:tc>
              <w:tc>
                <w:tcPr>
                  <w:tcW w:w="3577" w:type="pct"/>
                  <w:tcBorders>
                    <w:tl2br w:val="nil"/>
                    <w:tr2bl w:val="nil"/>
                  </w:tcBorders>
                  <w:vAlign w:val="center"/>
                </w:tcPr>
                <w:p w14:paraId="186B5712">
                  <w:pPr>
                    <w:pStyle w:val="19"/>
                    <w:bidi w:val="0"/>
                    <w:rPr>
                      <w:color w:val="auto"/>
                    </w:rPr>
                  </w:pPr>
                  <w:r>
                    <w:rPr>
                      <w:rFonts w:hint="eastAsia"/>
                      <w:color w:val="auto"/>
                    </w:rPr>
                    <w:t>项目运营期产生的固体废物主要为员工产生的生活垃圾和车辆废弃零件，危险废物主要为废机油、</w:t>
                  </w:r>
                  <w:r>
                    <w:rPr>
                      <w:rFonts w:hint="eastAsia"/>
                      <w:color w:val="auto"/>
                      <w:lang w:val="en-US" w:eastAsia="zh-CN"/>
                    </w:rPr>
                    <w:t>废油桶、</w:t>
                  </w:r>
                  <w:r>
                    <w:rPr>
                      <w:rFonts w:hint="eastAsia"/>
                      <w:color w:val="auto"/>
                    </w:rPr>
                    <w:t>废手套、含油废抹布。生活垃圾</w:t>
                  </w:r>
                  <w:r>
                    <w:rPr>
                      <w:color w:val="auto"/>
                    </w:rPr>
                    <w:t>由环卫部门统一收集并处置</w:t>
                  </w:r>
                  <w:r>
                    <w:rPr>
                      <w:rFonts w:hint="eastAsia"/>
                      <w:color w:val="auto"/>
                    </w:rPr>
                    <w:t>，车辆废弃零件经收集后外售综合利用</w:t>
                  </w:r>
                  <w:r>
                    <w:rPr>
                      <w:rFonts w:hint="eastAsia"/>
                      <w:color w:val="auto"/>
                      <w:lang w:eastAsia="zh-CN"/>
                    </w:rPr>
                    <w:t>。</w:t>
                  </w:r>
                  <w:r>
                    <w:rPr>
                      <w:rFonts w:hint="eastAsia"/>
                      <w:color w:val="auto"/>
                      <w:lang w:val="en-US" w:eastAsia="zh-CN"/>
                    </w:rPr>
                    <w:t>维修产生的</w:t>
                  </w:r>
                  <w:r>
                    <w:rPr>
                      <w:rFonts w:hint="eastAsia"/>
                      <w:color w:val="auto"/>
                    </w:rPr>
                    <w:t>废机油</w:t>
                  </w:r>
                  <w:r>
                    <w:rPr>
                      <w:rFonts w:hint="eastAsia"/>
                      <w:color w:val="auto"/>
                      <w:lang w:val="en-US" w:eastAsia="zh-CN"/>
                    </w:rPr>
                    <w:t>属于《</w:t>
                  </w:r>
                  <w:r>
                    <w:rPr>
                      <w:rFonts w:hint="eastAsia"/>
                      <w:color w:val="auto"/>
                    </w:rPr>
                    <w:t>国家危险废物名录（2021年版）</w:t>
                  </w:r>
                  <w:r>
                    <w:rPr>
                      <w:rFonts w:hint="eastAsia"/>
                      <w:color w:val="auto"/>
                      <w:lang w:val="en-US" w:eastAsia="zh-CN"/>
                    </w:rPr>
                    <w:t>》“HW08废矿物油与含矿物油废物--</w:t>
                  </w:r>
                  <w:r>
                    <w:rPr>
                      <w:color w:val="auto"/>
                    </w:rPr>
                    <w:t>车辆、轮船及其它机械维修过程中产生的废发动机油、制动器油、自动变速器油、齿轮油等废润滑油</w:t>
                  </w:r>
                  <w:r>
                    <w:rPr>
                      <w:rFonts w:hint="eastAsia"/>
                      <w:color w:val="auto"/>
                      <w:lang w:val="en-US" w:eastAsia="zh-CN"/>
                    </w:rPr>
                    <w:t>”，</w:t>
                  </w:r>
                  <w:r>
                    <w:rPr>
                      <w:rFonts w:hint="eastAsia"/>
                      <w:color w:val="auto"/>
                    </w:rPr>
                    <w:t>废手套、含油废抹布</w:t>
                  </w:r>
                  <w:r>
                    <w:rPr>
                      <w:rFonts w:hint="eastAsia"/>
                      <w:color w:val="auto"/>
                      <w:lang w:val="en-US" w:eastAsia="zh-CN"/>
                    </w:rPr>
                    <w:t>属于</w:t>
                  </w:r>
                  <w:r>
                    <w:rPr>
                      <w:rFonts w:hint="eastAsia"/>
                      <w:color w:val="auto"/>
                    </w:rPr>
                    <w:t>“</w:t>
                  </w:r>
                  <w:r>
                    <w:rPr>
                      <w:color w:val="auto"/>
                    </w:rPr>
                    <w:t>HW</w:t>
                  </w:r>
                  <w:r>
                    <w:rPr>
                      <w:rFonts w:hint="eastAsia"/>
                      <w:color w:val="auto"/>
                    </w:rPr>
                    <w:t>49其他废物</w:t>
                  </w:r>
                  <w:r>
                    <w:rPr>
                      <w:rFonts w:hint="eastAsia"/>
                      <w:color w:val="auto"/>
                      <w:lang w:val="en-US" w:eastAsia="zh-CN"/>
                    </w:rPr>
                    <w:t>--</w:t>
                  </w:r>
                  <w:r>
                    <w:rPr>
                      <w:rFonts w:hint="eastAsia"/>
                      <w:color w:val="auto"/>
                    </w:rPr>
                    <w:t>含有或沾染毒性、感染性危险废物的废弃包装物、容器、过滤吸附介质”</w:t>
                  </w:r>
                  <w:r>
                    <w:rPr>
                      <w:rFonts w:hint="eastAsia"/>
                      <w:color w:val="auto"/>
                      <w:lang w:eastAsia="zh-CN"/>
                    </w:rPr>
                    <w:t>，</w:t>
                  </w:r>
                  <w:r>
                    <w:rPr>
                      <w:rFonts w:hint="eastAsia"/>
                      <w:color w:val="auto"/>
                      <w:lang w:val="en-US" w:eastAsia="zh-CN"/>
                    </w:rPr>
                    <w:t>废油桶属于“HW08废矿物油与含矿物油废物--</w:t>
                  </w:r>
                  <w:r>
                    <w:rPr>
                      <w:color w:val="auto"/>
                    </w:rPr>
                    <w:t>其他生产、销售、使用过程中产生的废矿物油及沾染矿物油的废弃包装物</w:t>
                  </w:r>
                  <w:r>
                    <w:rPr>
                      <w:rFonts w:hint="eastAsia"/>
                      <w:color w:val="auto"/>
                      <w:lang w:val="en-US" w:eastAsia="zh-CN"/>
                    </w:rPr>
                    <w:t>”，</w:t>
                  </w:r>
                  <w:r>
                    <w:rPr>
                      <w:rFonts w:hint="eastAsia"/>
                      <w:color w:val="auto"/>
                    </w:rPr>
                    <w:t>需</w:t>
                  </w:r>
                  <w:r>
                    <w:rPr>
                      <w:color w:val="auto"/>
                    </w:rPr>
                    <w:t>经专门的收集桶收集后放置在危废暂存间中暂存</w:t>
                  </w:r>
                  <w:r>
                    <w:rPr>
                      <w:rFonts w:hint="eastAsia"/>
                      <w:color w:val="auto"/>
                    </w:rPr>
                    <w:t>，</w:t>
                  </w:r>
                  <w:r>
                    <w:rPr>
                      <w:color w:val="auto"/>
                    </w:rPr>
                    <w:t>按危险废物管理有关规定送至有资质的单位进行处理。</w:t>
                  </w:r>
                </w:p>
              </w:tc>
            </w:tr>
            <w:tr w14:paraId="42F82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pct"/>
                  <w:vMerge w:val="continue"/>
                  <w:tcBorders>
                    <w:tl2br w:val="nil"/>
                    <w:tr2bl w:val="nil"/>
                  </w:tcBorders>
                  <w:vAlign w:val="center"/>
                </w:tcPr>
                <w:p w14:paraId="6E23017F">
                  <w:pPr>
                    <w:pStyle w:val="19"/>
                    <w:spacing w:before="120" w:after="120"/>
                    <w:rPr>
                      <w:color w:val="auto"/>
                    </w:rPr>
                  </w:pPr>
                </w:p>
              </w:tc>
              <w:tc>
                <w:tcPr>
                  <w:tcW w:w="983" w:type="pct"/>
                  <w:tcBorders>
                    <w:tl2br w:val="nil"/>
                    <w:tr2bl w:val="nil"/>
                  </w:tcBorders>
                  <w:vAlign w:val="center"/>
                </w:tcPr>
                <w:p w14:paraId="14DB346D">
                  <w:pPr>
                    <w:pStyle w:val="19"/>
                    <w:bidi w:val="0"/>
                    <w:rPr>
                      <w:rFonts w:hint="default"/>
                      <w:color w:val="auto"/>
                      <w:lang w:val="en-US" w:eastAsia="zh-CN"/>
                    </w:rPr>
                  </w:pPr>
                  <w:r>
                    <w:rPr>
                      <w:rFonts w:hint="eastAsia"/>
                      <w:color w:val="auto"/>
                      <w:lang w:val="en-US" w:eastAsia="zh-CN"/>
                    </w:rPr>
                    <w:t>分区防渗</w:t>
                  </w:r>
                </w:p>
              </w:tc>
              <w:tc>
                <w:tcPr>
                  <w:tcW w:w="3577" w:type="pct"/>
                  <w:tcBorders>
                    <w:tl2br w:val="nil"/>
                    <w:tr2bl w:val="nil"/>
                  </w:tcBorders>
                  <w:vAlign w:val="center"/>
                </w:tcPr>
                <w:p w14:paraId="4E197D7B">
                  <w:pPr>
                    <w:pStyle w:val="19"/>
                    <w:bidi w:val="0"/>
                    <w:rPr>
                      <w:rFonts w:hint="default"/>
                      <w:color w:val="auto"/>
                      <w:lang w:val="en-US" w:eastAsia="zh-CN"/>
                    </w:rPr>
                  </w:pPr>
                  <w:r>
                    <w:rPr>
                      <w:rFonts w:hint="eastAsia"/>
                      <w:color w:val="auto"/>
                      <w:lang w:val="en-US" w:eastAsia="zh-CN"/>
                    </w:rPr>
                    <w:t>根据</w:t>
                  </w:r>
                  <w:r>
                    <w:rPr>
                      <w:color w:val="auto"/>
                    </w:rPr>
                    <w:t>《环境影响评价技术导则</w:t>
                  </w:r>
                  <w:r>
                    <w:rPr>
                      <w:rFonts w:hint="eastAsia"/>
                      <w:color w:val="auto"/>
                      <w:lang w:val="en-US" w:eastAsia="zh-CN"/>
                    </w:rPr>
                    <w:t xml:space="preserve"> </w:t>
                  </w:r>
                  <w:r>
                    <w:rPr>
                      <w:color w:val="auto"/>
                    </w:rPr>
                    <w:t>地下水环境》（HJ610-2016）</w:t>
                  </w:r>
                  <w:r>
                    <w:rPr>
                      <w:rFonts w:hint="eastAsia"/>
                      <w:color w:val="auto"/>
                      <w:lang w:val="en-US" w:eastAsia="zh-CN"/>
                    </w:rPr>
                    <w:t>相关要求</w:t>
                  </w:r>
                  <w:r>
                    <w:rPr>
                      <w:rFonts w:hint="eastAsia"/>
                      <w:color w:val="auto"/>
                      <w:lang w:eastAsia="zh-CN"/>
                    </w:rPr>
                    <w:t>，</w:t>
                  </w:r>
                  <w:r>
                    <w:rPr>
                      <w:rFonts w:hint="eastAsia"/>
                      <w:color w:val="auto"/>
                      <w:lang w:val="en-US" w:eastAsia="zh-CN"/>
                    </w:rPr>
                    <w:t>项目场区做分区防渗，</w:t>
                  </w:r>
                  <w:r>
                    <w:rPr>
                      <w:color w:val="auto"/>
                    </w:rPr>
                    <w:t>将各功能单元可能产生污染的地区划分为重点防渗区</w:t>
                  </w:r>
                  <w:r>
                    <w:rPr>
                      <w:rFonts w:hint="eastAsia"/>
                      <w:color w:val="auto"/>
                      <w:lang w:val="en-US" w:eastAsia="zh-CN"/>
                    </w:rPr>
                    <w:t>和</w:t>
                  </w:r>
                  <w:r>
                    <w:rPr>
                      <w:color w:val="auto"/>
                    </w:rPr>
                    <w:t>一般防渗区</w:t>
                  </w:r>
                  <w:r>
                    <w:rPr>
                      <w:rFonts w:hint="eastAsia"/>
                      <w:color w:val="auto"/>
                    </w:rPr>
                    <w:t>。危化车辆停车区、候检区、维修车间、洗车车间、危废暂存间、消防水池、消防泵房、事故水池和初期雨水池、一体化污水处理设备存放处、场区道路等均进行重点防渗，地面采用至少2mm厚HDPE或其他人工材料进行防渗处理，渗透系数不大于1.0×10</w:t>
                  </w:r>
                  <w:r>
                    <w:rPr>
                      <w:rFonts w:hint="eastAsia"/>
                      <w:color w:val="auto"/>
                      <w:vertAlign w:val="superscript"/>
                    </w:rPr>
                    <w:t>-10</w:t>
                  </w:r>
                  <w:r>
                    <w:rPr>
                      <w:rFonts w:hint="eastAsia"/>
                      <w:color w:val="auto"/>
                    </w:rPr>
                    <w:t>cm/s。辅助用房、管理用房进行一般防渗，没有特别的防渗要求，但应采用水泥硬化地面。</w:t>
                  </w:r>
                </w:p>
              </w:tc>
            </w:tr>
            <w:tr w14:paraId="44D92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438" w:type="pct"/>
                  <w:vMerge w:val="restart"/>
                  <w:tcBorders>
                    <w:tl2br w:val="nil"/>
                    <w:tr2bl w:val="nil"/>
                  </w:tcBorders>
                  <w:vAlign w:val="center"/>
                </w:tcPr>
                <w:p w14:paraId="75231726">
                  <w:pPr>
                    <w:pStyle w:val="19"/>
                    <w:spacing w:before="120" w:after="120"/>
                    <w:rPr>
                      <w:color w:val="auto"/>
                    </w:rPr>
                  </w:pPr>
                  <w:r>
                    <w:rPr>
                      <w:color w:val="auto"/>
                    </w:rPr>
                    <w:t>储运工程</w:t>
                  </w:r>
                </w:p>
              </w:tc>
              <w:tc>
                <w:tcPr>
                  <w:tcW w:w="983" w:type="pct"/>
                  <w:tcBorders>
                    <w:tl2br w:val="nil"/>
                    <w:tr2bl w:val="nil"/>
                  </w:tcBorders>
                  <w:vAlign w:val="center"/>
                </w:tcPr>
                <w:p w14:paraId="65966D0A">
                  <w:pPr>
                    <w:pStyle w:val="19"/>
                    <w:bidi w:val="0"/>
                    <w:rPr>
                      <w:color w:val="auto"/>
                    </w:rPr>
                  </w:pPr>
                  <w:r>
                    <w:rPr>
                      <w:rFonts w:hint="eastAsia"/>
                      <w:color w:val="auto"/>
                    </w:rPr>
                    <w:t>危废暂存间</w:t>
                  </w:r>
                </w:p>
              </w:tc>
              <w:tc>
                <w:tcPr>
                  <w:tcW w:w="3577" w:type="pct"/>
                  <w:tcBorders>
                    <w:tl2br w:val="nil"/>
                    <w:tr2bl w:val="nil"/>
                  </w:tcBorders>
                  <w:vAlign w:val="center"/>
                </w:tcPr>
                <w:p w14:paraId="1166A0B3">
                  <w:pPr>
                    <w:pStyle w:val="19"/>
                    <w:bidi w:val="0"/>
                    <w:rPr>
                      <w:rFonts w:hint="default"/>
                      <w:color w:val="auto"/>
                      <w:lang w:val="en-US" w:eastAsia="zh-CN"/>
                    </w:rPr>
                  </w:pPr>
                  <w:r>
                    <w:rPr>
                      <w:rFonts w:hint="eastAsia"/>
                      <w:color w:val="auto"/>
                    </w:rPr>
                    <w:t>新建危废暂存间1座，单层框架结构，建筑面积36m</w:t>
                  </w:r>
                  <w:r>
                    <w:rPr>
                      <w:rFonts w:hint="eastAsia"/>
                      <w:color w:val="auto"/>
                      <w:vertAlign w:val="superscript"/>
                    </w:rPr>
                    <w:t>2</w:t>
                  </w:r>
                  <w:r>
                    <w:rPr>
                      <w:rFonts w:hint="eastAsia"/>
                      <w:color w:val="auto"/>
                    </w:rPr>
                    <w:t>。用于暂存废手套、</w:t>
                  </w:r>
                  <w:r>
                    <w:rPr>
                      <w:rFonts w:hint="eastAsia"/>
                      <w:color w:val="auto"/>
                      <w:lang w:val="en-US" w:eastAsia="zh-CN"/>
                    </w:rPr>
                    <w:t>废油桶、</w:t>
                  </w:r>
                  <w:r>
                    <w:rPr>
                      <w:rFonts w:hint="eastAsia"/>
                      <w:color w:val="auto"/>
                    </w:rPr>
                    <w:t>废机油、废含油抹布等。危废暂存间</w:t>
                  </w:r>
                  <w:r>
                    <w:rPr>
                      <w:rFonts w:hint="eastAsia"/>
                      <w:color w:val="auto"/>
                      <w:lang w:val="en-US" w:eastAsia="zh-CN"/>
                    </w:rPr>
                    <w:t>按照</w:t>
                  </w:r>
                  <w:r>
                    <w:rPr>
                      <w:color w:val="auto"/>
                    </w:rPr>
                    <w:t>《危险废物贮存污染控制标准》（GB18597-</w:t>
                  </w:r>
                  <w:r>
                    <w:rPr>
                      <w:rFonts w:hint="eastAsia"/>
                      <w:color w:val="auto"/>
                      <w:lang w:val="en-US" w:eastAsia="zh-CN"/>
                    </w:rPr>
                    <w:t>2023</w:t>
                  </w:r>
                  <w:r>
                    <w:rPr>
                      <w:color w:val="auto"/>
                    </w:rPr>
                    <w:t>）</w:t>
                  </w:r>
                  <w:r>
                    <w:rPr>
                      <w:rFonts w:hint="eastAsia"/>
                      <w:color w:val="auto"/>
                    </w:rPr>
                    <w:t>要求设置防渗</w:t>
                  </w:r>
                  <w:r>
                    <w:rPr>
                      <w:rFonts w:hint="eastAsia"/>
                      <w:color w:val="auto"/>
                      <w:lang w:eastAsia="zh-CN"/>
                    </w:rPr>
                    <w:t>，</w:t>
                  </w:r>
                  <w:r>
                    <w:rPr>
                      <w:rFonts w:hint="eastAsia"/>
                      <w:color w:val="auto"/>
                      <w:lang w:val="en-US" w:eastAsia="zh-CN"/>
                    </w:rPr>
                    <w:t>做到防风、防晒、防雨、防漏、防渗、防腐。地面、墙面裙脚、堵截泄漏的围堰、接触危险废物的隔板和墙体等应采用坚固的材料建造，表面无裂缝。地面与裙脚应采取表面防渗措施，表面防渗材料采用抗渗混凝土，基础防渗层为</w:t>
                  </w:r>
                  <w:r>
                    <w:rPr>
                      <w:rFonts w:hint="default"/>
                      <w:color w:val="auto"/>
                      <w:lang w:val="en-US" w:eastAsia="zh-CN"/>
                    </w:rPr>
                    <w:t>1m</w:t>
                  </w:r>
                  <w:r>
                    <w:rPr>
                      <w:rFonts w:hint="eastAsia"/>
                      <w:color w:val="auto"/>
                      <w:lang w:val="en-US" w:eastAsia="zh-CN"/>
                    </w:rPr>
                    <w:t>厚黏土层（渗透系数不大于</w:t>
                  </w:r>
                  <w:r>
                    <w:rPr>
                      <w:rFonts w:hint="default"/>
                      <w:color w:val="auto"/>
                      <w:lang w:val="en-US" w:eastAsia="zh-CN"/>
                    </w:rPr>
                    <w:t>10</w:t>
                  </w:r>
                  <w:r>
                    <w:rPr>
                      <w:rFonts w:hint="default"/>
                      <w:color w:val="auto"/>
                      <w:vertAlign w:val="superscript"/>
                      <w:lang w:val="en-US" w:eastAsia="zh-CN"/>
                    </w:rPr>
                    <w:t>-7</w:t>
                  </w:r>
                  <w:r>
                    <w:rPr>
                      <w:rFonts w:hint="default"/>
                      <w:color w:val="auto"/>
                      <w:lang w:val="en-US" w:eastAsia="zh-CN"/>
                    </w:rPr>
                    <w:t>cm/s</w:t>
                  </w:r>
                  <w:r>
                    <w:rPr>
                      <w:rFonts w:hint="eastAsia"/>
                      <w:color w:val="auto"/>
                      <w:lang w:val="en-US" w:eastAsia="zh-CN"/>
                    </w:rPr>
                    <w:t>）。设置在废机油存放区设置分区导流槽和收集池，设置1处通风口，按</w:t>
                  </w:r>
                  <w:r>
                    <w:rPr>
                      <w:rFonts w:hint="default"/>
                      <w:color w:val="auto"/>
                      <w:lang w:val="en-US" w:eastAsia="zh-CN"/>
                    </w:rPr>
                    <w:t>HJ 1276</w:t>
                  </w:r>
                  <w:r>
                    <w:rPr>
                      <w:rFonts w:hint="eastAsia"/>
                      <w:color w:val="auto"/>
                      <w:lang w:val="en-US" w:eastAsia="zh-CN"/>
                    </w:rPr>
                    <w:t>要求设置危险废物贮存设施或场所标志、危险废物贮存分区标志和危险废物标签等危险废物识别标志。</w:t>
                  </w:r>
                </w:p>
              </w:tc>
            </w:tr>
            <w:tr w14:paraId="04E35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438" w:type="pct"/>
                  <w:vMerge w:val="continue"/>
                  <w:tcBorders>
                    <w:tl2br w:val="nil"/>
                    <w:tr2bl w:val="nil"/>
                  </w:tcBorders>
                  <w:vAlign w:val="center"/>
                </w:tcPr>
                <w:p w14:paraId="0B33F4BC">
                  <w:pPr>
                    <w:pStyle w:val="19"/>
                    <w:spacing w:before="120" w:after="120"/>
                    <w:rPr>
                      <w:color w:val="auto"/>
                    </w:rPr>
                  </w:pPr>
                </w:p>
              </w:tc>
              <w:tc>
                <w:tcPr>
                  <w:tcW w:w="983" w:type="pct"/>
                  <w:tcBorders>
                    <w:tl2br w:val="nil"/>
                    <w:tr2bl w:val="nil"/>
                  </w:tcBorders>
                  <w:vAlign w:val="center"/>
                </w:tcPr>
                <w:p w14:paraId="5AD9332F">
                  <w:pPr>
                    <w:pStyle w:val="19"/>
                    <w:spacing w:before="120" w:after="120"/>
                    <w:rPr>
                      <w:color w:val="auto"/>
                    </w:rPr>
                  </w:pPr>
                  <w:r>
                    <w:rPr>
                      <w:rFonts w:hint="eastAsia"/>
                      <w:color w:val="auto"/>
                    </w:rPr>
                    <w:t>场内</w:t>
                  </w:r>
                  <w:r>
                    <w:rPr>
                      <w:color w:val="auto"/>
                    </w:rPr>
                    <w:t>道路</w:t>
                  </w:r>
                </w:p>
              </w:tc>
              <w:tc>
                <w:tcPr>
                  <w:tcW w:w="3577" w:type="pct"/>
                  <w:tcBorders>
                    <w:tl2br w:val="nil"/>
                    <w:tr2bl w:val="nil"/>
                  </w:tcBorders>
                  <w:vAlign w:val="center"/>
                </w:tcPr>
                <w:p w14:paraId="6C30B24A">
                  <w:pPr>
                    <w:pStyle w:val="19"/>
                    <w:spacing w:before="120" w:after="120"/>
                    <w:rPr>
                      <w:color w:val="auto"/>
                    </w:rPr>
                  </w:pPr>
                  <w:r>
                    <w:rPr>
                      <w:rFonts w:hint="eastAsia"/>
                      <w:color w:val="auto"/>
                    </w:rPr>
                    <w:t>场内</w:t>
                  </w:r>
                  <w:r>
                    <w:rPr>
                      <w:color w:val="auto"/>
                    </w:rPr>
                    <w:t>道路</w:t>
                  </w:r>
                  <w:r>
                    <w:rPr>
                      <w:rFonts w:hint="eastAsia"/>
                      <w:color w:val="auto"/>
                    </w:rPr>
                    <w:t>以环状布置，采用城市型混凝土铺设。道路宽度及布置在满足运输车辆需要的同时，还满足消防安全的要求。主干道宽度</w:t>
                  </w:r>
                  <w:r>
                    <w:rPr>
                      <w:color w:val="auto"/>
                    </w:rPr>
                    <w:t>18m</w:t>
                  </w:r>
                  <w:r>
                    <w:rPr>
                      <w:rFonts w:hint="eastAsia"/>
                      <w:color w:val="auto"/>
                    </w:rPr>
                    <w:t>，次干道宽度</w:t>
                  </w:r>
                  <w:r>
                    <w:rPr>
                      <w:color w:val="auto"/>
                    </w:rPr>
                    <w:t>9m</w:t>
                  </w:r>
                  <w:r>
                    <w:rPr>
                      <w:rFonts w:hint="eastAsia"/>
                      <w:color w:val="auto"/>
                    </w:rPr>
                    <w:t>，道路转弯半径</w:t>
                  </w:r>
                  <w:r>
                    <w:rPr>
                      <w:color w:val="auto"/>
                    </w:rPr>
                    <w:t>18m</w:t>
                  </w:r>
                  <w:r>
                    <w:rPr>
                      <w:rFonts w:hint="eastAsia"/>
                      <w:color w:val="auto"/>
                    </w:rPr>
                    <w:t>。</w:t>
                  </w:r>
                </w:p>
              </w:tc>
            </w:tr>
            <w:tr w14:paraId="2F2CB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438" w:type="pct"/>
                  <w:vMerge w:val="continue"/>
                  <w:tcBorders>
                    <w:tl2br w:val="nil"/>
                    <w:tr2bl w:val="nil"/>
                  </w:tcBorders>
                  <w:vAlign w:val="center"/>
                </w:tcPr>
                <w:p w14:paraId="431269F6">
                  <w:pPr>
                    <w:pStyle w:val="19"/>
                    <w:spacing w:before="120" w:after="120"/>
                    <w:rPr>
                      <w:color w:val="auto"/>
                    </w:rPr>
                  </w:pPr>
                </w:p>
              </w:tc>
              <w:tc>
                <w:tcPr>
                  <w:tcW w:w="983" w:type="pct"/>
                  <w:tcBorders>
                    <w:tl2br w:val="nil"/>
                    <w:tr2bl w:val="nil"/>
                  </w:tcBorders>
                  <w:vAlign w:val="center"/>
                </w:tcPr>
                <w:p w14:paraId="7D1D4E61">
                  <w:pPr>
                    <w:pStyle w:val="19"/>
                    <w:spacing w:before="120" w:after="120"/>
                    <w:rPr>
                      <w:rFonts w:hint="default" w:eastAsia="宋体"/>
                      <w:color w:val="auto"/>
                      <w:lang w:val="en-US" w:eastAsia="zh-CN"/>
                    </w:rPr>
                  </w:pPr>
                  <w:r>
                    <w:rPr>
                      <w:rFonts w:hint="eastAsia"/>
                      <w:color w:val="auto"/>
                      <w:lang w:val="en-US" w:eastAsia="zh-CN"/>
                    </w:rPr>
                    <w:t>车辆分区停放</w:t>
                  </w:r>
                </w:p>
              </w:tc>
              <w:tc>
                <w:tcPr>
                  <w:tcW w:w="3577" w:type="pct"/>
                  <w:tcBorders>
                    <w:tl2br w:val="nil"/>
                    <w:tr2bl w:val="nil"/>
                  </w:tcBorders>
                  <w:vAlign w:val="center"/>
                </w:tcPr>
                <w:p w14:paraId="4051DB3C">
                  <w:pPr>
                    <w:pStyle w:val="19"/>
                    <w:spacing w:before="120" w:after="120"/>
                    <w:rPr>
                      <w:rFonts w:hint="eastAsia"/>
                      <w:color w:val="auto"/>
                    </w:rPr>
                  </w:pPr>
                  <w:r>
                    <w:rPr>
                      <w:rFonts w:hint="eastAsia"/>
                      <w:color w:val="auto"/>
                      <w:lang w:val="en-US" w:eastAsia="zh-CN"/>
                    </w:rPr>
                    <w:t>厂区应做整体硬化，停车区按照所载运危险品类别分类分区分组布置，严禁将化学性质或扑救方法相抵触的车辆停放在同一区域。</w:t>
                  </w:r>
                </w:p>
              </w:tc>
            </w:tr>
            <w:tr w14:paraId="5B8CE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pct"/>
                  <w:vMerge w:val="restart"/>
                  <w:tcBorders>
                    <w:tl2br w:val="nil"/>
                    <w:tr2bl w:val="nil"/>
                  </w:tcBorders>
                  <w:vAlign w:val="center"/>
                </w:tcPr>
                <w:p w14:paraId="7DE319D6">
                  <w:pPr>
                    <w:pStyle w:val="19"/>
                    <w:spacing w:before="120" w:after="120"/>
                    <w:rPr>
                      <w:color w:val="auto"/>
                    </w:rPr>
                  </w:pPr>
                  <w:r>
                    <w:rPr>
                      <w:color w:val="auto"/>
                    </w:rPr>
                    <w:t>依托工程</w:t>
                  </w:r>
                </w:p>
              </w:tc>
              <w:tc>
                <w:tcPr>
                  <w:tcW w:w="983" w:type="pct"/>
                  <w:tcBorders>
                    <w:tl2br w:val="nil"/>
                    <w:tr2bl w:val="nil"/>
                  </w:tcBorders>
                  <w:vAlign w:val="center"/>
                </w:tcPr>
                <w:p w14:paraId="23444B49">
                  <w:pPr>
                    <w:pStyle w:val="19"/>
                    <w:spacing w:before="120" w:after="120"/>
                    <w:rPr>
                      <w:color w:val="auto"/>
                    </w:rPr>
                  </w:pPr>
                  <w:r>
                    <w:rPr>
                      <w:rFonts w:hint="eastAsia"/>
                      <w:color w:val="auto"/>
                    </w:rPr>
                    <w:t>能源依托</w:t>
                  </w:r>
                </w:p>
              </w:tc>
              <w:tc>
                <w:tcPr>
                  <w:tcW w:w="3577" w:type="pct"/>
                  <w:tcBorders>
                    <w:tl2br w:val="nil"/>
                    <w:tr2bl w:val="nil"/>
                  </w:tcBorders>
                  <w:vAlign w:val="center"/>
                </w:tcPr>
                <w:p w14:paraId="04DB18B8">
                  <w:pPr>
                    <w:pStyle w:val="19"/>
                    <w:spacing w:before="120" w:after="120"/>
                    <w:rPr>
                      <w:color w:val="auto"/>
                    </w:rPr>
                  </w:pPr>
                  <w:r>
                    <w:rPr>
                      <w:rFonts w:hint="eastAsia"/>
                      <w:color w:val="auto"/>
                    </w:rPr>
                    <w:t>项目运营所需</w:t>
                  </w:r>
                  <w:r>
                    <w:rPr>
                      <w:color w:val="auto"/>
                    </w:rPr>
                    <w:t>电源、水资源</w:t>
                  </w:r>
                  <w:r>
                    <w:rPr>
                      <w:rFonts w:hint="eastAsia"/>
                      <w:color w:val="auto"/>
                    </w:rPr>
                    <w:t>均可依托园区现有能源供应能力。</w:t>
                  </w:r>
                </w:p>
              </w:tc>
            </w:tr>
            <w:tr w14:paraId="64BB9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pct"/>
                  <w:vMerge w:val="continue"/>
                  <w:tcBorders>
                    <w:tl2br w:val="nil"/>
                    <w:tr2bl w:val="nil"/>
                  </w:tcBorders>
                  <w:vAlign w:val="center"/>
                </w:tcPr>
                <w:p w14:paraId="0A6DB2BC">
                  <w:pPr>
                    <w:pStyle w:val="19"/>
                    <w:spacing w:before="120" w:after="120"/>
                    <w:rPr>
                      <w:color w:val="auto"/>
                    </w:rPr>
                  </w:pPr>
                </w:p>
              </w:tc>
              <w:tc>
                <w:tcPr>
                  <w:tcW w:w="983" w:type="pct"/>
                  <w:tcBorders>
                    <w:tl2br w:val="nil"/>
                    <w:tr2bl w:val="nil"/>
                  </w:tcBorders>
                  <w:vAlign w:val="center"/>
                </w:tcPr>
                <w:p w14:paraId="0A970CF3">
                  <w:pPr>
                    <w:pStyle w:val="19"/>
                    <w:spacing w:before="120" w:after="120"/>
                    <w:rPr>
                      <w:color w:val="auto"/>
                    </w:rPr>
                  </w:pPr>
                  <w:r>
                    <w:rPr>
                      <w:rFonts w:hint="eastAsia"/>
                      <w:color w:val="auto"/>
                    </w:rPr>
                    <w:t>园区施工与产业条件依托</w:t>
                  </w:r>
                </w:p>
              </w:tc>
              <w:tc>
                <w:tcPr>
                  <w:tcW w:w="3577" w:type="pct"/>
                  <w:tcBorders>
                    <w:tl2br w:val="nil"/>
                    <w:tr2bl w:val="nil"/>
                  </w:tcBorders>
                  <w:vAlign w:val="center"/>
                </w:tcPr>
                <w:p w14:paraId="67C5C704">
                  <w:pPr>
                    <w:pStyle w:val="19"/>
                    <w:spacing w:before="120" w:after="120"/>
                    <w:rPr>
                      <w:color w:val="auto"/>
                    </w:rPr>
                  </w:pPr>
                  <w:r>
                    <w:rPr>
                      <w:rFonts w:hint="eastAsia"/>
                      <w:color w:val="auto"/>
                    </w:rPr>
                    <w:t>项目位于蒙西产业园，周边市政设施较为完善，交通便捷，地理位置优越，区域产业环境较好，可以为项目施工与运行提供可靠的材料供应与运营支撑。</w:t>
                  </w:r>
                </w:p>
              </w:tc>
            </w:tr>
          </w:tbl>
          <w:p w14:paraId="62163409">
            <w:pPr>
              <w:pStyle w:val="3"/>
              <w:ind w:firstLine="480"/>
            </w:pPr>
            <w:bookmarkStart w:id="37" w:name="_Toc1594"/>
            <w:bookmarkStart w:id="38" w:name="_Toc21817"/>
            <w:r>
              <w:rPr>
                <w:rFonts w:hint="eastAsia"/>
              </w:rPr>
              <w:t>5、危险化学品运输类型及数量</w:t>
            </w:r>
            <w:bookmarkEnd w:id="37"/>
            <w:bookmarkEnd w:id="38"/>
          </w:p>
          <w:p w14:paraId="13B20F29">
            <w:pPr>
              <w:ind w:firstLine="480"/>
            </w:pPr>
            <w:r>
              <w:rPr>
                <w:rFonts w:hint="eastAsia"/>
              </w:rPr>
              <w:t>通过</w:t>
            </w:r>
            <w:r>
              <w:t>园区现有企业危险化学品种类和数量</w:t>
            </w:r>
            <w:r>
              <w:rPr>
                <w:rFonts w:hint="eastAsia"/>
              </w:rPr>
              <w:t>调查，</w:t>
            </w:r>
            <w:r>
              <w:t>初步形成危险化学品生产清单</w:t>
            </w:r>
            <w:r>
              <w:rPr>
                <w:rFonts w:hint="eastAsia"/>
              </w:rPr>
              <w:t>，</w:t>
            </w:r>
            <w:r>
              <w:t>得出</w:t>
            </w:r>
            <w:r>
              <w:rPr>
                <w:rFonts w:hint="eastAsia"/>
              </w:rPr>
              <w:t>园区</w:t>
            </w:r>
            <w:r>
              <w:t>危险化学品企业年运输量</w:t>
            </w:r>
            <w:r>
              <w:rPr>
                <w:rFonts w:hint="eastAsia"/>
              </w:rPr>
              <w:t>，具体情况见下表：</w:t>
            </w:r>
          </w:p>
          <w:p w14:paraId="4190E8EE">
            <w:pPr>
              <w:pStyle w:val="21"/>
              <w:spacing w:before="120"/>
              <w:rPr>
                <w:rFonts w:hint="default"/>
              </w:rPr>
            </w:pPr>
            <w:bookmarkStart w:id="39" w:name="_Toc25121"/>
            <w:bookmarkStart w:id="40" w:name="_Toc2411"/>
            <w:r>
              <w:t>表2-3  园区危险化学品运输情况一览表</w:t>
            </w:r>
            <w:bookmarkEnd w:id="39"/>
            <w:bookmarkEnd w:id="40"/>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4"/>
              <w:gridCol w:w="1737"/>
              <w:gridCol w:w="1247"/>
              <w:gridCol w:w="1896"/>
              <w:gridCol w:w="1195"/>
              <w:gridCol w:w="1789"/>
            </w:tblGrid>
            <w:tr w14:paraId="521B7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Align w:val="center"/>
                </w:tcPr>
                <w:p w14:paraId="1D2A6839">
                  <w:pPr>
                    <w:pStyle w:val="19"/>
                    <w:spacing w:before="120" w:after="120"/>
                  </w:pPr>
                  <w:r>
                    <w:rPr>
                      <w:rFonts w:hint="eastAsia"/>
                    </w:rPr>
                    <w:t>序号</w:t>
                  </w:r>
                </w:p>
              </w:tc>
              <w:tc>
                <w:tcPr>
                  <w:tcW w:w="1036" w:type="pct"/>
                  <w:vAlign w:val="center"/>
                </w:tcPr>
                <w:p w14:paraId="5458AE9F">
                  <w:pPr>
                    <w:pStyle w:val="19"/>
                    <w:spacing w:before="120" w:after="120"/>
                  </w:pPr>
                  <w:r>
                    <w:rPr>
                      <w:rFonts w:hint="eastAsia"/>
                    </w:rPr>
                    <w:t>企业名称</w:t>
                  </w:r>
                </w:p>
              </w:tc>
              <w:tc>
                <w:tcPr>
                  <w:tcW w:w="744" w:type="pct"/>
                  <w:vAlign w:val="center"/>
                </w:tcPr>
                <w:p w14:paraId="5D408024">
                  <w:pPr>
                    <w:pStyle w:val="19"/>
                    <w:spacing w:before="120" w:after="120"/>
                  </w:pPr>
                  <w:r>
                    <w:t>销售危化品名称</w:t>
                  </w:r>
                </w:p>
              </w:tc>
              <w:tc>
                <w:tcPr>
                  <w:tcW w:w="1131" w:type="pct"/>
                  <w:vAlign w:val="center"/>
                </w:tcPr>
                <w:p w14:paraId="4FF526DE">
                  <w:pPr>
                    <w:pStyle w:val="19"/>
                    <w:spacing w:before="120" w:after="120"/>
                  </w:pPr>
                  <w:r>
                    <w:rPr>
                      <w:rFonts w:hint="eastAsia"/>
                    </w:rPr>
                    <w:t>车辆情况</w:t>
                  </w:r>
                </w:p>
              </w:tc>
              <w:tc>
                <w:tcPr>
                  <w:tcW w:w="713" w:type="pct"/>
                  <w:vAlign w:val="center"/>
                </w:tcPr>
                <w:p w14:paraId="67109F8E">
                  <w:pPr>
                    <w:pStyle w:val="19"/>
                    <w:spacing w:before="120" w:after="120"/>
                  </w:pPr>
                  <w:r>
                    <w:rPr>
                      <w:rFonts w:hint="eastAsia"/>
                    </w:rPr>
                    <w:t>采购</w:t>
                  </w:r>
                  <w:r>
                    <w:t>危化品名称</w:t>
                  </w:r>
                </w:p>
              </w:tc>
              <w:tc>
                <w:tcPr>
                  <w:tcW w:w="1067" w:type="pct"/>
                  <w:vAlign w:val="center"/>
                </w:tcPr>
                <w:p w14:paraId="282F01E3">
                  <w:pPr>
                    <w:pStyle w:val="19"/>
                    <w:spacing w:before="120" w:after="120"/>
                  </w:pPr>
                  <w:r>
                    <w:rPr>
                      <w:rFonts w:hint="eastAsia"/>
                    </w:rPr>
                    <w:t>车辆情况</w:t>
                  </w:r>
                </w:p>
              </w:tc>
            </w:tr>
            <w:tr w14:paraId="1B09D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restart"/>
                  <w:vAlign w:val="center"/>
                </w:tcPr>
                <w:p w14:paraId="33998B86">
                  <w:pPr>
                    <w:pStyle w:val="19"/>
                    <w:spacing w:before="120" w:after="120"/>
                  </w:pPr>
                  <w:r>
                    <w:rPr>
                      <w:rFonts w:hint="eastAsia"/>
                    </w:rPr>
                    <w:t>1</w:t>
                  </w:r>
                </w:p>
              </w:tc>
              <w:tc>
                <w:tcPr>
                  <w:tcW w:w="1036" w:type="pct"/>
                  <w:vMerge w:val="restart"/>
                  <w:vAlign w:val="center"/>
                </w:tcPr>
                <w:p w14:paraId="5FBFFC70">
                  <w:pPr>
                    <w:pStyle w:val="19"/>
                    <w:spacing w:before="120" w:after="120"/>
                  </w:pPr>
                  <w:r>
                    <w:t>国能蒙西煤化股份有限公司</w:t>
                  </w:r>
                </w:p>
              </w:tc>
              <w:tc>
                <w:tcPr>
                  <w:tcW w:w="744" w:type="pct"/>
                  <w:vAlign w:val="center"/>
                </w:tcPr>
                <w:p w14:paraId="1DA5BF0B">
                  <w:pPr>
                    <w:pStyle w:val="19"/>
                    <w:spacing w:before="120" w:after="120"/>
                  </w:pPr>
                  <w:r>
                    <w:rPr>
                      <w:rFonts w:hint="eastAsia"/>
                    </w:rPr>
                    <w:t>甲醇</w:t>
                  </w:r>
                </w:p>
              </w:tc>
              <w:tc>
                <w:tcPr>
                  <w:tcW w:w="1131" w:type="pct"/>
                  <w:vAlign w:val="center"/>
                </w:tcPr>
                <w:p w14:paraId="5E4FE180">
                  <w:pPr>
                    <w:pStyle w:val="19"/>
                    <w:spacing w:before="120" w:after="120"/>
                  </w:pPr>
                  <w:r>
                    <w:rPr>
                      <w:rFonts w:hint="eastAsia"/>
                    </w:rPr>
                    <w:t>10车/天（罐车）</w:t>
                  </w:r>
                </w:p>
              </w:tc>
              <w:tc>
                <w:tcPr>
                  <w:tcW w:w="713" w:type="pct"/>
                  <w:vAlign w:val="center"/>
                </w:tcPr>
                <w:p w14:paraId="0FCBF48E">
                  <w:pPr>
                    <w:pStyle w:val="19"/>
                    <w:spacing w:before="120" w:after="120"/>
                  </w:pPr>
                  <w:r>
                    <w:rPr>
                      <w:rFonts w:hint="eastAsia"/>
                    </w:rPr>
                    <w:t>硫酸</w:t>
                  </w:r>
                </w:p>
              </w:tc>
              <w:tc>
                <w:tcPr>
                  <w:tcW w:w="1067" w:type="pct"/>
                  <w:vAlign w:val="center"/>
                </w:tcPr>
                <w:p w14:paraId="5ACCFA30">
                  <w:pPr>
                    <w:pStyle w:val="19"/>
                    <w:spacing w:before="120" w:after="120"/>
                  </w:pPr>
                  <w:r>
                    <w:rPr>
                      <w:rFonts w:hint="eastAsia"/>
                    </w:rPr>
                    <w:t>2车/天（罐车）</w:t>
                  </w:r>
                </w:p>
              </w:tc>
            </w:tr>
            <w:tr w14:paraId="3B726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1ECC5D64">
                  <w:pPr>
                    <w:pStyle w:val="19"/>
                    <w:spacing w:before="120" w:after="120"/>
                  </w:pPr>
                </w:p>
              </w:tc>
              <w:tc>
                <w:tcPr>
                  <w:tcW w:w="1036" w:type="pct"/>
                  <w:vMerge w:val="continue"/>
                  <w:vAlign w:val="center"/>
                </w:tcPr>
                <w:p w14:paraId="14ECBE04">
                  <w:pPr>
                    <w:pStyle w:val="19"/>
                    <w:spacing w:before="120" w:after="120"/>
                  </w:pPr>
                </w:p>
              </w:tc>
              <w:tc>
                <w:tcPr>
                  <w:tcW w:w="744" w:type="pct"/>
                  <w:vAlign w:val="center"/>
                </w:tcPr>
                <w:p w14:paraId="5D7AE4B2">
                  <w:pPr>
                    <w:pStyle w:val="19"/>
                    <w:spacing w:before="120" w:after="120"/>
                  </w:pPr>
                  <w:r>
                    <w:rPr>
                      <w:rFonts w:hint="eastAsia"/>
                    </w:rPr>
                    <w:t>焦油</w:t>
                  </w:r>
                </w:p>
              </w:tc>
              <w:tc>
                <w:tcPr>
                  <w:tcW w:w="1131" w:type="pct"/>
                  <w:vAlign w:val="center"/>
                </w:tcPr>
                <w:p w14:paraId="78E546BA">
                  <w:pPr>
                    <w:pStyle w:val="19"/>
                    <w:spacing w:before="120" w:after="120"/>
                  </w:pPr>
                  <w:r>
                    <w:rPr>
                      <w:rFonts w:hint="eastAsia"/>
                    </w:rPr>
                    <w:t>7车/天（罐车）</w:t>
                  </w:r>
                </w:p>
              </w:tc>
              <w:tc>
                <w:tcPr>
                  <w:tcW w:w="713" w:type="pct"/>
                  <w:vAlign w:val="center"/>
                </w:tcPr>
                <w:p w14:paraId="3A0BC7B7">
                  <w:pPr>
                    <w:pStyle w:val="19"/>
                    <w:spacing w:before="120" w:after="120"/>
                  </w:pPr>
                  <w:r>
                    <w:rPr>
                      <w:rFonts w:hint="eastAsia"/>
                    </w:rPr>
                    <w:t>液碱</w:t>
                  </w:r>
                </w:p>
              </w:tc>
              <w:tc>
                <w:tcPr>
                  <w:tcW w:w="1067" w:type="pct"/>
                  <w:vAlign w:val="center"/>
                </w:tcPr>
                <w:p w14:paraId="7A929121">
                  <w:pPr>
                    <w:pStyle w:val="19"/>
                    <w:spacing w:before="120" w:after="120"/>
                  </w:pPr>
                  <w:r>
                    <w:rPr>
                      <w:rFonts w:hint="eastAsia"/>
                    </w:rPr>
                    <w:t>1车/天（罐车）</w:t>
                  </w:r>
                </w:p>
              </w:tc>
            </w:tr>
            <w:tr w14:paraId="5781B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61EDE092">
                  <w:pPr>
                    <w:pStyle w:val="19"/>
                    <w:spacing w:before="120" w:after="120"/>
                  </w:pPr>
                </w:p>
              </w:tc>
              <w:tc>
                <w:tcPr>
                  <w:tcW w:w="1036" w:type="pct"/>
                  <w:vMerge w:val="continue"/>
                  <w:vAlign w:val="center"/>
                </w:tcPr>
                <w:p w14:paraId="1794F4E0">
                  <w:pPr>
                    <w:pStyle w:val="19"/>
                    <w:spacing w:before="120" w:after="120"/>
                  </w:pPr>
                </w:p>
              </w:tc>
              <w:tc>
                <w:tcPr>
                  <w:tcW w:w="744" w:type="pct"/>
                  <w:vAlign w:val="center"/>
                </w:tcPr>
                <w:p w14:paraId="689DE445">
                  <w:pPr>
                    <w:pStyle w:val="19"/>
                    <w:spacing w:before="120" w:after="120"/>
                  </w:pPr>
                  <w:r>
                    <w:rPr>
                      <w:rFonts w:hint="eastAsia"/>
                    </w:rPr>
                    <w:t>粗苯</w:t>
                  </w:r>
                </w:p>
              </w:tc>
              <w:tc>
                <w:tcPr>
                  <w:tcW w:w="1131" w:type="pct"/>
                  <w:vAlign w:val="center"/>
                </w:tcPr>
                <w:p w14:paraId="3F08D9D6">
                  <w:pPr>
                    <w:pStyle w:val="19"/>
                    <w:spacing w:before="120" w:after="120"/>
                  </w:pPr>
                  <w:r>
                    <w:rPr>
                      <w:rFonts w:hint="eastAsia"/>
                    </w:rPr>
                    <w:t>2车/天（罐车）</w:t>
                  </w:r>
                </w:p>
              </w:tc>
              <w:tc>
                <w:tcPr>
                  <w:tcW w:w="713" w:type="pct"/>
                  <w:vAlign w:val="center"/>
                </w:tcPr>
                <w:p w14:paraId="7239C4F3">
                  <w:pPr>
                    <w:pStyle w:val="19"/>
                    <w:spacing w:before="120" w:after="120"/>
                  </w:pPr>
                  <w:r>
                    <w:rPr>
                      <w:rFonts w:hint="eastAsia"/>
                    </w:rPr>
                    <w:t>/</w:t>
                  </w:r>
                </w:p>
              </w:tc>
              <w:tc>
                <w:tcPr>
                  <w:tcW w:w="1067" w:type="pct"/>
                  <w:vAlign w:val="center"/>
                </w:tcPr>
                <w:p w14:paraId="3A70276F">
                  <w:pPr>
                    <w:pStyle w:val="19"/>
                    <w:spacing w:before="120" w:after="120"/>
                  </w:pPr>
                  <w:r>
                    <w:rPr>
                      <w:rFonts w:hint="eastAsia"/>
                    </w:rPr>
                    <w:t>/</w:t>
                  </w:r>
                </w:p>
              </w:tc>
            </w:tr>
            <w:tr w14:paraId="32151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restart"/>
                  <w:vAlign w:val="center"/>
                </w:tcPr>
                <w:p w14:paraId="5CD83F28">
                  <w:pPr>
                    <w:pStyle w:val="19"/>
                    <w:spacing w:before="120" w:after="120"/>
                  </w:pPr>
                  <w:r>
                    <w:rPr>
                      <w:rFonts w:hint="eastAsia"/>
                    </w:rPr>
                    <w:t>2</w:t>
                  </w:r>
                </w:p>
              </w:tc>
              <w:tc>
                <w:tcPr>
                  <w:tcW w:w="1036" w:type="pct"/>
                  <w:vMerge w:val="restart"/>
                  <w:vAlign w:val="center"/>
                </w:tcPr>
                <w:p w14:paraId="036CC1DD">
                  <w:pPr>
                    <w:pStyle w:val="19"/>
                    <w:spacing w:before="120" w:after="120"/>
                  </w:pPr>
                  <w:r>
                    <w:rPr>
                      <w:rFonts w:hint="eastAsia"/>
                    </w:rPr>
                    <w:t>国能蒙西华瑞化工有</w:t>
                  </w:r>
                  <w:r>
                    <w:t>限公司</w:t>
                  </w:r>
                </w:p>
              </w:tc>
              <w:tc>
                <w:tcPr>
                  <w:tcW w:w="744" w:type="pct"/>
                  <w:vAlign w:val="center"/>
                </w:tcPr>
                <w:p w14:paraId="2D7D7145">
                  <w:pPr>
                    <w:pStyle w:val="19"/>
                    <w:spacing w:before="120" w:after="120"/>
                  </w:pPr>
                  <w:r>
                    <w:rPr>
                      <w:rFonts w:hint="eastAsia"/>
                    </w:rPr>
                    <w:t>苯</w:t>
                  </w:r>
                </w:p>
              </w:tc>
              <w:tc>
                <w:tcPr>
                  <w:tcW w:w="1131" w:type="pct"/>
                  <w:vAlign w:val="center"/>
                </w:tcPr>
                <w:p w14:paraId="02ADC6C2">
                  <w:pPr>
                    <w:pStyle w:val="19"/>
                    <w:spacing w:before="120" w:after="120"/>
                  </w:pPr>
                  <w:r>
                    <w:rPr>
                      <w:rFonts w:hint="eastAsia"/>
                    </w:rPr>
                    <w:t>1车/天（罐车）</w:t>
                  </w:r>
                </w:p>
              </w:tc>
              <w:tc>
                <w:tcPr>
                  <w:tcW w:w="713" w:type="pct"/>
                  <w:vAlign w:val="center"/>
                </w:tcPr>
                <w:p w14:paraId="6780FAF4">
                  <w:pPr>
                    <w:pStyle w:val="19"/>
                    <w:spacing w:before="120" w:after="120"/>
                  </w:pPr>
                  <w:r>
                    <w:rPr>
                      <w:rFonts w:hint="eastAsia"/>
                    </w:rPr>
                    <w:t>粗苯</w:t>
                  </w:r>
                </w:p>
              </w:tc>
              <w:tc>
                <w:tcPr>
                  <w:tcW w:w="1067" w:type="pct"/>
                  <w:vAlign w:val="center"/>
                </w:tcPr>
                <w:p w14:paraId="61849FF0">
                  <w:pPr>
                    <w:pStyle w:val="19"/>
                    <w:spacing w:before="120" w:after="120"/>
                  </w:pPr>
                  <w:r>
                    <w:rPr>
                      <w:rFonts w:hint="eastAsia"/>
                    </w:rPr>
                    <w:t>12车/天（罐车）</w:t>
                  </w:r>
                </w:p>
              </w:tc>
            </w:tr>
            <w:tr w14:paraId="3F133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exact"/>
              </w:trPr>
              <w:tc>
                <w:tcPr>
                  <w:tcW w:w="307" w:type="pct"/>
                  <w:vMerge w:val="continue"/>
                  <w:vAlign w:val="center"/>
                </w:tcPr>
                <w:p w14:paraId="2320BF39">
                  <w:pPr>
                    <w:pStyle w:val="19"/>
                    <w:spacing w:before="120" w:after="120"/>
                  </w:pPr>
                </w:p>
              </w:tc>
              <w:tc>
                <w:tcPr>
                  <w:tcW w:w="1036" w:type="pct"/>
                  <w:vMerge w:val="continue"/>
                  <w:vAlign w:val="center"/>
                </w:tcPr>
                <w:p w14:paraId="35F34472">
                  <w:pPr>
                    <w:pStyle w:val="19"/>
                    <w:spacing w:before="120" w:after="120"/>
                  </w:pPr>
                </w:p>
              </w:tc>
              <w:tc>
                <w:tcPr>
                  <w:tcW w:w="744" w:type="pct"/>
                  <w:vAlign w:val="center"/>
                </w:tcPr>
                <w:p w14:paraId="306F8414">
                  <w:pPr>
                    <w:pStyle w:val="19"/>
                    <w:spacing w:before="120" w:after="120"/>
                  </w:pPr>
                  <w:r>
                    <w:rPr>
                      <w:rFonts w:hint="eastAsia"/>
                    </w:rPr>
                    <w:t>甲苯</w:t>
                  </w:r>
                </w:p>
              </w:tc>
              <w:tc>
                <w:tcPr>
                  <w:tcW w:w="1131" w:type="pct"/>
                  <w:vAlign w:val="center"/>
                </w:tcPr>
                <w:p w14:paraId="2446714E">
                  <w:pPr>
                    <w:pStyle w:val="19"/>
                    <w:spacing w:before="120" w:after="120"/>
                  </w:pPr>
                  <w:r>
                    <w:rPr>
                      <w:rFonts w:hint="eastAsia"/>
                    </w:rPr>
                    <w:t>2车/天（罐车）</w:t>
                  </w:r>
                </w:p>
              </w:tc>
              <w:tc>
                <w:tcPr>
                  <w:tcW w:w="713" w:type="pct"/>
                  <w:vAlign w:val="center"/>
                </w:tcPr>
                <w:p w14:paraId="7C491594">
                  <w:pPr>
                    <w:pStyle w:val="19"/>
                    <w:spacing w:before="120" w:after="120"/>
                  </w:pPr>
                  <w:r>
                    <w:rPr>
                      <w:rFonts w:hint="eastAsia"/>
                    </w:rPr>
                    <w:t>/</w:t>
                  </w:r>
                </w:p>
              </w:tc>
              <w:tc>
                <w:tcPr>
                  <w:tcW w:w="1067" w:type="pct"/>
                  <w:vAlign w:val="center"/>
                </w:tcPr>
                <w:p w14:paraId="0D1976CB">
                  <w:pPr>
                    <w:pStyle w:val="19"/>
                    <w:spacing w:before="120" w:after="120"/>
                  </w:pPr>
                  <w:r>
                    <w:rPr>
                      <w:rFonts w:hint="eastAsia"/>
                    </w:rPr>
                    <w:t>/</w:t>
                  </w:r>
                </w:p>
              </w:tc>
            </w:tr>
            <w:tr w14:paraId="274E7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11938E8F">
                  <w:pPr>
                    <w:pStyle w:val="19"/>
                    <w:spacing w:before="120" w:after="120"/>
                  </w:pPr>
                </w:p>
              </w:tc>
              <w:tc>
                <w:tcPr>
                  <w:tcW w:w="1036" w:type="pct"/>
                  <w:vMerge w:val="continue"/>
                  <w:vAlign w:val="center"/>
                </w:tcPr>
                <w:p w14:paraId="5B907C3A">
                  <w:pPr>
                    <w:pStyle w:val="19"/>
                    <w:spacing w:before="120" w:after="120"/>
                  </w:pPr>
                </w:p>
              </w:tc>
              <w:tc>
                <w:tcPr>
                  <w:tcW w:w="744" w:type="pct"/>
                  <w:vAlign w:val="center"/>
                </w:tcPr>
                <w:p w14:paraId="03ED8014">
                  <w:pPr>
                    <w:pStyle w:val="19"/>
                    <w:spacing w:before="120" w:after="120"/>
                  </w:pPr>
                  <w:r>
                    <w:rPr>
                      <w:rFonts w:hint="eastAsia"/>
                    </w:rPr>
                    <w:t>二甲苯</w:t>
                  </w:r>
                </w:p>
              </w:tc>
              <w:tc>
                <w:tcPr>
                  <w:tcW w:w="1131" w:type="pct"/>
                  <w:vAlign w:val="center"/>
                </w:tcPr>
                <w:p w14:paraId="3C226C09">
                  <w:pPr>
                    <w:pStyle w:val="19"/>
                    <w:spacing w:before="120" w:after="120"/>
                  </w:pPr>
                  <w:r>
                    <w:rPr>
                      <w:rFonts w:hint="eastAsia"/>
                    </w:rPr>
                    <w:t>1车/天（罐车）</w:t>
                  </w:r>
                </w:p>
              </w:tc>
              <w:tc>
                <w:tcPr>
                  <w:tcW w:w="713" w:type="pct"/>
                  <w:vAlign w:val="center"/>
                </w:tcPr>
                <w:p w14:paraId="08B62AB5">
                  <w:pPr>
                    <w:pStyle w:val="19"/>
                    <w:spacing w:before="120" w:after="120"/>
                  </w:pPr>
                  <w:r>
                    <w:rPr>
                      <w:rFonts w:hint="eastAsia"/>
                    </w:rPr>
                    <w:t>/</w:t>
                  </w:r>
                </w:p>
              </w:tc>
              <w:tc>
                <w:tcPr>
                  <w:tcW w:w="1067" w:type="pct"/>
                  <w:vAlign w:val="center"/>
                </w:tcPr>
                <w:p w14:paraId="1DEF49EF">
                  <w:pPr>
                    <w:pStyle w:val="19"/>
                    <w:spacing w:before="120" w:after="120"/>
                  </w:pPr>
                  <w:r>
                    <w:rPr>
                      <w:rFonts w:hint="eastAsia"/>
                    </w:rPr>
                    <w:t>/</w:t>
                  </w:r>
                </w:p>
              </w:tc>
            </w:tr>
            <w:tr w14:paraId="54019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64044178">
                  <w:pPr>
                    <w:pStyle w:val="19"/>
                    <w:spacing w:before="120" w:after="120"/>
                  </w:pPr>
                </w:p>
              </w:tc>
              <w:tc>
                <w:tcPr>
                  <w:tcW w:w="1036" w:type="pct"/>
                  <w:vMerge w:val="continue"/>
                  <w:vAlign w:val="center"/>
                </w:tcPr>
                <w:p w14:paraId="110D6863">
                  <w:pPr>
                    <w:pStyle w:val="19"/>
                    <w:spacing w:before="120" w:after="120"/>
                  </w:pPr>
                </w:p>
              </w:tc>
              <w:tc>
                <w:tcPr>
                  <w:tcW w:w="744" w:type="pct"/>
                  <w:vAlign w:val="center"/>
                </w:tcPr>
                <w:p w14:paraId="2F38FB46">
                  <w:pPr>
                    <w:pStyle w:val="19"/>
                    <w:spacing w:before="120" w:after="120"/>
                  </w:pPr>
                  <w:r>
                    <w:rPr>
                      <w:rFonts w:hint="eastAsia"/>
                    </w:rPr>
                    <w:t>重苯</w:t>
                  </w:r>
                </w:p>
              </w:tc>
              <w:tc>
                <w:tcPr>
                  <w:tcW w:w="1131" w:type="pct"/>
                  <w:vAlign w:val="center"/>
                </w:tcPr>
                <w:p w14:paraId="7D63F625">
                  <w:pPr>
                    <w:pStyle w:val="19"/>
                    <w:spacing w:before="120" w:after="120"/>
                  </w:pPr>
                  <w:r>
                    <w:rPr>
                      <w:rFonts w:hint="eastAsia"/>
                    </w:rPr>
                    <w:t>7车/天（罐车）</w:t>
                  </w:r>
                </w:p>
              </w:tc>
              <w:tc>
                <w:tcPr>
                  <w:tcW w:w="713" w:type="pct"/>
                  <w:vAlign w:val="center"/>
                </w:tcPr>
                <w:p w14:paraId="29B0F028">
                  <w:pPr>
                    <w:pStyle w:val="19"/>
                    <w:spacing w:before="120" w:after="120"/>
                  </w:pPr>
                  <w:r>
                    <w:rPr>
                      <w:rFonts w:hint="eastAsia"/>
                    </w:rPr>
                    <w:t>/</w:t>
                  </w:r>
                </w:p>
              </w:tc>
              <w:tc>
                <w:tcPr>
                  <w:tcW w:w="1067" w:type="pct"/>
                  <w:vAlign w:val="center"/>
                </w:tcPr>
                <w:p w14:paraId="22F6F8CB">
                  <w:pPr>
                    <w:pStyle w:val="19"/>
                    <w:spacing w:before="120" w:after="120"/>
                  </w:pPr>
                  <w:r>
                    <w:rPr>
                      <w:rFonts w:hint="eastAsia"/>
                    </w:rPr>
                    <w:t>/</w:t>
                  </w:r>
                </w:p>
              </w:tc>
            </w:tr>
            <w:tr w14:paraId="65B2A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trPr>
              <w:tc>
                <w:tcPr>
                  <w:tcW w:w="307" w:type="pct"/>
                  <w:vMerge w:val="restart"/>
                  <w:vAlign w:val="center"/>
                </w:tcPr>
                <w:p w14:paraId="2A339166">
                  <w:pPr>
                    <w:pStyle w:val="19"/>
                    <w:spacing w:before="120" w:after="120"/>
                  </w:pPr>
                  <w:r>
                    <w:rPr>
                      <w:rFonts w:hint="eastAsia"/>
                    </w:rPr>
                    <w:t>3</w:t>
                  </w:r>
                </w:p>
              </w:tc>
              <w:tc>
                <w:tcPr>
                  <w:tcW w:w="1036" w:type="pct"/>
                  <w:vMerge w:val="restart"/>
                  <w:vAlign w:val="center"/>
                </w:tcPr>
                <w:p w14:paraId="78A19B09">
                  <w:pPr>
                    <w:pStyle w:val="19"/>
                    <w:spacing w:before="120" w:after="120"/>
                  </w:pPr>
                  <w:r>
                    <w:t>内蒙古星光煤炭集团鄂托克旗华誉煤焦化有限公司</w:t>
                  </w:r>
                </w:p>
              </w:tc>
              <w:tc>
                <w:tcPr>
                  <w:tcW w:w="744" w:type="pct"/>
                  <w:vAlign w:val="center"/>
                </w:tcPr>
                <w:p w14:paraId="0DFBC9F1">
                  <w:pPr>
                    <w:pStyle w:val="19"/>
                    <w:spacing w:before="120" w:after="120"/>
                  </w:pPr>
                  <w:r>
                    <w:rPr>
                      <w:rFonts w:hint="eastAsia"/>
                    </w:rPr>
                    <w:t>焦油</w:t>
                  </w:r>
                </w:p>
              </w:tc>
              <w:tc>
                <w:tcPr>
                  <w:tcW w:w="1131" w:type="pct"/>
                  <w:vAlign w:val="center"/>
                </w:tcPr>
                <w:p w14:paraId="694E51E4">
                  <w:pPr>
                    <w:pStyle w:val="19"/>
                    <w:spacing w:before="120" w:after="120"/>
                  </w:pPr>
                  <w:r>
                    <w:rPr>
                      <w:rFonts w:hint="eastAsia"/>
                    </w:rPr>
                    <w:t>4车/天（罐车）</w:t>
                  </w:r>
                </w:p>
              </w:tc>
              <w:tc>
                <w:tcPr>
                  <w:tcW w:w="713" w:type="pct"/>
                  <w:vAlign w:val="center"/>
                </w:tcPr>
                <w:p w14:paraId="4B0A5BB7">
                  <w:pPr>
                    <w:pStyle w:val="19"/>
                    <w:spacing w:before="120" w:after="120"/>
                  </w:pPr>
                  <w:r>
                    <w:rPr>
                      <w:rFonts w:hint="eastAsia"/>
                    </w:rPr>
                    <w:t>硫酸</w:t>
                  </w:r>
                </w:p>
              </w:tc>
              <w:tc>
                <w:tcPr>
                  <w:tcW w:w="1067" w:type="pct"/>
                  <w:vAlign w:val="center"/>
                </w:tcPr>
                <w:p w14:paraId="7CEBDCC9">
                  <w:pPr>
                    <w:pStyle w:val="19"/>
                    <w:spacing w:before="120" w:after="120"/>
                  </w:pPr>
                  <w:r>
                    <w:rPr>
                      <w:rFonts w:hint="eastAsia"/>
                    </w:rPr>
                    <w:t>1车/天（罐车）</w:t>
                  </w:r>
                </w:p>
              </w:tc>
            </w:tr>
            <w:tr w14:paraId="64400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72C2379B">
                  <w:pPr>
                    <w:pStyle w:val="19"/>
                    <w:spacing w:before="120" w:after="120"/>
                  </w:pPr>
                </w:p>
              </w:tc>
              <w:tc>
                <w:tcPr>
                  <w:tcW w:w="1036" w:type="pct"/>
                  <w:vMerge w:val="continue"/>
                  <w:vAlign w:val="center"/>
                </w:tcPr>
                <w:p w14:paraId="3BFAB624">
                  <w:pPr>
                    <w:pStyle w:val="19"/>
                    <w:spacing w:before="120" w:after="120"/>
                  </w:pPr>
                </w:p>
              </w:tc>
              <w:tc>
                <w:tcPr>
                  <w:tcW w:w="744" w:type="pct"/>
                  <w:vAlign w:val="center"/>
                </w:tcPr>
                <w:p w14:paraId="25F4ACA4">
                  <w:pPr>
                    <w:pStyle w:val="19"/>
                    <w:spacing w:before="120" w:after="120"/>
                  </w:pPr>
                  <w:r>
                    <w:rPr>
                      <w:rFonts w:hint="eastAsia"/>
                    </w:rPr>
                    <w:t>粗苯</w:t>
                  </w:r>
                </w:p>
              </w:tc>
              <w:tc>
                <w:tcPr>
                  <w:tcW w:w="1131" w:type="pct"/>
                  <w:vAlign w:val="center"/>
                </w:tcPr>
                <w:p w14:paraId="71691667">
                  <w:pPr>
                    <w:pStyle w:val="19"/>
                    <w:spacing w:before="120" w:after="120"/>
                  </w:pPr>
                  <w:r>
                    <w:rPr>
                      <w:rFonts w:hint="eastAsia"/>
                    </w:rPr>
                    <w:t>1车/天（罐车）</w:t>
                  </w:r>
                </w:p>
              </w:tc>
              <w:tc>
                <w:tcPr>
                  <w:tcW w:w="713" w:type="pct"/>
                  <w:vAlign w:val="center"/>
                </w:tcPr>
                <w:p w14:paraId="168B7087">
                  <w:pPr>
                    <w:pStyle w:val="19"/>
                    <w:spacing w:before="120" w:after="120"/>
                  </w:pPr>
                  <w:r>
                    <w:rPr>
                      <w:rFonts w:hint="eastAsia"/>
                    </w:rPr>
                    <w:t>氨水</w:t>
                  </w:r>
                </w:p>
              </w:tc>
              <w:tc>
                <w:tcPr>
                  <w:tcW w:w="1067" w:type="pct"/>
                  <w:vAlign w:val="center"/>
                </w:tcPr>
                <w:p w14:paraId="07B6ADCB">
                  <w:pPr>
                    <w:pStyle w:val="19"/>
                    <w:spacing w:before="120" w:after="120"/>
                  </w:pPr>
                  <w:r>
                    <w:rPr>
                      <w:rFonts w:hint="eastAsia"/>
                    </w:rPr>
                    <w:t>1车/周（罐车）</w:t>
                  </w:r>
                </w:p>
              </w:tc>
            </w:tr>
            <w:tr w14:paraId="0C853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restart"/>
                  <w:vAlign w:val="center"/>
                </w:tcPr>
                <w:p w14:paraId="5EBFE6C9">
                  <w:pPr>
                    <w:pStyle w:val="19"/>
                    <w:spacing w:before="120" w:after="120"/>
                  </w:pPr>
                  <w:r>
                    <w:rPr>
                      <w:rFonts w:hint="eastAsia"/>
                    </w:rPr>
                    <w:t>4</w:t>
                  </w:r>
                </w:p>
              </w:tc>
              <w:tc>
                <w:tcPr>
                  <w:tcW w:w="1036" w:type="pct"/>
                  <w:vMerge w:val="restart"/>
                  <w:vAlign w:val="center"/>
                </w:tcPr>
                <w:p w14:paraId="2A89C116">
                  <w:pPr>
                    <w:pStyle w:val="19"/>
                    <w:spacing w:before="120" w:after="120"/>
                  </w:pPr>
                  <w:r>
                    <w:rPr>
                      <w:rFonts w:hint="eastAsia"/>
                    </w:rPr>
                    <w:t>内蒙古鄂尔多斯市华</w:t>
                  </w:r>
                  <w:r>
                    <w:t>冶煤焦化有限公司</w:t>
                  </w:r>
                </w:p>
              </w:tc>
              <w:tc>
                <w:tcPr>
                  <w:tcW w:w="744" w:type="pct"/>
                  <w:vAlign w:val="center"/>
                </w:tcPr>
                <w:p w14:paraId="2A65DE18">
                  <w:pPr>
                    <w:pStyle w:val="19"/>
                    <w:spacing w:before="120" w:after="120"/>
                  </w:pPr>
                  <w:r>
                    <w:rPr>
                      <w:rFonts w:hint="eastAsia"/>
                    </w:rPr>
                    <w:t>焦油</w:t>
                  </w:r>
                </w:p>
              </w:tc>
              <w:tc>
                <w:tcPr>
                  <w:tcW w:w="1131" w:type="pct"/>
                  <w:vAlign w:val="center"/>
                </w:tcPr>
                <w:p w14:paraId="6CE1AFBE">
                  <w:pPr>
                    <w:pStyle w:val="19"/>
                    <w:spacing w:before="120" w:after="120"/>
                  </w:pPr>
                  <w:r>
                    <w:rPr>
                      <w:rFonts w:hint="eastAsia"/>
                    </w:rPr>
                    <w:t>4车/天（罐车）</w:t>
                  </w:r>
                </w:p>
              </w:tc>
              <w:tc>
                <w:tcPr>
                  <w:tcW w:w="713" w:type="pct"/>
                  <w:vAlign w:val="center"/>
                </w:tcPr>
                <w:p w14:paraId="1C01468F">
                  <w:pPr>
                    <w:pStyle w:val="19"/>
                    <w:spacing w:before="120" w:after="120"/>
                  </w:pPr>
                  <w:r>
                    <w:rPr>
                      <w:rFonts w:hint="eastAsia"/>
                    </w:rPr>
                    <w:t>硫酸</w:t>
                  </w:r>
                </w:p>
              </w:tc>
              <w:tc>
                <w:tcPr>
                  <w:tcW w:w="1067" w:type="pct"/>
                  <w:vAlign w:val="center"/>
                </w:tcPr>
                <w:p w14:paraId="4BAE863A">
                  <w:pPr>
                    <w:pStyle w:val="19"/>
                    <w:spacing w:before="120" w:after="120"/>
                  </w:pPr>
                  <w:r>
                    <w:rPr>
                      <w:rFonts w:hint="eastAsia"/>
                    </w:rPr>
                    <w:t>1车/天（罐车）</w:t>
                  </w:r>
                </w:p>
              </w:tc>
            </w:tr>
            <w:tr w14:paraId="6B857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5DD9D4CB">
                  <w:pPr>
                    <w:pStyle w:val="19"/>
                    <w:spacing w:before="120" w:after="120"/>
                  </w:pPr>
                </w:p>
              </w:tc>
              <w:tc>
                <w:tcPr>
                  <w:tcW w:w="1036" w:type="pct"/>
                  <w:vMerge w:val="continue"/>
                  <w:vAlign w:val="center"/>
                </w:tcPr>
                <w:p w14:paraId="278E5B9D">
                  <w:pPr>
                    <w:pStyle w:val="19"/>
                    <w:spacing w:before="120" w:after="120"/>
                  </w:pPr>
                </w:p>
              </w:tc>
              <w:tc>
                <w:tcPr>
                  <w:tcW w:w="744" w:type="pct"/>
                  <w:vAlign w:val="center"/>
                </w:tcPr>
                <w:p w14:paraId="72036FFF">
                  <w:pPr>
                    <w:pStyle w:val="19"/>
                    <w:spacing w:before="120" w:after="120"/>
                  </w:pPr>
                  <w:r>
                    <w:rPr>
                      <w:rFonts w:hint="eastAsia"/>
                    </w:rPr>
                    <w:t>粗苯</w:t>
                  </w:r>
                </w:p>
              </w:tc>
              <w:tc>
                <w:tcPr>
                  <w:tcW w:w="1131" w:type="pct"/>
                  <w:vAlign w:val="center"/>
                </w:tcPr>
                <w:p w14:paraId="52E3D9F5">
                  <w:pPr>
                    <w:pStyle w:val="19"/>
                    <w:spacing w:before="120" w:after="120"/>
                  </w:pPr>
                  <w:r>
                    <w:rPr>
                      <w:rFonts w:hint="eastAsia"/>
                    </w:rPr>
                    <w:t>1车/天（罐车）</w:t>
                  </w:r>
                </w:p>
              </w:tc>
              <w:tc>
                <w:tcPr>
                  <w:tcW w:w="713" w:type="pct"/>
                  <w:vAlign w:val="center"/>
                </w:tcPr>
                <w:p w14:paraId="3D3596EB">
                  <w:pPr>
                    <w:pStyle w:val="19"/>
                    <w:spacing w:before="120" w:after="120"/>
                  </w:pPr>
                  <w:r>
                    <w:rPr>
                      <w:rFonts w:hint="eastAsia"/>
                    </w:rPr>
                    <w:t>氨水</w:t>
                  </w:r>
                </w:p>
              </w:tc>
              <w:tc>
                <w:tcPr>
                  <w:tcW w:w="1067" w:type="pct"/>
                  <w:vAlign w:val="center"/>
                </w:tcPr>
                <w:p w14:paraId="6E1D332C">
                  <w:pPr>
                    <w:pStyle w:val="19"/>
                    <w:spacing w:before="120" w:after="120"/>
                  </w:pPr>
                  <w:r>
                    <w:rPr>
                      <w:rFonts w:hint="eastAsia"/>
                    </w:rPr>
                    <w:t>1车/天（罐车）</w:t>
                  </w:r>
                </w:p>
              </w:tc>
            </w:tr>
            <w:tr w14:paraId="5A581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02F884E7">
                  <w:pPr>
                    <w:pStyle w:val="19"/>
                    <w:spacing w:before="120" w:after="120"/>
                  </w:pPr>
                </w:p>
              </w:tc>
              <w:tc>
                <w:tcPr>
                  <w:tcW w:w="1036" w:type="pct"/>
                  <w:vMerge w:val="continue"/>
                  <w:vAlign w:val="center"/>
                </w:tcPr>
                <w:p w14:paraId="4EB2855E">
                  <w:pPr>
                    <w:pStyle w:val="19"/>
                    <w:spacing w:before="120" w:after="120"/>
                  </w:pPr>
                </w:p>
              </w:tc>
              <w:tc>
                <w:tcPr>
                  <w:tcW w:w="744" w:type="pct"/>
                  <w:vAlign w:val="center"/>
                </w:tcPr>
                <w:p w14:paraId="57A9F73C">
                  <w:pPr>
                    <w:pStyle w:val="19"/>
                    <w:spacing w:before="120" w:after="120"/>
                  </w:pPr>
                  <w:r>
                    <w:rPr>
                      <w:rFonts w:hint="eastAsia"/>
                    </w:rPr>
                    <w:t>/</w:t>
                  </w:r>
                </w:p>
              </w:tc>
              <w:tc>
                <w:tcPr>
                  <w:tcW w:w="1131" w:type="pct"/>
                  <w:vAlign w:val="center"/>
                </w:tcPr>
                <w:p w14:paraId="57B0BC8F">
                  <w:pPr>
                    <w:pStyle w:val="19"/>
                    <w:spacing w:before="120" w:after="120"/>
                  </w:pPr>
                  <w:r>
                    <w:rPr>
                      <w:rFonts w:hint="eastAsia"/>
                    </w:rPr>
                    <w:t>/</w:t>
                  </w:r>
                </w:p>
              </w:tc>
              <w:tc>
                <w:tcPr>
                  <w:tcW w:w="713" w:type="pct"/>
                  <w:vAlign w:val="center"/>
                </w:tcPr>
                <w:p w14:paraId="7587C4B2">
                  <w:pPr>
                    <w:pStyle w:val="19"/>
                    <w:spacing w:before="120" w:after="120"/>
                  </w:pPr>
                  <w:r>
                    <w:rPr>
                      <w:rFonts w:hint="eastAsia"/>
                    </w:rPr>
                    <w:t>液碱</w:t>
                  </w:r>
                </w:p>
              </w:tc>
              <w:tc>
                <w:tcPr>
                  <w:tcW w:w="1067" w:type="pct"/>
                  <w:vAlign w:val="center"/>
                </w:tcPr>
                <w:p w14:paraId="5C8146A6">
                  <w:pPr>
                    <w:pStyle w:val="19"/>
                    <w:spacing w:before="120" w:after="120"/>
                  </w:pPr>
                  <w:r>
                    <w:rPr>
                      <w:rFonts w:hint="eastAsia"/>
                    </w:rPr>
                    <w:t>1车/2天（罐车）</w:t>
                  </w:r>
                </w:p>
              </w:tc>
            </w:tr>
            <w:tr w14:paraId="0552B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restart"/>
                  <w:vAlign w:val="center"/>
                </w:tcPr>
                <w:p w14:paraId="282C37A9">
                  <w:pPr>
                    <w:pStyle w:val="19"/>
                    <w:spacing w:before="120" w:after="120"/>
                  </w:pPr>
                  <w:r>
                    <w:rPr>
                      <w:rFonts w:hint="eastAsia"/>
                    </w:rPr>
                    <w:t>5</w:t>
                  </w:r>
                </w:p>
              </w:tc>
              <w:tc>
                <w:tcPr>
                  <w:tcW w:w="1036" w:type="pct"/>
                  <w:vMerge w:val="restart"/>
                  <w:vAlign w:val="center"/>
                </w:tcPr>
                <w:p w14:paraId="3498860D">
                  <w:pPr>
                    <w:pStyle w:val="19"/>
                    <w:spacing w:before="120" w:after="120"/>
                  </w:pPr>
                  <w:r>
                    <w:t>鄂尔多斯市君正能源化工有限公司</w:t>
                  </w:r>
                </w:p>
              </w:tc>
              <w:tc>
                <w:tcPr>
                  <w:tcW w:w="744" w:type="pct"/>
                  <w:vAlign w:val="center"/>
                </w:tcPr>
                <w:p w14:paraId="453774BD">
                  <w:pPr>
                    <w:pStyle w:val="19"/>
                    <w:spacing w:before="120" w:after="120"/>
                  </w:pPr>
                  <w:r>
                    <w:rPr>
                      <w:rFonts w:hint="eastAsia"/>
                    </w:rPr>
                    <w:t>烧碱</w:t>
                  </w:r>
                </w:p>
              </w:tc>
              <w:tc>
                <w:tcPr>
                  <w:tcW w:w="1131" w:type="pct"/>
                  <w:vAlign w:val="center"/>
                </w:tcPr>
                <w:p w14:paraId="5FB94B84">
                  <w:pPr>
                    <w:pStyle w:val="19"/>
                    <w:spacing w:before="120" w:after="120"/>
                  </w:pPr>
                  <w:r>
                    <w:rPr>
                      <w:rFonts w:hint="eastAsia"/>
                    </w:rPr>
                    <w:t>34车/天（罐车）</w:t>
                  </w:r>
                </w:p>
              </w:tc>
              <w:tc>
                <w:tcPr>
                  <w:tcW w:w="713" w:type="pct"/>
                  <w:vAlign w:val="center"/>
                </w:tcPr>
                <w:p w14:paraId="4FBB457A">
                  <w:pPr>
                    <w:pStyle w:val="19"/>
                    <w:spacing w:before="120" w:after="120"/>
                  </w:pPr>
                  <w:r>
                    <w:rPr>
                      <w:rFonts w:hint="eastAsia"/>
                    </w:rPr>
                    <w:t>电石</w:t>
                  </w:r>
                </w:p>
              </w:tc>
              <w:tc>
                <w:tcPr>
                  <w:tcW w:w="1067" w:type="pct"/>
                  <w:vAlign w:val="center"/>
                </w:tcPr>
                <w:p w14:paraId="5210D74E">
                  <w:pPr>
                    <w:pStyle w:val="19"/>
                    <w:spacing w:before="120" w:after="120"/>
                  </w:pPr>
                  <w:r>
                    <w:rPr>
                      <w:rFonts w:hint="eastAsia"/>
                    </w:rPr>
                    <w:t>1车/天（马槽车）</w:t>
                  </w:r>
                </w:p>
              </w:tc>
            </w:tr>
            <w:tr w14:paraId="624C7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47D90E40">
                  <w:pPr>
                    <w:pStyle w:val="19"/>
                    <w:spacing w:before="120" w:after="120"/>
                  </w:pPr>
                </w:p>
              </w:tc>
              <w:tc>
                <w:tcPr>
                  <w:tcW w:w="1036" w:type="pct"/>
                  <w:vMerge w:val="continue"/>
                  <w:vAlign w:val="center"/>
                </w:tcPr>
                <w:p w14:paraId="53608A86">
                  <w:pPr>
                    <w:pStyle w:val="19"/>
                    <w:spacing w:before="120" w:after="120"/>
                  </w:pPr>
                </w:p>
              </w:tc>
              <w:tc>
                <w:tcPr>
                  <w:tcW w:w="744" w:type="pct"/>
                  <w:vAlign w:val="center"/>
                </w:tcPr>
                <w:p w14:paraId="62B3CDAA">
                  <w:pPr>
                    <w:pStyle w:val="19"/>
                    <w:spacing w:before="120" w:after="120"/>
                  </w:pPr>
                  <w:r>
                    <w:rPr>
                      <w:rFonts w:hint="eastAsia"/>
                    </w:rPr>
                    <w:t>31%盐酸</w:t>
                  </w:r>
                </w:p>
              </w:tc>
              <w:tc>
                <w:tcPr>
                  <w:tcW w:w="1131" w:type="pct"/>
                  <w:vAlign w:val="center"/>
                </w:tcPr>
                <w:p w14:paraId="03DCFF8F">
                  <w:pPr>
                    <w:pStyle w:val="19"/>
                    <w:spacing w:before="120" w:after="120"/>
                  </w:pPr>
                  <w:r>
                    <w:rPr>
                      <w:rFonts w:hint="eastAsia"/>
                    </w:rPr>
                    <w:t>10车/天（罐车）</w:t>
                  </w:r>
                </w:p>
              </w:tc>
              <w:tc>
                <w:tcPr>
                  <w:tcW w:w="713" w:type="pct"/>
                  <w:vAlign w:val="center"/>
                </w:tcPr>
                <w:p w14:paraId="4C9389E6">
                  <w:pPr>
                    <w:pStyle w:val="19"/>
                    <w:spacing w:before="120" w:after="120"/>
                  </w:pPr>
                  <w:r>
                    <w:rPr>
                      <w:rFonts w:hint="eastAsia"/>
                    </w:rPr>
                    <w:t>硫酸</w:t>
                  </w:r>
                </w:p>
              </w:tc>
              <w:tc>
                <w:tcPr>
                  <w:tcW w:w="1067" w:type="pct"/>
                  <w:vAlign w:val="center"/>
                </w:tcPr>
                <w:p w14:paraId="7C260131">
                  <w:pPr>
                    <w:pStyle w:val="19"/>
                    <w:spacing w:before="120" w:after="120"/>
                  </w:pPr>
                  <w:r>
                    <w:rPr>
                      <w:rFonts w:hint="eastAsia"/>
                    </w:rPr>
                    <w:t>1车/天（罐车）</w:t>
                  </w:r>
                </w:p>
              </w:tc>
            </w:tr>
            <w:tr w14:paraId="3AAA5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247B69C2">
                  <w:pPr>
                    <w:pStyle w:val="19"/>
                    <w:spacing w:before="120" w:after="120"/>
                  </w:pPr>
                </w:p>
              </w:tc>
              <w:tc>
                <w:tcPr>
                  <w:tcW w:w="1036" w:type="pct"/>
                  <w:vMerge w:val="continue"/>
                  <w:vAlign w:val="center"/>
                </w:tcPr>
                <w:p w14:paraId="675FD481">
                  <w:pPr>
                    <w:pStyle w:val="19"/>
                    <w:spacing w:before="120" w:after="120"/>
                  </w:pPr>
                </w:p>
              </w:tc>
              <w:tc>
                <w:tcPr>
                  <w:tcW w:w="744" w:type="pct"/>
                  <w:vAlign w:val="center"/>
                </w:tcPr>
                <w:p w14:paraId="68E8D53C">
                  <w:pPr>
                    <w:pStyle w:val="19"/>
                    <w:spacing w:before="120" w:after="120"/>
                  </w:pPr>
                  <w:r>
                    <w:rPr>
                      <w:rFonts w:hint="eastAsia"/>
                    </w:rPr>
                    <w:t>片碱</w:t>
                  </w:r>
                </w:p>
              </w:tc>
              <w:tc>
                <w:tcPr>
                  <w:tcW w:w="1131" w:type="pct"/>
                  <w:vAlign w:val="center"/>
                </w:tcPr>
                <w:p w14:paraId="081FE4C9">
                  <w:pPr>
                    <w:pStyle w:val="19"/>
                    <w:spacing w:before="120" w:after="120"/>
                  </w:pPr>
                  <w:r>
                    <w:rPr>
                      <w:rFonts w:hint="eastAsia"/>
                    </w:rPr>
                    <w:t>22车/天（平板车）</w:t>
                  </w:r>
                </w:p>
              </w:tc>
              <w:tc>
                <w:tcPr>
                  <w:tcW w:w="713" w:type="pct"/>
                  <w:vAlign w:val="center"/>
                </w:tcPr>
                <w:p w14:paraId="2D15DA35">
                  <w:pPr>
                    <w:pStyle w:val="19"/>
                    <w:spacing w:before="120" w:after="120"/>
                  </w:pPr>
                  <w:r>
                    <w:rPr>
                      <w:rFonts w:hint="eastAsia"/>
                    </w:rPr>
                    <w:t>/</w:t>
                  </w:r>
                </w:p>
              </w:tc>
              <w:tc>
                <w:tcPr>
                  <w:tcW w:w="1067" w:type="pct"/>
                  <w:vAlign w:val="center"/>
                </w:tcPr>
                <w:p w14:paraId="50A0052E">
                  <w:pPr>
                    <w:pStyle w:val="19"/>
                    <w:spacing w:before="120" w:after="120"/>
                  </w:pPr>
                  <w:r>
                    <w:rPr>
                      <w:rFonts w:hint="eastAsia"/>
                    </w:rPr>
                    <w:t>/</w:t>
                  </w:r>
                </w:p>
              </w:tc>
            </w:tr>
            <w:tr w14:paraId="6E972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307" w:type="pct"/>
                  <w:vMerge w:val="continue"/>
                  <w:vAlign w:val="center"/>
                </w:tcPr>
                <w:p w14:paraId="52F556BA">
                  <w:pPr>
                    <w:pStyle w:val="19"/>
                    <w:spacing w:before="120" w:after="120"/>
                  </w:pPr>
                </w:p>
              </w:tc>
              <w:tc>
                <w:tcPr>
                  <w:tcW w:w="1036" w:type="pct"/>
                  <w:vMerge w:val="continue"/>
                  <w:vAlign w:val="center"/>
                </w:tcPr>
                <w:p w14:paraId="088034AF">
                  <w:pPr>
                    <w:pStyle w:val="19"/>
                    <w:spacing w:before="120" w:after="120"/>
                  </w:pPr>
                </w:p>
              </w:tc>
              <w:tc>
                <w:tcPr>
                  <w:tcW w:w="744" w:type="pct"/>
                  <w:vAlign w:val="center"/>
                </w:tcPr>
                <w:p w14:paraId="3EF63790">
                  <w:pPr>
                    <w:pStyle w:val="19"/>
                    <w:spacing w:before="120" w:after="120"/>
                  </w:pPr>
                  <w:r>
                    <w:rPr>
                      <w:rFonts w:hint="eastAsia"/>
                    </w:rPr>
                    <w:t>99%液氯</w:t>
                  </w:r>
                </w:p>
              </w:tc>
              <w:tc>
                <w:tcPr>
                  <w:tcW w:w="1131" w:type="pct"/>
                  <w:vAlign w:val="center"/>
                </w:tcPr>
                <w:p w14:paraId="0C5D9039">
                  <w:pPr>
                    <w:pStyle w:val="19"/>
                    <w:spacing w:before="120" w:after="120"/>
                  </w:pPr>
                  <w:r>
                    <w:rPr>
                      <w:rFonts w:hint="eastAsia"/>
                    </w:rPr>
                    <w:t>6车/天（罐车）</w:t>
                  </w:r>
                </w:p>
              </w:tc>
              <w:tc>
                <w:tcPr>
                  <w:tcW w:w="713" w:type="pct"/>
                  <w:vAlign w:val="center"/>
                </w:tcPr>
                <w:p w14:paraId="54AD2A65">
                  <w:pPr>
                    <w:pStyle w:val="19"/>
                    <w:spacing w:before="120" w:after="120"/>
                  </w:pPr>
                  <w:r>
                    <w:rPr>
                      <w:rFonts w:hint="eastAsia"/>
                    </w:rPr>
                    <w:t>/</w:t>
                  </w:r>
                </w:p>
              </w:tc>
              <w:tc>
                <w:tcPr>
                  <w:tcW w:w="1067" w:type="pct"/>
                  <w:vAlign w:val="center"/>
                </w:tcPr>
                <w:p w14:paraId="09A4EBD6">
                  <w:pPr>
                    <w:pStyle w:val="19"/>
                    <w:spacing w:before="120" w:after="120"/>
                  </w:pPr>
                  <w:r>
                    <w:rPr>
                      <w:rFonts w:hint="eastAsia"/>
                    </w:rPr>
                    <w:t>/</w:t>
                  </w:r>
                </w:p>
              </w:tc>
            </w:tr>
            <w:tr w14:paraId="5A8F5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Align w:val="center"/>
                </w:tcPr>
                <w:p w14:paraId="71FFC378">
                  <w:pPr>
                    <w:pStyle w:val="19"/>
                    <w:spacing w:before="120" w:after="120"/>
                  </w:pPr>
                  <w:r>
                    <w:rPr>
                      <w:rFonts w:hint="eastAsia"/>
                    </w:rPr>
                    <w:t>6</w:t>
                  </w:r>
                </w:p>
              </w:tc>
              <w:tc>
                <w:tcPr>
                  <w:tcW w:w="1036" w:type="pct"/>
                  <w:vAlign w:val="center"/>
                </w:tcPr>
                <w:p w14:paraId="2176E043">
                  <w:pPr>
                    <w:pStyle w:val="19"/>
                    <w:spacing w:before="120" w:after="120"/>
                  </w:pPr>
                  <w:r>
                    <w:rPr>
                      <w:rFonts w:hint="eastAsia"/>
                    </w:rPr>
                    <w:t>鄂尔多斯市双欣化学</w:t>
                  </w:r>
                  <w:r>
                    <w:t>工业有限责任公司</w:t>
                  </w:r>
                </w:p>
              </w:tc>
              <w:tc>
                <w:tcPr>
                  <w:tcW w:w="744" w:type="pct"/>
                  <w:vAlign w:val="center"/>
                </w:tcPr>
                <w:p w14:paraId="24058734">
                  <w:pPr>
                    <w:pStyle w:val="19"/>
                    <w:spacing w:before="120" w:after="120"/>
                  </w:pPr>
                  <w:r>
                    <w:rPr>
                      <w:rFonts w:hint="eastAsia"/>
                    </w:rPr>
                    <w:t>电石</w:t>
                  </w:r>
                </w:p>
              </w:tc>
              <w:tc>
                <w:tcPr>
                  <w:tcW w:w="1131" w:type="pct"/>
                  <w:vAlign w:val="center"/>
                </w:tcPr>
                <w:p w14:paraId="05187D1F">
                  <w:pPr>
                    <w:pStyle w:val="19"/>
                    <w:spacing w:before="120" w:after="120"/>
                  </w:pPr>
                  <w:r>
                    <w:rPr>
                      <w:rFonts w:hint="eastAsia"/>
                    </w:rPr>
                    <w:t>36车/天（马槽车）</w:t>
                  </w:r>
                </w:p>
              </w:tc>
              <w:tc>
                <w:tcPr>
                  <w:tcW w:w="713" w:type="pct"/>
                  <w:vAlign w:val="center"/>
                </w:tcPr>
                <w:p w14:paraId="757C5BE6">
                  <w:pPr>
                    <w:pStyle w:val="19"/>
                    <w:spacing w:before="120" w:after="120"/>
                  </w:pPr>
                  <w:r>
                    <w:rPr>
                      <w:rFonts w:hint="eastAsia"/>
                    </w:rPr>
                    <w:t>/</w:t>
                  </w:r>
                </w:p>
              </w:tc>
              <w:tc>
                <w:tcPr>
                  <w:tcW w:w="1067" w:type="pct"/>
                  <w:vAlign w:val="center"/>
                </w:tcPr>
                <w:p w14:paraId="5D1C96CD">
                  <w:pPr>
                    <w:pStyle w:val="19"/>
                    <w:spacing w:before="120" w:after="120"/>
                  </w:pPr>
                  <w:r>
                    <w:rPr>
                      <w:rFonts w:hint="eastAsia"/>
                    </w:rPr>
                    <w:t>/</w:t>
                  </w:r>
                </w:p>
              </w:tc>
            </w:tr>
            <w:tr w14:paraId="2C4B2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restart"/>
                  <w:vAlign w:val="center"/>
                </w:tcPr>
                <w:p w14:paraId="13E1472B">
                  <w:pPr>
                    <w:pStyle w:val="19"/>
                    <w:spacing w:before="120" w:after="120"/>
                  </w:pPr>
                  <w:r>
                    <w:rPr>
                      <w:rFonts w:hint="eastAsia"/>
                    </w:rPr>
                    <w:t>7</w:t>
                  </w:r>
                </w:p>
              </w:tc>
              <w:tc>
                <w:tcPr>
                  <w:tcW w:w="1036" w:type="pct"/>
                  <w:vMerge w:val="restart"/>
                  <w:vAlign w:val="center"/>
                </w:tcPr>
                <w:p w14:paraId="3EDEC70A">
                  <w:pPr>
                    <w:pStyle w:val="19"/>
                    <w:spacing w:before="120" w:after="120"/>
                  </w:pPr>
                  <w:r>
                    <w:rPr>
                      <w:rFonts w:hint="eastAsia"/>
                    </w:rPr>
                    <w:t>内蒙古双欣环保材料</w:t>
                  </w:r>
                  <w:r>
                    <w:t>股份有限公司</w:t>
                  </w:r>
                </w:p>
              </w:tc>
              <w:tc>
                <w:tcPr>
                  <w:tcW w:w="744" w:type="pct"/>
                  <w:vAlign w:val="center"/>
                </w:tcPr>
                <w:p w14:paraId="7C36C420">
                  <w:pPr>
                    <w:pStyle w:val="19"/>
                    <w:spacing w:before="120" w:after="120"/>
                  </w:pPr>
                  <w:r>
                    <w:rPr>
                      <w:rFonts w:hint="eastAsia"/>
                    </w:rPr>
                    <w:t>乙醛</w:t>
                  </w:r>
                </w:p>
              </w:tc>
              <w:tc>
                <w:tcPr>
                  <w:tcW w:w="1131" w:type="pct"/>
                  <w:vAlign w:val="center"/>
                </w:tcPr>
                <w:p w14:paraId="0E0D7392">
                  <w:pPr>
                    <w:pStyle w:val="19"/>
                    <w:spacing w:before="120" w:after="120"/>
                  </w:pPr>
                  <w:r>
                    <w:rPr>
                      <w:rFonts w:hint="eastAsia"/>
                    </w:rPr>
                    <w:t>1车/天（罐车）</w:t>
                  </w:r>
                </w:p>
              </w:tc>
              <w:tc>
                <w:tcPr>
                  <w:tcW w:w="713" w:type="pct"/>
                  <w:vAlign w:val="center"/>
                </w:tcPr>
                <w:p w14:paraId="37D88428">
                  <w:pPr>
                    <w:pStyle w:val="19"/>
                    <w:spacing w:before="120" w:after="120"/>
                  </w:pPr>
                  <w:r>
                    <w:rPr>
                      <w:rFonts w:hint="eastAsia"/>
                    </w:rPr>
                    <w:t>醋酸</w:t>
                  </w:r>
                </w:p>
              </w:tc>
              <w:tc>
                <w:tcPr>
                  <w:tcW w:w="1067" w:type="pct"/>
                  <w:vAlign w:val="center"/>
                </w:tcPr>
                <w:p w14:paraId="4CD93CE0">
                  <w:pPr>
                    <w:pStyle w:val="19"/>
                    <w:spacing w:before="120" w:after="120"/>
                  </w:pPr>
                  <w:r>
                    <w:rPr>
                      <w:rFonts w:hint="eastAsia"/>
                    </w:rPr>
                    <w:t>5车/天（罐车）</w:t>
                  </w:r>
                </w:p>
              </w:tc>
            </w:tr>
            <w:tr w14:paraId="38806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0C0A660E">
                  <w:pPr>
                    <w:pStyle w:val="19"/>
                    <w:spacing w:before="120" w:after="120"/>
                  </w:pPr>
                </w:p>
              </w:tc>
              <w:tc>
                <w:tcPr>
                  <w:tcW w:w="1036" w:type="pct"/>
                  <w:vMerge w:val="continue"/>
                  <w:vAlign w:val="center"/>
                </w:tcPr>
                <w:p w14:paraId="7A6FD2CB">
                  <w:pPr>
                    <w:pStyle w:val="19"/>
                    <w:spacing w:before="120" w:after="120"/>
                  </w:pPr>
                </w:p>
              </w:tc>
              <w:tc>
                <w:tcPr>
                  <w:tcW w:w="744" w:type="pct"/>
                  <w:vAlign w:val="center"/>
                </w:tcPr>
                <w:p w14:paraId="7C4FD557">
                  <w:pPr>
                    <w:pStyle w:val="19"/>
                    <w:spacing w:before="120" w:after="120"/>
                  </w:pPr>
                  <w:r>
                    <w:rPr>
                      <w:rFonts w:hint="eastAsia"/>
                    </w:rPr>
                    <w:t>醋酸乙烯</w:t>
                  </w:r>
                </w:p>
              </w:tc>
              <w:tc>
                <w:tcPr>
                  <w:tcW w:w="1131" w:type="pct"/>
                  <w:vAlign w:val="center"/>
                </w:tcPr>
                <w:p w14:paraId="76214177">
                  <w:pPr>
                    <w:pStyle w:val="19"/>
                    <w:spacing w:before="120" w:after="120"/>
                  </w:pPr>
                  <w:r>
                    <w:rPr>
                      <w:rFonts w:hint="eastAsia"/>
                    </w:rPr>
                    <w:t>5车/天（罐车）</w:t>
                  </w:r>
                </w:p>
              </w:tc>
              <w:tc>
                <w:tcPr>
                  <w:tcW w:w="713" w:type="pct"/>
                  <w:vAlign w:val="center"/>
                </w:tcPr>
                <w:p w14:paraId="21AC25C3">
                  <w:pPr>
                    <w:pStyle w:val="19"/>
                    <w:spacing w:before="120" w:after="120"/>
                  </w:pPr>
                  <w:r>
                    <w:rPr>
                      <w:rFonts w:hint="eastAsia"/>
                    </w:rPr>
                    <w:t>甲醇</w:t>
                  </w:r>
                </w:p>
              </w:tc>
              <w:tc>
                <w:tcPr>
                  <w:tcW w:w="1067" w:type="pct"/>
                  <w:vAlign w:val="center"/>
                </w:tcPr>
                <w:p w14:paraId="50AB6055">
                  <w:pPr>
                    <w:pStyle w:val="19"/>
                    <w:spacing w:before="120" w:after="120"/>
                  </w:pPr>
                  <w:r>
                    <w:rPr>
                      <w:rFonts w:hint="eastAsia"/>
                    </w:rPr>
                    <w:t>3车/天（罐车）</w:t>
                  </w:r>
                </w:p>
              </w:tc>
            </w:tr>
            <w:tr w14:paraId="26A26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5464A947">
                  <w:pPr>
                    <w:pStyle w:val="19"/>
                    <w:spacing w:before="120" w:after="120"/>
                  </w:pPr>
                </w:p>
              </w:tc>
              <w:tc>
                <w:tcPr>
                  <w:tcW w:w="1036" w:type="pct"/>
                  <w:vMerge w:val="continue"/>
                  <w:vAlign w:val="center"/>
                </w:tcPr>
                <w:p w14:paraId="727BD45B">
                  <w:pPr>
                    <w:pStyle w:val="19"/>
                    <w:spacing w:before="120" w:after="120"/>
                  </w:pPr>
                </w:p>
              </w:tc>
              <w:tc>
                <w:tcPr>
                  <w:tcW w:w="744" w:type="pct"/>
                  <w:vAlign w:val="center"/>
                </w:tcPr>
                <w:p w14:paraId="60EA322B">
                  <w:pPr>
                    <w:pStyle w:val="19"/>
                    <w:spacing w:before="120" w:after="120"/>
                  </w:pPr>
                  <w:r>
                    <w:rPr>
                      <w:rFonts w:hint="eastAsia"/>
                    </w:rPr>
                    <w:t>醋酸甲酯</w:t>
                  </w:r>
                </w:p>
              </w:tc>
              <w:tc>
                <w:tcPr>
                  <w:tcW w:w="1131" w:type="pct"/>
                  <w:vAlign w:val="center"/>
                </w:tcPr>
                <w:p w14:paraId="4802A3DB">
                  <w:pPr>
                    <w:pStyle w:val="19"/>
                    <w:spacing w:before="120" w:after="120"/>
                  </w:pPr>
                  <w:r>
                    <w:rPr>
                      <w:rFonts w:hint="eastAsia"/>
                    </w:rPr>
                    <w:t>2车/天（罐车）</w:t>
                  </w:r>
                </w:p>
              </w:tc>
              <w:tc>
                <w:tcPr>
                  <w:tcW w:w="713" w:type="pct"/>
                  <w:vAlign w:val="center"/>
                </w:tcPr>
                <w:p w14:paraId="634FE51A">
                  <w:pPr>
                    <w:pStyle w:val="19"/>
                    <w:spacing w:before="120" w:after="120"/>
                  </w:pPr>
                  <w:r>
                    <w:rPr>
                      <w:rFonts w:hint="eastAsia"/>
                    </w:rPr>
                    <w:t>液碱</w:t>
                  </w:r>
                </w:p>
              </w:tc>
              <w:tc>
                <w:tcPr>
                  <w:tcW w:w="1067" w:type="pct"/>
                  <w:vAlign w:val="center"/>
                </w:tcPr>
                <w:p w14:paraId="7F9FB7B3">
                  <w:pPr>
                    <w:pStyle w:val="19"/>
                    <w:spacing w:before="120" w:after="120"/>
                  </w:pPr>
                  <w:r>
                    <w:rPr>
                      <w:rFonts w:hint="eastAsia"/>
                    </w:rPr>
                    <w:t>1车/天（罐车）</w:t>
                  </w:r>
                </w:p>
              </w:tc>
            </w:tr>
            <w:tr w14:paraId="655A9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70F1E20B">
                  <w:pPr>
                    <w:pStyle w:val="19"/>
                    <w:spacing w:before="120" w:after="120"/>
                  </w:pPr>
                </w:p>
              </w:tc>
              <w:tc>
                <w:tcPr>
                  <w:tcW w:w="1036" w:type="pct"/>
                  <w:vMerge w:val="continue"/>
                  <w:vAlign w:val="center"/>
                </w:tcPr>
                <w:p w14:paraId="60D4D134">
                  <w:pPr>
                    <w:pStyle w:val="19"/>
                    <w:spacing w:before="120" w:after="120"/>
                  </w:pPr>
                </w:p>
              </w:tc>
              <w:tc>
                <w:tcPr>
                  <w:tcW w:w="744" w:type="pct"/>
                  <w:vAlign w:val="center"/>
                </w:tcPr>
                <w:p w14:paraId="01C6408A">
                  <w:pPr>
                    <w:pStyle w:val="19"/>
                    <w:spacing w:before="120" w:after="120"/>
                  </w:pPr>
                  <w:r>
                    <w:rPr>
                      <w:rFonts w:hint="eastAsia"/>
                    </w:rPr>
                    <w:t>/</w:t>
                  </w:r>
                </w:p>
              </w:tc>
              <w:tc>
                <w:tcPr>
                  <w:tcW w:w="1131" w:type="pct"/>
                  <w:vAlign w:val="center"/>
                </w:tcPr>
                <w:p w14:paraId="67677BF1">
                  <w:pPr>
                    <w:pStyle w:val="19"/>
                    <w:spacing w:before="120" w:after="120"/>
                  </w:pPr>
                  <w:r>
                    <w:rPr>
                      <w:rFonts w:hint="eastAsia"/>
                    </w:rPr>
                    <w:t>/</w:t>
                  </w:r>
                </w:p>
              </w:tc>
              <w:tc>
                <w:tcPr>
                  <w:tcW w:w="713" w:type="pct"/>
                  <w:vAlign w:val="center"/>
                </w:tcPr>
                <w:p w14:paraId="2420F7A1">
                  <w:pPr>
                    <w:pStyle w:val="19"/>
                    <w:spacing w:before="120" w:after="120"/>
                  </w:pPr>
                  <w:r>
                    <w:rPr>
                      <w:rFonts w:hint="eastAsia"/>
                    </w:rPr>
                    <w:t>液氯</w:t>
                  </w:r>
                </w:p>
              </w:tc>
              <w:tc>
                <w:tcPr>
                  <w:tcW w:w="1067" w:type="pct"/>
                  <w:vAlign w:val="center"/>
                </w:tcPr>
                <w:p w14:paraId="509E6DDD">
                  <w:pPr>
                    <w:pStyle w:val="19"/>
                    <w:spacing w:before="120" w:after="120"/>
                  </w:pPr>
                  <w:r>
                    <w:rPr>
                      <w:rFonts w:hint="eastAsia"/>
                    </w:rPr>
                    <w:t>车/周（罐车）</w:t>
                  </w:r>
                </w:p>
              </w:tc>
            </w:tr>
            <w:tr w14:paraId="1BEA7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restart"/>
                  <w:vAlign w:val="center"/>
                </w:tcPr>
                <w:p w14:paraId="578B7110">
                  <w:pPr>
                    <w:pStyle w:val="19"/>
                    <w:spacing w:before="120" w:after="120"/>
                  </w:pPr>
                  <w:r>
                    <w:rPr>
                      <w:rFonts w:hint="eastAsia"/>
                    </w:rPr>
                    <w:t>8</w:t>
                  </w:r>
                </w:p>
              </w:tc>
              <w:tc>
                <w:tcPr>
                  <w:tcW w:w="1036" w:type="pct"/>
                  <w:vMerge w:val="restart"/>
                  <w:vAlign w:val="center"/>
                </w:tcPr>
                <w:p w14:paraId="6E014306">
                  <w:pPr>
                    <w:pStyle w:val="19"/>
                    <w:spacing w:before="120" w:after="120"/>
                  </w:pPr>
                  <w:r>
                    <w:rPr>
                      <w:rFonts w:hint="eastAsia"/>
                    </w:rPr>
                    <w:t>内蒙古中谷矿业有限</w:t>
                  </w:r>
                  <w:r>
                    <w:t>责任公司</w:t>
                  </w:r>
                </w:p>
              </w:tc>
              <w:tc>
                <w:tcPr>
                  <w:tcW w:w="744" w:type="pct"/>
                  <w:vAlign w:val="center"/>
                </w:tcPr>
                <w:p w14:paraId="043B6007">
                  <w:pPr>
                    <w:pStyle w:val="19"/>
                    <w:spacing w:before="120" w:after="120"/>
                  </w:pPr>
                  <w:r>
                    <w:rPr>
                      <w:rFonts w:hint="eastAsia"/>
                    </w:rPr>
                    <w:t>32%液碱</w:t>
                  </w:r>
                </w:p>
              </w:tc>
              <w:tc>
                <w:tcPr>
                  <w:tcW w:w="1131" w:type="pct"/>
                  <w:vAlign w:val="center"/>
                </w:tcPr>
                <w:p w14:paraId="009B3F7F">
                  <w:pPr>
                    <w:pStyle w:val="19"/>
                    <w:spacing w:before="120" w:after="120"/>
                  </w:pPr>
                  <w:r>
                    <w:rPr>
                      <w:rFonts w:hint="eastAsia"/>
                    </w:rPr>
                    <w:t>20车/天（罐车）</w:t>
                  </w:r>
                </w:p>
              </w:tc>
              <w:tc>
                <w:tcPr>
                  <w:tcW w:w="713" w:type="pct"/>
                  <w:vAlign w:val="center"/>
                </w:tcPr>
                <w:p w14:paraId="6ADF6735">
                  <w:pPr>
                    <w:pStyle w:val="19"/>
                    <w:spacing w:before="120" w:after="120"/>
                  </w:pPr>
                  <w:r>
                    <w:rPr>
                      <w:rFonts w:hint="eastAsia"/>
                    </w:rPr>
                    <w:t>98%硫酸</w:t>
                  </w:r>
                </w:p>
              </w:tc>
              <w:tc>
                <w:tcPr>
                  <w:tcW w:w="1067" w:type="pct"/>
                  <w:vAlign w:val="center"/>
                </w:tcPr>
                <w:p w14:paraId="0F72D30B">
                  <w:pPr>
                    <w:pStyle w:val="19"/>
                    <w:spacing w:before="120" w:after="120"/>
                  </w:pPr>
                  <w:r>
                    <w:rPr>
                      <w:rFonts w:hint="eastAsia"/>
                    </w:rPr>
                    <w:t>2车/天（罐车）</w:t>
                  </w:r>
                </w:p>
              </w:tc>
            </w:tr>
            <w:tr w14:paraId="45804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2330785A">
                  <w:pPr>
                    <w:pStyle w:val="19"/>
                    <w:spacing w:before="120" w:after="120"/>
                  </w:pPr>
                </w:p>
              </w:tc>
              <w:tc>
                <w:tcPr>
                  <w:tcW w:w="1036" w:type="pct"/>
                  <w:vMerge w:val="continue"/>
                  <w:vAlign w:val="center"/>
                </w:tcPr>
                <w:p w14:paraId="3E28E189">
                  <w:pPr>
                    <w:pStyle w:val="19"/>
                    <w:spacing w:before="120" w:after="120"/>
                  </w:pPr>
                </w:p>
              </w:tc>
              <w:tc>
                <w:tcPr>
                  <w:tcW w:w="744" w:type="pct"/>
                  <w:vAlign w:val="center"/>
                </w:tcPr>
                <w:p w14:paraId="2D1EEBC6">
                  <w:pPr>
                    <w:pStyle w:val="19"/>
                    <w:spacing w:before="120" w:after="120"/>
                  </w:pPr>
                  <w:r>
                    <w:rPr>
                      <w:rFonts w:hint="eastAsia"/>
                    </w:rPr>
                    <w:t>50%液碱</w:t>
                  </w:r>
                </w:p>
              </w:tc>
              <w:tc>
                <w:tcPr>
                  <w:tcW w:w="1131" w:type="pct"/>
                  <w:vAlign w:val="center"/>
                </w:tcPr>
                <w:p w14:paraId="1E4EE795">
                  <w:pPr>
                    <w:pStyle w:val="19"/>
                    <w:spacing w:before="120" w:after="120"/>
                  </w:pPr>
                  <w:r>
                    <w:rPr>
                      <w:rFonts w:hint="eastAsia"/>
                    </w:rPr>
                    <w:t>35车/天（罐车）</w:t>
                  </w:r>
                </w:p>
              </w:tc>
              <w:tc>
                <w:tcPr>
                  <w:tcW w:w="713" w:type="pct"/>
                  <w:vAlign w:val="center"/>
                </w:tcPr>
                <w:p w14:paraId="0E22A77C">
                  <w:pPr>
                    <w:pStyle w:val="19"/>
                    <w:spacing w:before="120" w:after="120"/>
                  </w:pPr>
                  <w:r>
                    <w:rPr>
                      <w:rFonts w:hint="eastAsia"/>
                    </w:rPr>
                    <w:t>/</w:t>
                  </w:r>
                </w:p>
              </w:tc>
              <w:tc>
                <w:tcPr>
                  <w:tcW w:w="1067" w:type="pct"/>
                  <w:vAlign w:val="center"/>
                </w:tcPr>
                <w:p w14:paraId="1D7ACAF9">
                  <w:pPr>
                    <w:pStyle w:val="19"/>
                    <w:spacing w:before="120" w:after="120"/>
                  </w:pPr>
                  <w:r>
                    <w:rPr>
                      <w:rFonts w:hint="eastAsia"/>
                    </w:rPr>
                    <w:t>/</w:t>
                  </w:r>
                </w:p>
              </w:tc>
            </w:tr>
            <w:tr w14:paraId="705CC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21D887A6">
                  <w:pPr>
                    <w:pStyle w:val="19"/>
                    <w:spacing w:before="120" w:after="120"/>
                  </w:pPr>
                </w:p>
              </w:tc>
              <w:tc>
                <w:tcPr>
                  <w:tcW w:w="1036" w:type="pct"/>
                  <w:vMerge w:val="continue"/>
                  <w:vAlign w:val="center"/>
                </w:tcPr>
                <w:p w14:paraId="4F76CC6E">
                  <w:pPr>
                    <w:pStyle w:val="19"/>
                    <w:spacing w:before="120" w:after="120"/>
                  </w:pPr>
                </w:p>
              </w:tc>
              <w:tc>
                <w:tcPr>
                  <w:tcW w:w="744" w:type="pct"/>
                  <w:vAlign w:val="center"/>
                </w:tcPr>
                <w:p w14:paraId="07A14A4E">
                  <w:pPr>
                    <w:pStyle w:val="19"/>
                    <w:spacing w:before="120" w:after="120"/>
                  </w:pPr>
                  <w:r>
                    <w:rPr>
                      <w:rFonts w:hint="eastAsia"/>
                    </w:rPr>
                    <w:t>31%盐酸</w:t>
                  </w:r>
                </w:p>
              </w:tc>
              <w:tc>
                <w:tcPr>
                  <w:tcW w:w="1131" w:type="pct"/>
                  <w:vAlign w:val="center"/>
                </w:tcPr>
                <w:p w14:paraId="51267B93">
                  <w:pPr>
                    <w:pStyle w:val="19"/>
                    <w:spacing w:before="120" w:after="120"/>
                  </w:pPr>
                  <w:r>
                    <w:rPr>
                      <w:rFonts w:hint="eastAsia"/>
                    </w:rPr>
                    <w:t>5车/天（罐车）</w:t>
                  </w:r>
                </w:p>
              </w:tc>
              <w:tc>
                <w:tcPr>
                  <w:tcW w:w="713" w:type="pct"/>
                  <w:vAlign w:val="center"/>
                </w:tcPr>
                <w:p w14:paraId="69098857">
                  <w:pPr>
                    <w:pStyle w:val="19"/>
                    <w:spacing w:before="120" w:after="120"/>
                  </w:pPr>
                  <w:r>
                    <w:rPr>
                      <w:rFonts w:hint="eastAsia"/>
                    </w:rPr>
                    <w:t>/</w:t>
                  </w:r>
                </w:p>
              </w:tc>
              <w:tc>
                <w:tcPr>
                  <w:tcW w:w="1067" w:type="pct"/>
                  <w:vAlign w:val="center"/>
                </w:tcPr>
                <w:p w14:paraId="33B94487">
                  <w:pPr>
                    <w:pStyle w:val="19"/>
                    <w:spacing w:before="120" w:after="120"/>
                  </w:pPr>
                  <w:r>
                    <w:rPr>
                      <w:rFonts w:hint="eastAsia"/>
                    </w:rPr>
                    <w:t>/</w:t>
                  </w:r>
                </w:p>
              </w:tc>
            </w:tr>
            <w:tr w14:paraId="52266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1E381AA4">
                  <w:pPr>
                    <w:pStyle w:val="19"/>
                    <w:spacing w:before="120" w:after="120"/>
                  </w:pPr>
                </w:p>
              </w:tc>
              <w:tc>
                <w:tcPr>
                  <w:tcW w:w="1036" w:type="pct"/>
                  <w:vMerge w:val="continue"/>
                  <w:vAlign w:val="center"/>
                </w:tcPr>
                <w:p w14:paraId="0A942924">
                  <w:pPr>
                    <w:pStyle w:val="19"/>
                    <w:spacing w:before="120" w:after="120"/>
                  </w:pPr>
                </w:p>
              </w:tc>
              <w:tc>
                <w:tcPr>
                  <w:tcW w:w="744" w:type="pct"/>
                  <w:vAlign w:val="center"/>
                </w:tcPr>
                <w:p w14:paraId="683BFC10">
                  <w:pPr>
                    <w:pStyle w:val="19"/>
                    <w:spacing w:before="120" w:after="120"/>
                  </w:pPr>
                  <w:r>
                    <w:rPr>
                      <w:rFonts w:hint="eastAsia"/>
                    </w:rPr>
                    <w:t>99%液氯</w:t>
                  </w:r>
                </w:p>
              </w:tc>
              <w:tc>
                <w:tcPr>
                  <w:tcW w:w="1131" w:type="pct"/>
                  <w:vAlign w:val="center"/>
                </w:tcPr>
                <w:p w14:paraId="198BE4F9">
                  <w:pPr>
                    <w:pStyle w:val="19"/>
                    <w:spacing w:before="120" w:after="120"/>
                  </w:pPr>
                  <w:r>
                    <w:rPr>
                      <w:rFonts w:hint="eastAsia"/>
                    </w:rPr>
                    <w:t>1车/天（罐车）</w:t>
                  </w:r>
                </w:p>
              </w:tc>
              <w:tc>
                <w:tcPr>
                  <w:tcW w:w="713" w:type="pct"/>
                  <w:vAlign w:val="center"/>
                </w:tcPr>
                <w:p w14:paraId="097785AD">
                  <w:pPr>
                    <w:pStyle w:val="19"/>
                    <w:spacing w:before="120" w:after="120"/>
                  </w:pPr>
                  <w:r>
                    <w:rPr>
                      <w:rFonts w:hint="eastAsia"/>
                    </w:rPr>
                    <w:t>/</w:t>
                  </w:r>
                </w:p>
              </w:tc>
              <w:tc>
                <w:tcPr>
                  <w:tcW w:w="1067" w:type="pct"/>
                  <w:vAlign w:val="center"/>
                </w:tcPr>
                <w:p w14:paraId="5B9DAA2A">
                  <w:pPr>
                    <w:pStyle w:val="19"/>
                    <w:spacing w:before="120" w:after="120"/>
                  </w:pPr>
                  <w:r>
                    <w:rPr>
                      <w:rFonts w:hint="eastAsia"/>
                    </w:rPr>
                    <w:t>/</w:t>
                  </w:r>
                </w:p>
              </w:tc>
            </w:tr>
            <w:tr w14:paraId="67E18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3CDD9FE0">
                  <w:pPr>
                    <w:pStyle w:val="19"/>
                    <w:spacing w:before="120" w:after="120"/>
                  </w:pPr>
                </w:p>
              </w:tc>
              <w:tc>
                <w:tcPr>
                  <w:tcW w:w="1036" w:type="pct"/>
                  <w:vMerge w:val="continue"/>
                  <w:vAlign w:val="center"/>
                </w:tcPr>
                <w:p w14:paraId="75935376">
                  <w:pPr>
                    <w:pStyle w:val="19"/>
                    <w:spacing w:before="120" w:after="120"/>
                  </w:pPr>
                </w:p>
              </w:tc>
              <w:tc>
                <w:tcPr>
                  <w:tcW w:w="744" w:type="pct"/>
                  <w:vAlign w:val="center"/>
                </w:tcPr>
                <w:p w14:paraId="3B0FBD1E">
                  <w:pPr>
                    <w:pStyle w:val="19"/>
                    <w:spacing w:before="120" w:after="120"/>
                  </w:pPr>
                  <w:r>
                    <w:rPr>
                      <w:rFonts w:hint="eastAsia"/>
                    </w:rPr>
                    <w:t>75%硫酸</w:t>
                  </w:r>
                </w:p>
              </w:tc>
              <w:tc>
                <w:tcPr>
                  <w:tcW w:w="1131" w:type="pct"/>
                  <w:vAlign w:val="center"/>
                </w:tcPr>
                <w:p w14:paraId="13CE7221">
                  <w:pPr>
                    <w:pStyle w:val="19"/>
                    <w:spacing w:before="120" w:after="120"/>
                  </w:pPr>
                  <w:r>
                    <w:rPr>
                      <w:rFonts w:hint="eastAsia"/>
                    </w:rPr>
                    <w:t>3车/天（罐车）</w:t>
                  </w:r>
                </w:p>
              </w:tc>
              <w:tc>
                <w:tcPr>
                  <w:tcW w:w="713" w:type="pct"/>
                  <w:vAlign w:val="center"/>
                </w:tcPr>
                <w:p w14:paraId="2DB467A8">
                  <w:pPr>
                    <w:pStyle w:val="19"/>
                    <w:spacing w:before="120" w:after="120"/>
                  </w:pPr>
                  <w:r>
                    <w:rPr>
                      <w:rFonts w:hint="eastAsia"/>
                    </w:rPr>
                    <w:t>/</w:t>
                  </w:r>
                </w:p>
              </w:tc>
              <w:tc>
                <w:tcPr>
                  <w:tcW w:w="1067" w:type="pct"/>
                  <w:vAlign w:val="center"/>
                </w:tcPr>
                <w:p w14:paraId="487E4921">
                  <w:pPr>
                    <w:pStyle w:val="19"/>
                    <w:spacing w:before="120" w:after="120"/>
                  </w:pPr>
                  <w:r>
                    <w:rPr>
                      <w:rFonts w:hint="eastAsia"/>
                    </w:rPr>
                    <w:t>/</w:t>
                  </w:r>
                </w:p>
              </w:tc>
            </w:tr>
            <w:tr w14:paraId="1E39F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restart"/>
                  <w:vAlign w:val="center"/>
                </w:tcPr>
                <w:p w14:paraId="00530642">
                  <w:pPr>
                    <w:pStyle w:val="19"/>
                    <w:spacing w:before="120" w:after="120"/>
                  </w:pPr>
                  <w:r>
                    <w:rPr>
                      <w:rFonts w:hint="eastAsia"/>
                    </w:rPr>
                    <w:t>9</w:t>
                  </w:r>
                </w:p>
              </w:tc>
              <w:tc>
                <w:tcPr>
                  <w:tcW w:w="1036" w:type="pct"/>
                  <w:vMerge w:val="restart"/>
                  <w:vAlign w:val="center"/>
                </w:tcPr>
                <w:p w14:paraId="0B933151">
                  <w:pPr>
                    <w:pStyle w:val="19"/>
                    <w:spacing w:before="120" w:after="120"/>
                  </w:pPr>
                  <w:r>
                    <w:rPr>
                      <w:rFonts w:hint="eastAsia"/>
                    </w:rPr>
                    <w:t>乌海盈德气体有限公</w:t>
                  </w:r>
                  <w:r>
                    <w:t>司鄂托克分公司</w:t>
                  </w:r>
                </w:p>
              </w:tc>
              <w:tc>
                <w:tcPr>
                  <w:tcW w:w="744" w:type="pct"/>
                  <w:vAlign w:val="center"/>
                </w:tcPr>
                <w:p w14:paraId="551B298C">
                  <w:pPr>
                    <w:pStyle w:val="19"/>
                    <w:spacing w:before="120" w:after="120"/>
                  </w:pPr>
                  <w:r>
                    <w:rPr>
                      <w:rFonts w:hint="eastAsia"/>
                    </w:rPr>
                    <w:t>液氮</w:t>
                  </w:r>
                </w:p>
              </w:tc>
              <w:tc>
                <w:tcPr>
                  <w:tcW w:w="1131" w:type="pct"/>
                  <w:vAlign w:val="center"/>
                </w:tcPr>
                <w:p w14:paraId="42BA1A97">
                  <w:pPr>
                    <w:pStyle w:val="19"/>
                    <w:spacing w:before="120" w:after="120"/>
                  </w:pPr>
                  <w:r>
                    <w:rPr>
                      <w:rFonts w:hint="eastAsia"/>
                    </w:rPr>
                    <w:t>3车/天（罐车）</w:t>
                  </w:r>
                </w:p>
              </w:tc>
              <w:tc>
                <w:tcPr>
                  <w:tcW w:w="713" w:type="pct"/>
                  <w:vAlign w:val="center"/>
                </w:tcPr>
                <w:p w14:paraId="35E2E5F9">
                  <w:pPr>
                    <w:pStyle w:val="19"/>
                    <w:spacing w:before="120" w:after="120"/>
                  </w:pPr>
                  <w:r>
                    <w:rPr>
                      <w:rFonts w:hint="eastAsia"/>
                    </w:rPr>
                    <w:t>/</w:t>
                  </w:r>
                </w:p>
              </w:tc>
              <w:tc>
                <w:tcPr>
                  <w:tcW w:w="1067" w:type="pct"/>
                  <w:vAlign w:val="center"/>
                </w:tcPr>
                <w:p w14:paraId="6A56DFCB">
                  <w:pPr>
                    <w:pStyle w:val="19"/>
                    <w:spacing w:before="120" w:after="120"/>
                  </w:pPr>
                  <w:r>
                    <w:rPr>
                      <w:rFonts w:hint="eastAsia"/>
                    </w:rPr>
                    <w:t>/</w:t>
                  </w:r>
                </w:p>
              </w:tc>
            </w:tr>
            <w:tr w14:paraId="51677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02998600">
                  <w:pPr>
                    <w:pStyle w:val="19"/>
                    <w:spacing w:before="120" w:after="120"/>
                  </w:pPr>
                </w:p>
              </w:tc>
              <w:tc>
                <w:tcPr>
                  <w:tcW w:w="1036" w:type="pct"/>
                  <w:vMerge w:val="continue"/>
                  <w:vAlign w:val="center"/>
                </w:tcPr>
                <w:p w14:paraId="10F55F8B">
                  <w:pPr>
                    <w:pStyle w:val="19"/>
                    <w:spacing w:before="120" w:after="120"/>
                  </w:pPr>
                </w:p>
              </w:tc>
              <w:tc>
                <w:tcPr>
                  <w:tcW w:w="744" w:type="pct"/>
                  <w:vAlign w:val="center"/>
                </w:tcPr>
                <w:p w14:paraId="0BED3270">
                  <w:pPr>
                    <w:pStyle w:val="19"/>
                    <w:spacing w:before="120" w:after="120"/>
                  </w:pPr>
                  <w:r>
                    <w:rPr>
                      <w:rFonts w:hint="eastAsia"/>
                    </w:rPr>
                    <w:t>液氩</w:t>
                  </w:r>
                </w:p>
              </w:tc>
              <w:tc>
                <w:tcPr>
                  <w:tcW w:w="1131" w:type="pct"/>
                  <w:vAlign w:val="center"/>
                </w:tcPr>
                <w:p w14:paraId="33259F9E">
                  <w:pPr>
                    <w:pStyle w:val="19"/>
                    <w:spacing w:before="120" w:after="120"/>
                  </w:pPr>
                  <w:r>
                    <w:rPr>
                      <w:rFonts w:hint="eastAsia"/>
                    </w:rPr>
                    <w:t>1车/3天（罐车）</w:t>
                  </w:r>
                </w:p>
              </w:tc>
              <w:tc>
                <w:tcPr>
                  <w:tcW w:w="713" w:type="pct"/>
                  <w:vAlign w:val="center"/>
                </w:tcPr>
                <w:p w14:paraId="0B52E10C">
                  <w:pPr>
                    <w:pStyle w:val="19"/>
                    <w:spacing w:before="120" w:after="120"/>
                  </w:pPr>
                  <w:r>
                    <w:rPr>
                      <w:rFonts w:hint="eastAsia"/>
                    </w:rPr>
                    <w:t>/</w:t>
                  </w:r>
                </w:p>
              </w:tc>
              <w:tc>
                <w:tcPr>
                  <w:tcW w:w="1067" w:type="pct"/>
                  <w:vAlign w:val="center"/>
                </w:tcPr>
                <w:p w14:paraId="572F8579">
                  <w:pPr>
                    <w:pStyle w:val="19"/>
                    <w:spacing w:before="120" w:after="120"/>
                  </w:pPr>
                  <w:r>
                    <w:rPr>
                      <w:rFonts w:hint="eastAsia"/>
                    </w:rPr>
                    <w:t>/</w:t>
                  </w:r>
                </w:p>
              </w:tc>
            </w:tr>
            <w:tr w14:paraId="1BF4A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5FCF444E">
                  <w:pPr>
                    <w:pStyle w:val="19"/>
                    <w:spacing w:before="120" w:after="120"/>
                  </w:pPr>
                </w:p>
              </w:tc>
              <w:tc>
                <w:tcPr>
                  <w:tcW w:w="1036" w:type="pct"/>
                  <w:vMerge w:val="continue"/>
                  <w:vAlign w:val="center"/>
                </w:tcPr>
                <w:p w14:paraId="7DB062FC">
                  <w:pPr>
                    <w:pStyle w:val="19"/>
                    <w:spacing w:before="120" w:after="120"/>
                  </w:pPr>
                </w:p>
              </w:tc>
              <w:tc>
                <w:tcPr>
                  <w:tcW w:w="744" w:type="pct"/>
                  <w:vAlign w:val="center"/>
                </w:tcPr>
                <w:p w14:paraId="12AFB068">
                  <w:pPr>
                    <w:pStyle w:val="19"/>
                    <w:spacing w:before="120" w:after="120"/>
                  </w:pPr>
                  <w:r>
                    <w:rPr>
                      <w:rFonts w:hint="eastAsia"/>
                    </w:rPr>
                    <w:t>液氧</w:t>
                  </w:r>
                </w:p>
              </w:tc>
              <w:tc>
                <w:tcPr>
                  <w:tcW w:w="1131" w:type="pct"/>
                  <w:vAlign w:val="center"/>
                </w:tcPr>
                <w:p w14:paraId="1A1F2FCF">
                  <w:pPr>
                    <w:pStyle w:val="19"/>
                    <w:spacing w:before="120" w:after="120"/>
                  </w:pPr>
                  <w:r>
                    <w:rPr>
                      <w:rFonts w:hint="eastAsia"/>
                    </w:rPr>
                    <w:t>5车/天（罐车）</w:t>
                  </w:r>
                </w:p>
              </w:tc>
              <w:tc>
                <w:tcPr>
                  <w:tcW w:w="713" w:type="pct"/>
                  <w:vAlign w:val="center"/>
                </w:tcPr>
                <w:p w14:paraId="18FC4D10">
                  <w:pPr>
                    <w:pStyle w:val="19"/>
                    <w:spacing w:before="120" w:after="120"/>
                  </w:pPr>
                  <w:r>
                    <w:rPr>
                      <w:rFonts w:hint="eastAsia"/>
                    </w:rPr>
                    <w:t>/</w:t>
                  </w:r>
                </w:p>
              </w:tc>
              <w:tc>
                <w:tcPr>
                  <w:tcW w:w="1067" w:type="pct"/>
                  <w:vAlign w:val="center"/>
                </w:tcPr>
                <w:p w14:paraId="7B05A245">
                  <w:pPr>
                    <w:pStyle w:val="19"/>
                    <w:spacing w:before="120" w:after="120"/>
                  </w:pPr>
                  <w:r>
                    <w:rPr>
                      <w:rFonts w:hint="eastAsia"/>
                    </w:rPr>
                    <w:t>/</w:t>
                  </w:r>
                </w:p>
              </w:tc>
            </w:tr>
            <w:tr w14:paraId="77F1D429">
              <w:tblPrEx>
                <w:tblCellMar>
                  <w:top w:w="0" w:type="dxa"/>
                  <w:left w:w="108" w:type="dxa"/>
                  <w:bottom w:w="0" w:type="dxa"/>
                  <w:right w:w="108" w:type="dxa"/>
                </w:tblCellMar>
              </w:tblPrEx>
              <w:tc>
                <w:tcPr>
                  <w:tcW w:w="307" w:type="pct"/>
                  <w:vMerge w:val="restart"/>
                  <w:vAlign w:val="center"/>
                </w:tcPr>
                <w:p w14:paraId="504EE0DC">
                  <w:pPr>
                    <w:pStyle w:val="19"/>
                    <w:spacing w:before="120" w:after="120"/>
                  </w:pPr>
                  <w:r>
                    <w:rPr>
                      <w:rFonts w:hint="eastAsia"/>
                    </w:rPr>
                    <w:t>10</w:t>
                  </w:r>
                </w:p>
              </w:tc>
              <w:tc>
                <w:tcPr>
                  <w:tcW w:w="1036" w:type="pct"/>
                  <w:vMerge w:val="restart"/>
                  <w:vAlign w:val="center"/>
                </w:tcPr>
                <w:p w14:paraId="6CABE805">
                  <w:pPr>
                    <w:pStyle w:val="19"/>
                    <w:spacing w:before="120" w:after="120"/>
                  </w:pPr>
                  <w:r>
                    <w:rPr>
                      <w:rFonts w:hint="eastAsia"/>
                    </w:rPr>
                    <w:t>内蒙古美力坚新材料</w:t>
                  </w:r>
                  <w:r>
                    <w:t>有限公司</w:t>
                  </w:r>
                </w:p>
              </w:tc>
              <w:tc>
                <w:tcPr>
                  <w:tcW w:w="744" w:type="pct"/>
                  <w:vAlign w:val="center"/>
                </w:tcPr>
                <w:p w14:paraId="4F48C3F3">
                  <w:pPr>
                    <w:pStyle w:val="19"/>
                    <w:spacing w:before="120" w:after="120"/>
                  </w:pPr>
                  <w:r>
                    <w:rPr>
                      <w:rFonts w:hint="eastAsia"/>
                    </w:rPr>
                    <w:t>片碱</w:t>
                  </w:r>
                </w:p>
              </w:tc>
              <w:tc>
                <w:tcPr>
                  <w:tcW w:w="1131" w:type="pct"/>
                  <w:vAlign w:val="center"/>
                </w:tcPr>
                <w:p w14:paraId="6AC846C2">
                  <w:pPr>
                    <w:pStyle w:val="19"/>
                    <w:spacing w:before="120" w:after="120"/>
                  </w:pPr>
                  <w:r>
                    <w:rPr>
                      <w:rFonts w:hint="eastAsia"/>
                    </w:rPr>
                    <w:t>3车/天（板车）</w:t>
                  </w:r>
                </w:p>
              </w:tc>
              <w:tc>
                <w:tcPr>
                  <w:tcW w:w="713" w:type="pct"/>
                  <w:vAlign w:val="center"/>
                </w:tcPr>
                <w:p w14:paraId="40ADA228">
                  <w:pPr>
                    <w:pStyle w:val="19"/>
                    <w:spacing w:before="120" w:after="120"/>
                  </w:pPr>
                  <w:r>
                    <w:rPr>
                      <w:rFonts w:hint="eastAsia"/>
                    </w:rPr>
                    <w:t>/</w:t>
                  </w:r>
                </w:p>
              </w:tc>
              <w:tc>
                <w:tcPr>
                  <w:tcW w:w="1067" w:type="pct"/>
                  <w:vAlign w:val="center"/>
                </w:tcPr>
                <w:p w14:paraId="4BAD81ED">
                  <w:pPr>
                    <w:pStyle w:val="19"/>
                    <w:spacing w:before="120" w:after="120"/>
                  </w:pPr>
                  <w:r>
                    <w:rPr>
                      <w:rFonts w:hint="eastAsia"/>
                    </w:rPr>
                    <w:t>/</w:t>
                  </w:r>
                </w:p>
              </w:tc>
            </w:tr>
            <w:tr w14:paraId="62BEB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0E1E2686">
                  <w:pPr>
                    <w:pStyle w:val="19"/>
                    <w:spacing w:before="120" w:after="120"/>
                  </w:pPr>
                </w:p>
              </w:tc>
              <w:tc>
                <w:tcPr>
                  <w:tcW w:w="1036" w:type="pct"/>
                  <w:vMerge w:val="continue"/>
                  <w:vAlign w:val="center"/>
                </w:tcPr>
                <w:p w14:paraId="253C7EDE">
                  <w:pPr>
                    <w:pStyle w:val="19"/>
                    <w:spacing w:before="120" w:after="120"/>
                  </w:pPr>
                </w:p>
              </w:tc>
              <w:tc>
                <w:tcPr>
                  <w:tcW w:w="744" w:type="pct"/>
                  <w:vAlign w:val="center"/>
                </w:tcPr>
                <w:p w14:paraId="398126BA">
                  <w:pPr>
                    <w:pStyle w:val="19"/>
                    <w:spacing w:before="120" w:after="120"/>
                  </w:pPr>
                  <w:r>
                    <w:rPr>
                      <w:rFonts w:hint="eastAsia"/>
                    </w:rPr>
                    <w:t>硫酸</w:t>
                  </w:r>
                </w:p>
              </w:tc>
              <w:tc>
                <w:tcPr>
                  <w:tcW w:w="1131" w:type="pct"/>
                  <w:vAlign w:val="center"/>
                </w:tcPr>
                <w:p w14:paraId="2778F5A4">
                  <w:pPr>
                    <w:pStyle w:val="19"/>
                    <w:spacing w:before="120" w:after="120"/>
                  </w:pPr>
                  <w:r>
                    <w:rPr>
                      <w:rFonts w:hint="eastAsia"/>
                    </w:rPr>
                    <w:t>9车/天（罐车）</w:t>
                  </w:r>
                </w:p>
              </w:tc>
              <w:tc>
                <w:tcPr>
                  <w:tcW w:w="713" w:type="pct"/>
                  <w:vAlign w:val="center"/>
                </w:tcPr>
                <w:p w14:paraId="5EB30823">
                  <w:pPr>
                    <w:pStyle w:val="19"/>
                    <w:spacing w:before="120" w:after="120"/>
                  </w:pPr>
                  <w:r>
                    <w:rPr>
                      <w:rFonts w:hint="eastAsia"/>
                    </w:rPr>
                    <w:t>/</w:t>
                  </w:r>
                </w:p>
              </w:tc>
              <w:tc>
                <w:tcPr>
                  <w:tcW w:w="1067" w:type="pct"/>
                  <w:vAlign w:val="center"/>
                </w:tcPr>
                <w:p w14:paraId="62DC85CE">
                  <w:pPr>
                    <w:pStyle w:val="19"/>
                    <w:spacing w:before="120" w:after="120"/>
                  </w:pPr>
                  <w:r>
                    <w:rPr>
                      <w:rFonts w:hint="eastAsia"/>
                    </w:rPr>
                    <w:t>/</w:t>
                  </w:r>
                </w:p>
              </w:tc>
            </w:tr>
            <w:tr w14:paraId="67427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3F8EDC84">
                  <w:pPr>
                    <w:pStyle w:val="19"/>
                    <w:spacing w:before="120" w:after="120"/>
                  </w:pPr>
                </w:p>
              </w:tc>
              <w:tc>
                <w:tcPr>
                  <w:tcW w:w="1036" w:type="pct"/>
                  <w:vMerge w:val="continue"/>
                  <w:vAlign w:val="center"/>
                </w:tcPr>
                <w:p w14:paraId="5DCEC76E">
                  <w:pPr>
                    <w:pStyle w:val="19"/>
                    <w:spacing w:before="120" w:after="120"/>
                  </w:pPr>
                </w:p>
              </w:tc>
              <w:tc>
                <w:tcPr>
                  <w:tcW w:w="744" w:type="pct"/>
                  <w:vAlign w:val="center"/>
                </w:tcPr>
                <w:p w14:paraId="2067C694">
                  <w:pPr>
                    <w:pStyle w:val="19"/>
                    <w:spacing w:before="120" w:after="120"/>
                  </w:pPr>
                  <w:r>
                    <w:rPr>
                      <w:rFonts w:hint="eastAsia"/>
                    </w:rPr>
                    <w:t>液体工业萘</w:t>
                  </w:r>
                </w:p>
              </w:tc>
              <w:tc>
                <w:tcPr>
                  <w:tcW w:w="1131" w:type="pct"/>
                  <w:vAlign w:val="center"/>
                </w:tcPr>
                <w:p w14:paraId="4B7D6422">
                  <w:pPr>
                    <w:pStyle w:val="19"/>
                    <w:spacing w:before="120" w:after="120"/>
                  </w:pPr>
                  <w:r>
                    <w:rPr>
                      <w:rFonts w:hint="eastAsia"/>
                    </w:rPr>
                    <w:t>9车/天（罐车）</w:t>
                  </w:r>
                </w:p>
              </w:tc>
              <w:tc>
                <w:tcPr>
                  <w:tcW w:w="713" w:type="pct"/>
                  <w:vAlign w:val="center"/>
                </w:tcPr>
                <w:p w14:paraId="6A81673F">
                  <w:pPr>
                    <w:pStyle w:val="19"/>
                    <w:spacing w:before="120" w:after="120"/>
                  </w:pPr>
                  <w:r>
                    <w:rPr>
                      <w:rFonts w:hint="eastAsia"/>
                    </w:rPr>
                    <w:t>/</w:t>
                  </w:r>
                </w:p>
              </w:tc>
              <w:tc>
                <w:tcPr>
                  <w:tcW w:w="1067" w:type="pct"/>
                  <w:vAlign w:val="center"/>
                </w:tcPr>
                <w:p w14:paraId="2A845F7B">
                  <w:pPr>
                    <w:pStyle w:val="19"/>
                    <w:spacing w:before="120" w:after="120"/>
                  </w:pPr>
                  <w:r>
                    <w:rPr>
                      <w:rFonts w:hint="eastAsia"/>
                    </w:rPr>
                    <w:t>/</w:t>
                  </w:r>
                </w:p>
              </w:tc>
            </w:tr>
            <w:tr w14:paraId="5D6A1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774C7BAD">
                  <w:pPr>
                    <w:pStyle w:val="19"/>
                    <w:spacing w:before="120" w:after="120"/>
                  </w:pPr>
                </w:p>
              </w:tc>
              <w:tc>
                <w:tcPr>
                  <w:tcW w:w="1036" w:type="pct"/>
                  <w:vMerge w:val="continue"/>
                  <w:vAlign w:val="center"/>
                </w:tcPr>
                <w:p w14:paraId="26AB12DC">
                  <w:pPr>
                    <w:pStyle w:val="19"/>
                    <w:spacing w:before="120" w:after="120"/>
                  </w:pPr>
                </w:p>
              </w:tc>
              <w:tc>
                <w:tcPr>
                  <w:tcW w:w="744" w:type="pct"/>
                  <w:vAlign w:val="center"/>
                </w:tcPr>
                <w:p w14:paraId="0CAD6FB7">
                  <w:pPr>
                    <w:pStyle w:val="19"/>
                    <w:spacing w:before="120" w:after="120"/>
                  </w:pPr>
                  <w:r>
                    <w:rPr>
                      <w:rFonts w:hint="eastAsia"/>
                    </w:rPr>
                    <w:t>液体二氧化碳</w:t>
                  </w:r>
                </w:p>
              </w:tc>
              <w:tc>
                <w:tcPr>
                  <w:tcW w:w="1131" w:type="pct"/>
                  <w:vAlign w:val="center"/>
                </w:tcPr>
                <w:p w14:paraId="56E0B622">
                  <w:pPr>
                    <w:pStyle w:val="19"/>
                    <w:spacing w:before="120" w:after="120"/>
                  </w:pPr>
                  <w:r>
                    <w:rPr>
                      <w:rFonts w:hint="eastAsia"/>
                    </w:rPr>
                    <w:t>2车/天（罐车）</w:t>
                  </w:r>
                </w:p>
              </w:tc>
              <w:tc>
                <w:tcPr>
                  <w:tcW w:w="713" w:type="pct"/>
                  <w:vAlign w:val="center"/>
                </w:tcPr>
                <w:p w14:paraId="14494FE1">
                  <w:pPr>
                    <w:pStyle w:val="19"/>
                    <w:spacing w:before="120" w:after="120"/>
                  </w:pPr>
                  <w:r>
                    <w:rPr>
                      <w:rFonts w:hint="eastAsia"/>
                    </w:rPr>
                    <w:t>/</w:t>
                  </w:r>
                </w:p>
              </w:tc>
              <w:tc>
                <w:tcPr>
                  <w:tcW w:w="1067" w:type="pct"/>
                  <w:vAlign w:val="center"/>
                </w:tcPr>
                <w:p w14:paraId="5A7E8E9D">
                  <w:pPr>
                    <w:pStyle w:val="19"/>
                    <w:spacing w:before="120" w:after="120"/>
                  </w:pPr>
                  <w:r>
                    <w:rPr>
                      <w:rFonts w:hint="eastAsia"/>
                    </w:rPr>
                    <w:t>/</w:t>
                  </w:r>
                </w:p>
              </w:tc>
            </w:tr>
            <w:tr w14:paraId="65A31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3F51A4B9">
                  <w:pPr>
                    <w:pStyle w:val="19"/>
                    <w:spacing w:before="120" w:after="120"/>
                  </w:pPr>
                </w:p>
              </w:tc>
              <w:tc>
                <w:tcPr>
                  <w:tcW w:w="1036" w:type="pct"/>
                  <w:vMerge w:val="continue"/>
                  <w:vAlign w:val="center"/>
                </w:tcPr>
                <w:p w14:paraId="683A56ED">
                  <w:pPr>
                    <w:pStyle w:val="19"/>
                    <w:spacing w:before="120" w:after="120"/>
                  </w:pPr>
                </w:p>
              </w:tc>
              <w:tc>
                <w:tcPr>
                  <w:tcW w:w="744" w:type="pct"/>
                  <w:vAlign w:val="center"/>
                </w:tcPr>
                <w:p w14:paraId="23E89013">
                  <w:pPr>
                    <w:pStyle w:val="19"/>
                    <w:spacing w:before="120" w:after="120"/>
                  </w:pPr>
                  <w:r>
                    <w:rPr>
                      <w:rFonts w:hint="eastAsia"/>
                    </w:rPr>
                    <w:t>50%液碱</w:t>
                  </w:r>
                </w:p>
              </w:tc>
              <w:tc>
                <w:tcPr>
                  <w:tcW w:w="1131" w:type="pct"/>
                  <w:vAlign w:val="center"/>
                </w:tcPr>
                <w:p w14:paraId="017EC1CB">
                  <w:pPr>
                    <w:pStyle w:val="19"/>
                    <w:spacing w:before="120" w:after="120"/>
                  </w:pPr>
                  <w:r>
                    <w:rPr>
                      <w:rFonts w:hint="eastAsia"/>
                    </w:rPr>
                    <w:t>4车/天（罐车）</w:t>
                  </w:r>
                </w:p>
              </w:tc>
              <w:tc>
                <w:tcPr>
                  <w:tcW w:w="713" w:type="pct"/>
                  <w:vAlign w:val="center"/>
                </w:tcPr>
                <w:p w14:paraId="5D55C75E">
                  <w:pPr>
                    <w:pStyle w:val="19"/>
                    <w:spacing w:before="120" w:after="120"/>
                  </w:pPr>
                  <w:r>
                    <w:rPr>
                      <w:rFonts w:hint="eastAsia"/>
                    </w:rPr>
                    <w:t>/</w:t>
                  </w:r>
                </w:p>
              </w:tc>
              <w:tc>
                <w:tcPr>
                  <w:tcW w:w="1067" w:type="pct"/>
                  <w:vAlign w:val="center"/>
                </w:tcPr>
                <w:p w14:paraId="41F373CC">
                  <w:pPr>
                    <w:pStyle w:val="19"/>
                    <w:spacing w:before="120" w:after="120"/>
                  </w:pPr>
                  <w:r>
                    <w:rPr>
                      <w:rFonts w:hint="eastAsia"/>
                    </w:rPr>
                    <w:t>/</w:t>
                  </w:r>
                </w:p>
              </w:tc>
            </w:tr>
            <w:tr w14:paraId="4CEAB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restart"/>
                  <w:vAlign w:val="center"/>
                </w:tcPr>
                <w:p w14:paraId="10487763">
                  <w:pPr>
                    <w:pStyle w:val="19"/>
                    <w:spacing w:before="120" w:after="120"/>
                  </w:pPr>
                  <w:r>
                    <w:rPr>
                      <w:rFonts w:hint="eastAsia"/>
                    </w:rPr>
                    <w:t>11</w:t>
                  </w:r>
                </w:p>
              </w:tc>
              <w:tc>
                <w:tcPr>
                  <w:tcW w:w="1036" w:type="pct"/>
                  <w:vMerge w:val="restart"/>
                  <w:vAlign w:val="center"/>
                </w:tcPr>
                <w:p w14:paraId="50B3554F">
                  <w:pPr>
                    <w:pStyle w:val="19"/>
                    <w:spacing w:before="120" w:after="120"/>
                  </w:pPr>
                  <w:r>
                    <w:rPr>
                      <w:rFonts w:hint="eastAsia"/>
                    </w:rPr>
                    <w:t>内蒙古美力坚科技化</w:t>
                  </w:r>
                  <w:r>
                    <w:t>工有限公司在建二期项目</w:t>
                  </w:r>
                </w:p>
              </w:tc>
              <w:tc>
                <w:tcPr>
                  <w:tcW w:w="744" w:type="pct"/>
                  <w:vAlign w:val="center"/>
                </w:tcPr>
                <w:p w14:paraId="66891579">
                  <w:pPr>
                    <w:pStyle w:val="19"/>
                    <w:spacing w:before="120" w:after="120"/>
                  </w:pPr>
                  <w:r>
                    <w:rPr>
                      <w:rFonts w:hint="eastAsia"/>
                    </w:rPr>
                    <w:t>亚硝酸钠</w:t>
                  </w:r>
                </w:p>
              </w:tc>
              <w:tc>
                <w:tcPr>
                  <w:tcW w:w="1131" w:type="pct"/>
                  <w:vAlign w:val="center"/>
                </w:tcPr>
                <w:p w14:paraId="5F175992">
                  <w:pPr>
                    <w:pStyle w:val="19"/>
                    <w:spacing w:before="120" w:after="120"/>
                  </w:pPr>
                  <w:r>
                    <w:rPr>
                      <w:rFonts w:hint="eastAsia"/>
                    </w:rPr>
                    <w:t>1车/周（板车）</w:t>
                  </w:r>
                </w:p>
              </w:tc>
              <w:tc>
                <w:tcPr>
                  <w:tcW w:w="713" w:type="pct"/>
                  <w:vAlign w:val="center"/>
                </w:tcPr>
                <w:p w14:paraId="0D03904E">
                  <w:pPr>
                    <w:pStyle w:val="19"/>
                    <w:spacing w:before="120" w:after="120"/>
                  </w:pPr>
                  <w:r>
                    <w:rPr>
                      <w:rFonts w:hint="eastAsia"/>
                    </w:rPr>
                    <w:t>/</w:t>
                  </w:r>
                </w:p>
              </w:tc>
              <w:tc>
                <w:tcPr>
                  <w:tcW w:w="1067" w:type="pct"/>
                  <w:vAlign w:val="center"/>
                </w:tcPr>
                <w:p w14:paraId="79028631">
                  <w:pPr>
                    <w:pStyle w:val="19"/>
                    <w:spacing w:before="120" w:after="120"/>
                  </w:pPr>
                  <w:r>
                    <w:rPr>
                      <w:rFonts w:hint="eastAsia"/>
                    </w:rPr>
                    <w:t>/</w:t>
                  </w:r>
                </w:p>
              </w:tc>
            </w:tr>
            <w:tr w14:paraId="39B6C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376F122F">
                  <w:pPr>
                    <w:pStyle w:val="19"/>
                    <w:spacing w:before="120" w:after="120"/>
                  </w:pPr>
                </w:p>
              </w:tc>
              <w:tc>
                <w:tcPr>
                  <w:tcW w:w="1036" w:type="pct"/>
                  <w:vMerge w:val="continue"/>
                  <w:vAlign w:val="center"/>
                </w:tcPr>
                <w:p w14:paraId="65BDB840">
                  <w:pPr>
                    <w:pStyle w:val="19"/>
                    <w:spacing w:before="120" w:after="120"/>
                  </w:pPr>
                </w:p>
              </w:tc>
              <w:tc>
                <w:tcPr>
                  <w:tcW w:w="744" w:type="pct"/>
                  <w:vAlign w:val="center"/>
                </w:tcPr>
                <w:p w14:paraId="370D1923">
                  <w:pPr>
                    <w:pStyle w:val="19"/>
                    <w:spacing w:before="120" w:after="120"/>
                  </w:pPr>
                  <w:r>
                    <w:rPr>
                      <w:rFonts w:hint="eastAsia"/>
                    </w:rPr>
                    <w:t>液碱</w:t>
                  </w:r>
                </w:p>
              </w:tc>
              <w:tc>
                <w:tcPr>
                  <w:tcW w:w="1131" w:type="pct"/>
                  <w:vAlign w:val="center"/>
                </w:tcPr>
                <w:p w14:paraId="26D54299">
                  <w:pPr>
                    <w:pStyle w:val="19"/>
                    <w:spacing w:before="120" w:after="120"/>
                  </w:pPr>
                  <w:r>
                    <w:rPr>
                      <w:rFonts w:hint="eastAsia"/>
                    </w:rPr>
                    <w:t>1车/周（罐车）</w:t>
                  </w:r>
                </w:p>
              </w:tc>
              <w:tc>
                <w:tcPr>
                  <w:tcW w:w="713" w:type="pct"/>
                  <w:vAlign w:val="center"/>
                </w:tcPr>
                <w:p w14:paraId="08B6BEA0">
                  <w:pPr>
                    <w:pStyle w:val="19"/>
                    <w:spacing w:before="120" w:after="120"/>
                  </w:pPr>
                  <w:r>
                    <w:rPr>
                      <w:rFonts w:hint="eastAsia"/>
                    </w:rPr>
                    <w:t>/</w:t>
                  </w:r>
                </w:p>
              </w:tc>
              <w:tc>
                <w:tcPr>
                  <w:tcW w:w="1067" w:type="pct"/>
                  <w:vAlign w:val="center"/>
                </w:tcPr>
                <w:p w14:paraId="6E5DBEC0">
                  <w:pPr>
                    <w:pStyle w:val="19"/>
                    <w:spacing w:before="120" w:after="120"/>
                  </w:pPr>
                  <w:r>
                    <w:rPr>
                      <w:rFonts w:hint="eastAsia"/>
                    </w:rPr>
                    <w:t>/</w:t>
                  </w:r>
                </w:p>
              </w:tc>
            </w:tr>
            <w:tr w14:paraId="75F22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2C06EE5C">
                  <w:pPr>
                    <w:pStyle w:val="19"/>
                    <w:spacing w:before="120" w:after="120"/>
                  </w:pPr>
                </w:p>
              </w:tc>
              <w:tc>
                <w:tcPr>
                  <w:tcW w:w="1036" w:type="pct"/>
                  <w:vMerge w:val="continue"/>
                  <w:vAlign w:val="center"/>
                </w:tcPr>
                <w:p w14:paraId="0839CA98">
                  <w:pPr>
                    <w:pStyle w:val="19"/>
                    <w:spacing w:before="120" w:after="120"/>
                  </w:pPr>
                </w:p>
              </w:tc>
              <w:tc>
                <w:tcPr>
                  <w:tcW w:w="744" w:type="pct"/>
                  <w:vAlign w:val="center"/>
                </w:tcPr>
                <w:p w14:paraId="48B35038">
                  <w:pPr>
                    <w:pStyle w:val="19"/>
                    <w:spacing w:before="120" w:after="120"/>
                  </w:pPr>
                  <w:r>
                    <w:rPr>
                      <w:rFonts w:hint="eastAsia"/>
                    </w:rPr>
                    <w:t>盐酸</w:t>
                  </w:r>
                </w:p>
              </w:tc>
              <w:tc>
                <w:tcPr>
                  <w:tcW w:w="1131" w:type="pct"/>
                  <w:vAlign w:val="center"/>
                </w:tcPr>
                <w:p w14:paraId="18B014EE">
                  <w:pPr>
                    <w:pStyle w:val="19"/>
                    <w:spacing w:before="120" w:after="120"/>
                  </w:pPr>
                  <w:r>
                    <w:rPr>
                      <w:rFonts w:hint="eastAsia"/>
                    </w:rPr>
                    <w:t>2车/天（罐车）</w:t>
                  </w:r>
                </w:p>
              </w:tc>
              <w:tc>
                <w:tcPr>
                  <w:tcW w:w="713" w:type="pct"/>
                  <w:vAlign w:val="center"/>
                </w:tcPr>
                <w:p w14:paraId="6A43643F">
                  <w:pPr>
                    <w:pStyle w:val="19"/>
                    <w:spacing w:before="120" w:after="120"/>
                  </w:pPr>
                  <w:r>
                    <w:rPr>
                      <w:rFonts w:hint="eastAsia"/>
                    </w:rPr>
                    <w:t>/</w:t>
                  </w:r>
                </w:p>
              </w:tc>
              <w:tc>
                <w:tcPr>
                  <w:tcW w:w="1067" w:type="pct"/>
                  <w:vAlign w:val="center"/>
                </w:tcPr>
                <w:p w14:paraId="712E92CD">
                  <w:pPr>
                    <w:pStyle w:val="19"/>
                    <w:spacing w:before="120" w:after="120"/>
                  </w:pPr>
                  <w:r>
                    <w:rPr>
                      <w:rFonts w:hint="eastAsia"/>
                    </w:rPr>
                    <w:t>/</w:t>
                  </w:r>
                </w:p>
              </w:tc>
            </w:tr>
            <w:tr w14:paraId="74EBC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Merge w:val="continue"/>
                  <w:vAlign w:val="center"/>
                </w:tcPr>
                <w:p w14:paraId="428DCBE0">
                  <w:pPr>
                    <w:pStyle w:val="19"/>
                    <w:spacing w:before="120" w:after="120"/>
                  </w:pPr>
                </w:p>
              </w:tc>
              <w:tc>
                <w:tcPr>
                  <w:tcW w:w="1036" w:type="pct"/>
                  <w:vMerge w:val="continue"/>
                  <w:vAlign w:val="center"/>
                </w:tcPr>
                <w:p w14:paraId="4DB97E45">
                  <w:pPr>
                    <w:pStyle w:val="19"/>
                    <w:spacing w:before="120" w:after="120"/>
                  </w:pPr>
                </w:p>
              </w:tc>
              <w:tc>
                <w:tcPr>
                  <w:tcW w:w="744" w:type="pct"/>
                  <w:vAlign w:val="center"/>
                </w:tcPr>
                <w:p w14:paraId="766C85DE">
                  <w:pPr>
                    <w:pStyle w:val="19"/>
                    <w:spacing w:before="120" w:after="120"/>
                  </w:pPr>
                  <w:r>
                    <w:rPr>
                      <w:rFonts w:hint="eastAsia"/>
                    </w:rPr>
                    <w:t>硫化碱</w:t>
                  </w:r>
                </w:p>
              </w:tc>
              <w:tc>
                <w:tcPr>
                  <w:tcW w:w="1131" w:type="pct"/>
                  <w:vAlign w:val="center"/>
                </w:tcPr>
                <w:p w14:paraId="60E1ECFF">
                  <w:pPr>
                    <w:pStyle w:val="19"/>
                    <w:spacing w:before="120" w:after="120"/>
                  </w:pPr>
                  <w:r>
                    <w:rPr>
                      <w:rFonts w:hint="eastAsia"/>
                    </w:rPr>
                    <w:t>2车/天（罐车）</w:t>
                  </w:r>
                </w:p>
              </w:tc>
              <w:tc>
                <w:tcPr>
                  <w:tcW w:w="713" w:type="pct"/>
                  <w:vAlign w:val="center"/>
                </w:tcPr>
                <w:p w14:paraId="45529328">
                  <w:pPr>
                    <w:pStyle w:val="19"/>
                    <w:spacing w:before="120" w:after="120"/>
                  </w:pPr>
                  <w:r>
                    <w:rPr>
                      <w:rFonts w:hint="eastAsia"/>
                    </w:rPr>
                    <w:t>/</w:t>
                  </w:r>
                </w:p>
              </w:tc>
              <w:tc>
                <w:tcPr>
                  <w:tcW w:w="1067" w:type="pct"/>
                  <w:vAlign w:val="center"/>
                </w:tcPr>
                <w:p w14:paraId="1E70F9DB">
                  <w:pPr>
                    <w:pStyle w:val="19"/>
                    <w:spacing w:before="120" w:after="120"/>
                  </w:pPr>
                  <w:r>
                    <w:rPr>
                      <w:rFonts w:hint="eastAsia"/>
                    </w:rPr>
                    <w:t>/</w:t>
                  </w:r>
                </w:p>
              </w:tc>
            </w:tr>
            <w:tr w14:paraId="63190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 w:type="pct"/>
                  <w:vAlign w:val="center"/>
                </w:tcPr>
                <w:p w14:paraId="40A6350F">
                  <w:pPr>
                    <w:pStyle w:val="19"/>
                    <w:spacing w:before="120" w:after="120"/>
                  </w:pPr>
                  <w:r>
                    <w:rPr>
                      <w:rFonts w:hint="eastAsia"/>
                    </w:rPr>
                    <w:t>12</w:t>
                  </w:r>
                </w:p>
              </w:tc>
              <w:tc>
                <w:tcPr>
                  <w:tcW w:w="1036" w:type="pct"/>
                  <w:vAlign w:val="center"/>
                </w:tcPr>
                <w:p w14:paraId="6EA7A639">
                  <w:pPr>
                    <w:pStyle w:val="19"/>
                    <w:spacing w:before="120" w:after="120"/>
                  </w:pPr>
                  <w:r>
                    <w:rPr>
                      <w:rFonts w:hint="eastAsia"/>
                    </w:rPr>
                    <w:t>内蒙古双欣节能科技</w:t>
                  </w:r>
                  <w:r>
                    <w:t>有限公司</w:t>
                  </w:r>
                  <w:r>
                    <w:rPr>
                      <w:rFonts w:hint="eastAsia"/>
                    </w:rPr>
                    <w:t>（</w:t>
                  </w:r>
                  <w:r>
                    <w:t>在建</w:t>
                  </w:r>
                  <w:r>
                    <w:rPr>
                      <w:rFonts w:hint="eastAsia"/>
                    </w:rPr>
                    <w:t>）</w:t>
                  </w:r>
                </w:p>
              </w:tc>
              <w:tc>
                <w:tcPr>
                  <w:tcW w:w="744" w:type="pct"/>
                  <w:vAlign w:val="center"/>
                </w:tcPr>
                <w:p w14:paraId="1600A010">
                  <w:pPr>
                    <w:pStyle w:val="19"/>
                    <w:spacing w:before="120" w:after="120"/>
                  </w:pPr>
                  <w:r>
                    <w:rPr>
                      <w:rFonts w:hint="eastAsia"/>
                    </w:rPr>
                    <w:t>电石</w:t>
                  </w:r>
                </w:p>
              </w:tc>
              <w:tc>
                <w:tcPr>
                  <w:tcW w:w="1131" w:type="pct"/>
                  <w:vAlign w:val="center"/>
                </w:tcPr>
                <w:p w14:paraId="26915488">
                  <w:pPr>
                    <w:pStyle w:val="19"/>
                    <w:spacing w:before="120" w:after="120"/>
                  </w:pPr>
                  <w:r>
                    <w:rPr>
                      <w:rFonts w:hint="eastAsia"/>
                    </w:rPr>
                    <w:t>25车/天（马槽车）</w:t>
                  </w:r>
                </w:p>
              </w:tc>
              <w:tc>
                <w:tcPr>
                  <w:tcW w:w="713" w:type="pct"/>
                  <w:vAlign w:val="center"/>
                </w:tcPr>
                <w:p w14:paraId="6B9315C8">
                  <w:pPr>
                    <w:pStyle w:val="19"/>
                    <w:spacing w:before="120" w:after="120"/>
                  </w:pPr>
                  <w:r>
                    <w:rPr>
                      <w:rFonts w:hint="eastAsia"/>
                    </w:rPr>
                    <w:t>/</w:t>
                  </w:r>
                </w:p>
              </w:tc>
              <w:tc>
                <w:tcPr>
                  <w:tcW w:w="1067" w:type="pct"/>
                  <w:vAlign w:val="center"/>
                </w:tcPr>
                <w:p w14:paraId="26CF258E">
                  <w:pPr>
                    <w:pStyle w:val="19"/>
                    <w:spacing w:before="120" w:after="120"/>
                  </w:pPr>
                  <w:r>
                    <w:rPr>
                      <w:rFonts w:hint="eastAsia"/>
                    </w:rPr>
                    <w:t>/</w:t>
                  </w:r>
                </w:p>
              </w:tc>
            </w:tr>
          </w:tbl>
          <w:p w14:paraId="0828BD1C">
            <w:pPr>
              <w:ind w:firstLine="480"/>
            </w:pPr>
            <w:r>
              <w:t>除上述主要危险化学品外</w:t>
            </w:r>
            <w:r>
              <w:rPr>
                <w:rFonts w:hint="eastAsia"/>
              </w:rPr>
              <w:t>，</w:t>
            </w:r>
            <w:r>
              <w:t>还涉及其他少量危险化学品的运输</w:t>
            </w:r>
            <w:r>
              <w:rPr>
                <w:rFonts w:hint="eastAsia"/>
              </w:rPr>
              <w:t>，</w:t>
            </w:r>
            <w:r>
              <w:t>如亚硫酸氢钠、</w:t>
            </w:r>
            <w:r>
              <w:rPr>
                <w:rFonts w:hint="eastAsia"/>
              </w:rPr>
              <w:t>连二亚硫酸钠</w:t>
            </w:r>
            <w:r>
              <w:t>、氨水、苯胺、硝酸、水合肼等。</w:t>
            </w:r>
          </w:p>
          <w:p w14:paraId="7F0FA7FE">
            <w:pPr>
              <w:ind w:firstLine="480"/>
            </w:pPr>
            <w:r>
              <w:rPr>
                <w:rFonts w:hint="eastAsia"/>
              </w:rPr>
              <w:t>根据</w:t>
            </w:r>
            <w:r>
              <w:t>园区危险化学品运输情况</w:t>
            </w:r>
            <w:r>
              <w:rPr>
                <w:rFonts w:hint="eastAsia"/>
              </w:rPr>
              <w:t>统计数据，</w:t>
            </w:r>
            <w:r>
              <w:t>主要危险化学品</w:t>
            </w:r>
            <w:r>
              <w:rPr>
                <w:rFonts w:hint="eastAsia"/>
              </w:rPr>
              <w:t>运输</w:t>
            </w:r>
            <w:r>
              <w:t>情况</w:t>
            </w:r>
            <w:r>
              <w:rPr>
                <w:rFonts w:hint="eastAsia"/>
              </w:rPr>
              <w:t>见下表。</w:t>
            </w:r>
          </w:p>
          <w:p w14:paraId="59D59542">
            <w:pPr>
              <w:pStyle w:val="21"/>
              <w:spacing w:before="120"/>
              <w:rPr>
                <w:rFonts w:hint="default"/>
              </w:rPr>
            </w:pPr>
            <w:bookmarkStart w:id="41" w:name="_Toc2750"/>
            <w:bookmarkStart w:id="42" w:name="_Toc11671"/>
            <w:r>
              <w:t>表2-4  主要危险化学品运输</w:t>
            </w:r>
            <w:r>
              <w:rPr>
                <w:rFonts w:hint="default"/>
              </w:rPr>
              <w:t>情况</w:t>
            </w:r>
            <w:bookmarkEnd w:id="41"/>
            <w:bookmarkEnd w:id="42"/>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3"/>
              <w:gridCol w:w="3591"/>
              <w:gridCol w:w="2794"/>
            </w:tblGrid>
            <w:tr w14:paraId="47AEE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8" w:type="dxa"/>
                </w:tcPr>
                <w:p w14:paraId="58A803BD">
                  <w:pPr>
                    <w:pStyle w:val="19"/>
                    <w:spacing w:before="120" w:after="120"/>
                  </w:pPr>
                  <w:r>
                    <w:rPr>
                      <w:rFonts w:hint="eastAsia"/>
                    </w:rPr>
                    <w:t>序号</w:t>
                  </w:r>
                </w:p>
              </w:tc>
              <w:tc>
                <w:tcPr>
                  <w:tcW w:w="3601" w:type="dxa"/>
                </w:tcPr>
                <w:p w14:paraId="0EA7B8CF">
                  <w:pPr>
                    <w:pStyle w:val="19"/>
                    <w:spacing w:before="120" w:after="120"/>
                  </w:pPr>
                  <w:r>
                    <w:rPr>
                      <w:rFonts w:hint="eastAsia"/>
                    </w:rPr>
                    <w:t>类别</w:t>
                  </w:r>
                </w:p>
              </w:tc>
              <w:tc>
                <w:tcPr>
                  <w:tcW w:w="2801" w:type="dxa"/>
                </w:tcPr>
                <w:p w14:paraId="072B3BF6">
                  <w:pPr>
                    <w:pStyle w:val="19"/>
                    <w:spacing w:before="120" w:after="120"/>
                  </w:pPr>
                  <w:r>
                    <w:rPr>
                      <w:rFonts w:hint="eastAsia"/>
                    </w:rPr>
                    <w:t>合计运输量</w:t>
                  </w:r>
                </w:p>
              </w:tc>
            </w:tr>
            <w:tr w14:paraId="4672A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8" w:type="dxa"/>
                </w:tcPr>
                <w:p w14:paraId="2DA6A0A1">
                  <w:pPr>
                    <w:pStyle w:val="19"/>
                    <w:spacing w:before="120" w:after="120"/>
                  </w:pPr>
                  <w:r>
                    <w:rPr>
                      <w:rFonts w:hint="eastAsia"/>
                    </w:rPr>
                    <w:t>1</w:t>
                  </w:r>
                </w:p>
              </w:tc>
              <w:tc>
                <w:tcPr>
                  <w:tcW w:w="3601" w:type="dxa"/>
                </w:tcPr>
                <w:p w14:paraId="7CE4BF29">
                  <w:pPr>
                    <w:pStyle w:val="19"/>
                    <w:spacing w:before="120" w:after="120"/>
                  </w:pPr>
                  <w:r>
                    <w:rPr>
                      <w:rFonts w:hint="eastAsia"/>
                    </w:rPr>
                    <w:t>非易燃无毒气体</w:t>
                  </w:r>
                </w:p>
              </w:tc>
              <w:tc>
                <w:tcPr>
                  <w:tcW w:w="2801" w:type="dxa"/>
                </w:tcPr>
                <w:p w14:paraId="0D9FD23B">
                  <w:pPr>
                    <w:pStyle w:val="19"/>
                    <w:spacing w:before="120" w:after="120"/>
                  </w:pPr>
                  <w:r>
                    <w:rPr>
                      <w:rFonts w:hint="eastAsia"/>
                    </w:rPr>
                    <w:t>10车/天</w:t>
                  </w:r>
                </w:p>
              </w:tc>
            </w:tr>
            <w:tr w14:paraId="71F46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8" w:type="dxa"/>
                </w:tcPr>
                <w:p w14:paraId="114B9901">
                  <w:pPr>
                    <w:pStyle w:val="19"/>
                    <w:spacing w:before="120" w:after="120"/>
                  </w:pPr>
                  <w:r>
                    <w:rPr>
                      <w:rFonts w:hint="eastAsia"/>
                    </w:rPr>
                    <w:t>2</w:t>
                  </w:r>
                </w:p>
              </w:tc>
              <w:tc>
                <w:tcPr>
                  <w:tcW w:w="3601" w:type="dxa"/>
                </w:tcPr>
                <w:p w14:paraId="4AE83E65">
                  <w:pPr>
                    <w:pStyle w:val="19"/>
                    <w:spacing w:before="120" w:after="120"/>
                  </w:pPr>
                  <w:r>
                    <w:t>毒性气体</w:t>
                  </w:r>
                </w:p>
              </w:tc>
              <w:tc>
                <w:tcPr>
                  <w:tcW w:w="2801" w:type="dxa"/>
                </w:tcPr>
                <w:p w14:paraId="2D5DB367">
                  <w:pPr>
                    <w:pStyle w:val="19"/>
                    <w:spacing w:before="120" w:after="120"/>
                  </w:pPr>
                  <w:r>
                    <w:rPr>
                      <w:rFonts w:hint="eastAsia"/>
                    </w:rPr>
                    <w:t>7车/天</w:t>
                  </w:r>
                </w:p>
              </w:tc>
            </w:tr>
            <w:tr w14:paraId="29974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8" w:type="dxa"/>
                </w:tcPr>
                <w:p w14:paraId="0E670075">
                  <w:pPr>
                    <w:pStyle w:val="19"/>
                    <w:spacing w:before="120" w:after="120"/>
                  </w:pPr>
                  <w:r>
                    <w:rPr>
                      <w:rFonts w:hint="eastAsia"/>
                    </w:rPr>
                    <w:t>3</w:t>
                  </w:r>
                </w:p>
              </w:tc>
              <w:tc>
                <w:tcPr>
                  <w:tcW w:w="3601" w:type="dxa"/>
                </w:tcPr>
                <w:p w14:paraId="0502A0E0">
                  <w:pPr>
                    <w:pStyle w:val="19"/>
                    <w:spacing w:before="120" w:after="120"/>
                  </w:pPr>
                  <w:r>
                    <w:rPr>
                      <w:rFonts w:hint="eastAsia"/>
                    </w:rPr>
                    <w:t>易燃液体</w:t>
                  </w:r>
                </w:p>
              </w:tc>
              <w:tc>
                <w:tcPr>
                  <w:tcW w:w="2801" w:type="dxa"/>
                </w:tcPr>
                <w:p w14:paraId="71706AAB">
                  <w:pPr>
                    <w:pStyle w:val="19"/>
                    <w:spacing w:before="120" w:after="120"/>
                  </w:pPr>
                  <w:r>
                    <w:rPr>
                      <w:rFonts w:hint="eastAsia"/>
                    </w:rPr>
                    <w:t>68车/天</w:t>
                  </w:r>
                </w:p>
              </w:tc>
            </w:tr>
            <w:tr w14:paraId="48FAF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8" w:type="dxa"/>
                </w:tcPr>
                <w:p w14:paraId="5BB7B147">
                  <w:pPr>
                    <w:pStyle w:val="19"/>
                    <w:spacing w:before="120" w:after="120"/>
                  </w:pPr>
                  <w:r>
                    <w:rPr>
                      <w:rFonts w:hint="eastAsia"/>
                    </w:rPr>
                    <w:t>4</w:t>
                  </w:r>
                </w:p>
              </w:tc>
              <w:tc>
                <w:tcPr>
                  <w:tcW w:w="3601" w:type="dxa"/>
                </w:tcPr>
                <w:p w14:paraId="466EFD86">
                  <w:pPr>
                    <w:pStyle w:val="19"/>
                    <w:spacing w:before="120" w:after="120"/>
                  </w:pPr>
                  <w:r>
                    <w:rPr>
                      <w:rFonts w:hint="eastAsia"/>
                    </w:rPr>
                    <w:t>易燃固体</w:t>
                  </w:r>
                </w:p>
              </w:tc>
              <w:tc>
                <w:tcPr>
                  <w:tcW w:w="2801" w:type="dxa"/>
                </w:tcPr>
                <w:p w14:paraId="23F947AC">
                  <w:pPr>
                    <w:pStyle w:val="19"/>
                    <w:spacing w:before="120" w:after="120"/>
                  </w:pPr>
                  <w:r>
                    <w:rPr>
                      <w:rFonts w:hint="eastAsia"/>
                    </w:rPr>
                    <w:t>10车/天</w:t>
                  </w:r>
                </w:p>
              </w:tc>
            </w:tr>
            <w:tr w14:paraId="6C55D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8" w:type="dxa"/>
                </w:tcPr>
                <w:p w14:paraId="5045EAB8">
                  <w:pPr>
                    <w:pStyle w:val="19"/>
                    <w:spacing w:before="120" w:after="120"/>
                  </w:pPr>
                  <w:r>
                    <w:rPr>
                      <w:rFonts w:hint="eastAsia"/>
                    </w:rPr>
                    <w:t>5</w:t>
                  </w:r>
                </w:p>
              </w:tc>
              <w:tc>
                <w:tcPr>
                  <w:tcW w:w="3601" w:type="dxa"/>
                </w:tcPr>
                <w:p w14:paraId="712FDC0A">
                  <w:pPr>
                    <w:pStyle w:val="19"/>
                    <w:spacing w:before="120" w:after="120"/>
                  </w:pPr>
                  <w:r>
                    <w:t>遇水放出易燃气体的物质</w:t>
                  </w:r>
                </w:p>
              </w:tc>
              <w:tc>
                <w:tcPr>
                  <w:tcW w:w="2801" w:type="dxa"/>
                </w:tcPr>
                <w:p w14:paraId="36416A41">
                  <w:pPr>
                    <w:pStyle w:val="19"/>
                    <w:spacing w:before="120" w:after="120"/>
                  </w:pPr>
                  <w:r>
                    <w:rPr>
                      <w:rFonts w:hint="eastAsia"/>
                    </w:rPr>
                    <w:t>62车/天</w:t>
                  </w:r>
                </w:p>
              </w:tc>
            </w:tr>
            <w:tr w14:paraId="51DC4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8" w:type="dxa"/>
                </w:tcPr>
                <w:p w14:paraId="07780C1B">
                  <w:pPr>
                    <w:pStyle w:val="19"/>
                    <w:spacing w:before="120" w:after="120"/>
                  </w:pPr>
                  <w:r>
                    <w:rPr>
                      <w:rFonts w:hint="eastAsia"/>
                    </w:rPr>
                    <w:t>6</w:t>
                  </w:r>
                </w:p>
              </w:tc>
              <w:tc>
                <w:tcPr>
                  <w:tcW w:w="3601" w:type="dxa"/>
                </w:tcPr>
                <w:p w14:paraId="054E1B06">
                  <w:pPr>
                    <w:pStyle w:val="19"/>
                    <w:spacing w:before="120" w:after="120"/>
                  </w:pPr>
                  <w:r>
                    <w:t>氧化性物质</w:t>
                  </w:r>
                </w:p>
              </w:tc>
              <w:tc>
                <w:tcPr>
                  <w:tcW w:w="2801" w:type="dxa"/>
                </w:tcPr>
                <w:p w14:paraId="303F8EA9">
                  <w:pPr>
                    <w:pStyle w:val="19"/>
                    <w:spacing w:before="120" w:after="120"/>
                  </w:pPr>
                  <w:r>
                    <w:rPr>
                      <w:rFonts w:hint="eastAsia"/>
                    </w:rPr>
                    <w:t>1车/周</w:t>
                  </w:r>
                </w:p>
              </w:tc>
            </w:tr>
            <w:tr w14:paraId="43F2D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8" w:type="dxa"/>
                </w:tcPr>
                <w:p w14:paraId="33CAF9F9">
                  <w:pPr>
                    <w:pStyle w:val="19"/>
                    <w:spacing w:before="120" w:after="120"/>
                  </w:pPr>
                  <w:r>
                    <w:rPr>
                      <w:rFonts w:hint="eastAsia"/>
                    </w:rPr>
                    <w:t>7</w:t>
                  </w:r>
                </w:p>
              </w:tc>
              <w:tc>
                <w:tcPr>
                  <w:tcW w:w="3601" w:type="dxa"/>
                </w:tcPr>
                <w:p w14:paraId="525961DC">
                  <w:pPr>
                    <w:pStyle w:val="19"/>
                    <w:spacing w:before="120" w:after="120"/>
                  </w:pPr>
                  <w:r>
                    <w:t>腐蚀性物质</w:t>
                  </w:r>
                </w:p>
              </w:tc>
              <w:tc>
                <w:tcPr>
                  <w:tcW w:w="2801" w:type="dxa"/>
                </w:tcPr>
                <w:p w14:paraId="309B22CC">
                  <w:pPr>
                    <w:pStyle w:val="19"/>
                    <w:spacing w:before="120" w:after="120"/>
                  </w:pPr>
                  <w:r>
                    <w:rPr>
                      <w:rFonts w:hint="eastAsia"/>
                    </w:rPr>
                    <w:t>159车/天</w:t>
                  </w:r>
                </w:p>
              </w:tc>
            </w:tr>
          </w:tbl>
          <w:p w14:paraId="48729DD3">
            <w:pPr>
              <w:pStyle w:val="3"/>
              <w:numPr>
                <w:ilvl w:val="0"/>
                <w:numId w:val="4"/>
              </w:numPr>
              <w:ind w:firstLine="480"/>
            </w:pPr>
            <w:bookmarkStart w:id="43" w:name="_Toc9604"/>
            <w:bookmarkStart w:id="44" w:name="_Toc12057"/>
            <w:r>
              <w:rPr>
                <w:rFonts w:hint="eastAsia"/>
              </w:rPr>
              <w:t>危险化学品运输管理规则</w:t>
            </w:r>
            <w:bookmarkEnd w:id="43"/>
            <w:bookmarkEnd w:id="44"/>
          </w:p>
          <w:p w14:paraId="477F1FA0">
            <w:pPr>
              <w:ind w:firstLine="480"/>
            </w:pPr>
            <w:r>
              <w:rPr>
                <w:rFonts w:hint="eastAsia"/>
              </w:rPr>
              <w:t>（1）车辆出入场管理系统</w:t>
            </w:r>
          </w:p>
          <w:p w14:paraId="6404FCA2">
            <w:pPr>
              <w:ind w:firstLine="480"/>
            </w:pPr>
            <w:r>
              <w:rPr>
                <w:rFonts w:hint="eastAsia"/>
              </w:rPr>
              <w:t>车辆出入场管理系统是停车场智能管理系统规划的核心，该系统由车辆预约管理系统、车辆入场物检管理、车辆入场文检管理、出场收费系统、停车位及通道交通信号指示、车辆引导系统、门禁管理、出入口道闸管理、二道门管理、紧急疏散引导系统组成。</w:t>
            </w:r>
          </w:p>
          <w:p w14:paraId="0679CBAE">
            <w:pPr>
              <w:ind w:firstLine="480"/>
            </w:pPr>
            <w:r>
              <w:rPr>
                <w:rFonts w:hint="eastAsia"/>
              </w:rPr>
              <w:t>①车辆预约管理系统</w:t>
            </w:r>
          </w:p>
          <w:p w14:paraId="03B17E50">
            <w:pPr>
              <w:ind w:firstLine="480"/>
            </w:pPr>
            <w:r>
              <w:rPr>
                <w:rFonts w:hint="eastAsia"/>
              </w:rPr>
              <w:t>车辆预约小程序，提供给司机使用，司机可使用移动设备（手机）远程预约、远程查看停车场车位情况、停车场其它信息发布情况等。司机可申请远程车辆文检请求、上传有关证件、查看文检过程信息等。</w:t>
            </w:r>
          </w:p>
          <w:p w14:paraId="0200B282">
            <w:pPr>
              <w:ind w:firstLine="480"/>
            </w:pPr>
            <w:r>
              <w:rPr>
                <w:rFonts w:hint="eastAsia"/>
              </w:rPr>
              <w:t>②车辆入场物检管理。车辆进入一道门后在待检区要经过车辆入场物检管理合格后才能进入停车场停车，车辆物检小程序，提供给停车场管理人员使用，停车场管理人员可使用移动设备（手机）对物检情况进行勾选与记录、检查完成后经过司机签字，远传给车辆出入场管理系统作为基础数据参与后续的智能管理。物检不合格的车辆不能进入二道门，直接从车场出口出场。</w:t>
            </w:r>
          </w:p>
          <w:p w14:paraId="2B209398">
            <w:pPr>
              <w:ind w:firstLine="480"/>
            </w:pPr>
            <w:r>
              <w:rPr>
                <w:rFonts w:hint="eastAsia"/>
              </w:rPr>
              <w:t>③车辆入场文检管理。车辆进入二道门后，将车辆停放在停车场划定的区域（进行分类分区管理），便可开始车辆文检工作，车辆文检管理可由司机远程申请，也可由停车场管理人员代为申请，申请提交后，由车场管理人员审核或由中控室管理人员审核。审核完成后提交给给车辆出入场管理系统作为基础数据参与后续的智能管理。</w:t>
            </w:r>
          </w:p>
          <w:p w14:paraId="13C84D77">
            <w:pPr>
              <w:ind w:firstLine="480"/>
            </w:pPr>
            <w:r>
              <w:rPr>
                <w:rFonts w:hint="eastAsia"/>
              </w:rPr>
              <w:t>④出场收费系统。出场收费系统分为两种收费，一道门收费管理、二道门收费管理，按照设定的规则进行收费。收费模式为二维码方式的微信及支付宝收费模式。其中一道门收费范围为在待检区停车超时的危化品车辆等。二道门收费管理针对停进停车场的车辆进行的收费。</w:t>
            </w:r>
          </w:p>
          <w:p w14:paraId="7A4F4159">
            <w:pPr>
              <w:ind w:firstLine="480"/>
            </w:pPr>
            <w:r>
              <w:rPr>
                <w:rFonts w:hint="eastAsia"/>
              </w:rPr>
              <w:t>⑤停车位及通道交通信号指示、车辆引导系统。现场设置停车引导牌及交通信号指示灯，停车引导牌为</w:t>
            </w:r>
            <w:r>
              <w:t>LED</w:t>
            </w:r>
            <w:r>
              <w:rPr>
                <w:rFonts w:hint="eastAsia"/>
              </w:rPr>
              <w:t>显示屏，显示路径及引导信息，交通信号指示为交通信号灯，这些信号直接引入到车辆出入场管理系统，当车辆进入待检区后引导车辆直接出场、或引导车辆进场停车到达划分好的分区，进行车辆定置管理。实现动态指示、动态引导提高车场管理水平。</w:t>
            </w:r>
          </w:p>
          <w:p w14:paraId="5BF8A8C8">
            <w:pPr>
              <w:ind w:firstLine="480"/>
            </w:pPr>
            <w:r>
              <w:rPr>
                <w:rFonts w:hint="eastAsia"/>
              </w:rPr>
              <w:t>⑥紧急疏散引导系统。紧急疏散引导系统由“停车位及通道交通信号指示、车辆引导系统”</w:t>
            </w:r>
            <w:r>
              <w:t>+</w:t>
            </w:r>
            <w:r>
              <w:rPr>
                <w:rFonts w:hint="eastAsia"/>
              </w:rPr>
              <w:t>语音系统组成，在紧急情况下提供语音提示及引导提示。该系统直接引入到车辆出入场管理系统中，紧急情况下发挥作用。</w:t>
            </w:r>
          </w:p>
          <w:p w14:paraId="24263DD0">
            <w:pPr>
              <w:ind w:firstLine="480"/>
            </w:pPr>
            <w:r>
              <w:rPr>
                <w:rFonts w:hint="eastAsia"/>
              </w:rPr>
              <w:t>（2）危险货物运输车辆重车停放设计</w:t>
            </w:r>
          </w:p>
          <w:p w14:paraId="1F8694B5">
            <w:pPr>
              <w:ind w:firstLine="480"/>
            </w:pPr>
            <w:r>
              <w:rPr>
                <w:rFonts w:hint="eastAsia"/>
              </w:rPr>
              <w:t>根据园区危险化学品实际情况，将危险货物运输车辆重车按照以下</w:t>
            </w:r>
            <w:r>
              <w:t>4</w:t>
            </w:r>
            <w:r>
              <w:rPr>
                <w:rFonts w:hint="eastAsia"/>
              </w:rPr>
              <w:t>个别类分别存放：</w:t>
            </w:r>
          </w:p>
          <w:p w14:paraId="3B02E11B">
            <w:pPr>
              <w:ind w:firstLine="480"/>
            </w:pPr>
            <w:r>
              <w:rPr>
                <w:rFonts w:hint="eastAsia"/>
              </w:rPr>
              <w:t>①易燃液体、易燃固体区（空车位</w:t>
            </w:r>
            <w:r>
              <w:t>14</w:t>
            </w:r>
            <w:r>
              <w:rPr>
                <w:rFonts w:hint="eastAsia"/>
              </w:rPr>
              <w:t>个、重车位</w:t>
            </w:r>
            <w:r>
              <w:t>2</w:t>
            </w:r>
            <w:r>
              <w:rPr>
                <w:rFonts w:hint="eastAsia"/>
              </w:rPr>
              <w:t>个）</w:t>
            </w:r>
          </w:p>
          <w:p w14:paraId="7D9DCAB2">
            <w:pPr>
              <w:ind w:firstLine="480"/>
            </w:pPr>
            <w:r>
              <w:rPr>
                <w:rFonts w:hint="eastAsia"/>
              </w:rPr>
              <w:t>②遇水放出易燃气体物质区（空车位</w:t>
            </w:r>
            <w:r>
              <w:t>14</w:t>
            </w:r>
            <w:r>
              <w:rPr>
                <w:rFonts w:hint="eastAsia"/>
              </w:rPr>
              <w:t>个、重车位</w:t>
            </w:r>
            <w:r>
              <w:t>2</w:t>
            </w:r>
            <w:r>
              <w:rPr>
                <w:rFonts w:hint="eastAsia"/>
              </w:rPr>
              <w:t>个）</w:t>
            </w:r>
          </w:p>
          <w:p w14:paraId="6EEB4504">
            <w:pPr>
              <w:ind w:firstLine="480"/>
            </w:pPr>
            <w:r>
              <w:rPr>
                <w:rFonts w:hint="eastAsia"/>
              </w:rPr>
              <w:t>③腐蚀性物质区（空车位</w:t>
            </w:r>
            <w:r>
              <w:t>28</w:t>
            </w:r>
            <w:r>
              <w:rPr>
                <w:rFonts w:hint="eastAsia"/>
              </w:rPr>
              <w:t>个、重车位</w:t>
            </w:r>
            <w:r>
              <w:t>4</w:t>
            </w:r>
            <w:r>
              <w:rPr>
                <w:rFonts w:hint="eastAsia"/>
              </w:rPr>
              <w:t>个）</w:t>
            </w:r>
          </w:p>
          <w:p w14:paraId="43E43294">
            <w:pPr>
              <w:ind w:firstLine="480"/>
            </w:pPr>
            <w:r>
              <w:rPr>
                <w:rFonts w:hint="eastAsia"/>
              </w:rPr>
              <w:t>④其他区域（一般危险物品）（空车位</w:t>
            </w:r>
            <w:r>
              <w:t>14</w:t>
            </w:r>
            <w:r>
              <w:rPr>
                <w:rFonts w:hint="eastAsia"/>
              </w:rPr>
              <w:t>个、重车位</w:t>
            </w:r>
            <w:r>
              <w:t>2</w:t>
            </w:r>
            <w:r>
              <w:rPr>
                <w:rFonts w:hint="eastAsia"/>
              </w:rPr>
              <w:t>个）</w:t>
            </w:r>
          </w:p>
          <w:p w14:paraId="5DAEE3D3">
            <w:pPr>
              <w:ind w:firstLine="480"/>
            </w:pPr>
            <w:r>
              <w:rPr>
                <w:rFonts w:hint="eastAsia"/>
              </w:rPr>
              <w:t>考虑到停车设施的通用性，所有槽罐车位按照投影面积</w:t>
            </w:r>
            <w:r>
              <w:t>18m</w:t>
            </w:r>
            <w:r>
              <w:rPr>
                <w:rFonts w:hint="eastAsia"/>
              </w:rPr>
              <w:t>×</w:t>
            </w:r>
            <w:r>
              <w:t>3.5m</w:t>
            </w:r>
            <w:r>
              <w:rPr>
                <w:rFonts w:hint="eastAsia"/>
              </w:rPr>
              <w:t>设计，铰接列车车位按照投影面积</w:t>
            </w:r>
            <w:r>
              <w:t>23m</w:t>
            </w:r>
            <w:r>
              <w:rPr>
                <w:rFonts w:hint="eastAsia"/>
              </w:rPr>
              <w:t>×</w:t>
            </w:r>
            <w:r>
              <w:t>3.5m</w:t>
            </w:r>
            <w:r>
              <w:rPr>
                <w:rFonts w:hint="eastAsia"/>
              </w:rPr>
              <w:t>设计。</w:t>
            </w:r>
          </w:p>
          <w:p w14:paraId="74E3C668">
            <w:pPr>
              <w:numPr>
                <w:ilvl w:val="0"/>
                <w:numId w:val="5"/>
              </w:numPr>
              <w:ind w:firstLine="480"/>
            </w:pPr>
            <w:r>
              <w:rPr>
                <w:rFonts w:hint="eastAsia"/>
              </w:rPr>
              <w:t>洗车与维修</w:t>
            </w:r>
          </w:p>
          <w:p w14:paraId="6C51226F">
            <w:pPr>
              <w:ind w:firstLine="480"/>
            </w:pPr>
            <w:r>
              <w:rPr>
                <w:rFonts w:hint="eastAsia"/>
              </w:rPr>
              <w:t>本项目只对有需要的车辆进行外部清洗，不清洗车（罐）内壁。对有需要的车辆进行简单维修，如更换机油、换轮胎等，不进行喷漆、焊接等活动。</w:t>
            </w:r>
          </w:p>
          <w:p w14:paraId="531EB980">
            <w:pPr>
              <w:pStyle w:val="3"/>
              <w:numPr>
                <w:ilvl w:val="0"/>
                <w:numId w:val="4"/>
              </w:numPr>
              <w:ind w:firstLine="480"/>
            </w:pPr>
            <w:bookmarkStart w:id="45" w:name="_Toc742"/>
            <w:bookmarkStart w:id="46" w:name="_Toc1883"/>
            <w:r>
              <w:rPr>
                <w:rFonts w:hint="eastAsia"/>
              </w:rPr>
              <w:t>主要构筑物设计参数</w:t>
            </w:r>
            <w:bookmarkEnd w:id="45"/>
            <w:bookmarkEnd w:id="46"/>
          </w:p>
          <w:p w14:paraId="5CB2A1B7">
            <w:pPr>
              <w:ind w:firstLine="480"/>
            </w:pPr>
            <w:r>
              <w:rPr>
                <w:rFonts w:hint="eastAsia"/>
              </w:rPr>
              <w:t>本项目为鄂托克经济开发区蒙西产业园危险化学品运输车辆专用停车场项目，建设内容为危险化学品车辆专用停车场以及辅助设施，项目主要构筑物包括综合管理用房、</w:t>
            </w:r>
            <w:r>
              <w:t>辅助用房</w:t>
            </w:r>
            <w:r>
              <w:rPr>
                <w:rFonts w:hint="eastAsia"/>
              </w:rPr>
              <w:t>、</w:t>
            </w:r>
            <w:r>
              <w:t>维修车间</w:t>
            </w:r>
            <w:r>
              <w:rPr>
                <w:rFonts w:hint="eastAsia"/>
              </w:rPr>
              <w:t>、洗车车间、门卫、消防泵房、危废暂存间等，具体设计参数如下：</w:t>
            </w:r>
          </w:p>
          <w:p w14:paraId="4585B9C1">
            <w:pPr>
              <w:pStyle w:val="21"/>
              <w:spacing w:before="120"/>
              <w:rPr>
                <w:rFonts w:hint="default"/>
              </w:rPr>
            </w:pPr>
            <w:bookmarkStart w:id="47" w:name="_Toc12944"/>
            <w:bookmarkStart w:id="48" w:name="_Toc24624"/>
            <w:r>
              <w:t>表2-5  主要构筑物设计参数一览表</w:t>
            </w:r>
            <w:bookmarkEnd w:id="47"/>
            <w:bookmarkEnd w:id="48"/>
          </w:p>
          <w:tbl>
            <w:tblPr>
              <w:tblStyle w:val="15"/>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73"/>
              <w:gridCol w:w="1110"/>
              <w:gridCol w:w="607"/>
              <w:gridCol w:w="1046"/>
              <w:gridCol w:w="707"/>
              <w:gridCol w:w="1029"/>
              <w:gridCol w:w="937"/>
              <w:gridCol w:w="1140"/>
              <w:gridCol w:w="1224"/>
            </w:tblGrid>
            <w:tr w14:paraId="1C619B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42" w:type="pct"/>
                  <w:tcBorders>
                    <w:tl2br w:val="nil"/>
                    <w:tr2bl w:val="nil"/>
                  </w:tcBorders>
                  <w:shd w:val="clear" w:color="auto" w:fill="auto"/>
                  <w:vAlign w:val="center"/>
                </w:tcPr>
                <w:p w14:paraId="69944075">
                  <w:pPr>
                    <w:pStyle w:val="19"/>
                    <w:spacing w:before="120" w:after="120"/>
                  </w:pPr>
                  <w:r>
                    <w:t>序号</w:t>
                  </w:r>
                </w:p>
              </w:tc>
              <w:tc>
                <w:tcPr>
                  <w:tcW w:w="662" w:type="pct"/>
                  <w:tcBorders>
                    <w:tl2br w:val="nil"/>
                    <w:tr2bl w:val="nil"/>
                  </w:tcBorders>
                  <w:shd w:val="clear" w:color="auto" w:fill="auto"/>
                  <w:vAlign w:val="center"/>
                </w:tcPr>
                <w:p w14:paraId="5418EF4C">
                  <w:pPr>
                    <w:pStyle w:val="19"/>
                    <w:spacing w:before="120" w:after="120"/>
                  </w:pPr>
                  <w:r>
                    <w:t>名称</w:t>
                  </w:r>
                </w:p>
              </w:tc>
              <w:tc>
                <w:tcPr>
                  <w:tcW w:w="362" w:type="pct"/>
                  <w:tcBorders>
                    <w:tl2br w:val="nil"/>
                    <w:tr2bl w:val="nil"/>
                  </w:tcBorders>
                  <w:shd w:val="clear" w:color="auto" w:fill="auto"/>
                  <w:vAlign w:val="center"/>
                </w:tcPr>
                <w:p w14:paraId="0DB4F46A">
                  <w:pPr>
                    <w:pStyle w:val="19"/>
                    <w:spacing w:before="120" w:after="120"/>
                  </w:pPr>
                  <w:r>
                    <w:t>数量</w:t>
                  </w:r>
                </w:p>
              </w:tc>
              <w:tc>
                <w:tcPr>
                  <w:tcW w:w="624" w:type="pct"/>
                  <w:tcBorders>
                    <w:tl2br w:val="nil"/>
                    <w:tr2bl w:val="nil"/>
                  </w:tcBorders>
                  <w:shd w:val="clear" w:color="auto" w:fill="auto"/>
                  <w:vAlign w:val="center"/>
                </w:tcPr>
                <w:p w14:paraId="69C9606B">
                  <w:pPr>
                    <w:pStyle w:val="19"/>
                    <w:spacing w:before="120" w:after="120"/>
                  </w:pPr>
                  <w:r>
                    <w:t>火灾危险性</w:t>
                  </w:r>
                </w:p>
              </w:tc>
              <w:tc>
                <w:tcPr>
                  <w:tcW w:w="422" w:type="pct"/>
                  <w:tcBorders>
                    <w:tl2br w:val="nil"/>
                    <w:tr2bl w:val="nil"/>
                  </w:tcBorders>
                  <w:shd w:val="clear" w:color="auto" w:fill="auto"/>
                  <w:vAlign w:val="center"/>
                </w:tcPr>
                <w:p w14:paraId="45578493">
                  <w:pPr>
                    <w:pStyle w:val="19"/>
                    <w:spacing w:before="120" w:after="120"/>
                  </w:pPr>
                  <w:r>
                    <w:t>层数</w:t>
                  </w:r>
                </w:p>
              </w:tc>
              <w:tc>
                <w:tcPr>
                  <w:tcW w:w="614" w:type="pct"/>
                  <w:tcBorders>
                    <w:tl2br w:val="nil"/>
                    <w:tr2bl w:val="nil"/>
                  </w:tcBorders>
                  <w:shd w:val="clear" w:color="auto" w:fill="auto"/>
                  <w:vAlign w:val="center"/>
                </w:tcPr>
                <w:p w14:paraId="38F9672B">
                  <w:pPr>
                    <w:pStyle w:val="19"/>
                    <w:spacing w:before="120" w:after="120"/>
                  </w:pPr>
                  <w:r>
                    <w:t>建筑高度</w:t>
                  </w:r>
                  <w:r>
                    <w:rPr>
                      <w:rFonts w:hint="eastAsia"/>
                    </w:rPr>
                    <w:t>（</w:t>
                  </w:r>
                  <w:r>
                    <w:t>m</w:t>
                  </w:r>
                  <w:r>
                    <w:rPr>
                      <w:rFonts w:hint="eastAsia"/>
                    </w:rPr>
                    <w:t>）</w:t>
                  </w:r>
                </w:p>
              </w:tc>
              <w:tc>
                <w:tcPr>
                  <w:tcW w:w="559" w:type="pct"/>
                  <w:tcBorders>
                    <w:tl2br w:val="nil"/>
                    <w:tr2bl w:val="nil"/>
                  </w:tcBorders>
                  <w:shd w:val="clear" w:color="auto" w:fill="auto"/>
                  <w:vAlign w:val="center"/>
                </w:tcPr>
                <w:p w14:paraId="5CDBFF97">
                  <w:pPr>
                    <w:pStyle w:val="19"/>
                    <w:spacing w:before="120" w:after="120"/>
                  </w:pPr>
                  <w:r>
                    <w:t>建筑面积</w:t>
                  </w:r>
                  <w:r>
                    <w:rPr>
                      <w:rFonts w:hint="eastAsia"/>
                    </w:rPr>
                    <w:t>（</w:t>
                  </w:r>
                  <w:r>
                    <w:t>m</w:t>
                  </w:r>
                  <w:r>
                    <w:rPr>
                      <w:vertAlign w:val="superscript"/>
                    </w:rPr>
                    <w:t>2</w:t>
                  </w:r>
                  <w:r>
                    <w:rPr>
                      <w:rFonts w:hint="eastAsia"/>
                    </w:rPr>
                    <w:t>）</w:t>
                  </w:r>
                </w:p>
              </w:tc>
              <w:tc>
                <w:tcPr>
                  <w:tcW w:w="680" w:type="pct"/>
                  <w:tcBorders>
                    <w:tl2br w:val="nil"/>
                    <w:tr2bl w:val="nil"/>
                  </w:tcBorders>
                  <w:shd w:val="clear" w:color="auto" w:fill="auto"/>
                  <w:vAlign w:val="center"/>
                </w:tcPr>
                <w:p w14:paraId="55B4E1B4">
                  <w:pPr>
                    <w:pStyle w:val="19"/>
                    <w:spacing w:before="120" w:after="120"/>
                  </w:pPr>
                  <w:r>
                    <w:t>结构形式</w:t>
                  </w:r>
                </w:p>
              </w:tc>
              <w:tc>
                <w:tcPr>
                  <w:tcW w:w="730" w:type="pct"/>
                  <w:tcBorders>
                    <w:tl2br w:val="nil"/>
                    <w:tr2bl w:val="nil"/>
                  </w:tcBorders>
                  <w:shd w:val="clear" w:color="auto" w:fill="auto"/>
                  <w:vAlign w:val="center"/>
                </w:tcPr>
                <w:p w14:paraId="5B74DE4C">
                  <w:pPr>
                    <w:pStyle w:val="19"/>
                    <w:spacing w:before="120" w:after="120"/>
                  </w:pPr>
                  <w:r>
                    <w:t>长</w:t>
                  </w:r>
                  <w:r>
                    <w:rPr>
                      <w:rFonts w:hint="eastAsia"/>
                    </w:rPr>
                    <w:t>×</w:t>
                  </w:r>
                  <w:r>
                    <w:t>宽</w:t>
                  </w:r>
                </w:p>
              </w:tc>
            </w:tr>
            <w:tr w14:paraId="297CC1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42" w:type="pct"/>
                  <w:tcBorders>
                    <w:tl2br w:val="nil"/>
                    <w:tr2bl w:val="nil"/>
                  </w:tcBorders>
                  <w:shd w:val="clear" w:color="auto" w:fill="auto"/>
                  <w:vAlign w:val="center"/>
                </w:tcPr>
                <w:p w14:paraId="6233CCCC">
                  <w:pPr>
                    <w:pStyle w:val="19"/>
                    <w:spacing w:before="120" w:after="120"/>
                  </w:pPr>
                  <w:r>
                    <w:t>1</w:t>
                  </w:r>
                </w:p>
              </w:tc>
              <w:tc>
                <w:tcPr>
                  <w:tcW w:w="662" w:type="pct"/>
                  <w:tcBorders>
                    <w:tl2br w:val="nil"/>
                    <w:tr2bl w:val="nil"/>
                  </w:tcBorders>
                  <w:shd w:val="clear" w:color="auto" w:fill="auto"/>
                  <w:vAlign w:val="center"/>
                </w:tcPr>
                <w:p w14:paraId="74F5FF3D">
                  <w:pPr>
                    <w:pStyle w:val="19"/>
                    <w:spacing w:before="120" w:after="120"/>
                  </w:pPr>
                  <w:r>
                    <w:t>辅助用房</w:t>
                  </w:r>
                </w:p>
              </w:tc>
              <w:tc>
                <w:tcPr>
                  <w:tcW w:w="362" w:type="pct"/>
                  <w:tcBorders>
                    <w:tl2br w:val="nil"/>
                    <w:tr2bl w:val="nil"/>
                  </w:tcBorders>
                  <w:shd w:val="clear" w:color="auto" w:fill="auto"/>
                  <w:vAlign w:val="center"/>
                </w:tcPr>
                <w:p w14:paraId="332B2E9B">
                  <w:pPr>
                    <w:pStyle w:val="19"/>
                    <w:spacing w:before="120" w:after="120"/>
                  </w:pPr>
                  <w:r>
                    <w:t>1</w:t>
                  </w:r>
                </w:p>
              </w:tc>
              <w:tc>
                <w:tcPr>
                  <w:tcW w:w="624" w:type="pct"/>
                  <w:tcBorders>
                    <w:tl2br w:val="nil"/>
                    <w:tr2bl w:val="nil"/>
                  </w:tcBorders>
                  <w:shd w:val="clear" w:color="auto" w:fill="auto"/>
                  <w:vAlign w:val="center"/>
                </w:tcPr>
                <w:p w14:paraId="597CB1B4">
                  <w:pPr>
                    <w:pStyle w:val="19"/>
                    <w:spacing w:before="120" w:after="120"/>
                  </w:pPr>
                  <w:r>
                    <w:t>民用</w:t>
                  </w:r>
                </w:p>
              </w:tc>
              <w:tc>
                <w:tcPr>
                  <w:tcW w:w="422" w:type="pct"/>
                  <w:tcBorders>
                    <w:tl2br w:val="nil"/>
                    <w:tr2bl w:val="nil"/>
                  </w:tcBorders>
                  <w:shd w:val="clear" w:color="auto" w:fill="auto"/>
                  <w:vAlign w:val="center"/>
                </w:tcPr>
                <w:p w14:paraId="221ED3E4">
                  <w:pPr>
                    <w:pStyle w:val="19"/>
                    <w:spacing w:before="120" w:after="120"/>
                  </w:pPr>
                  <w:r>
                    <w:t>1</w:t>
                  </w:r>
                </w:p>
              </w:tc>
              <w:tc>
                <w:tcPr>
                  <w:tcW w:w="614" w:type="pct"/>
                  <w:tcBorders>
                    <w:tl2br w:val="nil"/>
                    <w:tr2bl w:val="nil"/>
                  </w:tcBorders>
                  <w:shd w:val="clear" w:color="auto" w:fill="auto"/>
                  <w:vAlign w:val="center"/>
                </w:tcPr>
                <w:p w14:paraId="344546C4">
                  <w:pPr>
                    <w:pStyle w:val="19"/>
                    <w:spacing w:before="120" w:after="120"/>
                  </w:pPr>
                  <w:r>
                    <w:t>4.5</w:t>
                  </w:r>
                </w:p>
              </w:tc>
              <w:tc>
                <w:tcPr>
                  <w:tcW w:w="559" w:type="pct"/>
                  <w:tcBorders>
                    <w:tl2br w:val="nil"/>
                    <w:tr2bl w:val="nil"/>
                  </w:tcBorders>
                  <w:shd w:val="clear" w:color="auto" w:fill="auto"/>
                  <w:vAlign w:val="center"/>
                </w:tcPr>
                <w:p w14:paraId="561595F5">
                  <w:pPr>
                    <w:pStyle w:val="19"/>
                    <w:spacing w:before="120" w:after="120"/>
                  </w:pPr>
                  <w:r>
                    <w:t>851.76</w:t>
                  </w:r>
                </w:p>
              </w:tc>
              <w:tc>
                <w:tcPr>
                  <w:tcW w:w="680" w:type="pct"/>
                  <w:tcBorders>
                    <w:tl2br w:val="nil"/>
                    <w:tr2bl w:val="nil"/>
                  </w:tcBorders>
                  <w:shd w:val="clear" w:color="auto" w:fill="auto"/>
                  <w:vAlign w:val="center"/>
                </w:tcPr>
                <w:p w14:paraId="7A039E70">
                  <w:pPr>
                    <w:pStyle w:val="19"/>
                    <w:spacing w:before="120" w:after="120"/>
                  </w:pPr>
                  <w:r>
                    <w:t>框架结构</w:t>
                  </w:r>
                </w:p>
              </w:tc>
              <w:tc>
                <w:tcPr>
                  <w:tcW w:w="730" w:type="pct"/>
                  <w:tcBorders>
                    <w:tl2br w:val="nil"/>
                    <w:tr2bl w:val="nil"/>
                  </w:tcBorders>
                  <w:shd w:val="clear" w:color="auto" w:fill="auto"/>
                  <w:vAlign w:val="center"/>
                </w:tcPr>
                <w:p w14:paraId="1A9800A3">
                  <w:pPr>
                    <w:pStyle w:val="19"/>
                    <w:spacing w:before="120" w:after="120"/>
                  </w:pPr>
                  <w:r>
                    <w:t>54</w:t>
                  </w:r>
                  <w:r>
                    <w:rPr>
                      <w:rFonts w:hint="eastAsia"/>
                    </w:rPr>
                    <w:t>×</w:t>
                  </w:r>
                  <w:r>
                    <w:t>15</w:t>
                  </w:r>
                </w:p>
              </w:tc>
            </w:tr>
            <w:tr w14:paraId="7AF5AB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42" w:type="pct"/>
                  <w:tcBorders>
                    <w:tl2br w:val="nil"/>
                    <w:tr2bl w:val="nil"/>
                  </w:tcBorders>
                  <w:shd w:val="clear" w:color="auto" w:fill="auto"/>
                  <w:vAlign w:val="center"/>
                </w:tcPr>
                <w:p w14:paraId="3BBF184F">
                  <w:pPr>
                    <w:pStyle w:val="19"/>
                    <w:spacing w:before="120" w:after="120"/>
                  </w:pPr>
                  <w:r>
                    <w:t>2</w:t>
                  </w:r>
                </w:p>
              </w:tc>
              <w:tc>
                <w:tcPr>
                  <w:tcW w:w="662" w:type="pct"/>
                  <w:tcBorders>
                    <w:tl2br w:val="nil"/>
                    <w:tr2bl w:val="nil"/>
                  </w:tcBorders>
                  <w:shd w:val="clear" w:color="auto" w:fill="auto"/>
                  <w:vAlign w:val="center"/>
                </w:tcPr>
                <w:p w14:paraId="216E2699">
                  <w:pPr>
                    <w:pStyle w:val="19"/>
                    <w:spacing w:before="120" w:after="120"/>
                  </w:pPr>
                  <w:r>
                    <w:t>管理用房</w:t>
                  </w:r>
                </w:p>
              </w:tc>
              <w:tc>
                <w:tcPr>
                  <w:tcW w:w="362" w:type="pct"/>
                  <w:tcBorders>
                    <w:tl2br w:val="nil"/>
                    <w:tr2bl w:val="nil"/>
                  </w:tcBorders>
                  <w:shd w:val="clear" w:color="auto" w:fill="auto"/>
                  <w:vAlign w:val="center"/>
                </w:tcPr>
                <w:p w14:paraId="0C0BE3BA">
                  <w:pPr>
                    <w:pStyle w:val="19"/>
                    <w:spacing w:before="120" w:after="120"/>
                  </w:pPr>
                  <w:r>
                    <w:t>1</w:t>
                  </w:r>
                </w:p>
              </w:tc>
              <w:tc>
                <w:tcPr>
                  <w:tcW w:w="624" w:type="pct"/>
                  <w:tcBorders>
                    <w:tl2br w:val="nil"/>
                    <w:tr2bl w:val="nil"/>
                  </w:tcBorders>
                  <w:shd w:val="clear" w:color="auto" w:fill="auto"/>
                  <w:vAlign w:val="center"/>
                </w:tcPr>
                <w:p w14:paraId="19859873">
                  <w:pPr>
                    <w:pStyle w:val="19"/>
                    <w:spacing w:before="120" w:after="120"/>
                  </w:pPr>
                  <w:r>
                    <w:t>民用</w:t>
                  </w:r>
                </w:p>
              </w:tc>
              <w:tc>
                <w:tcPr>
                  <w:tcW w:w="422" w:type="pct"/>
                  <w:tcBorders>
                    <w:tl2br w:val="nil"/>
                    <w:tr2bl w:val="nil"/>
                  </w:tcBorders>
                  <w:shd w:val="clear" w:color="auto" w:fill="auto"/>
                  <w:vAlign w:val="center"/>
                </w:tcPr>
                <w:p w14:paraId="558C27CF">
                  <w:pPr>
                    <w:pStyle w:val="19"/>
                    <w:spacing w:before="120" w:after="120"/>
                  </w:pPr>
                  <w:r>
                    <w:t>1</w:t>
                  </w:r>
                </w:p>
              </w:tc>
              <w:tc>
                <w:tcPr>
                  <w:tcW w:w="614" w:type="pct"/>
                  <w:tcBorders>
                    <w:tl2br w:val="nil"/>
                    <w:tr2bl w:val="nil"/>
                  </w:tcBorders>
                  <w:shd w:val="clear" w:color="auto" w:fill="auto"/>
                  <w:vAlign w:val="center"/>
                </w:tcPr>
                <w:p w14:paraId="01AFC8B5">
                  <w:pPr>
                    <w:pStyle w:val="19"/>
                    <w:spacing w:before="120" w:after="120"/>
                  </w:pPr>
                  <w:r>
                    <w:t>4.5</w:t>
                  </w:r>
                </w:p>
              </w:tc>
              <w:tc>
                <w:tcPr>
                  <w:tcW w:w="559" w:type="pct"/>
                  <w:tcBorders>
                    <w:tl2br w:val="nil"/>
                    <w:tr2bl w:val="nil"/>
                  </w:tcBorders>
                  <w:shd w:val="clear" w:color="auto" w:fill="auto"/>
                  <w:vAlign w:val="center"/>
                </w:tcPr>
                <w:p w14:paraId="5BF875FC">
                  <w:pPr>
                    <w:pStyle w:val="19"/>
                    <w:spacing w:before="120" w:after="120"/>
                  </w:pPr>
                  <w:r>
                    <w:t>315</w:t>
                  </w:r>
                </w:p>
              </w:tc>
              <w:tc>
                <w:tcPr>
                  <w:tcW w:w="680" w:type="pct"/>
                  <w:tcBorders>
                    <w:tl2br w:val="nil"/>
                    <w:tr2bl w:val="nil"/>
                  </w:tcBorders>
                  <w:shd w:val="clear" w:color="auto" w:fill="auto"/>
                  <w:vAlign w:val="center"/>
                </w:tcPr>
                <w:p w14:paraId="2B3CC452">
                  <w:pPr>
                    <w:pStyle w:val="19"/>
                    <w:spacing w:before="120" w:after="120"/>
                  </w:pPr>
                  <w:r>
                    <w:t>框架结构</w:t>
                  </w:r>
                </w:p>
              </w:tc>
              <w:tc>
                <w:tcPr>
                  <w:tcW w:w="730" w:type="pct"/>
                  <w:tcBorders>
                    <w:tl2br w:val="nil"/>
                    <w:tr2bl w:val="nil"/>
                  </w:tcBorders>
                  <w:shd w:val="clear" w:color="auto" w:fill="auto"/>
                  <w:vAlign w:val="center"/>
                </w:tcPr>
                <w:p w14:paraId="3015D7AB">
                  <w:pPr>
                    <w:pStyle w:val="19"/>
                    <w:spacing w:before="120" w:after="120"/>
                  </w:pPr>
                  <w:r>
                    <w:t>19.9</w:t>
                  </w:r>
                  <w:r>
                    <w:rPr>
                      <w:rFonts w:hint="eastAsia"/>
                    </w:rPr>
                    <w:t>×</w:t>
                  </w:r>
                  <w:r>
                    <w:t>15.4</w:t>
                  </w:r>
                </w:p>
              </w:tc>
            </w:tr>
            <w:tr w14:paraId="1CAFB0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42" w:type="pct"/>
                  <w:tcBorders>
                    <w:tl2br w:val="nil"/>
                    <w:tr2bl w:val="nil"/>
                  </w:tcBorders>
                  <w:shd w:val="clear" w:color="auto" w:fill="auto"/>
                  <w:vAlign w:val="center"/>
                </w:tcPr>
                <w:p w14:paraId="380E18D2">
                  <w:pPr>
                    <w:pStyle w:val="19"/>
                    <w:spacing w:before="120" w:after="120"/>
                  </w:pPr>
                  <w:r>
                    <w:t>3</w:t>
                  </w:r>
                </w:p>
              </w:tc>
              <w:tc>
                <w:tcPr>
                  <w:tcW w:w="662" w:type="pct"/>
                  <w:tcBorders>
                    <w:tl2br w:val="nil"/>
                    <w:tr2bl w:val="nil"/>
                  </w:tcBorders>
                  <w:shd w:val="clear" w:color="auto" w:fill="auto"/>
                  <w:vAlign w:val="center"/>
                </w:tcPr>
                <w:p w14:paraId="3D6D0FCA">
                  <w:pPr>
                    <w:pStyle w:val="19"/>
                    <w:spacing w:before="120" w:after="120"/>
                  </w:pPr>
                  <w:r>
                    <w:t>维修车间</w:t>
                  </w:r>
                </w:p>
              </w:tc>
              <w:tc>
                <w:tcPr>
                  <w:tcW w:w="362" w:type="pct"/>
                  <w:tcBorders>
                    <w:tl2br w:val="nil"/>
                    <w:tr2bl w:val="nil"/>
                  </w:tcBorders>
                  <w:shd w:val="clear" w:color="auto" w:fill="auto"/>
                  <w:vAlign w:val="center"/>
                </w:tcPr>
                <w:p w14:paraId="0D12D62E">
                  <w:pPr>
                    <w:pStyle w:val="19"/>
                    <w:spacing w:before="120" w:after="120"/>
                  </w:pPr>
                  <w:r>
                    <w:t>1</w:t>
                  </w:r>
                </w:p>
              </w:tc>
              <w:tc>
                <w:tcPr>
                  <w:tcW w:w="624" w:type="pct"/>
                  <w:tcBorders>
                    <w:tl2br w:val="nil"/>
                    <w:tr2bl w:val="nil"/>
                  </w:tcBorders>
                  <w:shd w:val="clear" w:color="auto" w:fill="auto"/>
                  <w:vAlign w:val="center"/>
                </w:tcPr>
                <w:p w14:paraId="1E01117C">
                  <w:pPr>
                    <w:pStyle w:val="19"/>
                    <w:spacing w:before="120" w:after="120"/>
                  </w:pPr>
                  <w:r>
                    <w:t>丁类</w:t>
                  </w:r>
                </w:p>
              </w:tc>
              <w:tc>
                <w:tcPr>
                  <w:tcW w:w="422" w:type="pct"/>
                  <w:tcBorders>
                    <w:tl2br w:val="nil"/>
                    <w:tr2bl w:val="nil"/>
                  </w:tcBorders>
                  <w:shd w:val="clear" w:color="auto" w:fill="auto"/>
                  <w:vAlign w:val="center"/>
                </w:tcPr>
                <w:p w14:paraId="5CE884CD">
                  <w:pPr>
                    <w:pStyle w:val="19"/>
                    <w:spacing w:before="120" w:after="120"/>
                  </w:pPr>
                  <w:r>
                    <w:t>1</w:t>
                  </w:r>
                </w:p>
              </w:tc>
              <w:tc>
                <w:tcPr>
                  <w:tcW w:w="614" w:type="pct"/>
                  <w:tcBorders>
                    <w:tl2br w:val="nil"/>
                    <w:tr2bl w:val="nil"/>
                  </w:tcBorders>
                  <w:shd w:val="clear" w:color="auto" w:fill="auto"/>
                  <w:vAlign w:val="center"/>
                </w:tcPr>
                <w:p w14:paraId="63D4D338">
                  <w:pPr>
                    <w:pStyle w:val="19"/>
                    <w:spacing w:before="120" w:after="120"/>
                  </w:pPr>
                  <w:r>
                    <w:t>5.7</w:t>
                  </w:r>
                </w:p>
              </w:tc>
              <w:tc>
                <w:tcPr>
                  <w:tcW w:w="559" w:type="pct"/>
                  <w:tcBorders>
                    <w:tl2br w:val="nil"/>
                    <w:tr2bl w:val="nil"/>
                  </w:tcBorders>
                  <w:shd w:val="clear" w:color="auto" w:fill="auto"/>
                  <w:vAlign w:val="center"/>
                </w:tcPr>
                <w:p w14:paraId="1E0ADA9F">
                  <w:pPr>
                    <w:pStyle w:val="19"/>
                    <w:spacing w:before="120" w:after="120"/>
                  </w:pPr>
                  <w:r>
                    <w:t>256.25</w:t>
                  </w:r>
                </w:p>
              </w:tc>
              <w:tc>
                <w:tcPr>
                  <w:tcW w:w="680" w:type="pct"/>
                  <w:tcBorders>
                    <w:tl2br w:val="nil"/>
                    <w:tr2bl w:val="nil"/>
                  </w:tcBorders>
                  <w:shd w:val="clear" w:color="auto" w:fill="auto"/>
                  <w:vAlign w:val="center"/>
                </w:tcPr>
                <w:p w14:paraId="05DCE1CE">
                  <w:pPr>
                    <w:pStyle w:val="19"/>
                    <w:spacing w:before="120" w:after="120"/>
                  </w:pPr>
                  <w:r>
                    <w:t>框架结构</w:t>
                  </w:r>
                </w:p>
              </w:tc>
              <w:tc>
                <w:tcPr>
                  <w:tcW w:w="730" w:type="pct"/>
                  <w:tcBorders>
                    <w:tl2br w:val="nil"/>
                    <w:tr2bl w:val="nil"/>
                  </w:tcBorders>
                  <w:shd w:val="clear" w:color="auto" w:fill="auto"/>
                  <w:vAlign w:val="center"/>
                </w:tcPr>
                <w:p w14:paraId="0E44092E">
                  <w:pPr>
                    <w:pStyle w:val="19"/>
                    <w:spacing w:before="120" w:after="120"/>
                  </w:pPr>
                  <w:r>
                    <w:t>20.5</w:t>
                  </w:r>
                  <w:r>
                    <w:rPr>
                      <w:rFonts w:hint="eastAsia"/>
                    </w:rPr>
                    <w:t>×</w:t>
                  </w:r>
                  <w:r>
                    <w:t>12.5</w:t>
                  </w:r>
                </w:p>
              </w:tc>
            </w:tr>
            <w:tr w14:paraId="2BE822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42" w:type="pct"/>
                  <w:tcBorders>
                    <w:tl2br w:val="nil"/>
                    <w:tr2bl w:val="nil"/>
                  </w:tcBorders>
                  <w:shd w:val="clear" w:color="auto" w:fill="auto"/>
                  <w:vAlign w:val="center"/>
                </w:tcPr>
                <w:p w14:paraId="253B8E71">
                  <w:pPr>
                    <w:pStyle w:val="19"/>
                    <w:spacing w:before="120" w:after="120"/>
                  </w:pPr>
                  <w:r>
                    <w:t>4</w:t>
                  </w:r>
                </w:p>
              </w:tc>
              <w:tc>
                <w:tcPr>
                  <w:tcW w:w="662" w:type="pct"/>
                  <w:tcBorders>
                    <w:tl2br w:val="nil"/>
                    <w:tr2bl w:val="nil"/>
                  </w:tcBorders>
                  <w:shd w:val="clear" w:color="auto" w:fill="auto"/>
                  <w:vAlign w:val="center"/>
                </w:tcPr>
                <w:p w14:paraId="5DEEB460">
                  <w:pPr>
                    <w:pStyle w:val="19"/>
                    <w:spacing w:before="120" w:after="120"/>
                  </w:pPr>
                  <w:r>
                    <w:t>洗车车间</w:t>
                  </w:r>
                </w:p>
              </w:tc>
              <w:tc>
                <w:tcPr>
                  <w:tcW w:w="362" w:type="pct"/>
                  <w:tcBorders>
                    <w:tl2br w:val="nil"/>
                    <w:tr2bl w:val="nil"/>
                  </w:tcBorders>
                  <w:shd w:val="clear" w:color="auto" w:fill="auto"/>
                  <w:vAlign w:val="center"/>
                </w:tcPr>
                <w:p w14:paraId="0767FE09">
                  <w:pPr>
                    <w:pStyle w:val="19"/>
                    <w:spacing w:before="120" w:after="120"/>
                  </w:pPr>
                  <w:r>
                    <w:t>1</w:t>
                  </w:r>
                </w:p>
              </w:tc>
              <w:tc>
                <w:tcPr>
                  <w:tcW w:w="624" w:type="pct"/>
                  <w:tcBorders>
                    <w:tl2br w:val="nil"/>
                    <w:tr2bl w:val="nil"/>
                  </w:tcBorders>
                  <w:shd w:val="clear" w:color="auto" w:fill="auto"/>
                  <w:vAlign w:val="center"/>
                </w:tcPr>
                <w:p w14:paraId="2599946C">
                  <w:pPr>
                    <w:pStyle w:val="19"/>
                    <w:spacing w:before="120" w:after="120"/>
                  </w:pPr>
                  <w:r>
                    <w:t>丁类</w:t>
                  </w:r>
                </w:p>
              </w:tc>
              <w:tc>
                <w:tcPr>
                  <w:tcW w:w="422" w:type="pct"/>
                  <w:tcBorders>
                    <w:tl2br w:val="nil"/>
                    <w:tr2bl w:val="nil"/>
                  </w:tcBorders>
                  <w:shd w:val="clear" w:color="auto" w:fill="auto"/>
                  <w:vAlign w:val="center"/>
                </w:tcPr>
                <w:p w14:paraId="65835F0A">
                  <w:pPr>
                    <w:pStyle w:val="19"/>
                    <w:spacing w:before="120" w:after="120"/>
                  </w:pPr>
                  <w:r>
                    <w:t>1</w:t>
                  </w:r>
                </w:p>
              </w:tc>
              <w:tc>
                <w:tcPr>
                  <w:tcW w:w="614" w:type="pct"/>
                  <w:tcBorders>
                    <w:tl2br w:val="nil"/>
                    <w:tr2bl w:val="nil"/>
                  </w:tcBorders>
                  <w:shd w:val="clear" w:color="auto" w:fill="auto"/>
                  <w:vAlign w:val="center"/>
                </w:tcPr>
                <w:p w14:paraId="6CD25932">
                  <w:pPr>
                    <w:pStyle w:val="19"/>
                    <w:spacing w:before="120" w:after="120"/>
                  </w:pPr>
                  <w:r>
                    <w:t>5.7</w:t>
                  </w:r>
                </w:p>
              </w:tc>
              <w:tc>
                <w:tcPr>
                  <w:tcW w:w="559" w:type="pct"/>
                  <w:tcBorders>
                    <w:tl2br w:val="nil"/>
                    <w:tr2bl w:val="nil"/>
                  </w:tcBorders>
                  <w:shd w:val="clear" w:color="auto" w:fill="auto"/>
                  <w:vAlign w:val="center"/>
                </w:tcPr>
                <w:p w14:paraId="5104B67D">
                  <w:pPr>
                    <w:pStyle w:val="19"/>
                    <w:spacing w:before="120" w:after="120"/>
                  </w:pPr>
                  <w:r>
                    <w:t>256.25</w:t>
                  </w:r>
                </w:p>
              </w:tc>
              <w:tc>
                <w:tcPr>
                  <w:tcW w:w="680" w:type="pct"/>
                  <w:tcBorders>
                    <w:tl2br w:val="nil"/>
                    <w:tr2bl w:val="nil"/>
                  </w:tcBorders>
                  <w:shd w:val="clear" w:color="auto" w:fill="auto"/>
                  <w:vAlign w:val="center"/>
                </w:tcPr>
                <w:p w14:paraId="612F6F4A">
                  <w:pPr>
                    <w:pStyle w:val="19"/>
                    <w:spacing w:before="120" w:after="120"/>
                  </w:pPr>
                  <w:r>
                    <w:t>框架结构</w:t>
                  </w:r>
                </w:p>
              </w:tc>
              <w:tc>
                <w:tcPr>
                  <w:tcW w:w="730" w:type="pct"/>
                  <w:tcBorders>
                    <w:tl2br w:val="nil"/>
                    <w:tr2bl w:val="nil"/>
                  </w:tcBorders>
                  <w:shd w:val="clear" w:color="auto" w:fill="auto"/>
                  <w:vAlign w:val="center"/>
                </w:tcPr>
                <w:p w14:paraId="6034805F">
                  <w:pPr>
                    <w:pStyle w:val="19"/>
                    <w:spacing w:before="120" w:after="120"/>
                  </w:pPr>
                  <w:r>
                    <w:t>20.5</w:t>
                  </w:r>
                  <w:r>
                    <w:rPr>
                      <w:rFonts w:hint="eastAsia"/>
                    </w:rPr>
                    <w:t>×</w:t>
                  </w:r>
                  <w:r>
                    <w:t>12.5</w:t>
                  </w:r>
                </w:p>
              </w:tc>
            </w:tr>
            <w:tr w14:paraId="1C29E8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42" w:type="pct"/>
                  <w:tcBorders>
                    <w:tl2br w:val="nil"/>
                    <w:tr2bl w:val="nil"/>
                  </w:tcBorders>
                  <w:shd w:val="clear" w:color="auto" w:fill="auto"/>
                  <w:vAlign w:val="center"/>
                </w:tcPr>
                <w:p w14:paraId="100FA59C">
                  <w:pPr>
                    <w:pStyle w:val="19"/>
                    <w:spacing w:before="120" w:after="120"/>
                  </w:pPr>
                  <w:r>
                    <w:t>5</w:t>
                  </w:r>
                </w:p>
              </w:tc>
              <w:tc>
                <w:tcPr>
                  <w:tcW w:w="662" w:type="pct"/>
                  <w:tcBorders>
                    <w:tl2br w:val="nil"/>
                    <w:tr2bl w:val="nil"/>
                  </w:tcBorders>
                  <w:shd w:val="clear" w:color="auto" w:fill="auto"/>
                  <w:vAlign w:val="center"/>
                </w:tcPr>
                <w:p w14:paraId="53BD0ACD">
                  <w:pPr>
                    <w:pStyle w:val="19"/>
                    <w:spacing w:before="120" w:after="120"/>
                  </w:pPr>
                  <w:r>
                    <w:t>门卫</w:t>
                  </w:r>
                </w:p>
              </w:tc>
              <w:tc>
                <w:tcPr>
                  <w:tcW w:w="362" w:type="pct"/>
                  <w:tcBorders>
                    <w:tl2br w:val="nil"/>
                    <w:tr2bl w:val="nil"/>
                  </w:tcBorders>
                  <w:shd w:val="clear" w:color="auto" w:fill="auto"/>
                  <w:vAlign w:val="center"/>
                </w:tcPr>
                <w:p w14:paraId="0F358EAD">
                  <w:pPr>
                    <w:pStyle w:val="19"/>
                    <w:spacing w:before="120" w:after="120"/>
                  </w:pPr>
                  <w:r>
                    <w:t>1</w:t>
                  </w:r>
                </w:p>
              </w:tc>
              <w:tc>
                <w:tcPr>
                  <w:tcW w:w="624" w:type="pct"/>
                  <w:tcBorders>
                    <w:tl2br w:val="nil"/>
                    <w:tr2bl w:val="nil"/>
                  </w:tcBorders>
                  <w:shd w:val="clear" w:color="auto" w:fill="auto"/>
                  <w:vAlign w:val="center"/>
                </w:tcPr>
                <w:p w14:paraId="4ED7E7DE">
                  <w:pPr>
                    <w:pStyle w:val="19"/>
                    <w:spacing w:before="120" w:after="120"/>
                  </w:pPr>
                  <w:r>
                    <w:t>民用</w:t>
                  </w:r>
                </w:p>
              </w:tc>
              <w:tc>
                <w:tcPr>
                  <w:tcW w:w="422" w:type="pct"/>
                  <w:tcBorders>
                    <w:tl2br w:val="nil"/>
                    <w:tr2bl w:val="nil"/>
                  </w:tcBorders>
                  <w:shd w:val="clear" w:color="auto" w:fill="auto"/>
                  <w:vAlign w:val="center"/>
                </w:tcPr>
                <w:p w14:paraId="2678CB9D">
                  <w:pPr>
                    <w:pStyle w:val="19"/>
                    <w:spacing w:before="120" w:after="120"/>
                  </w:pPr>
                  <w:r>
                    <w:t>1</w:t>
                  </w:r>
                </w:p>
              </w:tc>
              <w:tc>
                <w:tcPr>
                  <w:tcW w:w="614" w:type="pct"/>
                  <w:tcBorders>
                    <w:tl2br w:val="nil"/>
                    <w:tr2bl w:val="nil"/>
                  </w:tcBorders>
                  <w:shd w:val="clear" w:color="auto" w:fill="auto"/>
                  <w:vAlign w:val="center"/>
                </w:tcPr>
                <w:p w14:paraId="46FEE0CB">
                  <w:pPr>
                    <w:pStyle w:val="19"/>
                    <w:spacing w:before="120" w:after="120"/>
                  </w:pPr>
                  <w:r>
                    <w:t>3.6</w:t>
                  </w:r>
                </w:p>
              </w:tc>
              <w:tc>
                <w:tcPr>
                  <w:tcW w:w="559" w:type="pct"/>
                  <w:tcBorders>
                    <w:tl2br w:val="nil"/>
                    <w:tr2bl w:val="nil"/>
                  </w:tcBorders>
                  <w:shd w:val="clear" w:color="auto" w:fill="auto"/>
                  <w:vAlign w:val="center"/>
                </w:tcPr>
                <w:p w14:paraId="1530C280">
                  <w:pPr>
                    <w:pStyle w:val="19"/>
                    <w:spacing w:before="120" w:after="120"/>
                  </w:pPr>
                  <w:r>
                    <w:t>37.4</w:t>
                  </w:r>
                </w:p>
              </w:tc>
              <w:tc>
                <w:tcPr>
                  <w:tcW w:w="680" w:type="pct"/>
                  <w:tcBorders>
                    <w:tl2br w:val="nil"/>
                    <w:tr2bl w:val="nil"/>
                  </w:tcBorders>
                  <w:shd w:val="clear" w:color="auto" w:fill="auto"/>
                  <w:vAlign w:val="center"/>
                </w:tcPr>
                <w:p w14:paraId="373AB812">
                  <w:pPr>
                    <w:pStyle w:val="19"/>
                    <w:spacing w:before="120" w:after="120"/>
                  </w:pPr>
                  <w:r>
                    <w:t>框架结构</w:t>
                  </w:r>
                </w:p>
              </w:tc>
              <w:tc>
                <w:tcPr>
                  <w:tcW w:w="730" w:type="pct"/>
                  <w:tcBorders>
                    <w:tl2br w:val="nil"/>
                    <w:tr2bl w:val="nil"/>
                  </w:tcBorders>
                  <w:shd w:val="clear" w:color="auto" w:fill="auto"/>
                  <w:vAlign w:val="center"/>
                </w:tcPr>
                <w:p w14:paraId="62E8326D">
                  <w:pPr>
                    <w:pStyle w:val="19"/>
                    <w:spacing w:before="120" w:after="120"/>
                  </w:pPr>
                  <w:r>
                    <w:t>8.3</w:t>
                  </w:r>
                  <w:r>
                    <w:rPr>
                      <w:rFonts w:hint="eastAsia"/>
                    </w:rPr>
                    <w:t>×</w:t>
                  </w:r>
                  <w:r>
                    <w:t>4.2</w:t>
                  </w:r>
                </w:p>
              </w:tc>
            </w:tr>
            <w:tr w14:paraId="5803FE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3" w:hRule="atLeast"/>
              </w:trPr>
              <w:tc>
                <w:tcPr>
                  <w:tcW w:w="342" w:type="pct"/>
                  <w:tcBorders>
                    <w:tl2br w:val="nil"/>
                    <w:tr2bl w:val="nil"/>
                  </w:tcBorders>
                  <w:shd w:val="clear" w:color="auto" w:fill="auto"/>
                  <w:vAlign w:val="center"/>
                </w:tcPr>
                <w:p w14:paraId="1154113E">
                  <w:pPr>
                    <w:pStyle w:val="19"/>
                    <w:spacing w:before="120" w:after="120"/>
                  </w:pPr>
                  <w:r>
                    <w:rPr>
                      <w:rFonts w:hint="eastAsia"/>
                    </w:rPr>
                    <w:t>6</w:t>
                  </w:r>
                </w:p>
              </w:tc>
              <w:tc>
                <w:tcPr>
                  <w:tcW w:w="662" w:type="pct"/>
                  <w:tcBorders>
                    <w:tl2br w:val="nil"/>
                    <w:tr2bl w:val="nil"/>
                  </w:tcBorders>
                  <w:shd w:val="clear" w:color="auto" w:fill="auto"/>
                  <w:vAlign w:val="center"/>
                </w:tcPr>
                <w:p w14:paraId="33165701">
                  <w:pPr>
                    <w:pStyle w:val="19"/>
                    <w:spacing w:before="120" w:after="120"/>
                  </w:pPr>
                  <w:r>
                    <w:t>消防泵房</w:t>
                  </w:r>
                </w:p>
              </w:tc>
              <w:tc>
                <w:tcPr>
                  <w:tcW w:w="362" w:type="pct"/>
                  <w:tcBorders>
                    <w:tl2br w:val="nil"/>
                    <w:tr2bl w:val="nil"/>
                  </w:tcBorders>
                  <w:shd w:val="clear" w:color="auto" w:fill="auto"/>
                  <w:vAlign w:val="center"/>
                </w:tcPr>
                <w:p w14:paraId="6FA988F9">
                  <w:pPr>
                    <w:pStyle w:val="19"/>
                    <w:spacing w:before="120" w:after="120"/>
                  </w:pPr>
                  <w:r>
                    <w:t>1</w:t>
                  </w:r>
                </w:p>
              </w:tc>
              <w:tc>
                <w:tcPr>
                  <w:tcW w:w="624" w:type="pct"/>
                  <w:tcBorders>
                    <w:tl2br w:val="nil"/>
                    <w:tr2bl w:val="nil"/>
                  </w:tcBorders>
                  <w:shd w:val="clear" w:color="auto" w:fill="auto"/>
                  <w:vAlign w:val="center"/>
                </w:tcPr>
                <w:p w14:paraId="69BB5EC5">
                  <w:pPr>
                    <w:pStyle w:val="19"/>
                    <w:spacing w:before="120" w:after="120"/>
                  </w:pPr>
                  <w:r>
                    <w:t>丙类</w:t>
                  </w:r>
                </w:p>
              </w:tc>
              <w:tc>
                <w:tcPr>
                  <w:tcW w:w="422" w:type="pct"/>
                  <w:tcBorders>
                    <w:tl2br w:val="nil"/>
                    <w:tr2bl w:val="nil"/>
                  </w:tcBorders>
                  <w:shd w:val="clear" w:color="auto" w:fill="auto"/>
                  <w:vAlign w:val="center"/>
                </w:tcPr>
                <w:p w14:paraId="34F4FA7B">
                  <w:pPr>
                    <w:pStyle w:val="19"/>
                    <w:spacing w:before="120" w:after="120"/>
                  </w:pPr>
                  <w:r>
                    <w:t>2</w:t>
                  </w:r>
                </w:p>
              </w:tc>
              <w:tc>
                <w:tcPr>
                  <w:tcW w:w="614" w:type="pct"/>
                  <w:tcBorders>
                    <w:tl2br w:val="nil"/>
                    <w:tr2bl w:val="nil"/>
                  </w:tcBorders>
                  <w:shd w:val="clear" w:color="auto" w:fill="auto"/>
                  <w:vAlign w:val="center"/>
                </w:tcPr>
                <w:p w14:paraId="2E487A46">
                  <w:pPr>
                    <w:pStyle w:val="19"/>
                    <w:spacing w:before="120" w:after="120"/>
                  </w:pPr>
                  <w:r>
                    <w:t>地上4.2</w:t>
                  </w:r>
                  <w:r>
                    <w:br w:type="textWrapping"/>
                  </w:r>
                  <w:r>
                    <w:t>地下5.3</w:t>
                  </w:r>
                </w:p>
              </w:tc>
              <w:tc>
                <w:tcPr>
                  <w:tcW w:w="559" w:type="pct"/>
                  <w:tcBorders>
                    <w:tl2br w:val="nil"/>
                    <w:tr2bl w:val="nil"/>
                  </w:tcBorders>
                  <w:shd w:val="clear" w:color="auto" w:fill="auto"/>
                  <w:vAlign w:val="center"/>
                </w:tcPr>
                <w:p w14:paraId="5EC12255">
                  <w:pPr>
                    <w:pStyle w:val="19"/>
                    <w:spacing w:before="120" w:after="120"/>
                  </w:pPr>
                  <w:r>
                    <w:t>272.64</w:t>
                  </w:r>
                </w:p>
              </w:tc>
              <w:tc>
                <w:tcPr>
                  <w:tcW w:w="680" w:type="pct"/>
                  <w:tcBorders>
                    <w:tl2br w:val="nil"/>
                    <w:tr2bl w:val="nil"/>
                  </w:tcBorders>
                  <w:shd w:val="clear" w:color="auto" w:fill="auto"/>
                  <w:vAlign w:val="center"/>
                </w:tcPr>
                <w:p w14:paraId="39973259">
                  <w:pPr>
                    <w:pStyle w:val="19"/>
                    <w:spacing w:before="120" w:after="120"/>
                  </w:pPr>
                  <w:r>
                    <w:t>框架结构</w:t>
                  </w:r>
                </w:p>
              </w:tc>
              <w:tc>
                <w:tcPr>
                  <w:tcW w:w="730" w:type="pct"/>
                  <w:tcBorders>
                    <w:tl2br w:val="nil"/>
                    <w:tr2bl w:val="nil"/>
                  </w:tcBorders>
                  <w:shd w:val="clear" w:color="auto" w:fill="auto"/>
                  <w:vAlign w:val="center"/>
                </w:tcPr>
                <w:p w14:paraId="389267BA">
                  <w:pPr>
                    <w:pStyle w:val="19"/>
                    <w:spacing w:before="120" w:after="120"/>
                  </w:pPr>
                  <w:r>
                    <w:t>14</w:t>
                  </w:r>
                  <w:r>
                    <w:rPr>
                      <w:rFonts w:hint="eastAsia"/>
                    </w:rPr>
                    <w:t>×</w:t>
                  </w:r>
                  <w:r>
                    <w:t>8.7</w:t>
                  </w:r>
                </w:p>
              </w:tc>
            </w:tr>
            <w:tr w14:paraId="3C3D42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342" w:type="pct"/>
                  <w:tcBorders>
                    <w:tl2br w:val="nil"/>
                    <w:tr2bl w:val="nil"/>
                  </w:tcBorders>
                  <w:shd w:val="clear" w:color="auto" w:fill="auto"/>
                  <w:vAlign w:val="center"/>
                </w:tcPr>
                <w:p w14:paraId="60984349">
                  <w:pPr>
                    <w:pStyle w:val="19"/>
                    <w:spacing w:before="120" w:after="120"/>
                  </w:pPr>
                  <w:r>
                    <w:rPr>
                      <w:rFonts w:hint="eastAsia"/>
                    </w:rPr>
                    <w:t>7</w:t>
                  </w:r>
                </w:p>
              </w:tc>
              <w:tc>
                <w:tcPr>
                  <w:tcW w:w="662" w:type="pct"/>
                  <w:tcBorders>
                    <w:tl2br w:val="nil"/>
                    <w:tr2bl w:val="nil"/>
                  </w:tcBorders>
                  <w:shd w:val="clear" w:color="auto" w:fill="auto"/>
                  <w:vAlign w:val="center"/>
                </w:tcPr>
                <w:p w14:paraId="6DB278E6">
                  <w:pPr>
                    <w:pStyle w:val="19"/>
                    <w:spacing w:before="120" w:after="120"/>
                  </w:pPr>
                  <w:r>
                    <w:rPr>
                      <w:rFonts w:hint="eastAsia"/>
                    </w:rPr>
                    <w:t>危废</w:t>
                  </w:r>
                  <w:r>
                    <w:t>仓库</w:t>
                  </w:r>
                </w:p>
              </w:tc>
              <w:tc>
                <w:tcPr>
                  <w:tcW w:w="362" w:type="pct"/>
                  <w:tcBorders>
                    <w:tl2br w:val="nil"/>
                    <w:tr2bl w:val="nil"/>
                  </w:tcBorders>
                  <w:shd w:val="clear" w:color="auto" w:fill="auto"/>
                  <w:vAlign w:val="center"/>
                </w:tcPr>
                <w:p w14:paraId="02033829">
                  <w:pPr>
                    <w:pStyle w:val="19"/>
                    <w:spacing w:before="120" w:after="120"/>
                  </w:pPr>
                  <w:r>
                    <w:t>1</w:t>
                  </w:r>
                </w:p>
              </w:tc>
              <w:tc>
                <w:tcPr>
                  <w:tcW w:w="624" w:type="pct"/>
                  <w:tcBorders>
                    <w:tl2br w:val="nil"/>
                    <w:tr2bl w:val="nil"/>
                  </w:tcBorders>
                  <w:shd w:val="clear" w:color="auto" w:fill="auto"/>
                  <w:vAlign w:val="center"/>
                </w:tcPr>
                <w:p w14:paraId="5D107E48">
                  <w:pPr>
                    <w:pStyle w:val="19"/>
                    <w:spacing w:before="120" w:after="120"/>
                  </w:pPr>
                  <w:r>
                    <w:t>丙类</w:t>
                  </w:r>
                </w:p>
              </w:tc>
              <w:tc>
                <w:tcPr>
                  <w:tcW w:w="422" w:type="pct"/>
                  <w:tcBorders>
                    <w:tl2br w:val="nil"/>
                    <w:tr2bl w:val="nil"/>
                  </w:tcBorders>
                  <w:shd w:val="clear" w:color="auto" w:fill="auto"/>
                  <w:vAlign w:val="center"/>
                </w:tcPr>
                <w:p w14:paraId="30D5370D">
                  <w:pPr>
                    <w:pStyle w:val="19"/>
                    <w:spacing w:before="120" w:after="120"/>
                  </w:pPr>
                  <w:r>
                    <w:t>1</w:t>
                  </w:r>
                </w:p>
              </w:tc>
              <w:tc>
                <w:tcPr>
                  <w:tcW w:w="614" w:type="pct"/>
                  <w:tcBorders>
                    <w:tl2br w:val="nil"/>
                    <w:tr2bl w:val="nil"/>
                  </w:tcBorders>
                  <w:shd w:val="clear" w:color="auto" w:fill="auto"/>
                  <w:vAlign w:val="center"/>
                </w:tcPr>
                <w:p w14:paraId="1B76F9D1">
                  <w:pPr>
                    <w:pStyle w:val="19"/>
                    <w:spacing w:before="120" w:after="120"/>
                  </w:pPr>
                  <w:r>
                    <w:t>6.5</w:t>
                  </w:r>
                </w:p>
              </w:tc>
              <w:tc>
                <w:tcPr>
                  <w:tcW w:w="559" w:type="pct"/>
                  <w:tcBorders>
                    <w:tl2br w:val="nil"/>
                    <w:tr2bl w:val="nil"/>
                  </w:tcBorders>
                  <w:shd w:val="clear" w:color="auto" w:fill="auto"/>
                  <w:vAlign w:val="center"/>
                </w:tcPr>
                <w:p w14:paraId="5EA85924">
                  <w:pPr>
                    <w:pStyle w:val="19"/>
                    <w:spacing w:before="120" w:after="120"/>
                  </w:pPr>
                  <w:r>
                    <w:t>41</w:t>
                  </w:r>
                </w:p>
              </w:tc>
              <w:tc>
                <w:tcPr>
                  <w:tcW w:w="680" w:type="pct"/>
                  <w:tcBorders>
                    <w:tl2br w:val="nil"/>
                    <w:tr2bl w:val="nil"/>
                  </w:tcBorders>
                  <w:shd w:val="clear" w:color="auto" w:fill="auto"/>
                  <w:vAlign w:val="center"/>
                </w:tcPr>
                <w:p w14:paraId="39895557">
                  <w:pPr>
                    <w:pStyle w:val="19"/>
                    <w:spacing w:before="120" w:after="120"/>
                  </w:pPr>
                  <w:r>
                    <w:t>框架结构</w:t>
                  </w:r>
                </w:p>
              </w:tc>
              <w:tc>
                <w:tcPr>
                  <w:tcW w:w="730" w:type="pct"/>
                  <w:tcBorders>
                    <w:tl2br w:val="nil"/>
                    <w:tr2bl w:val="nil"/>
                  </w:tcBorders>
                  <w:shd w:val="clear" w:color="auto" w:fill="auto"/>
                  <w:vAlign w:val="center"/>
                </w:tcPr>
                <w:p w14:paraId="1493FD90">
                  <w:pPr>
                    <w:pStyle w:val="19"/>
                    <w:spacing w:before="120" w:after="120"/>
                  </w:pPr>
                  <w:r>
                    <w:t>6</w:t>
                  </w:r>
                  <w:r>
                    <w:rPr>
                      <w:rFonts w:hint="eastAsia"/>
                    </w:rPr>
                    <w:t>×</w:t>
                  </w:r>
                  <w:r>
                    <w:t>6</w:t>
                  </w:r>
                </w:p>
              </w:tc>
            </w:tr>
          </w:tbl>
          <w:p w14:paraId="233D556B">
            <w:pPr>
              <w:pStyle w:val="3"/>
              <w:numPr>
                <w:ilvl w:val="0"/>
                <w:numId w:val="4"/>
              </w:numPr>
              <w:ind w:firstLine="480"/>
            </w:pPr>
            <w:bookmarkStart w:id="49" w:name="_Toc6481"/>
            <w:bookmarkStart w:id="50" w:name="_Toc2327"/>
            <w:r>
              <w:rPr>
                <w:rFonts w:hint="eastAsia"/>
              </w:rPr>
              <w:t>主要经济技术指标</w:t>
            </w:r>
            <w:bookmarkEnd w:id="49"/>
            <w:bookmarkEnd w:id="50"/>
          </w:p>
          <w:p w14:paraId="0B505215">
            <w:pPr>
              <w:ind w:firstLine="480"/>
            </w:pPr>
            <w:r>
              <w:rPr>
                <w:rFonts w:hint="eastAsia"/>
              </w:rPr>
              <w:t>本项目为鄂托克经济开发区蒙西产业园危险化学品运输车辆专用停车场项目，建设内容为危险化学品车辆专用停车场以及辅助设施，项目主要经济技术指标如下表所示：</w:t>
            </w:r>
          </w:p>
          <w:p w14:paraId="48F82767">
            <w:pPr>
              <w:pStyle w:val="21"/>
              <w:spacing w:before="120"/>
              <w:rPr>
                <w:rFonts w:hint="default"/>
              </w:rPr>
            </w:pPr>
            <w:bookmarkStart w:id="51" w:name="_Toc10466"/>
            <w:bookmarkStart w:id="52" w:name="_Toc24326"/>
            <w:r>
              <w:t>表2-6  主要经济技术指标一览表</w:t>
            </w:r>
            <w:bookmarkEnd w:id="51"/>
            <w:bookmarkEnd w:id="52"/>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6"/>
              <w:gridCol w:w="3105"/>
              <w:gridCol w:w="1480"/>
              <w:gridCol w:w="1203"/>
              <w:gridCol w:w="1754"/>
            </w:tblGrid>
            <w:tr w14:paraId="2A13D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vAlign w:val="center"/>
                </w:tcPr>
                <w:p w14:paraId="5C9A733C">
                  <w:pPr>
                    <w:pStyle w:val="19"/>
                    <w:spacing w:before="120" w:after="120"/>
                  </w:pPr>
                  <w:r>
                    <w:rPr>
                      <w:rFonts w:hint="eastAsia"/>
                    </w:rPr>
                    <w:t>序号</w:t>
                  </w:r>
                </w:p>
              </w:tc>
              <w:tc>
                <w:tcPr>
                  <w:tcW w:w="3105" w:type="dxa"/>
                  <w:vAlign w:val="center"/>
                </w:tcPr>
                <w:p w14:paraId="51FE82BA">
                  <w:pPr>
                    <w:pStyle w:val="19"/>
                    <w:spacing w:before="120" w:after="120"/>
                  </w:pPr>
                  <w:r>
                    <w:rPr>
                      <w:rFonts w:hint="eastAsia"/>
                    </w:rPr>
                    <w:t>项目</w:t>
                  </w:r>
                </w:p>
              </w:tc>
              <w:tc>
                <w:tcPr>
                  <w:tcW w:w="1480" w:type="dxa"/>
                  <w:vAlign w:val="center"/>
                </w:tcPr>
                <w:p w14:paraId="0B59E844">
                  <w:pPr>
                    <w:pStyle w:val="19"/>
                    <w:spacing w:before="120" w:after="120"/>
                  </w:pPr>
                  <w:r>
                    <w:rPr>
                      <w:rFonts w:hint="eastAsia"/>
                    </w:rPr>
                    <w:t>单位</w:t>
                  </w:r>
                </w:p>
              </w:tc>
              <w:tc>
                <w:tcPr>
                  <w:tcW w:w="1203" w:type="dxa"/>
                  <w:vAlign w:val="center"/>
                </w:tcPr>
                <w:p w14:paraId="308A12F6">
                  <w:pPr>
                    <w:pStyle w:val="19"/>
                    <w:spacing w:before="120" w:after="120"/>
                  </w:pPr>
                  <w:r>
                    <w:rPr>
                      <w:rFonts w:hint="eastAsia"/>
                    </w:rPr>
                    <w:t>数量</w:t>
                  </w:r>
                </w:p>
              </w:tc>
              <w:tc>
                <w:tcPr>
                  <w:tcW w:w="1754" w:type="dxa"/>
                  <w:vAlign w:val="center"/>
                </w:tcPr>
                <w:p w14:paraId="169B2705">
                  <w:pPr>
                    <w:pStyle w:val="19"/>
                    <w:spacing w:before="120" w:after="120"/>
                  </w:pPr>
                  <w:r>
                    <w:rPr>
                      <w:rFonts w:hint="eastAsia"/>
                    </w:rPr>
                    <w:t>备注</w:t>
                  </w:r>
                </w:p>
              </w:tc>
            </w:tr>
            <w:tr w14:paraId="6F76E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378" w:type="dxa"/>
                  <w:gridSpan w:val="5"/>
                  <w:vAlign w:val="center"/>
                </w:tcPr>
                <w:p w14:paraId="69869E6C">
                  <w:pPr>
                    <w:pStyle w:val="19"/>
                    <w:spacing w:before="120" w:after="120"/>
                  </w:pPr>
                  <w:r>
                    <w:rPr>
                      <w:rFonts w:hint="eastAsia"/>
                    </w:rPr>
                    <w:t>建设内容</w:t>
                  </w:r>
                </w:p>
              </w:tc>
            </w:tr>
            <w:tr w14:paraId="2B2F4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vAlign w:val="center"/>
                </w:tcPr>
                <w:p w14:paraId="5FA7D965">
                  <w:pPr>
                    <w:pStyle w:val="19"/>
                    <w:spacing w:before="120" w:after="120"/>
                  </w:pPr>
                  <w:r>
                    <w:rPr>
                      <w:rFonts w:hint="eastAsia"/>
                    </w:rPr>
                    <w:t>1</w:t>
                  </w:r>
                </w:p>
              </w:tc>
              <w:tc>
                <w:tcPr>
                  <w:tcW w:w="3105" w:type="dxa"/>
                  <w:vAlign w:val="center"/>
                </w:tcPr>
                <w:p w14:paraId="21C3B9F6">
                  <w:pPr>
                    <w:pStyle w:val="19"/>
                    <w:spacing w:before="120" w:after="120"/>
                  </w:pPr>
                  <w:r>
                    <w:rPr>
                      <w:rFonts w:hint="eastAsia"/>
                    </w:rPr>
                    <w:t>危化车辆停车区</w:t>
                  </w:r>
                </w:p>
              </w:tc>
              <w:tc>
                <w:tcPr>
                  <w:tcW w:w="1480" w:type="dxa"/>
                  <w:vAlign w:val="center"/>
                </w:tcPr>
                <w:p w14:paraId="65CC5054">
                  <w:pPr>
                    <w:pStyle w:val="19"/>
                    <w:spacing w:before="120" w:after="120"/>
                  </w:pPr>
                  <w:r>
                    <w:rPr>
                      <w:rFonts w:hint="eastAsia"/>
                    </w:rPr>
                    <w:t>m</w:t>
                  </w:r>
                  <w:r>
                    <w:rPr>
                      <w:rFonts w:hint="eastAsia"/>
                      <w:vertAlign w:val="superscript"/>
                    </w:rPr>
                    <w:t>2</w:t>
                  </w:r>
                </w:p>
              </w:tc>
              <w:tc>
                <w:tcPr>
                  <w:tcW w:w="1203" w:type="dxa"/>
                  <w:vAlign w:val="center"/>
                </w:tcPr>
                <w:p w14:paraId="6E614FB3">
                  <w:pPr>
                    <w:pStyle w:val="19"/>
                    <w:spacing w:before="120" w:after="120"/>
                  </w:pPr>
                  <w:r>
                    <w:rPr>
                      <w:rFonts w:hint="eastAsia"/>
                    </w:rPr>
                    <w:t>7848.03</w:t>
                  </w:r>
                </w:p>
              </w:tc>
              <w:tc>
                <w:tcPr>
                  <w:tcW w:w="1754" w:type="dxa"/>
                  <w:vAlign w:val="center"/>
                </w:tcPr>
                <w:p w14:paraId="0DEFF6FC">
                  <w:pPr>
                    <w:pStyle w:val="19"/>
                    <w:spacing w:before="120" w:after="120"/>
                  </w:pPr>
                  <w:r>
                    <w:rPr>
                      <w:rFonts w:hint="eastAsia"/>
                    </w:rPr>
                    <w:t>占地面积</w:t>
                  </w:r>
                </w:p>
              </w:tc>
            </w:tr>
            <w:tr w14:paraId="34FDD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vAlign w:val="center"/>
                </w:tcPr>
                <w:p w14:paraId="076D65DB">
                  <w:pPr>
                    <w:pStyle w:val="19"/>
                    <w:spacing w:before="120" w:after="120"/>
                  </w:pPr>
                  <w:r>
                    <w:rPr>
                      <w:rFonts w:hint="eastAsia"/>
                    </w:rPr>
                    <w:t>2</w:t>
                  </w:r>
                </w:p>
              </w:tc>
              <w:tc>
                <w:tcPr>
                  <w:tcW w:w="3105" w:type="dxa"/>
                  <w:vAlign w:val="center"/>
                </w:tcPr>
                <w:p w14:paraId="6E9CF3CB">
                  <w:pPr>
                    <w:pStyle w:val="19"/>
                    <w:spacing w:before="120" w:after="120"/>
                  </w:pPr>
                  <w:r>
                    <w:rPr>
                      <w:rFonts w:hint="eastAsia"/>
                    </w:rPr>
                    <w:t>候检区</w:t>
                  </w:r>
                </w:p>
              </w:tc>
              <w:tc>
                <w:tcPr>
                  <w:tcW w:w="1480" w:type="dxa"/>
                  <w:vAlign w:val="center"/>
                </w:tcPr>
                <w:p w14:paraId="416F157E">
                  <w:pPr>
                    <w:pStyle w:val="19"/>
                    <w:spacing w:before="120" w:after="120"/>
                  </w:pPr>
                  <w:r>
                    <w:rPr>
                      <w:rFonts w:hint="eastAsia"/>
                    </w:rPr>
                    <w:t>m</w:t>
                  </w:r>
                  <w:r>
                    <w:rPr>
                      <w:rFonts w:hint="eastAsia"/>
                      <w:vertAlign w:val="superscript"/>
                    </w:rPr>
                    <w:t>2</w:t>
                  </w:r>
                </w:p>
              </w:tc>
              <w:tc>
                <w:tcPr>
                  <w:tcW w:w="1203" w:type="dxa"/>
                  <w:vAlign w:val="center"/>
                </w:tcPr>
                <w:p w14:paraId="379B900A">
                  <w:pPr>
                    <w:pStyle w:val="19"/>
                    <w:spacing w:before="120" w:after="120"/>
                  </w:pPr>
                  <w:r>
                    <w:rPr>
                      <w:rFonts w:hint="eastAsia"/>
                    </w:rPr>
                    <w:t>924</w:t>
                  </w:r>
                </w:p>
              </w:tc>
              <w:tc>
                <w:tcPr>
                  <w:tcW w:w="1754" w:type="dxa"/>
                  <w:vAlign w:val="center"/>
                </w:tcPr>
                <w:p w14:paraId="5CB862B4">
                  <w:pPr>
                    <w:pStyle w:val="19"/>
                    <w:spacing w:before="120" w:after="120"/>
                  </w:pPr>
                  <w:r>
                    <w:rPr>
                      <w:rFonts w:hint="eastAsia"/>
                    </w:rPr>
                    <w:t>占地面积</w:t>
                  </w:r>
                </w:p>
              </w:tc>
            </w:tr>
            <w:tr w14:paraId="7CB1F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vAlign w:val="center"/>
                </w:tcPr>
                <w:p w14:paraId="60700662">
                  <w:pPr>
                    <w:pStyle w:val="19"/>
                    <w:spacing w:before="120" w:after="120"/>
                  </w:pPr>
                  <w:r>
                    <w:rPr>
                      <w:rFonts w:hint="eastAsia"/>
                    </w:rPr>
                    <w:t>3</w:t>
                  </w:r>
                </w:p>
              </w:tc>
              <w:tc>
                <w:tcPr>
                  <w:tcW w:w="3105" w:type="dxa"/>
                  <w:vAlign w:val="center"/>
                </w:tcPr>
                <w:p w14:paraId="23A0797A">
                  <w:pPr>
                    <w:pStyle w:val="19"/>
                    <w:spacing w:before="120" w:after="120"/>
                  </w:pPr>
                  <w:r>
                    <w:rPr>
                      <w:rFonts w:hint="eastAsia"/>
                    </w:rPr>
                    <w:t>辅助用房</w:t>
                  </w:r>
                </w:p>
              </w:tc>
              <w:tc>
                <w:tcPr>
                  <w:tcW w:w="1480" w:type="dxa"/>
                  <w:vAlign w:val="center"/>
                </w:tcPr>
                <w:p w14:paraId="021DA53A">
                  <w:pPr>
                    <w:pStyle w:val="19"/>
                    <w:spacing w:before="120" w:after="120"/>
                  </w:pPr>
                  <w:r>
                    <w:rPr>
                      <w:rFonts w:hint="eastAsia"/>
                    </w:rPr>
                    <w:t>m</w:t>
                  </w:r>
                  <w:r>
                    <w:rPr>
                      <w:rFonts w:hint="eastAsia"/>
                      <w:vertAlign w:val="superscript"/>
                    </w:rPr>
                    <w:t>2</w:t>
                  </w:r>
                </w:p>
              </w:tc>
              <w:tc>
                <w:tcPr>
                  <w:tcW w:w="1203" w:type="dxa"/>
                  <w:vAlign w:val="center"/>
                </w:tcPr>
                <w:p w14:paraId="5B6FB41F">
                  <w:pPr>
                    <w:pStyle w:val="19"/>
                    <w:spacing w:before="120" w:after="120"/>
                  </w:pPr>
                  <w:r>
                    <w:rPr>
                      <w:rFonts w:hint="eastAsia"/>
                    </w:rPr>
                    <w:t>972</w:t>
                  </w:r>
                </w:p>
              </w:tc>
              <w:tc>
                <w:tcPr>
                  <w:tcW w:w="1754" w:type="dxa"/>
                  <w:vAlign w:val="center"/>
                </w:tcPr>
                <w:p w14:paraId="7731E83A">
                  <w:pPr>
                    <w:pStyle w:val="19"/>
                    <w:spacing w:before="120" w:after="120"/>
                  </w:pPr>
                  <w:r>
                    <w:rPr>
                      <w:rFonts w:hint="eastAsia"/>
                    </w:rPr>
                    <w:t>建筑面积</w:t>
                  </w:r>
                </w:p>
              </w:tc>
            </w:tr>
            <w:tr w14:paraId="316A2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36" w:type="dxa"/>
                  <w:vAlign w:val="center"/>
                </w:tcPr>
                <w:p w14:paraId="62754EFC">
                  <w:pPr>
                    <w:pStyle w:val="19"/>
                    <w:spacing w:before="120" w:after="120"/>
                  </w:pPr>
                  <w:r>
                    <w:rPr>
                      <w:rFonts w:hint="eastAsia"/>
                    </w:rPr>
                    <w:t>4</w:t>
                  </w:r>
                </w:p>
              </w:tc>
              <w:tc>
                <w:tcPr>
                  <w:tcW w:w="3105" w:type="dxa"/>
                  <w:vAlign w:val="center"/>
                </w:tcPr>
                <w:p w14:paraId="0CD947B7">
                  <w:pPr>
                    <w:pStyle w:val="19"/>
                    <w:spacing w:before="120" w:after="120"/>
                  </w:pPr>
                  <w:r>
                    <w:rPr>
                      <w:rFonts w:hint="eastAsia"/>
                    </w:rPr>
                    <w:t>管理用房</w:t>
                  </w:r>
                </w:p>
              </w:tc>
              <w:tc>
                <w:tcPr>
                  <w:tcW w:w="1480" w:type="dxa"/>
                  <w:vAlign w:val="center"/>
                </w:tcPr>
                <w:p w14:paraId="7628ABE8">
                  <w:pPr>
                    <w:pStyle w:val="19"/>
                    <w:spacing w:before="120" w:after="120"/>
                  </w:pPr>
                  <w:r>
                    <w:rPr>
                      <w:rFonts w:hint="eastAsia"/>
                    </w:rPr>
                    <w:t>m</w:t>
                  </w:r>
                  <w:r>
                    <w:rPr>
                      <w:rFonts w:hint="eastAsia"/>
                      <w:vertAlign w:val="superscript"/>
                    </w:rPr>
                    <w:t>2</w:t>
                  </w:r>
                </w:p>
              </w:tc>
              <w:tc>
                <w:tcPr>
                  <w:tcW w:w="1203" w:type="dxa"/>
                  <w:vAlign w:val="center"/>
                </w:tcPr>
                <w:p w14:paraId="4B724D46">
                  <w:pPr>
                    <w:pStyle w:val="19"/>
                    <w:spacing w:before="120" w:after="120"/>
                  </w:pPr>
                  <w:r>
                    <w:rPr>
                      <w:rFonts w:hint="eastAsia"/>
                    </w:rPr>
                    <w:t>315</w:t>
                  </w:r>
                </w:p>
              </w:tc>
              <w:tc>
                <w:tcPr>
                  <w:tcW w:w="1754" w:type="dxa"/>
                  <w:vAlign w:val="center"/>
                </w:tcPr>
                <w:p w14:paraId="5FCC9E81">
                  <w:pPr>
                    <w:pStyle w:val="19"/>
                    <w:spacing w:before="120" w:after="120"/>
                  </w:pPr>
                  <w:r>
                    <w:rPr>
                      <w:rFonts w:hint="eastAsia"/>
                    </w:rPr>
                    <w:t>建筑面积</w:t>
                  </w:r>
                </w:p>
              </w:tc>
            </w:tr>
            <w:tr w14:paraId="17A1C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vAlign w:val="center"/>
                </w:tcPr>
                <w:p w14:paraId="65E32363">
                  <w:pPr>
                    <w:pStyle w:val="19"/>
                    <w:spacing w:before="120" w:after="120"/>
                  </w:pPr>
                  <w:r>
                    <w:rPr>
                      <w:rFonts w:hint="eastAsia"/>
                    </w:rPr>
                    <w:t>5</w:t>
                  </w:r>
                </w:p>
              </w:tc>
              <w:tc>
                <w:tcPr>
                  <w:tcW w:w="3105" w:type="dxa"/>
                  <w:vAlign w:val="center"/>
                </w:tcPr>
                <w:p w14:paraId="1F7983B2">
                  <w:pPr>
                    <w:pStyle w:val="19"/>
                    <w:spacing w:before="120" w:after="120"/>
                  </w:pPr>
                  <w:r>
                    <w:rPr>
                      <w:rFonts w:hint="eastAsia"/>
                    </w:rPr>
                    <w:t>维修车间</w:t>
                  </w:r>
                </w:p>
              </w:tc>
              <w:tc>
                <w:tcPr>
                  <w:tcW w:w="1480" w:type="dxa"/>
                  <w:vAlign w:val="center"/>
                </w:tcPr>
                <w:p w14:paraId="2020B1D6">
                  <w:pPr>
                    <w:pStyle w:val="19"/>
                    <w:spacing w:before="120" w:after="120"/>
                  </w:pPr>
                  <w:r>
                    <w:rPr>
                      <w:rFonts w:hint="eastAsia"/>
                    </w:rPr>
                    <w:t>m</w:t>
                  </w:r>
                  <w:r>
                    <w:rPr>
                      <w:rFonts w:hint="eastAsia"/>
                      <w:vertAlign w:val="superscript"/>
                    </w:rPr>
                    <w:t>2</w:t>
                  </w:r>
                </w:p>
              </w:tc>
              <w:tc>
                <w:tcPr>
                  <w:tcW w:w="1203" w:type="dxa"/>
                  <w:vAlign w:val="center"/>
                </w:tcPr>
                <w:p w14:paraId="47CC3705">
                  <w:pPr>
                    <w:pStyle w:val="19"/>
                    <w:spacing w:before="120" w:after="120"/>
                  </w:pPr>
                  <w:r>
                    <w:rPr>
                      <w:rFonts w:hint="eastAsia"/>
                    </w:rPr>
                    <w:t>160.276</w:t>
                  </w:r>
                </w:p>
              </w:tc>
              <w:tc>
                <w:tcPr>
                  <w:tcW w:w="1754" w:type="dxa"/>
                  <w:vAlign w:val="center"/>
                </w:tcPr>
                <w:p w14:paraId="5178C860">
                  <w:pPr>
                    <w:pStyle w:val="19"/>
                    <w:spacing w:before="120" w:after="120"/>
                  </w:pPr>
                  <w:r>
                    <w:rPr>
                      <w:rFonts w:hint="eastAsia"/>
                    </w:rPr>
                    <w:t>建筑面积</w:t>
                  </w:r>
                </w:p>
              </w:tc>
            </w:tr>
            <w:tr w14:paraId="4C2E5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vAlign w:val="center"/>
                </w:tcPr>
                <w:p w14:paraId="2395C799">
                  <w:pPr>
                    <w:pStyle w:val="19"/>
                    <w:spacing w:before="120" w:after="120"/>
                  </w:pPr>
                  <w:r>
                    <w:rPr>
                      <w:rFonts w:hint="eastAsia"/>
                    </w:rPr>
                    <w:t>6</w:t>
                  </w:r>
                </w:p>
              </w:tc>
              <w:tc>
                <w:tcPr>
                  <w:tcW w:w="3105" w:type="dxa"/>
                  <w:vAlign w:val="center"/>
                </w:tcPr>
                <w:p w14:paraId="616498FC">
                  <w:pPr>
                    <w:pStyle w:val="19"/>
                    <w:spacing w:before="120" w:after="120"/>
                  </w:pPr>
                  <w:r>
                    <w:rPr>
                      <w:rFonts w:hint="eastAsia"/>
                    </w:rPr>
                    <w:t>洗车车间</w:t>
                  </w:r>
                </w:p>
              </w:tc>
              <w:tc>
                <w:tcPr>
                  <w:tcW w:w="1480" w:type="dxa"/>
                  <w:vAlign w:val="center"/>
                </w:tcPr>
                <w:p w14:paraId="57CC75B6">
                  <w:pPr>
                    <w:pStyle w:val="19"/>
                    <w:spacing w:before="120" w:after="120"/>
                  </w:pPr>
                  <w:r>
                    <w:rPr>
                      <w:rFonts w:hint="eastAsia"/>
                    </w:rPr>
                    <w:t>m</w:t>
                  </w:r>
                  <w:r>
                    <w:rPr>
                      <w:rFonts w:hint="eastAsia"/>
                      <w:vertAlign w:val="superscript"/>
                    </w:rPr>
                    <w:t>2</w:t>
                  </w:r>
                </w:p>
              </w:tc>
              <w:tc>
                <w:tcPr>
                  <w:tcW w:w="1203" w:type="dxa"/>
                  <w:vAlign w:val="center"/>
                </w:tcPr>
                <w:p w14:paraId="2DEA3877">
                  <w:pPr>
                    <w:pStyle w:val="19"/>
                    <w:spacing w:before="120" w:after="120"/>
                  </w:pPr>
                  <w:r>
                    <w:rPr>
                      <w:rFonts w:hint="eastAsia"/>
                    </w:rPr>
                    <w:t>160.276</w:t>
                  </w:r>
                </w:p>
              </w:tc>
              <w:tc>
                <w:tcPr>
                  <w:tcW w:w="1754" w:type="dxa"/>
                  <w:vAlign w:val="center"/>
                </w:tcPr>
                <w:p w14:paraId="1D0655EB">
                  <w:pPr>
                    <w:pStyle w:val="19"/>
                    <w:spacing w:before="120" w:after="120"/>
                  </w:pPr>
                  <w:r>
                    <w:rPr>
                      <w:rFonts w:hint="eastAsia"/>
                    </w:rPr>
                    <w:t>建筑面积</w:t>
                  </w:r>
                </w:p>
              </w:tc>
            </w:tr>
            <w:tr w14:paraId="0E1B5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vAlign w:val="center"/>
                </w:tcPr>
                <w:p w14:paraId="46190D75">
                  <w:pPr>
                    <w:pStyle w:val="19"/>
                    <w:spacing w:before="120" w:after="120"/>
                  </w:pPr>
                  <w:r>
                    <w:rPr>
                      <w:rFonts w:hint="eastAsia"/>
                    </w:rPr>
                    <w:t>7</w:t>
                  </w:r>
                </w:p>
              </w:tc>
              <w:tc>
                <w:tcPr>
                  <w:tcW w:w="3105" w:type="dxa"/>
                  <w:vAlign w:val="center"/>
                </w:tcPr>
                <w:p w14:paraId="0E7C84C9">
                  <w:pPr>
                    <w:pStyle w:val="19"/>
                    <w:spacing w:before="120" w:after="120"/>
                  </w:pPr>
                  <w:r>
                    <w:rPr>
                      <w:rFonts w:hint="eastAsia"/>
                    </w:rPr>
                    <w:t>门卫</w:t>
                  </w:r>
                </w:p>
              </w:tc>
              <w:tc>
                <w:tcPr>
                  <w:tcW w:w="1480" w:type="dxa"/>
                  <w:vAlign w:val="center"/>
                </w:tcPr>
                <w:p w14:paraId="6CAE67C4">
                  <w:pPr>
                    <w:pStyle w:val="19"/>
                    <w:spacing w:before="120" w:after="120"/>
                  </w:pPr>
                  <w:r>
                    <w:rPr>
                      <w:rFonts w:hint="eastAsia"/>
                    </w:rPr>
                    <w:t>m</w:t>
                  </w:r>
                  <w:r>
                    <w:rPr>
                      <w:rFonts w:hint="eastAsia"/>
                      <w:vertAlign w:val="superscript"/>
                    </w:rPr>
                    <w:t>2</w:t>
                  </w:r>
                </w:p>
              </w:tc>
              <w:tc>
                <w:tcPr>
                  <w:tcW w:w="1203" w:type="dxa"/>
                  <w:vAlign w:val="center"/>
                </w:tcPr>
                <w:p w14:paraId="4EBDBD95">
                  <w:pPr>
                    <w:pStyle w:val="19"/>
                    <w:spacing w:before="120" w:after="120"/>
                  </w:pPr>
                  <w:r>
                    <w:rPr>
                      <w:rFonts w:hint="eastAsia"/>
                    </w:rPr>
                    <w:t>72</w:t>
                  </w:r>
                </w:p>
              </w:tc>
              <w:tc>
                <w:tcPr>
                  <w:tcW w:w="1754" w:type="dxa"/>
                  <w:vAlign w:val="center"/>
                </w:tcPr>
                <w:p w14:paraId="1EFD1769">
                  <w:pPr>
                    <w:pStyle w:val="19"/>
                    <w:spacing w:before="120" w:after="120"/>
                  </w:pPr>
                  <w:r>
                    <w:rPr>
                      <w:rFonts w:hint="eastAsia"/>
                    </w:rPr>
                    <w:t>建筑面积</w:t>
                  </w:r>
                </w:p>
              </w:tc>
            </w:tr>
            <w:tr w14:paraId="0B92B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vAlign w:val="center"/>
                </w:tcPr>
                <w:p w14:paraId="3E60D00D">
                  <w:pPr>
                    <w:pStyle w:val="19"/>
                    <w:spacing w:before="120" w:after="120"/>
                  </w:pPr>
                  <w:r>
                    <w:rPr>
                      <w:rFonts w:hint="eastAsia"/>
                    </w:rPr>
                    <w:t>8</w:t>
                  </w:r>
                </w:p>
              </w:tc>
              <w:tc>
                <w:tcPr>
                  <w:tcW w:w="3105" w:type="dxa"/>
                  <w:vAlign w:val="center"/>
                </w:tcPr>
                <w:p w14:paraId="3ED34CD9">
                  <w:pPr>
                    <w:pStyle w:val="19"/>
                    <w:spacing w:before="120" w:after="120"/>
                  </w:pPr>
                  <w:r>
                    <w:rPr>
                      <w:rFonts w:hint="eastAsia"/>
                    </w:rPr>
                    <w:t>消防泵房</w:t>
                  </w:r>
                </w:p>
              </w:tc>
              <w:tc>
                <w:tcPr>
                  <w:tcW w:w="1480" w:type="dxa"/>
                  <w:vAlign w:val="center"/>
                </w:tcPr>
                <w:p w14:paraId="17ECF114">
                  <w:pPr>
                    <w:pStyle w:val="19"/>
                    <w:spacing w:before="120" w:after="120"/>
                  </w:pPr>
                  <w:r>
                    <w:rPr>
                      <w:rFonts w:hint="eastAsia"/>
                    </w:rPr>
                    <w:t>m</w:t>
                  </w:r>
                  <w:r>
                    <w:rPr>
                      <w:rFonts w:hint="eastAsia"/>
                      <w:vertAlign w:val="superscript"/>
                    </w:rPr>
                    <w:t>2</w:t>
                  </w:r>
                </w:p>
              </w:tc>
              <w:tc>
                <w:tcPr>
                  <w:tcW w:w="1203" w:type="dxa"/>
                  <w:vAlign w:val="center"/>
                </w:tcPr>
                <w:p w14:paraId="4744734E">
                  <w:pPr>
                    <w:pStyle w:val="19"/>
                    <w:spacing w:before="120" w:after="120"/>
                  </w:pPr>
                  <w:r>
                    <w:rPr>
                      <w:rFonts w:hint="eastAsia"/>
                    </w:rPr>
                    <w:t>111.78</w:t>
                  </w:r>
                </w:p>
              </w:tc>
              <w:tc>
                <w:tcPr>
                  <w:tcW w:w="1754" w:type="dxa"/>
                  <w:vAlign w:val="center"/>
                </w:tcPr>
                <w:p w14:paraId="256DE868">
                  <w:pPr>
                    <w:pStyle w:val="19"/>
                    <w:spacing w:before="120" w:after="120"/>
                  </w:pPr>
                  <w:r>
                    <w:rPr>
                      <w:rFonts w:hint="eastAsia"/>
                    </w:rPr>
                    <w:t>建筑面积</w:t>
                  </w:r>
                </w:p>
              </w:tc>
            </w:tr>
            <w:tr w14:paraId="710FA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vAlign w:val="center"/>
                </w:tcPr>
                <w:p w14:paraId="35E4FA28">
                  <w:pPr>
                    <w:pStyle w:val="19"/>
                    <w:spacing w:before="120" w:after="120"/>
                  </w:pPr>
                  <w:r>
                    <w:rPr>
                      <w:rFonts w:hint="eastAsia"/>
                    </w:rPr>
                    <w:t>9</w:t>
                  </w:r>
                </w:p>
              </w:tc>
              <w:tc>
                <w:tcPr>
                  <w:tcW w:w="3105" w:type="dxa"/>
                  <w:vAlign w:val="center"/>
                </w:tcPr>
                <w:p w14:paraId="378C5F3A">
                  <w:pPr>
                    <w:pStyle w:val="19"/>
                    <w:spacing w:before="120" w:after="120"/>
                  </w:pPr>
                  <w:r>
                    <w:rPr>
                      <w:rFonts w:hint="eastAsia"/>
                    </w:rPr>
                    <w:t>事故水池及初期雨水收集池</w:t>
                  </w:r>
                </w:p>
              </w:tc>
              <w:tc>
                <w:tcPr>
                  <w:tcW w:w="1480" w:type="dxa"/>
                  <w:vAlign w:val="center"/>
                </w:tcPr>
                <w:p w14:paraId="4A0C8647">
                  <w:pPr>
                    <w:pStyle w:val="19"/>
                    <w:spacing w:before="120" w:after="120"/>
                  </w:pPr>
                  <w:r>
                    <w:rPr>
                      <w:rFonts w:hint="eastAsia"/>
                    </w:rPr>
                    <w:t>m</w:t>
                  </w:r>
                  <w:r>
                    <w:rPr>
                      <w:rFonts w:hint="eastAsia"/>
                      <w:vertAlign w:val="superscript"/>
                    </w:rPr>
                    <w:t>2</w:t>
                  </w:r>
                </w:p>
              </w:tc>
              <w:tc>
                <w:tcPr>
                  <w:tcW w:w="1203" w:type="dxa"/>
                  <w:vAlign w:val="center"/>
                </w:tcPr>
                <w:p w14:paraId="7CE8F537">
                  <w:pPr>
                    <w:pStyle w:val="19"/>
                    <w:spacing w:before="120" w:after="120"/>
                  </w:pPr>
                  <w:r>
                    <w:rPr>
                      <w:rFonts w:hint="eastAsia"/>
                    </w:rPr>
                    <w:t>300</w:t>
                  </w:r>
                </w:p>
              </w:tc>
              <w:tc>
                <w:tcPr>
                  <w:tcW w:w="1754" w:type="dxa"/>
                  <w:vAlign w:val="center"/>
                </w:tcPr>
                <w:p w14:paraId="2A86D0A0">
                  <w:pPr>
                    <w:pStyle w:val="19"/>
                    <w:spacing w:before="120" w:after="120"/>
                  </w:pPr>
                  <w:r>
                    <w:rPr>
                      <w:rFonts w:hint="eastAsia"/>
                    </w:rPr>
                    <w:t>占地面积</w:t>
                  </w:r>
                </w:p>
              </w:tc>
            </w:tr>
            <w:tr w14:paraId="3DA5F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36" w:type="dxa"/>
                  <w:vAlign w:val="center"/>
                </w:tcPr>
                <w:p w14:paraId="393FAD65">
                  <w:pPr>
                    <w:pStyle w:val="19"/>
                    <w:spacing w:before="120" w:after="120"/>
                  </w:pPr>
                  <w:r>
                    <w:rPr>
                      <w:rFonts w:hint="eastAsia"/>
                    </w:rPr>
                    <w:t>10</w:t>
                  </w:r>
                </w:p>
              </w:tc>
              <w:tc>
                <w:tcPr>
                  <w:tcW w:w="3105" w:type="dxa"/>
                  <w:vAlign w:val="center"/>
                </w:tcPr>
                <w:p w14:paraId="3288C490">
                  <w:pPr>
                    <w:pStyle w:val="19"/>
                    <w:spacing w:before="120" w:after="120"/>
                  </w:pPr>
                  <w:r>
                    <w:rPr>
                      <w:rFonts w:hint="eastAsia"/>
                    </w:rPr>
                    <w:t>消防水池</w:t>
                  </w:r>
                </w:p>
              </w:tc>
              <w:tc>
                <w:tcPr>
                  <w:tcW w:w="1480" w:type="dxa"/>
                  <w:vAlign w:val="center"/>
                </w:tcPr>
                <w:p w14:paraId="6E9EFB05">
                  <w:pPr>
                    <w:pStyle w:val="19"/>
                    <w:spacing w:before="120" w:after="120"/>
                  </w:pPr>
                  <w:r>
                    <w:rPr>
                      <w:rFonts w:hint="eastAsia"/>
                    </w:rPr>
                    <w:t>m</w:t>
                  </w:r>
                  <w:r>
                    <w:rPr>
                      <w:rFonts w:hint="eastAsia"/>
                      <w:vertAlign w:val="superscript"/>
                    </w:rPr>
                    <w:t>2</w:t>
                  </w:r>
                </w:p>
              </w:tc>
              <w:tc>
                <w:tcPr>
                  <w:tcW w:w="1203" w:type="dxa"/>
                  <w:vAlign w:val="center"/>
                </w:tcPr>
                <w:p w14:paraId="1243488D">
                  <w:pPr>
                    <w:pStyle w:val="19"/>
                    <w:spacing w:before="120" w:after="120"/>
                  </w:pPr>
                  <w:r>
                    <w:rPr>
                      <w:rFonts w:hint="eastAsia"/>
                    </w:rPr>
                    <w:t>260.82</w:t>
                  </w:r>
                </w:p>
              </w:tc>
              <w:tc>
                <w:tcPr>
                  <w:tcW w:w="1754" w:type="dxa"/>
                  <w:vAlign w:val="center"/>
                </w:tcPr>
                <w:p w14:paraId="20B792EA">
                  <w:pPr>
                    <w:pStyle w:val="19"/>
                    <w:spacing w:before="120" w:after="120"/>
                  </w:pPr>
                  <w:r>
                    <w:rPr>
                      <w:rFonts w:hint="eastAsia"/>
                    </w:rPr>
                    <w:t>占地面积</w:t>
                  </w:r>
                </w:p>
              </w:tc>
            </w:tr>
            <w:tr w14:paraId="0695B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vAlign w:val="center"/>
                </w:tcPr>
                <w:p w14:paraId="778BB6F8">
                  <w:pPr>
                    <w:pStyle w:val="19"/>
                    <w:spacing w:before="120" w:after="120"/>
                  </w:pPr>
                  <w:r>
                    <w:rPr>
                      <w:rFonts w:hint="eastAsia"/>
                    </w:rPr>
                    <w:t>11</w:t>
                  </w:r>
                </w:p>
              </w:tc>
              <w:tc>
                <w:tcPr>
                  <w:tcW w:w="3105" w:type="dxa"/>
                  <w:vAlign w:val="center"/>
                </w:tcPr>
                <w:p w14:paraId="317D9455">
                  <w:pPr>
                    <w:pStyle w:val="19"/>
                    <w:spacing w:before="120" w:after="120"/>
                  </w:pPr>
                  <w:r>
                    <w:rPr>
                      <w:rFonts w:hint="eastAsia"/>
                    </w:rPr>
                    <w:t>污水处理设施</w:t>
                  </w:r>
                </w:p>
              </w:tc>
              <w:tc>
                <w:tcPr>
                  <w:tcW w:w="1480" w:type="dxa"/>
                  <w:vAlign w:val="center"/>
                </w:tcPr>
                <w:p w14:paraId="3235EDD8">
                  <w:pPr>
                    <w:pStyle w:val="19"/>
                    <w:spacing w:before="120" w:after="120"/>
                  </w:pPr>
                  <w:r>
                    <w:rPr>
                      <w:rFonts w:hint="eastAsia"/>
                    </w:rPr>
                    <w:t>m</w:t>
                  </w:r>
                  <w:r>
                    <w:rPr>
                      <w:rFonts w:hint="eastAsia"/>
                      <w:vertAlign w:val="superscript"/>
                    </w:rPr>
                    <w:t>2</w:t>
                  </w:r>
                </w:p>
              </w:tc>
              <w:tc>
                <w:tcPr>
                  <w:tcW w:w="1203" w:type="dxa"/>
                  <w:vAlign w:val="center"/>
                </w:tcPr>
                <w:p w14:paraId="3E003109">
                  <w:pPr>
                    <w:pStyle w:val="19"/>
                    <w:spacing w:before="120" w:after="120"/>
                  </w:pPr>
                  <w:r>
                    <w:rPr>
                      <w:rFonts w:hint="eastAsia"/>
                    </w:rPr>
                    <w:t>105</w:t>
                  </w:r>
                </w:p>
              </w:tc>
              <w:tc>
                <w:tcPr>
                  <w:tcW w:w="1754" w:type="dxa"/>
                  <w:vAlign w:val="center"/>
                </w:tcPr>
                <w:p w14:paraId="7AED1F07">
                  <w:pPr>
                    <w:pStyle w:val="19"/>
                    <w:spacing w:before="120" w:after="120"/>
                  </w:pPr>
                  <w:r>
                    <w:rPr>
                      <w:rFonts w:hint="eastAsia"/>
                    </w:rPr>
                    <w:t>占地面积</w:t>
                  </w:r>
                </w:p>
              </w:tc>
            </w:tr>
            <w:tr w14:paraId="590CF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vAlign w:val="center"/>
                </w:tcPr>
                <w:p w14:paraId="0376FDD6">
                  <w:pPr>
                    <w:pStyle w:val="19"/>
                    <w:spacing w:before="120" w:after="120"/>
                  </w:pPr>
                  <w:r>
                    <w:rPr>
                      <w:rFonts w:hint="eastAsia"/>
                    </w:rPr>
                    <w:t>12</w:t>
                  </w:r>
                </w:p>
              </w:tc>
              <w:tc>
                <w:tcPr>
                  <w:tcW w:w="3105" w:type="dxa"/>
                  <w:vAlign w:val="center"/>
                </w:tcPr>
                <w:p w14:paraId="6D7C9BEA">
                  <w:pPr>
                    <w:pStyle w:val="19"/>
                    <w:spacing w:before="120" w:after="120"/>
                  </w:pPr>
                  <w:r>
                    <w:rPr>
                      <w:rFonts w:hint="eastAsia"/>
                    </w:rPr>
                    <w:t>危废暂存间</w:t>
                  </w:r>
                </w:p>
              </w:tc>
              <w:tc>
                <w:tcPr>
                  <w:tcW w:w="1480" w:type="dxa"/>
                  <w:vAlign w:val="center"/>
                </w:tcPr>
                <w:p w14:paraId="19EA4DFF">
                  <w:pPr>
                    <w:pStyle w:val="19"/>
                    <w:spacing w:before="120" w:after="120"/>
                  </w:pPr>
                  <w:r>
                    <w:rPr>
                      <w:rFonts w:hint="eastAsia"/>
                    </w:rPr>
                    <w:t>m</w:t>
                  </w:r>
                  <w:r>
                    <w:rPr>
                      <w:rFonts w:hint="eastAsia"/>
                      <w:vertAlign w:val="superscript"/>
                    </w:rPr>
                    <w:t>2</w:t>
                  </w:r>
                </w:p>
              </w:tc>
              <w:tc>
                <w:tcPr>
                  <w:tcW w:w="1203" w:type="dxa"/>
                  <w:vAlign w:val="center"/>
                </w:tcPr>
                <w:p w14:paraId="3E795E8E">
                  <w:pPr>
                    <w:pStyle w:val="19"/>
                    <w:spacing w:before="120" w:after="120"/>
                  </w:pPr>
                  <w:r>
                    <w:rPr>
                      <w:rFonts w:hint="eastAsia"/>
                    </w:rPr>
                    <w:t>36</w:t>
                  </w:r>
                </w:p>
              </w:tc>
              <w:tc>
                <w:tcPr>
                  <w:tcW w:w="1754" w:type="dxa"/>
                  <w:vAlign w:val="center"/>
                </w:tcPr>
                <w:p w14:paraId="601CC2BB">
                  <w:pPr>
                    <w:pStyle w:val="19"/>
                    <w:spacing w:before="120" w:after="120"/>
                  </w:pPr>
                  <w:r>
                    <w:rPr>
                      <w:rFonts w:hint="eastAsia"/>
                    </w:rPr>
                    <w:t>建筑面积</w:t>
                  </w:r>
                </w:p>
              </w:tc>
            </w:tr>
            <w:tr w14:paraId="66F78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vAlign w:val="center"/>
                </w:tcPr>
                <w:p w14:paraId="0F30660F">
                  <w:pPr>
                    <w:pStyle w:val="19"/>
                    <w:spacing w:before="120" w:after="120"/>
                  </w:pPr>
                  <w:r>
                    <w:rPr>
                      <w:rFonts w:hint="eastAsia"/>
                    </w:rPr>
                    <w:t>13</w:t>
                  </w:r>
                </w:p>
              </w:tc>
              <w:tc>
                <w:tcPr>
                  <w:tcW w:w="3105" w:type="dxa"/>
                  <w:vAlign w:val="center"/>
                </w:tcPr>
                <w:p w14:paraId="3E8D6852">
                  <w:pPr>
                    <w:pStyle w:val="19"/>
                    <w:spacing w:before="120" w:after="120"/>
                  </w:pPr>
                  <w:r>
                    <w:rPr>
                      <w:rFonts w:hint="eastAsia"/>
                    </w:rPr>
                    <w:t>总占地面积</w:t>
                  </w:r>
                </w:p>
              </w:tc>
              <w:tc>
                <w:tcPr>
                  <w:tcW w:w="1480" w:type="dxa"/>
                  <w:vAlign w:val="center"/>
                </w:tcPr>
                <w:p w14:paraId="630D9CF6">
                  <w:pPr>
                    <w:pStyle w:val="19"/>
                    <w:spacing w:before="120" w:after="120"/>
                  </w:pPr>
                  <w:r>
                    <w:rPr>
                      <w:rFonts w:hint="eastAsia"/>
                    </w:rPr>
                    <w:t>m</w:t>
                  </w:r>
                  <w:r>
                    <w:rPr>
                      <w:rFonts w:hint="eastAsia"/>
                      <w:vertAlign w:val="superscript"/>
                    </w:rPr>
                    <w:t>2</w:t>
                  </w:r>
                </w:p>
              </w:tc>
              <w:tc>
                <w:tcPr>
                  <w:tcW w:w="1203" w:type="dxa"/>
                  <w:vAlign w:val="center"/>
                </w:tcPr>
                <w:p w14:paraId="14CA5E5F">
                  <w:pPr>
                    <w:pStyle w:val="19"/>
                    <w:spacing w:before="120" w:after="120"/>
                  </w:pPr>
                  <w:r>
                    <w:rPr>
                      <w:rFonts w:hint="eastAsia"/>
                    </w:rPr>
                    <w:t>35296.11</w:t>
                  </w:r>
                </w:p>
              </w:tc>
              <w:tc>
                <w:tcPr>
                  <w:tcW w:w="1754" w:type="dxa"/>
                  <w:vAlign w:val="center"/>
                </w:tcPr>
                <w:p w14:paraId="50165A2F">
                  <w:pPr>
                    <w:pStyle w:val="19"/>
                    <w:spacing w:before="120" w:after="120"/>
                  </w:pPr>
                  <w:r>
                    <w:rPr>
                      <w:rFonts w:hint="eastAsia"/>
                    </w:rPr>
                    <w:t>约52.94亩</w:t>
                  </w:r>
                </w:p>
              </w:tc>
            </w:tr>
            <w:tr w14:paraId="3D5EE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vAlign w:val="center"/>
                </w:tcPr>
                <w:p w14:paraId="7FFD911A">
                  <w:pPr>
                    <w:pStyle w:val="19"/>
                    <w:spacing w:before="120" w:after="120"/>
                  </w:pPr>
                  <w:r>
                    <w:rPr>
                      <w:rFonts w:hint="eastAsia"/>
                    </w:rPr>
                    <w:t>14</w:t>
                  </w:r>
                </w:p>
              </w:tc>
              <w:tc>
                <w:tcPr>
                  <w:tcW w:w="3105" w:type="dxa"/>
                  <w:vAlign w:val="center"/>
                </w:tcPr>
                <w:p w14:paraId="0B53E76D">
                  <w:pPr>
                    <w:pStyle w:val="19"/>
                    <w:spacing w:before="120" w:after="120"/>
                  </w:pPr>
                  <w:r>
                    <w:rPr>
                      <w:rFonts w:hint="eastAsia"/>
                    </w:rPr>
                    <w:t>劳动定员</w:t>
                  </w:r>
                </w:p>
              </w:tc>
              <w:tc>
                <w:tcPr>
                  <w:tcW w:w="1480" w:type="dxa"/>
                  <w:vAlign w:val="center"/>
                </w:tcPr>
                <w:p w14:paraId="463E1291">
                  <w:pPr>
                    <w:pStyle w:val="19"/>
                    <w:spacing w:before="120" w:after="120"/>
                  </w:pPr>
                  <w:r>
                    <w:rPr>
                      <w:rFonts w:hint="eastAsia"/>
                    </w:rPr>
                    <w:t>人</w:t>
                  </w:r>
                </w:p>
              </w:tc>
              <w:tc>
                <w:tcPr>
                  <w:tcW w:w="1203" w:type="dxa"/>
                  <w:vAlign w:val="center"/>
                </w:tcPr>
                <w:p w14:paraId="6BF97042">
                  <w:pPr>
                    <w:pStyle w:val="19"/>
                    <w:spacing w:before="120" w:after="120"/>
                  </w:pPr>
                  <w:r>
                    <w:rPr>
                      <w:rFonts w:hint="eastAsia"/>
                    </w:rPr>
                    <w:t>10</w:t>
                  </w:r>
                </w:p>
              </w:tc>
              <w:tc>
                <w:tcPr>
                  <w:tcW w:w="1754" w:type="dxa"/>
                  <w:vAlign w:val="center"/>
                </w:tcPr>
                <w:p w14:paraId="53A684AA">
                  <w:pPr>
                    <w:pStyle w:val="19"/>
                    <w:spacing w:before="120" w:after="120"/>
                  </w:pPr>
                  <w:r>
                    <w:rPr>
                      <w:rFonts w:hint="eastAsia"/>
                    </w:rPr>
                    <w:t>/</w:t>
                  </w:r>
                </w:p>
              </w:tc>
            </w:tr>
            <w:tr w14:paraId="3E2FC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vAlign w:val="center"/>
                </w:tcPr>
                <w:p w14:paraId="7BC9BDFE">
                  <w:pPr>
                    <w:pStyle w:val="19"/>
                    <w:spacing w:before="120" w:after="120"/>
                  </w:pPr>
                  <w:r>
                    <w:rPr>
                      <w:rFonts w:hint="eastAsia"/>
                    </w:rPr>
                    <w:t>15</w:t>
                  </w:r>
                </w:p>
              </w:tc>
              <w:tc>
                <w:tcPr>
                  <w:tcW w:w="3105" w:type="dxa"/>
                  <w:vAlign w:val="center"/>
                </w:tcPr>
                <w:p w14:paraId="57ADE8BC">
                  <w:pPr>
                    <w:pStyle w:val="19"/>
                    <w:spacing w:before="120" w:after="120"/>
                  </w:pPr>
                  <w:r>
                    <w:rPr>
                      <w:rFonts w:hint="eastAsia"/>
                    </w:rPr>
                    <w:t>运行时间</w:t>
                  </w:r>
                </w:p>
              </w:tc>
              <w:tc>
                <w:tcPr>
                  <w:tcW w:w="1480" w:type="dxa"/>
                  <w:vAlign w:val="center"/>
                </w:tcPr>
                <w:p w14:paraId="3CCBC189">
                  <w:pPr>
                    <w:pStyle w:val="19"/>
                    <w:spacing w:before="120" w:after="120"/>
                  </w:pPr>
                  <w:r>
                    <w:rPr>
                      <w:rFonts w:hint="eastAsia"/>
                    </w:rPr>
                    <w:t>天</w:t>
                  </w:r>
                </w:p>
              </w:tc>
              <w:tc>
                <w:tcPr>
                  <w:tcW w:w="1203" w:type="dxa"/>
                  <w:vAlign w:val="center"/>
                </w:tcPr>
                <w:p w14:paraId="5EEE596A">
                  <w:pPr>
                    <w:pStyle w:val="19"/>
                    <w:spacing w:before="120" w:after="120"/>
                  </w:pPr>
                  <w:r>
                    <w:rPr>
                      <w:rFonts w:hint="eastAsia"/>
                    </w:rPr>
                    <w:t>360</w:t>
                  </w:r>
                </w:p>
              </w:tc>
              <w:tc>
                <w:tcPr>
                  <w:tcW w:w="1754" w:type="dxa"/>
                  <w:vAlign w:val="center"/>
                </w:tcPr>
                <w:p w14:paraId="2B3310B4">
                  <w:pPr>
                    <w:pStyle w:val="19"/>
                    <w:spacing w:before="120" w:after="120"/>
                  </w:pPr>
                  <w:r>
                    <w:rPr>
                      <w:rFonts w:hint="eastAsia"/>
                    </w:rPr>
                    <w:t>/</w:t>
                  </w:r>
                </w:p>
              </w:tc>
            </w:tr>
            <w:tr w14:paraId="46A69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vAlign w:val="center"/>
                </w:tcPr>
                <w:p w14:paraId="2B617005">
                  <w:pPr>
                    <w:pStyle w:val="19"/>
                    <w:spacing w:before="120" w:after="120"/>
                  </w:pPr>
                  <w:r>
                    <w:rPr>
                      <w:rFonts w:hint="eastAsia"/>
                    </w:rPr>
                    <w:t>16</w:t>
                  </w:r>
                </w:p>
              </w:tc>
              <w:tc>
                <w:tcPr>
                  <w:tcW w:w="3105" w:type="dxa"/>
                  <w:vAlign w:val="center"/>
                </w:tcPr>
                <w:p w14:paraId="0ABBA32E">
                  <w:pPr>
                    <w:pStyle w:val="19"/>
                    <w:spacing w:before="120" w:after="120"/>
                  </w:pPr>
                  <w:r>
                    <w:rPr>
                      <w:rFonts w:hint="eastAsia"/>
                    </w:rPr>
                    <w:t>总投资</w:t>
                  </w:r>
                </w:p>
              </w:tc>
              <w:tc>
                <w:tcPr>
                  <w:tcW w:w="1480" w:type="dxa"/>
                  <w:vAlign w:val="center"/>
                </w:tcPr>
                <w:p w14:paraId="4FD87FD4">
                  <w:pPr>
                    <w:pStyle w:val="19"/>
                    <w:spacing w:before="120" w:after="120"/>
                  </w:pPr>
                  <w:r>
                    <w:rPr>
                      <w:rFonts w:hint="eastAsia"/>
                    </w:rPr>
                    <w:t>万元</w:t>
                  </w:r>
                </w:p>
              </w:tc>
              <w:tc>
                <w:tcPr>
                  <w:tcW w:w="1203" w:type="dxa"/>
                  <w:vAlign w:val="center"/>
                </w:tcPr>
                <w:p w14:paraId="217E06D0">
                  <w:pPr>
                    <w:pStyle w:val="19"/>
                    <w:spacing w:before="120" w:after="120"/>
                  </w:pPr>
                  <w:r>
                    <w:rPr>
                      <w:rFonts w:hint="eastAsia"/>
                    </w:rPr>
                    <w:t>2400</w:t>
                  </w:r>
                </w:p>
              </w:tc>
              <w:tc>
                <w:tcPr>
                  <w:tcW w:w="1754" w:type="dxa"/>
                  <w:vAlign w:val="center"/>
                </w:tcPr>
                <w:p w14:paraId="53274763">
                  <w:pPr>
                    <w:pStyle w:val="19"/>
                    <w:spacing w:before="120" w:after="120"/>
                  </w:pPr>
                  <w:r>
                    <w:rPr>
                      <w:rFonts w:hint="eastAsia"/>
                    </w:rPr>
                    <w:t>/</w:t>
                  </w:r>
                </w:p>
              </w:tc>
            </w:tr>
            <w:tr w14:paraId="3EF54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vAlign w:val="center"/>
                </w:tcPr>
                <w:p w14:paraId="438D03BB">
                  <w:pPr>
                    <w:pStyle w:val="19"/>
                    <w:spacing w:before="120" w:after="120"/>
                  </w:pPr>
                  <w:r>
                    <w:rPr>
                      <w:rFonts w:hint="eastAsia"/>
                    </w:rPr>
                    <w:t>17</w:t>
                  </w:r>
                </w:p>
              </w:tc>
              <w:tc>
                <w:tcPr>
                  <w:tcW w:w="3105" w:type="dxa"/>
                  <w:vAlign w:val="center"/>
                </w:tcPr>
                <w:p w14:paraId="2A2E94E0">
                  <w:pPr>
                    <w:pStyle w:val="19"/>
                    <w:spacing w:before="120" w:after="120"/>
                  </w:pPr>
                  <w:r>
                    <w:rPr>
                      <w:rFonts w:hint="eastAsia"/>
                    </w:rPr>
                    <w:t>投资回收期</w:t>
                  </w:r>
                </w:p>
              </w:tc>
              <w:tc>
                <w:tcPr>
                  <w:tcW w:w="1480" w:type="dxa"/>
                  <w:vAlign w:val="center"/>
                </w:tcPr>
                <w:p w14:paraId="2B16815D">
                  <w:pPr>
                    <w:pStyle w:val="19"/>
                    <w:spacing w:before="120" w:after="120"/>
                  </w:pPr>
                  <w:r>
                    <w:rPr>
                      <w:rFonts w:hint="eastAsia"/>
                    </w:rPr>
                    <w:t>年</w:t>
                  </w:r>
                </w:p>
              </w:tc>
              <w:tc>
                <w:tcPr>
                  <w:tcW w:w="1203" w:type="dxa"/>
                  <w:vAlign w:val="center"/>
                </w:tcPr>
                <w:p w14:paraId="005BE5F8">
                  <w:pPr>
                    <w:pStyle w:val="19"/>
                    <w:spacing w:before="120" w:after="120"/>
                  </w:pPr>
                  <w:r>
                    <w:rPr>
                      <w:rFonts w:hint="eastAsia"/>
                    </w:rPr>
                    <w:t>13.6</w:t>
                  </w:r>
                </w:p>
              </w:tc>
              <w:tc>
                <w:tcPr>
                  <w:tcW w:w="1754" w:type="dxa"/>
                  <w:vAlign w:val="center"/>
                </w:tcPr>
                <w:p w14:paraId="4F0946C7">
                  <w:pPr>
                    <w:pStyle w:val="19"/>
                    <w:spacing w:before="120" w:after="120"/>
                  </w:pPr>
                  <w:r>
                    <w:rPr>
                      <w:rFonts w:hint="eastAsia"/>
                    </w:rPr>
                    <w:t>/</w:t>
                  </w:r>
                </w:p>
              </w:tc>
            </w:tr>
          </w:tbl>
          <w:p w14:paraId="3A7BB25F">
            <w:pPr>
              <w:pStyle w:val="3"/>
              <w:numPr>
                <w:ilvl w:val="0"/>
                <w:numId w:val="4"/>
              </w:numPr>
              <w:ind w:firstLine="480"/>
            </w:pPr>
            <w:bookmarkStart w:id="53" w:name="_Toc7152"/>
            <w:bookmarkStart w:id="54" w:name="_Toc20075"/>
            <w:r>
              <w:rPr>
                <w:rFonts w:hint="eastAsia"/>
              </w:rPr>
              <w:t>主要设备使用情况</w:t>
            </w:r>
            <w:bookmarkEnd w:id="53"/>
            <w:bookmarkEnd w:id="54"/>
          </w:p>
          <w:p w14:paraId="5DD91D1E">
            <w:pPr>
              <w:ind w:firstLine="480"/>
            </w:pPr>
            <w:r>
              <w:rPr>
                <w:rFonts w:hint="eastAsia"/>
              </w:rPr>
              <w:t>本项目为鄂托克经济开发区蒙西产业园危险化学品运输车辆专用停车场项目，建设内容为危险化学品车辆专用停车场以及辅助设施。项目运营使用的主要设备为智慧化管控系统，另外给排水系统、供配电系统、照明系统、</w:t>
            </w:r>
            <w:r>
              <w:t>通信电信网络</w:t>
            </w:r>
            <w:r>
              <w:rPr>
                <w:rFonts w:hint="eastAsia"/>
              </w:rPr>
              <w:t>系统等也是重要的辅助系统。项目运营使用的主要设备如下：</w:t>
            </w:r>
          </w:p>
          <w:p w14:paraId="6C9E0A08">
            <w:pPr>
              <w:pStyle w:val="21"/>
              <w:spacing w:before="120"/>
              <w:rPr>
                <w:rFonts w:hint="default"/>
              </w:rPr>
            </w:pPr>
            <w:bookmarkStart w:id="55" w:name="_Toc29533"/>
            <w:bookmarkStart w:id="56" w:name="_Toc9635"/>
            <w:r>
              <w:t>表2-7  主要设备使用情况一览表</w:t>
            </w:r>
            <w:bookmarkEnd w:id="55"/>
            <w:bookmarkEnd w:id="56"/>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7"/>
              <w:gridCol w:w="1974"/>
              <w:gridCol w:w="5567"/>
            </w:tblGrid>
            <w:tr w14:paraId="1AEEE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9" w:type="dxa"/>
                  <w:vAlign w:val="center"/>
                </w:tcPr>
                <w:p w14:paraId="4CB11DB0">
                  <w:pPr>
                    <w:pStyle w:val="19"/>
                    <w:spacing w:before="120" w:after="120"/>
                  </w:pPr>
                  <w:r>
                    <w:rPr>
                      <w:rFonts w:hint="eastAsia"/>
                    </w:rPr>
                    <w:t>序号</w:t>
                  </w:r>
                </w:p>
              </w:tc>
              <w:tc>
                <w:tcPr>
                  <w:tcW w:w="1980" w:type="dxa"/>
                  <w:vAlign w:val="center"/>
                </w:tcPr>
                <w:p w14:paraId="01D11206">
                  <w:pPr>
                    <w:pStyle w:val="19"/>
                    <w:spacing w:before="120" w:after="120"/>
                  </w:pPr>
                  <w:r>
                    <w:rPr>
                      <w:rFonts w:hint="eastAsia"/>
                    </w:rPr>
                    <w:t>名称</w:t>
                  </w:r>
                </w:p>
              </w:tc>
              <w:tc>
                <w:tcPr>
                  <w:tcW w:w="5581" w:type="dxa"/>
                  <w:vAlign w:val="center"/>
                </w:tcPr>
                <w:p w14:paraId="32EEEA33">
                  <w:pPr>
                    <w:pStyle w:val="19"/>
                    <w:spacing w:before="120" w:after="120"/>
                  </w:pPr>
                  <w:r>
                    <w:rPr>
                      <w:rFonts w:hint="eastAsia"/>
                    </w:rPr>
                    <w:t>设置情况</w:t>
                  </w:r>
                </w:p>
              </w:tc>
            </w:tr>
            <w:tr w14:paraId="691DC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9" w:type="dxa"/>
                  <w:vAlign w:val="center"/>
                </w:tcPr>
                <w:p w14:paraId="091188CE">
                  <w:pPr>
                    <w:pStyle w:val="19"/>
                    <w:spacing w:before="120" w:after="120"/>
                  </w:pPr>
                  <w:r>
                    <w:rPr>
                      <w:rFonts w:hint="eastAsia"/>
                    </w:rPr>
                    <w:t>1</w:t>
                  </w:r>
                </w:p>
              </w:tc>
              <w:tc>
                <w:tcPr>
                  <w:tcW w:w="1980" w:type="dxa"/>
                  <w:vAlign w:val="center"/>
                </w:tcPr>
                <w:p w14:paraId="75B0412A">
                  <w:pPr>
                    <w:pStyle w:val="19"/>
                    <w:spacing w:before="120" w:after="120"/>
                  </w:pPr>
                  <w:r>
                    <w:rPr>
                      <w:rFonts w:hint="eastAsia"/>
                    </w:rPr>
                    <w:t>智慧化管控系统</w:t>
                  </w:r>
                </w:p>
              </w:tc>
              <w:tc>
                <w:tcPr>
                  <w:tcW w:w="5581" w:type="dxa"/>
                  <w:vAlign w:val="center"/>
                </w:tcPr>
                <w:p w14:paraId="36DD4F2E">
                  <w:pPr>
                    <w:pStyle w:val="19"/>
                    <w:spacing w:before="120" w:after="120"/>
                  </w:pPr>
                  <w:r>
                    <w:rPr>
                      <w:rFonts w:hint="eastAsia"/>
                    </w:rPr>
                    <w:t>包括视频监控系统和车辆出入场管系统，智慧化管控系统机房设置在综合管理用房一层。主要包括门禁、电缆布线、服务器的组建、系统搭建等内容。</w:t>
                  </w:r>
                </w:p>
              </w:tc>
            </w:tr>
            <w:tr w14:paraId="38C2C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9" w:type="dxa"/>
                  <w:vAlign w:val="center"/>
                </w:tcPr>
                <w:p w14:paraId="04DC8883">
                  <w:pPr>
                    <w:pStyle w:val="19"/>
                    <w:spacing w:before="120" w:after="120"/>
                  </w:pPr>
                  <w:r>
                    <w:rPr>
                      <w:rFonts w:hint="eastAsia"/>
                    </w:rPr>
                    <w:t>2</w:t>
                  </w:r>
                </w:p>
              </w:tc>
              <w:tc>
                <w:tcPr>
                  <w:tcW w:w="1980" w:type="dxa"/>
                  <w:vAlign w:val="center"/>
                </w:tcPr>
                <w:p w14:paraId="5252802B">
                  <w:pPr>
                    <w:pStyle w:val="19"/>
                    <w:spacing w:before="120" w:after="120"/>
                  </w:pPr>
                  <w:r>
                    <w:rPr>
                      <w:rFonts w:hint="eastAsia"/>
                    </w:rPr>
                    <w:t>给排水系统</w:t>
                  </w:r>
                </w:p>
              </w:tc>
              <w:tc>
                <w:tcPr>
                  <w:tcW w:w="5581" w:type="dxa"/>
                  <w:vAlign w:val="center"/>
                </w:tcPr>
                <w:p w14:paraId="4C5E0F9C">
                  <w:pPr>
                    <w:pStyle w:val="19"/>
                    <w:spacing w:before="120" w:after="120"/>
                  </w:pPr>
                  <w:r>
                    <w:rPr>
                      <w:rFonts w:hint="eastAsia"/>
                    </w:rPr>
                    <w:t>主要包括消防给水泵、排污泵、一体化污水处理设施。</w:t>
                  </w:r>
                </w:p>
              </w:tc>
            </w:tr>
            <w:tr w14:paraId="6AAC3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9" w:type="dxa"/>
                  <w:vAlign w:val="center"/>
                </w:tcPr>
                <w:p w14:paraId="39A6DA03">
                  <w:pPr>
                    <w:pStyle w:val="19"/>
                    <w:spacing w:before="120" w:after="120"/>
                  </w:pPr>
                  <w:r>
                    <w:rPr>
                      <w:rFonts w:hint="eastAsia"/>
                    </w:rPr>
                    <w:t>3</w:t>
                  </w:r>
                </w:p>
              </w:tc>
              <w:tc>
                <w:tcPr>
                  <w:tcW w:w="1980" w:type="dxa"/>
                  <w:vAlign w:val="center"/>
                </w:tcPr>
                <w:p w14:paraId="7B3A8F0C">
                  <w:pPr>
                    <w:pStyle w:val="19"/>
                    <w:spacing w:before="120" w:after="120"/>
                  </w:pPr>
                  <w:r>
                    <w:rPr>
                      <w:rFonts w:hint="eastAsia"/>
                    </w:rPr>
                    <w:t>供配电系统</w:t>
                  </w:r>
                </w:p>
              </w:tc>
              <w:tc>
                <w:tcPr>
                  <w:tcW w:w="5581" w:type="dxa"/>
                  <w:vAlign w:val="center"/>
                </w:tcPr>
                <w:p w14:paraId="74EE54B5">
                  <w:pPr>
                    <w:pStyle w:val="19"/>
                    <w:spacing w:before="120" w:after="120"/>
                  </w:pPr>
                  <w:r>
                    <w:rPr>
                      <w:rFonts w:hint="eastAsia"/>
                    </w:rPr>
                    <w:t>在消防泵房配电室设置一台变压器（</w:t>
                  </w:r>
                  <w:r>
                    <w:t>400kVA</w:t>
                  </w:r>
                  <w:r>
                    <w:rPr>
                      <w:rFonts w:hint="eastAsia"/>
                    </w:rPr>
                    <w:t>），单回路</w:t>
                  </w:r>
                  <w:r>
                    <w:t>10kV</w:t>
                  </w:r>
                  <w:r>
                    <w:rPr>
                      <w:rFonts w:hint="eastAsia"/>
                    </w:rPr>
                    <w:t>电源可满足厂内用电负荷的供电需要，另在站区设一台</w:t>
                  </w:r>
                  <w:r>
                    <w:t>400kW</w:t>
                  </w:r>
                  <w:r>
                    <w:rPr>
                      <w:rFonts w:hint="eastAsia"/>
                    </w:rPr>
                    <w:t>的柴油发电机，作为本工程备用电源。</w:t>
                  </w:r>
                </w:p>
              </w:tc>
            </w:tr>
            <w:tr w14:paraId="01F8B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9" w:type="dxa"/>
                  <w:vAlign w:val="center"/>
                </w:tcPr>
                <w:p w14:paraId="0295FBEB">
                  <w:pPr>
                    <w:pStyle w:val="19"/>
                    <w:spacing w:before="120" w:after="120"/>
                  </w:pPr>
                  <w:r>
                    <w:rPr>
                      <w:rFonts w:hint="eastAsia"/>
                    </w:rPr>
                    <w:t>4</w:t>
                  </w:r>
                </w:p>
              </w:tc>
              <w:tc>
                <w:tcPr>
                  <w:tcW w:w="1980" w:type="dxa"/>
                  <w:vAlign w:val="center"/>
                </w:tcPr>
                <w:p w14:paraId="4AF10E97">
                  <w:pPr>
                    <w:pStyle w:val="19"/>
                    <w:spacing w:before="120" w:after="120"/>
                  </w:pPr>
                  <w:r>
                    <w:rPr>
                      <w:rFonts w:hint="eastAsia"/>
                    </w:rPr>
                    <w:t>照明系统</w:t>
                  </w:r>
                </w:p>
              </w:tc>
              <w:tc>
                <w:tcPr>
                  <w:tcW w:w="5581" w:type="dxa"/>
                  <w:vAlign w:val="center"/>
                </w:tcPr>
                <w:p w14:paraId="49FD7A9C">
                  <w:pPr>
                    <w:pStyle w:val="19"/>
                    <w:spacing w:before="120" w:after="120"/>
                  </w:pPr>
                  <w:r>
                    <w:rPr>
                      <w:rFonts w:hint="eastAsia"/>
                    </w:rPr>
                    <w:t>照明灯具采用分区域或自动感应开关控制，按功能不同设置用电计量装置。</w:t>
                  </w:r>
                </w:p>
              </w:tc>
            </w:tr>
            <w:tr w14:paraId="117C9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9" w:type="dxa"/>
                  <w:vAlign w:val="center"/>
                </w:tcPr>
                <w:p w14:paraId="48A8096E">
                  <w:pPr>
                    <w:pStyle w:val="19"/>
                    <w:spacing w:before="120" w:after="120"/>
                  </w:pPr>
                  <w:r>
                    <w:rPr>
                      <w:rFonts w:hint="eastAsia"/>
                    </w:rPr>
                    <w:t>5</w:t>
                  </w:r>
                </w:p>
              </w:tc>
              <w:tc>
                <w:tcPr>
                  <w:tcW w:w="1980" w:type="dxa"/>
                  <w:vAlign w:val="center"/>
                </w:tcPr>
                <w:p w14:paraId="2E257AE2">
                  <w:pPr>
                    <w:pStyle w:val="19"/>
                    <w:spacing w:before="120" w:after="120"/>
                  </w:pPr>
                  <w:r>
                    <w:t>通信电信网络</w:t>
                  </w:r>
                  <w:r>
                    <w:rPr>
                      <w:rFonts w:hint="eastAsia"/>
                    </w:rPr>
                    <w:t>系统</w:t>
                  </w:r>
                </w:p>
              </w:tc>
              <w:tc>
                <w:tcPr>
                  <w:tcW w:w="5581" w:type="dxa"/>
                  <w:vAlign w:val="center"/>
                </w:tcPr>
                <w:p w14:paraId="4DBF024E">
                  <w:pPr>
                    <w:pStyle w:val="19"/>
                    <w:spacing w:before="120" w:after="120"/>
                  </w:pPr>
                  <w:r>
                    <w:rPr>
                      <w:rFonts w:hint="eastAsia"/>
                    </w:rPr>
                    <w:t>主要设备包括市话中继线接入设备、总配线架等。</w:t>
                  </w:r>
                </w:p>
              </w:tc>
            </w:tr>
          </w:tbl>
          <w:p w14:paraId="3AEEE12E">
            <w:pPr>
              <w:pStyle w:val="3"/>
              <w:numPr>
                <w:ilvl w:val="0"/>
                <w:numId w:val="4"/>
              </w:numPr>
              <w:ind w:firstLine="480"/>
            </w:pPr>
            <w:bookmarkStart w:id="57" w:name="_Toc19735"/>
            <w:bookmarkStart w:id="58" w:name="_Toc4452"/>
            <w:r>
              <w:rPr>
                <w:rFonts w:hint="eastAsia"/>
              </w:rPr>
              <w:t>原辅材料消耗</w:t>
            </w:r>
            <w:bookmarkEnd w:id="57"/>
            <w:bookmarkEnd w:id="58"/>
          </w:p>
          <w:p w14:paraId="72DE9E5F">
            <w:pPr>
              <w:ind w:firstLine="480"/>
            </w:pPr>
            <w:r>
              <w:rPr>
                <w:rFonts w:hint="eastAsia"/>
              </w:rPr>
              <w:t>本项目为鄂托克经济开发区蒙西产业园危险化学品运输车辆专用停车场项目，建设内容为危险化学品车辆专用停车场以及辅助设施。本项目的主要功能包括危险化学品车辆停车、</w:t>
            </w:r>
            <w:r>
              <w:rPr>
                <w:rFonts w:hint="eastAsia"/>
                <w:lang w:val="en-US" w:eastAsia="zh-CN"/>
              </w:rPr>
              <w:t>候</w:t>
            </w:r>
            <w:r>
              <w:rPr>
                <w:rFonts w:hint="eastAsia"/>
              </w:rPr>
              <w:t>检、过磅、车辆简单清洗和检修。维修</w:t>
            </w:r>
            <w:r>
              <w:t>车间只进行简单的车辆维修</w:t>
            </w:r>
            <w:r>
              <w:rPr>
                <w:rFonts w:hint="eastAsia"/>
              </w:rPr>
              <w:t>，</w:t>
            </w:r>
            <w:r>
              <w:t>如更换机油、换胎、补胎等简单维修</w:t>
            </w:r>
            <w:r>
              <w:rPr>
                <w:rFonts w:hint="eastAsia"/>
              </w:rPr>
              <w:t>，</w:t>
            </w:r>
            <w:r>
              <w:t>不进行喷漆、焊接等活动；洗车车间仅进行车辆外观清洗</w:t>
            </w:r>
            <w:r>
              <w:rPr>
                <w:rFonts w:hint="eastAsia"/>
              </w:rPr>
              <w:t>，</w:t>
            </w:r>
            <w:r>
              <w:t>不对</w:t>
            </w:r>
            <w:r>
              <w:rPr>
                <w:rFonts w:hint="eastAsia"/>
              </w:rPr>
              <w:t>车（</w:t>
            </w:r>
            <w:r>
              <w:t>罐</w:t>
            </w:r>
            <w:r>
              <w:rPr>
                <w:rFonts w:hint="eastAsia"/>
              </w:rPr>
              <w:t>）</w:t>
            </w:r>
            <w:r>
              <w:t>内部进行清洗。</w:t>
            </w:r>
            <w:r>
              <w:rPr>
                <w:rFonts w:hint="eastAsia"/>
              </w:rPr>
              <w:t>项目运营主要的消耗品有洗涤剂、机油、刹车油、变速箱油、</w:t>
            </w:r>
            <w:r>
              <w:rPr>
                <w:szCs w:val="21"/>
              </w:rPr>
              <w:t>冷却液</w:t>
            </w:r>
            <w:r>
              <w:rPr>
                <w:rFonts w:hint="eastAsia"/>
                <w:szCs w:val="21"/>
              </w:rPr>
              <w:t>、汽车零部件等，具体消耗情况如下表所示：</w:t>
            </w:r>
          </w:p>
          <w:p w14:paraId="4E3770D5">
            <w:pPr>
              <w:pStyle w:val="21"/>
              <w:spacing w:before="120"/>
              <w:rPr>
                <w:rFonts w:hint="default"/>
              </w:rPr>
            </w:pPr>
            <w:bookmarkStart w:id="59" w:name="_Toc16488"/>
            <w:bookmarkStart w:id="60" w:name="_Toc24395"/>
            <w:r>
              <w:t>表2-8  主要材料消耗情况一览表</w:t>
            </w:r>
            <w:bookmarkEnd w:id="59"/>
            <w:bookmarkEnd w:id="60"/>
          </w:p>
          <w:tbl>
            <w:tblPr>
              <w:tblStyle w:val="1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5"/>
              <w:gridCol w:w="1188"/>
              <w:gridCol w:w="1239"/>
              <w:gridCol w:w="1436"/>
              <w:gridCol w:w="1597"/>
              <w:gridCol w:w="1490"/>
            </w:tblGrid>
            <w:tr w14:paraId="3C8B7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850" w:type="pct"/>
                  <w:tcBorders>
                    <w:tl2br w:val="nil"/>
                    <w:tr2bl w:val="nil"/>
                  </w:tcBorders>
                  <w:vAlign w:val="center"/>
                </w:tcPr>
                <w:p w14:paraId="0689AEBE">
                  <w:pPr>
                    <w:pStyle w:val="19"/>
                    <w:spacing w:before="120" w:after="120"/>
                  </w:pPr>
                  <w:r>
                    <w:t>物质名称</w:t>
                  </w:r>
                </w:p>
              </w:tc>
              <w:tc>
                <w:tcPr>
                  <w:tcW w:w="709" w:type="pct"/>
                  <w:tcBorders>
                    <w:tl2br w:val="nil"/>
                    <w:tr2bl w:val="nil"/>
                  </w:tcBorders>
                  <w:vAlign w:val="center"/>
                </w:tcPr>
                <w:p w14:paraId="422A5D28">
                  <w:pPr>
                    <w:pStyle w:val="19"/>
                    <w:spacing w:before="120" w:after="120"/>
                  </w:pPr>
                  <w:r>
                    <w:t>用途</w:t>
                  </w:r>
                </w:p>
              </w:tc>
              <w:tc>
                <w:tcPr>
                  <w:tcW w:w="739" w:type="pct"/>
                  <w:tcBorders>
                    <w:tl2br w:val="nil"/>
                    <w:tr2bl w:val="nil"/>
                  </w:tcBorders>
                  <w:vAlign w:val="center"/>
                </w:tcPr>
                <w:p w14:paraId="44D94B3F">
                  <w:pPr>
                    <w:pStyle w:val="19"/>
                    <w:spacing w:before="120" w:after="120"/>
                  </w:pPr>
                  <w:r>
                    <w:t>年用量</w:t>
                  </w:r>
                </w:p>
              </w:tc>
              <w:tc>
                <w:tcPr>
                  <w:tcW w:w="857" w:type="pct"/>
                  <w:tcBorders>
                    <w:tl2br w:val="nil"/>
                    <w:tr2bl w:val="nil"/>
                  </w:tcBorders>
                  <w:vAlign w:val="center"/>
                </w:tcPr>
                <w:p w14:paraId="6A8C7D6E">
                  <w:pPr>
                    <w:pStyle w:val="19"/>
                    <w:spacing w:before="120" w:after="120"/>
                  </w:pPr>
                  <w:r>
                    <w:t>储存方式</w:t>
                  </w:r>
                </w:p>
              </w:tc>
              <w:tc>
                <w:tcPr>
                  <w:tcW w:w="953" w:type="pct"/>
                  <w:tcBorders>
                    <w:tl2br w:val="nil"/>
                    <w:tr2bl w:val="nil"/>
                  </w:tcBorders>
                  <w:vAlign w:val="center"/>
                </w:tcPr>
                <w:p w14:paraId="6172A1F9">
                  <w:pPr>
                    <w:pStyle w:val="19"/>
                    <w:spacing w:before="120" w:after="120"/>
                  </w:pPr>
                  <w:r>
                    <w:t>最大储存量</w:t>
                  </w:r>
                </w:p>
              </w:tc>
              <w:tc>
                <w:tcPr>
                  <w:tcW w:w="889" w:type="pct"/>
                  <w:tcBorders>
                    <w:tl2br w:val="nil"/>
                    <w:tr2bl w:val="nil"/>
                  </w:tcBorders>
                  <w:vAlign w:val="center"/>
                </w:tcPr>
                <w:p w14:paraId="36C7B649">
                  <w:pPr>
                    <w:pStyle w:val="19"/>
                    <w:spacing w:before="120" w:after="120"/>
                  </w:pPr>
                  <w:r>
                    <w:t>备注</w:t>
                  </w:r>
                </w:p>
              </w:tc>
            </w:tr>
            <w:tr w14:paraId="4F8DF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0" w:type="pct"/>
                  <w:tcBorders>
                    <w:tl2br w:val="nil"/>
                    <w:tr2bl w:val="nil"/>
                  </w:tcBorders>
                  <w:vAlign w:val="center"/>
                </w:tcPr>
                <w:p w14:paraId="7ACA3FBA">
                  <w:pPr>
                    <w:pStyle w:val="19"/>
                    <w:spacing w:before="120" w:after="120"/>
                  </w:pPr>
                  <w:r>
                    <w:t>洗涤剂</w:t>
                  </w:r>
                </w:p>
              </w:tc>
              <w:tc>
                <w:tcPr>
                  <w:tcW w:w="709" w:type="pct"/>
                  <w:tcBorders>
                    <w:tl2br w:val="nil"/>
                    <w:tr2bl w:val="nil"/>
                  </w:tcBorders>
                  <w:vAlign w:val="center"/>
                </w:tcPr>
                <w:p w14:paraId="765B12A5">
                  <w:pPr>
                    <w:pStyle w:val="19"/>
                    <w:spacing w:before="120" w:after="120"/>
                  </w:pPr>
                  <w:r>
                    <w:t>清洗用</w:t>
                  </w:r>
                </w:p>
              </w:tc>
              <w:tc>
                <w:tcPr>
                  <w:tcW w:w="739" w:type="pct"/>
                  <w:tcBorders>
                    <w:tl2br w:val="nil"/>
                    <w:tr2bl w:val="nil"/>
                  </w:tcBorders>
                  <w:vAlign w:val="center"/>
                </w:tcPr>
                <w:p w14:paraId="641B7C2F">
                  <w:pPr>
                    <w:pStyle w:val="19"/>
                    <w:spacing w:before="120" w:after="120"/>
                  </w:pPr>
                  <w:r>
                    <w:t>0.5t</w:t>
                  </w:r>
                </w:p>
              </w:tc>
              <w:tc>
                <w:tcPr>
                  <w:tcW w:w="857" w:type="pct"/>
                  <w:tcBorders>
                    <w:tl2br w:val="nil"/>
                    <w:tr2bl w:val="nil"/>
                  </w:tcBorders>
                  <w:vAlign w:val="center"/>
                </w:tcPr>
                <w:p w14:paraId="48725B20">
                  <w:pPr>
                    <w:pStyle w:val="19"/>
                    <w:spacing w:before="120" w:after="120"/>
                  </w:pPr>
                  <w:r>
                    <w:t>桶装</w:t>
                  </w:r>
                </w:p>
              </w:tc>
              <w:tc>
                <w:tcPr>
                  <w:tcW w:w="953" w:type="pct"/>
                  <w:tcBorders>
                    <w:tl2br w:val="nil"/>
                    <w:tr2bl w:val="nil"/>
                  </w:tcBorders>
                  <w:vAlign w:val="center"/>
                </w:tcPr>
                <w:p w14:paraId="6BD5E0C3">
                  <w:pPr>
                    <w:pStyle w:val="19"/>
                    <w:spacing w:before="120" w:after="120"/>
                  </w:pPr>
                  <w:r>
                    <w:t>0.25t</w:t>
                  </w:r>
                </w:p>
              </w:tc>
              <w:tc>
                <w:tcPr>
                  <w:tcW w:w="889" w:type="pct"/>
                  <w:tcBorders>
                    <w:tl2br w:val="nil"/>
                    <w:tr2bl w:val="nil"/>
                  </w:tcBorders>
                  <w:vAlign w:val="center"/>
                </w:tcPr>
                <w:p w14:paraId="0C83D9E0">
                  <w:pPr>
                    <w:pStyle w:val="19"/>
                    <w:spacing w:before="120" w:after="120"/>
                  </w:pPr>
                  <w:r>
                    <w:rPr>
                      <w:rFonts w:hint="eastAsia"/>
                    </w:rPr>
                    <w:t>洗车车间</w:t>
                  </w:r>
                </w:p>
              </w:tc>
            </w:tr>
            <w:tr w14:paraId="585D0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0" w:type="pct"/>
                  <w:tcBorders>
                    <w:tl2br w:val="nil"/>
                    <w:tr2bl w:val="nil"/>
                  </w:tcBorders>
                  <w:vAlign w:val="center"/>
                </w:tcPr>
                <w:p w14:paraId="723F804D">
                  <w:pPr>
                    <w:pStyle w:val="19"/>
                    <w:spacing w:before="120" w:after="120"/>
                  </w:pPr>
                  <w:r>
                    <w:t>机油</w:t>
                  </w:r>
                </w:p>
              </w:tc>
              <w:tc>
                <w:tcPr>
                  <w:tcW w:w="709" w:type="pct"/>
                  <w:tcBorders>
                    <w:tl2br w:val="nil"/>
                    <w:tr2bl w:val="nil"/>
                  </w:tcBorders>
                  <w:vAlign w:val="center"/>
                </w:tcPr>
                <w:p w14:paraId="610740BB">
                  <w:pPr>
                    <w:pStyle w:val="19"/>
                    <w:spacing w:before="120" w:after="120"/>
                  </w:pPr>
                  <w:r>
                    <w:t>维修保养</w:t>
                  </w:r>
                </w:p>
              </w:tc>
              <w:tc>
                <w:tcPr>
                  <w:tcW w:w="739" w:type="pct"/>
                  <w:tcBorders>
                    <w:tl2br w:val="nil"/>
                    <w:tr2bl w:val="nil"/>
                  </w:tcBorders>
                  <w:vAlign w:val="center"/>
                </w:tcPr>
                <w:p w14:paraId="6B011824">
                  <w:pPr>
                    <w:pStyle w:val="19"/>
                    <w:spacing w:before="120" w:after="120"/>
                  </w:pPr>
                  <w:r>
                    <w:rPr>
                      <w:rFonts w:hint="eastAsia"/>
                    </w:rPr>
                    <w:t>1</w:t>
                  </w:r>
                  <w:r>
                    <w:t>t</w:t>
                  </w:r>
                </w:p>
              </w:tc>
              <w:tc>
                <w:tcPr>
                  <w:tcW w:w="857" w:type="pct"/>
                  <w:tcBorders>
                    <w:tl2br w:val="nil"/>
                    <w:tr2bl w:val="nil"/>
                  </w:tcBorders>
                  <w:vAlign w:val="center"/>
                </w:tcPr>
                <w:p w14:paraId="3635FFCE">
                  <w:pPr>
                    <w:pStyle w:val="19"/>
                    <w:spacing w:before="120" w:after="120"/>
                  </w:pPr>
                  <w:r>
                    <w:t>桶装</w:t>
                  </w:r>
                </w:p>
              </w:tc>
              <w:tc>
                <w:tcPr>
                  <w:tcW w:w="953" w:type="pct"/>
                  <w:tcBorders>
                    <w:tl2br w:val="nil"/>
                    <w:tr2bl w:val="nil"/>
                  </w:tcBorders>
                  <w:vAlign w:val="center"/>
                </w:tcPr>
                <w:p w14:paraId="36C92679">
                  <w:pPr>
                    <w:pStyle w:val="19"/>
                    <w:spacing w:before="120" w:after="120"/>
                  </w:pPr>
                  <w:r>
                    <w:t>0.5t</w:t>
                  </w:r>
                </w:p>
              </w:tc>
              <w:tc>
                <w:tcPr>
                  <w:tcW w:w="889" w:type="pct"/>
                  <w:vMerge w:val="restart"/>
                  <w:tcBorders>
                    <w:tl2br w:val="nil"/>
                    <w:tr2bl w:val="nil"/>
                  </w:tcBorders>
                  <w:vAlign w:val="center"/>
                </w:tcPr>
                <w:p w14:paraId="5FF34294">
                  <w:pPr>
                    <w:pStyle w:val="19"/>
                    <w:spacing w:before="120" w:after="120"/>
                  </w:pPr>
                  <w:r>
                    <w:rPr>
                      <w:rFonts w:hint="eastAsia"/>
                    </w:rPr>
                    <w:t>维修车间</w:t>
                  </w:r>
                </w:p>
              </w:tc>
            </w:tr>
            <w:tr w14:paraId="30B20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0" w:type="pct"/>
                  <w:tcBorders>
                    <w:tl2br w:val="nil"/>
                    <w:tr2bl w:val="nil"/>
                  </w:tcBorders>
                  <w:vAlign w:val="center"/>
                </w:tcPr>
                <w:p w14:paraId="5BD74790">
                  <w:pPr>
                    <w:pStyle w:val="19"/>
                    <w:spacing w:before="120" w:after="120"/>
                  </w:pPr>
                  <w:r>
                    <w:t>刹车油</w:t>
                  </w:r>
                </w:p>
              </w:tc>
              <w:tc>
                <w:tcPr>
                  <w:tcW w:w="709" w:type="pct"/>
                  <w:tcBorders>
                    <w:tl2br w:val="nil"/>
                    <w:tr2bl w:val="nil"/>
                  </w:tcBorders>
                  <w:vAlign w:val="center"/>
                </w:tcPr>
                <w:p w14:paraId="6AE0E831">
                  <w:pPr>
                    <w:pStyle w:val="19"/>
                    <w:spacing w:before="120" w:after="120"/>
                  </w:pPr>
                  <w:r>
                    <w:t>维修保养</w:t>
                  </w:r>
                </w:p>
              </w:tc>
              <w:tc>
                <w:tcPr>
                  <w:tcW w:w="739" w:type="pct"/>
                  <w:tcBorders>
                    <w:tl2br w:val="nil"/>
                    <w:tr2bl w:val="nil"/>
                  </w:tcBorders>
                  <w:vAlign w:val="center"/>
                </w:tcPr>
                <w:p w14:paraId="27003705">
                  <w:pPr>
                    <w:pStyle w:val="19"/>
                    <w:spacing w:before="120" w:after="120"/>
                  </w:pPr>
                  <w:r>
                    <w:t>1t</w:t>
                  </w:r>
                </w:p>
              </w:tc>
              <w:tc>
                <w:tcPr>
                  <w:tcW w:w="857" w:type="pct"/>
                  <w:tcBorders>
                    <w:tl2br w:val="nil"/>
                    <w:tr2bl w:val="nil"/>
                  </w:tcBorders>
                  <w:vAlign w:val="center"/>
                </w:tcPr>
                <w:p w14:paraId="61DE716F">
                  <w:pPr>
                    <w:pStyle w:val="19"/>
                    <w:spacing w:before="120" w:after="120"/>
                  </w:pPr>
                  <w:r>
                    <w:t>桶装</w:t>
                  </w:r>
                </w:p>
              </w:tc>
              <w:tc>
                <w:tcPr>
                  <w:tcW w:w="953" w:type="pct"/>
                  <w:tcBorders>
                    <w:tl2br w:val="nil"/>
                    <w:tr2bl w:val="nil"/>
                  </w:tcBorders>
                  <w:vAlign w:val="center"/>
                </w:tcPr>
                <w:p w14:paraId="62B577F8">
                  <w:pPr>
                    <w:pStyle w:val="19"/>
                    <w:spacing w:before="120" w:after="120"/>
                  </w:pPr>
                  <w:r>
                    <w:t>0.25t</w:t>
                  </w:r>
                </w:p>
              </w:tc>
              <w:tc>
                <w:tcPr>
                  <w:tcW w:w="889" w:type="pct"/>
                  <w:vMerge w:val="continue"/>
                  <w:tcBorders>
                    <w:tl2br w:val="nil"/>
                    <w:tr2bl w:val="nil"/>
                  </w:tcBorders>
                  <w:vAlign w:val="center"/>
                </w:tcPr>
                <w:p w14:paraId="4257194C">
                  <w:pPr>
                    <w:pStyle w:val="19"/>
                    <w:spacing w:before="120" w:after="120"/>
                  </w:pPr>
                </w:p>
              </w:tc>
            </w:tr>
            <w:tr w14:paraId="0D2DD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0" w:type="pct"/>
                  <w:tcBorders>
                    <w:tl2br w:val="nil"/>
                    <w:tr2bl w:val="nil"/>
                  </w:tcBorders>
                  <w:vAlign w:val="center"/>
                </w:tcPr>
                <w:p w14:paraId="351BBAAD">
                  <w:pPr>
                    <w:pStyle w:val="19"/>
                    <w:spacing w:before="120" w:after="120"/>
                  </w:pPr>
                  <w:r>
                    <w:t>变速箱油</w:t>
                  </w:r>
                </w:p>
              </w:tc>
              <w:tc>
                <w:tcPr>
                  <w:tcW w:w="709" w:type="pct"/>
                  <w:tcBorders>
                    <w:tl2br w:val="nil"/>
                    <w:tr2bl w:val="nil"/>
                  </w:tcBorders>
                  <w:vAlign w:val="center"/>
                </w:tcPr>
                <w:p w14:paraId="1DE33B89">
                  <w:pPr>
                    <w:pStyle w:val="19"/>
                    <w:spacing w:before="120" w:after="120"/>
                  </w:pPr>
                  <w:r>
                    <w:t>维修保养</w:t>
                  </w:r>
                </w:p>
              </w:tc>
              <w:tc>
                <w:tcPr>
                  <w:tcW w:w="739" w:type="pct"/>
                  <w:tcBorders>
                    <w:tl2br w:val="nil"/>
                    <w:tr2bl w:val="nil"/>
                  </w:tcBorders>
                  <w:vAlign w:val="center"/>
                </w:tcPr>
                <w:p w14:paraId="2E5607E6">
                  <w:pPr>
                    <w:pStyle w:val="19"/>
                    <w:spacing w:before="120" w:after="120"/>
                  </w:pPr>
                  <w:r>
                    <w:t>0.5t</w:t>
                  </w:r>
                </w:p>
              </w:tc>
              <w:tc>
                <w:tcPr>
                  <w:tcW w:w="857" w:type="pct"/>
                  <w:tcBorders>
                    <w:tl2br w:val="nil"/>
                    <w:tr2bl w:val="nil"/>
                  </w:tcBorders>
                  <w:vAlign w:val="center"/>
                </w:tcPr>
                <w:p w14:paraId="1F238A31">
                  <w:pPr>
                    <w:pStyle w:val="19"/>
                    <w:spacing w:before="120" w:after="120"/>
                  </w:pPr>
                  <w:r>
                    <w:t>桶装</w:t>
                  </w:r>
                </w:p>
              </w:tc>
              <w:tc>
                <w:tcPr>
                  <w:tcW w:w="953" w:type="pct"/>
                  <w:tcBorders>
                    <w:tl2br w:val="nil"/>
                    <w:tr2bl w:val="nil"/>
                  </w:tcBorders>
                  <w:vAlign w:val="center"/>
                </w:tcPr>
                <w:p w14:paraId="3C8EBFA9">
                  <w:pPr>
                    <w:pStyle w:val="19"/>
                    <w:spacing w:before="120" w:after="120"/>
                  </w:pPr>
                  <w:r>
                    <w:t>0.1t</w:t>
                  </w:r>
                </w:p>
              </w:tc>
              <w:tc>
                <w:tcPr>
                  <w:tcW w:w="889" w:type="pct"/>
                  <w:vMerge w:val="continue"/>
                  <w:tcBorders>
                    <w:tl2br w:val="nil"/>
                    <w:tr2bl w:val="nil"/>
                  </w:tcBorders>
                  <w:vAlign w:val="center"/>
                </w:tcPr>
                <w:p w14:paraId="36905AC0">
                  <w:pPr>
                    <w:pStyle w:val="19"/>
                    <w:spacing w:before="120" w:after="120"/>
                  </w:pPr>
                </w:p>
              </w:tc>
            </w:tr>
            <w:tr w14:paraId="74DBA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0" w:type="pct"/>
                  <w:tcBorders>
                    <w:tl2br w:val="nil"/>
                    <w:tr2bl w:val="nil"/>
                  </w:tcBorders>
                  <w:vAlign w:val="center"/>
                </w:tcPr>
                <w:p w14:paraId="15735D5F">
                  <w:pPr>
                    <w:pStyle w:val="19"/>
                    <w:spacing w:before="120" w:after="120"/>
                  </w:pPr>
                  <w:r>
                    <w:t>冷却液</w:t>
                  </w:r>
                </w:p>
              </w:tc>
              <w:tc>
                <w:tcPr>
                  <w:tcW w:w="709" w:type="pct"/>
                  <w:tcBorders>
                    <w:tl2br w:val="nil"/>
                    <w:tr2bl w:val="nil"/>
                  </w:tcBorders>
                  <w:vAlign w:val="center"/>
                </w:tcPr>
                <w:p w14:paraId="39950ADA">
                  <w:pPr>
                    <w:pStyle w:val="19"/>
                    <w:spacing w:before="120" w:after="120"/>
                  </w:pPr>
                  <w:r>
                    <w:t>维修保养</w:t>
                  </w:r>
                </w:p>
              </w:tc>
              <w:tc>
                <w:tcPr>
                  <w:tcW w:w="739" w:type="pct"/>
                  <w:tcBorders>
                    <w:tl2br w:val="nil"/>
                    <w:tr2bl w:val="nil"/>
                  </w:tcBorders>
                  <w:vAlign w:val="center"/>
                </w:tcPr>
                <w:p w14:paraId="79F10F65">
                  <w:pPr>
                    <w:pStyle w:val="19"/>
                    <w:spacing w:before="120" w:after="120"/>
                  </w:pPr>
                  <w:r>
                    <w:t>0.5t</w:t>
                  </w:r>
                </w:p>
              </w:tc>
              <w:tc>
                <w:tcPr>
                  <w:tcW w:w="857" w:type="pct"/>
                  <w:tcBorders>
                    <w:tl2br w:val="nil"/>
                    <w:tr2bl w:val="nil"/>
                  </w:tcBorders>
                  <w:vAlign w:val="center"/>
                </w:tcPr>
                <w:p w14:paraId="574814D6">
                  <w:pPr>
                    <w:pStyle w:val="19"/>
                    <w:spacing w:before="120" w:after="120"/>
                  </w:pPr>
                  <w:r>
                    <w:t>桶装</w:t>
                  </w:r>
                </w:p>
              </w:tc>
              <w:tc>
                <w:tcPr>
                  <w:tcW w:w="953" w:type="pct"/>
                  <w:tcBorders>
                    <w:tl2br w:val="nil"/>
                    <w:tr2bl w:val="nil"/>
                  </w:tcBorders>
                  <w:vAlign w:val="center"/>
                </w:tcPr>
                <w:p w14:paraId="6DACC033">
                  <w:pPr>
                    <w:pStyle w:val="19"/>
                    <w:spacing w:before="120" w:after="120"/>
                  </w:pPr>
                  <w:r>
                    <w:t>0.1t</w:t>
                  </w:r>
                </w:p>
              </w:tc>
              <w:tc>
                <w:tcPr>
                  <w:tcW w:w="889" w:type="pct"/>
                  <w:vMerge w:val="continue"/>
                  <w:tcBorders>
                    <w:tl2br w:val="nil"/>
                    <w:tr2bl w:val="nil"/>
                  </w:tcBorders>
                  <w:vAlign w:val="center"/>
                </w:tcPr>
                <w:p w14:paraId="28A3C17D">
                  <w:pPr>
                    <w:pStyle w:val="19"/>
                    <w:spacing w:before="120" w:after="120"/>
                  </w:pPr>
                </w:p>
              </w:tc>
            </w:tr>
            <w:tr w14:paraId="1F88B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0" w:type="pct"/>
                  <w:tcBorders>
                    <w:tl2br w:val="nil"/>
                    <w:tr2bl w:val="nil"/>
                  </w:tcBorders>
                  <w:vAlign w:val="center"/>
                </w:tcPr>
                <w:p w14:paraId="5B95F08F">
                  <w:pPr>
                    <w:pStyle w:val="19"/>
                    <w:spacing w:before="120" w:after="120"/>
                  </w:pPr>
                  <w:r>
                    <w:t>汽车零部件</w:t>
                  </w:r>
                </w:p>
              </w:tc>
              <w:tc>
                <w:tcPr>
                  <w:tcW w:w="709" w:type="pct"/>
                  <w:tcBorders>
                    <w:tl2br w:val="nil"/>
                    <w:tr2bl w:val="nil"/>
                  </w:tcBorders>
                  <w:vAlign w:val="center"/>
                </w:tcPr>
                <w:p w14:paraId="29390359">
                  <w:pPr>
                    <w:pStyle w:val="19"/>
                    <w:spacing w:before="120" w:after="120"/>
                  </w:pPr>
                  <w:r>
                    <w:t>维修保养</w:t>
                  </w:r>
                </w:p>
              </w:tc>
              <w:tc>
                <w:tcPr>
                  <w:tcW w:w="739" w:type="pct"/>
                  <w:tcBorders>
                    <w:tl2br w:val="nil"/>
                    <w:tr2bl w:val="nil"/>
                  </w:tcBorders>
                  <w:vAlign w:val="center"/>
                </w:tcPr>
                <w:p w14:paraId="1D580383">
                  <w:pPr>
                    <w:pStyle w:val="19"/>
                    <w:spacing w:before="120" w:after="120"/>
                  </w:pPr>
                  <w:r>
                    <w:t>1000个</w:t>
                  </w:r>
                </w:p>
              </w:tc>
              <w:tc>
                <w:tcPr>
                  <w:tcW w:w="857" w:type="pct"/>
                  <w:tcBorders>
                    <w:tl2br w:val="nil"/>
                    <w:tr2bl w:val="nil"/>
                  </w:tcBorders>
                  <w:vAlign w:val="center"/>
                </w:tcPr>
                <w:p w14:paraId="18F28949">
                  <w:pPr>
                    <w:pStyle w:val="19"/>
                    <w:spacing w:before="120" w:after="120"/>
                  </w:pPr>
                  <w:r>
                    <w:t>桶装</w:t>
                  </w:r>
                </w:p>
              </w:tc>
              <w:tc>
                <w:tcPr>
                  <w:tcW w:w="953" w:type="pct"/>
                  <w:tcBorders>
                    <w:tl2br w:val="nil"/>
                    <w:tr2bl w:val="nil"/>
                  </w:tcBorders>
                  <w:vAlign w:val="center"/>
                </w:tcPr>
                <w:p w14:paraId="72A343E5">
                  <w:pPr>
                    <w:pStyle w:val="19"/>
                    <w:spacing w:before="120" w:after="120"/>
                  </w:pPr>
                  <w:r>
                    <w:t>300个</w:t>
                  </w:r>
                </w:p>
              </w:tc>
              <w:tc>
                <w:tcPr>
                  <w:tcW w:w="889" w:type="pct"/>
                  <w:vMerge w:val="continue"/>
                  <w:tcBorders>
                    <w:tl2br w:val="nil"/>
                    <w:tr2bl w:val="nil"/>
                  </w:tcBorders>
                  <w:vAlign w:val="center"/>
                </w:tcPr>
                <w:p w14:paraId="20B25EC2">
                  <w:pPr>
                    <w:pStyle w:val="19"/>
                    <w:spacing w:before="120" w:after="120"/>
                  </w:pPr>
                </w:p>
              </w:tc>
            </w:tr>
          </w:tbl>
          <w:p w14:paraId="35F2DC7E">
            <w:pPr>
              <w:pStyle w:val="3"/>
              <w:ind w:firstLine="480"/>
            </w:pPr>
            <w:bookmarkStart w:id="61" w:name="_Toc5739"/>
            <w:bookmarkStart w:id="62" w:name="_Toc32517"/>
            <w:r>
              <w:rPr>
                <w:rFonts w:hint="eastAsia"/>
              </w:rPr>
              <w:t>11、平面布置情况</w:t>
            </w:r>
            <w:bookmarkEnd w:id="61"/>
            <w:bookmarkEnd w:id="62"/>
          </w:p>
          <w:p w14:paraId="4149AE27">
            <w:pPr>
              <w:ind w:firstLine="480"/>
            </w:pPr>
            <w:r>
              <w:rPr>
                <w:rFonts w:hint="eastAsia"/>
              </w:rPr>
              <w:t>按照总平面布置原则、总图布局以及场地条件，尽量保证停车服务有序作业，将性质相同、功能相近、联系密切，对环境要求一致的建、构筑物布置在相对集中的区域内，功能分区合理。项目场区近似长方形，现状为荒地，平面布置设计如下：</w:t>
            </w:r>
          </w:p>
          <w:p w14:paraId="13ECC3BD">
            <w:pPr>
              <w:ind w:firstLine="480"/>
            </w:pPr>
            <w:r>
              <w:rPr>
                <w:rFonts w:hint="eastAsia"/>
              </w:rPr>
              <w:t>危化品停车区在场地的西北侧，总占地面积</w:t>
            </w:r>
            <w:r>
              <w:t>8152.25</w:t>
            </w:r>
            <w:r>
              <w:rPr>
                <w:rFonts w:hint="eastAsia"/>
              </w:rPr>
              <w:t>m</w:t>
            </w:r>
            <w:r>
              <w:rPr>
                <w:rFonts w:hint="eastAsia"/>
                <w:vertAlign w:val="superscript"/>
              </w:rPr>
              <w:t>2</w:t>
            </w:r>
            <w:r>
              <w:rPr>
                <w:rFonts w:hint="eastAsia"/>
              </w:rPr>
              <w:t>，分为四个停车区域，北侧布置32个空车停车位，南侧布置</w:t>
            </w:r>
            <w:r>
              <w:t>10</w:t>
            </w:r>
            <w:r>
              <w:rPr>
                <w:rFonts w:hint="eastAsia"/>
              </w:rPr>
              <w:t>个重车停车位和</w:t>
            </w:r>
            <w:r>
              <w:t>28</w:t>
            </w:r>
            <w:r>
              <w:rPr>
                <w:rFonts w:hint="eastAsia"/>
              </w:rPr>
              <w:t>个空车停车位。服务区整体位于场区东侧和南侧，东侧由北向南依次布置有综合管理用房、候检区、辅助用房，南侧由西向东依次布置有危废暂存间、维修车间、洗车车间、污水处理区、初期雨水池和事故水池、消防水池和消防水泵房等。停车场出入口设置在场区东侧，全场设置环形消防通道，消防车道宽度为</w:t>
            </w:r>
            <w:r>
              <w:t>9</w:t>
            </w:r>
            <w:r>
              <w:rPr>
                <w:rFonts w:hint="eastAsia"/>
              </w:rPr>
              <w:t>米，危化品车辆由东侧两个出入口分开进场，西侧设有应急出入口。</w:t>
            </w:r>
          </w:p>
          <w:p w14:paraId="19DDAD5B">
            <w:pPr>
              <w:ind w:firstLine="480"/>
            </w:pPr>
            <w:r>
              <w:rPr>
                <w:rFonts w:hint="eastAsia"/>
              </w:rPr>
              <w:t>项目平面布置详见附图。</w:t>
            </w:r>
          </w:p>
          <w:p w14:paraId="1544FACD">
            <w:pPr>
              <w:pStyle w:val="3"/>
              <w:ind w:firstLine="480"/>
            </w:pPr>
            <w:bookmarkStart w:id="63" w:name="_Toc3254"/>
            <w:bookmarkStart w:id="64" w:name="_Toc12332"/>
            <w:r>
              <w:rPr>
                <w:rFonts w:hint="eastAsia"/>
              </w:rPr>
              <w:t>12、公用工程</w:t>
            </w:r>
            <w:bookmarkEnd w:id="63"/>
            <w:bookmarkEnd w:id="64"/>
          </w:p>
          <w:p w14:paraId="1C1EF146">
            <w:pPr>
              <w:numPr>
                <w:ilvl w:val="0"/>
                <w:numId w:val="6"/>
              </w:numPr>
              <w:ind w:firstLine="480"/>
            </w:pPr>
            <w:r>
              <w:rPr>
                <w:rFonts w:hint="eastAsia"/>
              </w:rPr>
              <w:t>给水工程</w:t>
            </w:r>
          </w:p>
          <w:p w14:paraId="47CD3BDA">
            <w:pPr>
              <w:ind w:firstLine="480"/>
            </w:pPr>
            <w:r>
              <w:rPr>
                <w:rFonts w:hint="eastAsia"/>
              </w:rPr>
              <w:t>本项目运营期用水项主要是员工用水、绿化用水、洗车用水和消防用水。消防用水由场区的消防给水系统提供（接园区消防给水系统），其余用水由</w:t>
            </w:r>
            <w:r>
              <w:t>园区自来水给水管网直接供应自来水</w:t>
            </w:r>
            <w:r>
              <w:rPr>
                <w:rFonts w:hint="eastAsia"/>
              </w:rPr>
              <w:t>（洗车用水循环使用，自来水补水）。</w:t>
            </w:r>
          </w:p>
          <w:p w14:paraId="70AAD3EB">
            <w:pPr>
              <w:ind w:firstLine="480"/>
            </w:pPr>
            <w:r>
              <w:rPr>
                <w:rFonts w:hint="eastAsia"/>
              </w:rPr>
              <w:t>①员工用水</w:t>
            </w:r>
          </w:p>
          <w:p w14:paraId="303FB2EB">
            <w:pPr>
              <w:ind w:firstLine="480"/>
            </w:pPr>
            <w:r>
              <w:rPr>
                <w:rFonts w:hint="eastAsia"/>
              </w:rPr>
              <w:t>项目劳动定员为10人，员工在场内食宿，年工作日为360天，参照《内蒙古自治区行业用水定额》（D</w:t>
            </w:r>
            <w:r>
              <w:t>B15/T385-2020</w:t>
            </w:r>
            <w:r>
              <w:rPr>
                <w:rFonts w:hint="eastAsia"/>
              </w:rPr>
              <w:t>）中“社会用水定额--城市居民”用水定额值90L/人·d，员工生活用水量为0.9m</w:t>
            </w:r>
            <w:r>
              <w:rPr>
                <w:rFonts w:hint="eastAsia"/>
                <w:vertAlign w:val="superscript"/>
              </w:rPr>
              <w:t>3</w:t>
            </w:r>
            <w:r>
              <w:rPr>
                <w:rFonts w:hint="eastAsia"/>
              </w:rPr>
              <w:t>/d（324</w:t>
            </w:r>
            <w:r>
              <w:t>m</w:t>
            </w:r>
            <w:r>
              <w:rPr>
                <w:vertAlign w:val="superscript"/>
              </w:rPr>
              <w:t>3</w:t>
            </w:r>
            <w:r>
              <w:rPr>
                <w:rFonts w:hint="eastAsia"/>
              </w:rPr>
              <w:t>/a）。</w:t>
            </w:r>
          </w:p>
          <w:p w14:paraId="58E27394">
            <w:pPr>
              <w:ind w:firstLine="480"/>
            </w:pPr>
            <w:r>
              <w:rPr>
                <w:rFonts w:hint="eastAsia"/>
              </w:rPr>
              <w:t>②绿化用水</w:t>
            </w:r>
          </w:p>
          <w:p w14:paraId="581815B4">
            <w:pPr>
              <w:ind w:firstLine="480"/>
            </w:pPr>
            <w:r>
              <w:t>场区绿化采取集中于分散相结合的绿化形式</w:t>
            </w:r>
            <w:r>
              <w:rPr>
                <w:rFonts w:hint="eastAsia"/>
              </w:rPr>
              <w:t>，</w:t>
            </w:r>
            <w:r>
              <w:t>总绿化面积为140</w:t>
            </w:r>
            <w:r>
              <w:rPr>
                <w:rFonts w:hint="eastAsia"/>
              </w:rPr>
              <w:t>m</w:t>
            </w:r>
            <w:r>
              <w:rPr>
                <w:rFonts w:hint="eastAsia"/>
                <w:vertAlign w:val="superscript"/>
              </w:rPr>
              <w:t>2</w:t>
            </w:r>
            <w:r>
              <w:rPr>
                <w:rFonts w:hint="eastAsia"/>
              </w:rPr>
              <w:t>，每年浇洒天数约为100天，绿化用水量参照《内蒙古自治区行业用水定额》（D</w:t>
            </w:r>
            <w:r>
              <w:t>B15/T385-</w:t>
            </w:r>
          </w:p>
          <w:p w14:paraId="50E9EE0C">
            <w:pPr>
              <w:ind w:firstLine="0" w:firstLineChars="0"/>
            </w:pPr>
            <w:r>
              <w:t>2020</w:t>
            </w:r>
            <w:r>
              <w:rPr>
                <w:rFonts w:hint="eastAsia"/>
              </w:rPr>
              <w:t>）中“社会用水定额--城市绿化管理”用水定额值3.3L/m</w:t>
            </w:r>
            <w:r>
              <w:rPr>
                <w:rFonts w:hint="eastAsia"/>
                <w:vertAlign w:val="superscript"/>
              </w:rPr>
              <w:t>2</w:t>
            </w:r>
            <w:r>
              <w:rPr>
                <w:rFonts w:hint="eastAsia"/>
              </w:rPr>
              <w:t>·d，则绿化用水量约为46.2m</w:t>
            </w:r>
            <w:r>
              <w:rPr>
                <w:rFonts w:hint="eastAsia"/>
                <w:vertAlign w:val="superscript"/>
              </w:rPr>
              <w:t>3</w:t>
            </w:r>
            <w:r>
              <w:rPr>
                <w:rFonts w:hint="eastAsia"/>
              </w:rPr>
              <w:t>/a。</w:t>
            </w:r>
          </w:p>
          <w:p w14:paraId="7ABC1EA2">
            <w:pPr>
              <w:ind w:firstLine="480"/>
            </w:pPr>
            <w:r>
              <w:rPr>
                <w:rFonts w:hint="eastAsia"/>
              </w:rPr>
              <w:t>③洗车用水</w:t>
            </w:r>
          </w:p>
          <w:p w14:paraId="078B3C13">
            <w:pPr>
              <w:ind w:firstLine="480"/>
            </w:pPr>
            <w:r>
              <w:rPr>
                <w:rFonts w:hint="eastAsia"/>
              </w:rPr>
              <w:t>本项目洗车车间主要对空载车辆进行清洗，</w:t>
            </w:r>
            <w:r>
              <w:t>只清洗</w:t>
            </w:r>
            <w:r>
              <w:rPr>
                <w:rFonts w:hint="eastAsia"/>
              </w:rPr>
              <w:t>外部，</w:t>
            </w:r>
            <w:r>
              <w:t>不清洗</w:t>
            </w:r>
            <w:r>
              <w:rPr>
                <w:rFonts w:hint="eastAsia"/>
              </w:rPr>
              <w:t>内壁。清洗车间为间歇式工作，按一天工作8h，洗车次数按最大的空车停车位70辆/天进行计算，洗车用水量参照《内蒙古自治区行业用水定额》（D</w:t>
            </w:r>
            <w:r>
              <w:t>B15/T385-2020</w:t>
            </w:r>
            <w:r>
              <w:rPr>
                <w:rFonts w:hint="eastAsia"/>
              </w:rPr>
              <w:t>）中“社会用水定额--其他居民服务业--洗车--大型车”用水定额值0.03m</w:t>
            </w:r>
            <w:r>
              <w:rPr>
                <w:rFonts w:hint="eastAsia"/>
                <w:vertAlign w:val="superscript"/>
              </w:rPr>
              <w:t>3</w:t>
            </w:r>
            <w:r>
              <w:rPr>
                <w:rFonts w:hint="eastAsia"/>
              </w:rPr>
              <w:t>/车次，则洗车用水量应为2.1m</w:t>
            </w:r>
            <w:r>
              <w:rPr>
                <w:rFonts w:hint="eastAsia"/>
                <w:vertAlign w:val="superscript"/>
              </w:rPr>
              <w:t>3</w:t>
            </w:r>
            <w:r>
              <w:rPr>
                <w:rFonts w:hint="eastAsia"/>
              </w:rPr>
              <w:t>/d（756</w:t>
            </w:r>
            <w:r>
              <w:t>m</w:t>
            </w:r>
            <w:r>
              <w:rPr>
                <w:vertAlign w:val="superscript"/>
              </w:rPr>
              <w:t>3</w:t>
            </w:r>
            <w:r>
              <w:rPr>
                <w:rFonts w:hint="eastAsia"/>
              </w:rPr>
              <w:t>/a）。本项目设置一体化污水处理系统，洗车污水经处理后可回用，回用率约为80%，则洗车实际耗水量为0.42m</w:t>
            </w:r>
            <w:r>
              <w:rPr>
                <w:rFonts w:hint="eastAsia"/>
                <w:vertAlign w:val="superscript"/>
              </w:rPr>
              <w:t>3</w:t>
            </w:r>
            <w:r>
              <w:rPr>
                <w:rFonts w:hint="eastAsia"/>
              </w:rPr>
              <w:t>/d（151.2</w:t>
            </w:r>
            <w:r>
              <w:t>m</w:t>
            </w:r>
            <w:r>
              <w:rPr>
                <w:vertAlign w:val="superscript"/>
              </w:rPr>
              <w:t>3</w:t>
            </w:r>
            <w:r>
              <w:rPr>
                <w:rFonts w:hint="eastAsia"/>
              </w:rPr>
              <w:t>/a）。</w:t>
            </w:r>
          </w:p>
          <w:p w14:paraId="7BAB680B">
            <w:pPr>
              <w:ind w:firstLine="480"/>
            </w:pPr>
            <w:r>
              <w:rPr>
                <w:rFonts w:hint="eastAsia"/>
              </w:rPr>
              <w:t>④消防用水</w:t>
            </w:r>
          </w:p>
          <w:p w14:paraId="77F659FC">
            <w:pPr>
              <w:ind w:firstLine="480"/>
            </w:pPr>
            <w:r>
              <w:t>本项目设置室外消火栓系统</w:t>
            </w:r>
            <w:r>
              <w:rPr>
                <w:rFonts w:hint="eastAsia"/>
              </w:rPr>
              <w:t>，</w:t>
            </w:r>
            <w:r>
              <w:t>根据重载车</w:t>
            </w:r>
            <w:r>
              <w:rPr>
                <w:rFonts w:hint="eastAsia"/>
              </w:rPr>
              <w:t>储运</w:t>
            </w:r>
            <w:r>
              <w:t>量确定室外消防用水量为15L/s</w:t>
            </w:r>
            <w:r>
              <w:rPr>
                <w:rFonts w:hint="eastAsia"/>
              </w:rPr>
              <w:t>，假设</w:t>
            </w:r>
            <w:r>
              <w:t>火灾延续时间</w:t>
            </w:r>
            <w:r>
              <w:rPr>
                <w:rFonts w:hint="eastAsia"/>
              </w:rPr>
              <w:t>为</w:t>
            </w:r>
            <w:r>
              <w:t>6h</w:t>
            </w:r>
            <w:r>
              <w:rPr>
                <w:rFonts w:hint="eastAsia"/>
              </w:rPr>
              <w:t>，</w:t>
            </w:r>
            <w:r>
              <w:t>遥控移动消防炮</w:t>
            </w:r>
            <w:r>
              <w:rPr>
                <w:rFonts w:hint="eastAsia"/>
              </w:rPr>
              <w:t>，</w:t>
            </w:r>
            <w:r>
              <w:t>消防用水量60L/s</w:t>
            </w:r>
            <w:r>
              <w:rPr>
                <w:rFonts w:hint="eastAsia"/>
              </w:rPr>
              <w:t>，</w:t>
            </w:r>
            <w:r>
              <w:t>持续喷水时间2h</w:t>
            </w:r>
            <w:r>
              <w:rPr>
                <w:rFonts w:hint="eastAsia"/>
              </w:rPr>
              <w:t>，</w:t>
            </w:r>
            <w:r>
              <w:t>全厂同一时间内火灾次数按一次计算</w:t>
            </w:r>
            <w:r>
              <w:rPr>
                <w:rFonts w:hint="eastAsia"/>
              </w:rPr>
              <w:t>，</w:t>
            </w:r>
            <w:r>
              <w:t>消防设计用水量为756m</w:t>
            </w:r>
            <w:r>
              <w:rPr>
                <w:vertAlign w:val="superscript"/>
              </w:rPr>
              <w:t>3</w:t>
            </w:r>
            <w:r>
              <w:t>。</w:t>
            </w:r>
          </w:p>
          <w:p w14:paraId="4006D96B">
            <w:pPr>
              <w:numPr>
                <w:ilvl w:val="0"/>
                <w:numId w:val="6"/>
              </w:numPr>
              <w:ind w:firstLine="480"/>
            </w:pPr>
            <w:r>
              <w:rPr>
                <w:rFonts w:hint="eastAsia"/>
              </w:rPr>
              <w:t>排水工程</w:t>
            </w:r>
          </w:p>
          <w:p w14:paraId="61095582">
            <w:pPr>
              <w:ind w:firstLine="480"/>
            </w:pPr>
            <w:r>
              <w:rPr>
                <w:rFonts w:hint="eastAsia"/>
              </w:rPr>
              <w:t>本项目运营期洗车污水经一体化处理设施处理后回用于洗车，排水项主要是生活污水和消防废水。</w:t>
            </w:r>
          </w:p>
          <w:p w14:paraId="3AEE857D">
            <w:pPr>
              <w:ind w:firstLine="480"/>
            </w:pPr>
            <w:r>
              <w:rPr>
                <w:rFonts w:hint="eastAsia"/>
              </w:rPr>
              <w:t>①生活污水</w:t>
            </w:r>
          </w:p>
          <w:p w14:paraId="13413800">
            <w:pPr>
              <w:ind w:firstLine="480"/>
            </w:pPr>
            <w:r>
              <w:rPr>
                <w:rFonts w:hint="eastAsia"/>
              </w:rPr>
              <w:t>生活污水排放量按生活用水量的80%计，则生活污水排放量为0.72m</w:t>
            </w:r>
            <w:r>
              <w:rPr>
                <w:rFonts w:hint="eastAsia"/>
                <w:vertAlign w:val="superscript"/>
              </w:rPr>
              <w:t>3</w:t>
            </w:r>
            <w:r>
              <w:rPr>
                <w:rFonts w:hint="eastAsia"/>
              </w:rPr>
              <w:t>/d（259.2m</w:t>
            </w:r>
            <w:r>
              <w:rPr>
                <w:rFonts w:hint="eastAsia"/>
                <w:vertAlign w:val="superscript"/>
              </w:rPr>
              <w:t>3</w:t>
            </w:r>
            <w:r>
              <w:rPr>
                <w:rFonts w:hint="eastAsia"/>
              </w:rPr>
              <w:t>/a）。生活污水排入场区化粪池处理后，进入园区污水管网。</w:t>
            </w:r>
          </w:p>
          <w:p w14:paraId="1ABB4A71">
            <w:pPr>
              <w:ind w:firstLine="480"/>
            </w:pPr>
            <w:r>
              <w:rPr>
                <w:rFonts w:hint="eastAsia"/>
              </w:rPr>
              <w:t>②消防废水</w:t>
            </w:r>
          </w:p>
          <w:p w14:paraId="44DBB77F">
            <w:pPr>
              <w:ind w:firstLine="480"/>
            </w:pPr>
            <w:r>
              <w:rPr>
                <w:rFonts w:hint="eastAsia"/>
              </w:rPr>
              <w:t>项目运营期</w:t>
            </w:r>
            <w:r>
              <w:t>全厂同一时间内火灾次数按一次计算</w:t>
            </w:r>
            <w:r>
              <w:rPr>
                <w:rFonts w:hint="eastAsia"/>
              </w:rPr>
              <w:t>，</w:t>
            </w:r>
            <w:r>
              <w:t>消防设计用水量为756m</w:t>
            </w:r>
            <w:r>
              <w:rPr>
                <w:vertAlign w:val="superscript"/>
              </w:rPr>
              <w:t>3</w:t>
            </w:r>
            <w:r>
              <w:rPr>
                <w:rFonts w:hint="eastAsia"/>
              </w:rPr>
              <w:t>/次，消防废水量按用水量的90%计，则消防废水排放量为680.4</w:t>
            </w:r>
            <w:r>
              <w:t>m</w:t>
            </w:r>
            <w:r>
              <w:rPr>
                <w:vertAlign w:val="superscript"/>
              </w:rPr>
              <w:t>3</w:t>
            </w:r>
            <w:r>
              <w:rPr>
                <w:rFonts w:hint="eastAsia"/>
              </w:rPr>
              <w:t>/次。消防废水收集至事故水池，</w:t>
            </w:r>
            <w:r>
              <w:t>事故后将废水</w:t>
            </w:r>
            <w:r>
              <w:rPr>
                <w:rFonts w:hint="eastAsia"/>
              </w:rPr>
              <w:t>送至工业</w:t>
            </w:r>
            <w:r>
              <w:t>污水处理厂处理。</w:t>
            </w:r>
          </w:p>
          <w:p w14:paraId="47F5ED4A">
            <w:pPr>
              <w:ind w:firstLine="480"/>
            </w:pPr>
            <w:r>
              <w:rPr>
                <w:rFonts w:hint="eastAsia"/>
              </w:rPr>
              <w:t>项目给排水情况详见下图。</w:t>
            </w:r>
          </w:p>
          <w:p w14:paraId="3F8CCE08">
            <w:pPr>
              <w:pStyle w:val="19"/>
              <w:spacing w:before="120" w:after="120"/>
            </w:pPr>
            <w:r>
              <w:rPr>
                <w:rFonts w:hint="eastAsia"/>
              </w:rPr>
              <w:drawing>
                <wp:inline distT="0" distB="0" distL="114300" distR="114300">
                  <wp:extent cx="5336540" cy="2896235"/>
                  <wp:effectExtent l="0" t="0" r="0" b="0"/>
                  <wp:docPr id="19" name="ECB019B1-382A-4266-B25C-5B523AA43C14-1" descr="C:/Users/19534/AppData/Local/Temp/wps.otgBKL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CB019B1-382A-4266-B25C-5B523AA43C14-1" descr="C:/Users/19534/AppData/Local/Temp/wps.otgBKLwps"/>
                          <pic:cNvPicPr>
                            <a:picLocks noChangeAspect="1"/>
                          </pic:cNvPicPr>
                        </pic:nvPicPr>
                        <pic:blipFill>
                          <a:blip r:embed="rId17"/>
                          <a:stretch>
                            <a:fillRect/>
                          </a:stretch>
                        </pic:blipFill>
                        <pic:spPr>
                          <a:xfrm>
                            <a:off x="0" y="0"/>
                            <a:ext cx="5336540" cy="2896235"/>
                          </a:xfrm>
                          <a:prstGeom prst="rect">
                            <a:avLst/>
                          </a:prstGeom>
                        </pic:spPr>
                      </pic:pic>
                    </a:graphicData>
                  </a:graphic>
                </wp:inline>
              </w:drawing>
            </w:r>
          </w:p>
          <w:p w14:paraId="37EE3FB3">
            <w:pPr>
              <w:pStyle w:val="21"/>
              <w:spacing w:before="120"/>
              <w:rPr>
                <w:rFonts w:hint="default"/>
              </w:rPr>
            </w:pPr>
            <w:bookmarkStart w:id="65" w:name="_Toc16758"/>
            <w:bookmarkStart w:id="66" w:name="_Toc19577"/>
            <w:r>
              <w:t>图2-1  给排水平衡图（单位：m</w:t>
            </w:r>
            <w:r>
              <w:rPr>
                <w:vertAlign w:val="superscript"/>
              </w:rPr>
              <w:t>3</w:t>
            </w:r>
            <w:r>
              <w:t>/a）</w:t>
            </w:r>
            <w:bookmarkEnd w:id="65"/>
            <w:bookmarkEnd w:id="66"/>
          </w:p>
          <w:p w14:paraId="6741CDBE">
            <w:pPr>
              <w:numPr>
                <w:ilvl w:val="0"/>
                <w:numId w:val="6"/>
              </w:numPr>
              <w:ind w:firstLine="480"/>
            </w:pPr>
            <w:r>
              <w:rPr>
                <w:rFonts w:hint="eastAsia"/>
              </w:rPr>
              <w:t>供电工程</w:t>
            </w:r>
          </w:p>
          <w:p w14:paraId="32408F08">
            <w:pPr>
              <w:ind w:firstLine="480"/>
            </w:pPr>
            <w:r>
              <w:rPr>
                <w:rFonts w:hint="eastAsia"/>
              </w:rPr>
              <w:t>本工程供电电源由鄂托克经济开发区蒙西产业园变电站</w:t>
            </w:r>
            <w:r>
              <w:t>10kV</w:t>
            </w:r>
            <w:r>
              <w:rPr>
                <w:rFonts w:hint="eastAsia"/>
              </w:rPr>
              <w:t>母线引一路</w:t>
            </w:r>
            <w:r>
              <w:t>10kV</w:t>
            </w:r>
            <w:r>
              <w:rPr>
                <w:rFonts w:hint="eastAsia"/>
              </w:rPr>
              <w:t>电源至消防泵房配电室变压器（</w:t>
            </w:r>
            <w:r>
              <w:t>SCB18-400kVA10/0.4kV</w:t>
            </w:r>
            <w:r>
              <w:rPr>
                <w:rFonts w:hint="eastAsia"/>
              </w:rPr>
              <w:t>）内，站区外</w:t>
            </w:r>
            <w:r>
              <w:t>10kV</w:t>
            </w:r>
            <w:r>
              <w:rPr>
                <w:rFonts w:hint="eastAsia"/>
              </w:rPr>
              <w:t>线路敷设方式由供电部门负责设计，站区内</w:t>
            </w:r>
            <w:r>
              <w:t>10kV</w:t>
            </w:r>
            <w:r>
              <w:rPr>
                <w:rFonts w:hint="eastAsia"/>
              </w:rPr>
              <w:t>线路采用电缆直埋敷设方式，</w:t>
            </w:r>
            <w:r>
              <w:t>10kV</w:t>
            </w:r>
            <w:r>
              <w:rPr>
                <w:rFonts w:hint="eastAsia"/>
              </w:rPr>
              <w:t>线路接入点为消防泵房配电室变压器，单回路</w:t>
            </w:r>
            <w:r>
              <w:t>10kV</w:t>
            </w:r>
            <w:r>
              <w:rPr>
                <w:rFonts w:hint="eastAsia"/>
              </w:rPr>
              <w:t>电源可满足厂内用电负荷的供电需要。</w:t>
            </w:r>
          </w:p>
          <w:p w14:paraId="1D325F13">
            <w:pPr>
              <w:numPr>
                <w:ilvl w:val="0"/>
                <w:numId w:val="6"/>
              </w:numPr>
              <w:ind w:firstLine="480"/>
            </w:pPr>
            <w:r>
              <w:rPr>
                <w:rFonts w:hint="eastAsia"/>
              </w:rPr>
              <w:t>供暖工程</w:t>
            </w:r>
          </w:p>
          <w:p w14:paraId="635F226B">
            <w:pPr>
              <w:ind w:firstLine="480"/>
            </w:pPr>
            <w:r>
              <w:rPr>
                <w:rFonts w:hint="eastAsia"/>
              </w:rPr>
              <w:t>本项目冬季运行个别构筑物需供暖，</w:t>
            </w:r>
            <w:r>
              <w:t>由园区换热站供给</w:t>
            </w:r>
            <w:r>
              <w:rPr>
                <w:rFonts w:hint="eastAsia"/>
              </w:rPr>
              <w:t>，供暖指标为</w:t>
            </w:r>
            <w:r>
              <w:t>75℃热水</w:t>
            </w:r>
            <w:r>
              <w:rPr>
                <w:rFonts w:hint="eastAsia"/>
              </w:rPr>
              <w:t>，</w:t>
            </w:r>
            <w:r>
              <w:t>50℃回水</w:t>
            </w:r>
            <w:r>
              <w:rPr>
                <w:rFonts w:hint="eastAsia"/>
              </w:rPr>
              <w:t>。</w:t>
            </w:r>
          </w:p>
          <w:p w14:paraId="29570A3A">
            <w:pPr>
              <w:pStyle w:val="3"/>
              <w:ind w:firstLine="480"/>
            </w:pPr>
            <w:bookmarkStart w:id="67" w:name="_Toc23656"/>
            <w:bookmarkStart w:id="68" w:name="_Toc17425"/>
            <w:r>
              <w:rPr>
                <w:rFonts w:hint="eastAsia"/>
              </w:rPr>
              <w:t>13、劳动定员与工作制度</w:t>
            </w:r>
            <w:bookmarkEnd w:id="67"/>
            <w:bookmarkEnd w:id="68"/>
          </w:p>
          <w:p w14:paraId="09B94B80">
            <w:pPr>
              <w:ind w:firstLine="480"/>
            </w:pPr>
            <w:r>
              <w:rPr>
                <w:rFonts w:hint="eastAsia"/>
              </w:rPr>
              <w:t>本项目劳动定员为10人，</w:t>
            </w:r>
            <w:r>
              <w:t>其中行政管理人员3人</w:t>
            </w:r>
            <w:r>
              <w:rPr>
                <w:rFonts w:hint="eastAsia"/>
              </w:rPr>
              <w:t>，</w:t>
            </w:r>
            <w:r>
              <w:t>危化停车区管理员7人。</w:t>
            </w:r>
            <w:r>
              <w:rPr>
                <w:rFonts w:hint="eastAsia"/>
              </w:rPr>
              <w:t>项目</w:t>
            </w:r>
            <w:r>
              <w:t>年营业天数</w:t>
            </w:r>
            <w:r>
              <w:rPr>
                <w:rFonts w:hint="eastAsia"/>
              </w:rPr>
              <w:t>为</w:t>
            </w:r>
            <w:r>
              <w:t>360天</w:t>
            </w:r>
            <w:r>
              <w:rPr>
                <w:rFonts w:hint="eastAsia"/>
              </w:rPr>
              <w:t>，</w:t>
            </w:r>
            <w:r>
              <w:t>每天营业24小时</w:t>
            </w:r>
            <w:r>
              <w:rPr>
                <w:rFonts w:hint="eastAsia"/>
              </w:rPr>
              <w:t>，</w:t>
            </w:r>
            <w:r>
              <w:t>停车场值班人员为三班制</w:t>
            </w:r>
            <w:r>
              <w:rPr>
                <w:rFonts w:hint="eastAsia"/>
              </w:rPr>
              <w:t>，</w:t>
            </w:r>
            <w:r>
              <w:t>每班8小时</w:t>
            </w:r>
            <w:r>
              <w:rPr>
                <w:rFonts w:hint="eastAsia"/>
              </w:rPr>
              <w:t>，</w:t>
            </w:r>
            <w:r>
              <w:t>行政管理人员为日常白班</w:t>
            </w:r>
            <w:r>
              <w:rPr>
                <w:rFonts w:hint="eastAsia"/>
              </w:rPr>
              <w:t>，</w:t>
            </w:r>
            <w:r>
              <w:t>每班8小时</w:t>
            </w:r>
            <w:r>
              <w:rPr>
                <w:rFonts w:hint="eastAsia"/>
              </w:rPr>
              <w:t>。</w:t>
            </w:r>
          </w:p>
        </w:tc>
      </w:tr>
      <w:tr w14:paraId="1D3BF7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8" w:type="dxa"/>
            <w:vAlign w:val="center"/>
          </w:tcPr>
          <w:p w14:paraId="6F2EC5E7">
            <w:pPr>
              <w:pStyle w:val="19"/>
              <w:spacing w:before="120" w:after="120"/>
              <w:rPr>
                <w:bCs/>
                <w:kern w:val="44"/>
                <w:szCs w:val="30"/>
              </w:rPr>
            </w:pPr>
            <w:r>
              <w:rPr>
                <w:bCs/>
                <w:kern w:val="44"/>
                <w:sz w:val="24"/>
                <w:szCs w:val="32"/>
              </w:rPr>
              <w:t>工艺流程和产排污环节</w:t>
            </w:r>
          </w:p>
        </w:tc>
        <w:tc>
          <w:tcPr>
            <w:tcW w:w="8452" w:type="dxa"/>
          </w:tcPr>
          <w:p w14:paraId="4E08BAC7">
            <w:pPr>
              <w:pStyle w:val="3"/>
              <w:numPr>
                <w:ilvl w:val="0"/>
                <w:numId w:val="7"/>
              </w:numPr>
              <w:ind w:firstLine="480"/>
            </w:pPr>
            <w:bookmarkStart w:id="69" w:name="_Toc7231"/>
            <w:bookmarkStart w:id="70" w:name="_Toc10223"/>
            <w:r>
              <w:rPr>
                <w:rFonts w:hint="eastAsia"/>
              </w:rPr>
              <w:t>施工期工艺流程和产排污环节</w:t>
            </w:r>
            <w:bookmarkEnd w:id="69"/>
            <w:bookmarkEnd w:id="70"/>
          </w:p>
          <w:p w14:paraId="65E4CFA1">
            <w:pPr>
              <w:ind w:firstLine="480"/>
              <w:rPr>
                <w:rFonts w:ascii="宋体" w:hAnsi="宋体"/>
              </w:rPr>
            </w:pPr>
            <w:r>
              <w:rPr>
                <w:rFonts w:hint="eastAsia"/>
              </w:rPr>
              <w:t>本项目施工期的工程内容主要包括</w:t>
            </w:r>
            <w:r>
              <w:rPr>
                <w:rFonts w:ascii="宋体" w:hAnsi="宋体"/>
              </w:rPr>
              <w:t>基础工程、主体工程、设备安装、工程验收和投入运营</w:t>
            </w:r>
            <w:r>
              <w:rPr>
                <w:rFonts w:hint="eastAsia" w:ascii="宋体" w:hAnsi="宋体"/>
              </w:rPr>
              <w:t>五</w:t>
            </w:r>
            <w:r>
              <w:rPr>
                <w:rFonts w:ascii="宋体" w:hAnsi="宋体"/>
              </w:rPr>
              <w:t>个阶段</w:t>
            </w:r>
            <w:r>
              <w:rPr>
                <w:rFonts w:hint="eastAsia" w:ascii="宋体" w:hAnsi="宋体"/>
              </w:rPr>
              <w:t>，施工过程会产生</w:t>
            </w:r>
            <w:r>
              <w:rPr>
                <w:rFonts w:hint="eastAsia"/>
              </w:rPr>
              <w:t>扬尘、施工机械燃油废气</w:t>
            </w:r>
            <w:r>
              <w:rPr>
                <w:rFonts w:hint="eastAsia" w:ascii="宋体" w:hAnsi="宋体"/>
              </w:rPr>
              <w:t>、</w:t>
            </w:r>
            <w:r>
              <w:rPr>
                <w:rFonts w:hint="eastAsia"/>
              </w:rPr>
              <w:t>施工废水、施工机械噪声、运输车辆噪声、建筑垃圾等，</w:t>
            </w:r>
            <w:r>
              <w:rPr>
                <w:rFonts w:ascii="宋体" w:hAnsi="宋体"/>
              </w:rPr>
              <w:t>项目施工期工艺流程及产污环节见下图</w:t>
            </w:r>
            <w:r>
              <w:rPr>
                <w:rFonts w:hint="eastAsia" w:ascii="宋体" w:hAnsi="宋体"/>
              </w:rPr>
              <w:t>。</w:t>
            </w:r>
          </w:p>
          <w:p w14:paraId="54586A32">
            <w:pPr>
              <w:pStyle w:val="19"/>
              <w:spacing w:before="120" w:after="120"/>
            </w:pPr>
            <w:r>
              <w:rPr>
                <w:rFonts w:hint="eastAsia"/>
              </w:rPr>
              <w:drawing>
                <wp:inline distT="0" distB="0" distL="114300" distR="114300">
                  <wp:extent cx="2352040" cy="2396490"/>
                  <wp:effectExtent l="0" t="0" r="10160" b="3810"/>
                  <wp:docPr id="20" name="ECB019B1-382A-4266-B25C-5B523AA43C14-2"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CB019B1-382A-4266-B25C-5B523AA43C14-2" descr="wps"/>
                          <pic:cNvPicPr>
                            <a:picLocks noChangeAspect="1"/>
                          </pic:cNvPicPr>
                        </pic:nvPicPr>
                        <pic:blipFill>
                          <a:blip r:embed="rId18" cstate="print"/>
                          <a:srcRect l="8620" t="9754" r="9902" b="10212"/>
                          <a:stretch>
                            <a:fillRect/>
                          </a:stretch>
                        </pic:blipFill>
                        <pic:spPr>
                          <a:xfrm>
                            <a:off x="0" y="0"/>
                            <a:ext cx="2352040" cy="2396490"/>
                          </a:xfrm>
                          <a:prstGeom prst="rect">
                            <a:avLst/>
                          </a:prstGeom>
                        </pic:spPr>
                      </pic:pic>
                    </a:graphicData>
                  </a:graphic>
                </wp:inline>
              </w:drawing>
            </w:r>
          </w:p>
          <w:p w14:paraId="3B76C989">
            <w:pPr>
              <w:pStyle w:val="21"/>
              <w:spacing w:before="120"/>
              <w:rPr>
                <w:rFonts w:hint="default"/>
                <w:bCs/>
                <w:kern w:val="44"/>
                <w:szCs w:val="30"/>
              </w:rPr>
            </w:pPr>
            <w:bookmarkStart w:id="71" w:name="_Toc10629"/>
            <w:bookmarkStart w:id="72" w:name="_Toc22646"/>
            <w:r>
              <w:rPr>
                <w:bCs/>
                <w:kern w:val="44"/>
                <w:szCs w:val="30"/>
              </w:rPr>
              <w:t>图2-2  施工期工艺流程和产排污环节图</w:t>
            </w:r>
            <w:bookmarkEnd w:id="71"/>
            <w:bookmarkEnd w:id="72"/>
          </w:p>
          <w:p w14:paraId="1CE04CAB">
            <w:pPr>
              <w:pStyle w:val="3"/>
              <w:ind w:firstLine="480"/>
            </w:pPr>
            <w:bookmarkStart w:id="73" w:name="_Toc2096"/>
            <w:bookmarkStart w:id="74" w:name="_Toc5374"/>
            <w:r>
              <w:rPr>
                <w:rFonts w:hint="eastAsia"/>
              </w:rPr>
              <w:t>2、运营期工艺流程和产排污环节</w:t>
            </w:r>
            <w:bookmarkEnd w:id="73"/>
            <w:bookmarkEnd w:id="74"/>
          </w:p>
          <w:p w14:paraId="3F0AB09C">
            <w:pPr>
              <w:ind w:firstLine="480"/>
            </w:pPr>
            <w:r>
              <w:rPr>
                <w:rFonts w:hint="eastAsia"/>
              </w:rPr>
              <w:t>本项目为鄂托克经济开发区蒙西产业园危险化学品运输车辆专用停车场项目，建设内容为危险化学品车辆专用停车场以及辅助设施。项目主要功能为危险化学品运输车辆管理，同时具备车简单维修和空车外壁清洗功能。以下为项目运营期工艺流程和产排污环节简述：</w:t>
            </w:r>
          </w:p>
          <w:p w14:paraId="435D9348">
            <w:pPr>
              <w:ind w:firstLine="480"/>
            </w:pPr>
            <w:r>
              <w:rPr>
                <w:rFonts w:hint="eastAsia"/>
              </w:rPr>
              <w:t>（1）预约与进场申请</w:t>
            </w:r>
          </w:p>
          <w:p w14:paraId="2C6F5E44">
            <w:pPr>
              <w:ind w:firstLine="480"/>
            </w:pPr>
            <w:r>
              <w:rPr>
                <w:rFonts w:hint="eastAsia"/>
              </w:rPr>
              <w:t>司机可提前使用移动设备通过小程序远程查看停车场车位情况、停车场信息发布等，线上提交远程车辆文检请求、上传有关证件、查看文检过程信息、预约车辆进场。</w:t>
            </w:r>
          </w:p>
          <w:p w14:paraId="5694F1CB">
            <w:pPr>
              <w:numPr>
                <w:ilvl w:val="0"/>
                <w:numId w:val="8"/>
              </w:numPr>
              <w:ind w:firstLine="480"/>
            </w:pPr>
            <w:r>
              <w:rPr>
                <w:rFonts w:hint="eastAsia"/>
              </w:rPr>
              <w:t>车辆物检</w:t>
            </w:r>
          </w:p>
          <w:p w14:paraId="3C93154A">
            <w:pPr>
              <w:ind w:firstLine="480"/>
            </w:pPr>
            <w:r>
              <w:rPr>
                <w:rFonts w:hint="eastAsia"/>
              </w:rPr>
              <w:t>车辆进入一道门后需在待检区进行车辆入场物检，检验合格后进入停车场停车，若物检不合格，车辆不能进入二道门，需直接从出口出场。</w:t>
            </w:r>
          </w:p>
          <w:p w14:paraId="69AD6A40">
            <w:pPr>
              <w:numPr>
                <w:ilvl w:val="0"/>
                <w:numId w:val="8"/>
              </w:numPr>
              <w:ind w:firstLine="480"/>
            </w:pPr>
            <w:r>
              <w:rPr>
                <w:rFonts w:hint="eastAsia"/>
              </w:rPr>
              <w:t>车辆文检</w:t>
            </w:r>
          </w:p>
          <w:p w14:paraId="6EC68BA9">
            <w:pPr>
              <w:ind w:firstLine="480"/>
            </w:pPr>
            <w:r>
              <w:rPr>
                <w:rFonts w:hint="eastAsia"/>
              </w:rPr>
              <w:t>车辆进入二道门后，将车辆停放在停车场指定区域（停车场进行分类分区管理），开始车辆文检工作。车辆文检管理可由司机远程申请，也可由停车场管理人员代为申请，申请提交后，由车场管理人员审核或由中控室管理人员审核。</w:t>
            </w:r>
          </w:p>
          <w:p w14:paraId="72C30D8B">
            <w:pPr>
              <w:numPr>
                <w:ilvl w:val="0"/>
                <w:numId w:val="8"/>
              </w:numPr>
              <w:ind w:firstLine="480"/>
            </w:pPr>
            <w:r>
              <w:rPr>
                <w:rFonts w:hint="eastAsia"/>
              </w:rPr>
              <w:t>车辆维修与清洗</w:t>
            </w:r>
          </w:p>
          <w:p w14:paraId="544AD746">
            <w:pPr>
              <w:ind w:firstLine="480"/>
            </w:pPr>
            <w:r>
              <w:rPr>
                <w:rFonts w:hint="eastAsia"/>
              </w:rPr>
              <w:t>项目</w:t>
            </w:r>
            <w:r>
              <w:t>配套设置洗车车间</w:t>
            </w:r>
            <w:r>
              <w:rPr>
                <w:rFonts w:hint="eastAsia"/>
              </w:rPr>
              <w:t>和</w:t>
            </w:r>
            <w:r>
              <w:t>维修车间</w:t>
            </w:r>
            <w:r>
              <w:rPr>
                <w:rFonts w:hint="eastAsia"/>
              </w:rPr>
              <w:t>，对有清洗和维修需要的车辆提供服务。</w:t>
            </w:r>
          </w:p>
          <w:p w14:paraId="258EE24A">
            <w:pPr>
              <w:ind w:firstLine="480"/>
            </w:pPr>
            <w:r>
              <w:rPr>
                <w:rFonts w:hint="eastAsia"/>
              </w:rPr>
              <w:t>根据建设单位提供的危险化学品运输车辆管理规则，</w:t>
            </w:r>
            <w:r>
              <w:t>洗车车间</w:t>
            </w:r>
            <w:r>
              <w:rPr>
                <w:rFonts w:hint="eastAsia"/>
              </w:rPr>
              <w:t>内仅</w:t>
            </w:r>
            <w:r>
              <w:t>对空载运输车辆外观进行简易清洗</w:t>
            </w:r>
            <w:r>
              <w:rPr>
                <w:rFonts w:hint="eastAsia"/>
              </w:rPr>
              <w:t>，使用水枪清洗外壁，只清洗车辆、槽罐车外壁，清洗完成后驶出车间，主要产生洗车污水，洗车污水中的主要污染物为SS、石油类。</w:t>
            </w:r>
            <w:r>
              <w:t>维修车间</w:t>
            </w:r>
            <w:r>
              <w:rPr>
                <w:rFonts w:hint="eastAsia"/>
              </w:rPr>
              <w:t>内仅</w:t>
            </w:r>
            <w:r>
              <w:t>对车辆进行简易维修</w:t>
            </w:r>
            <w:r>
              <w:rPr>
                <w:rFonts w:hint="eastAsia"/>
              </w:rPr>
              <w:t>，</w:t>
            </w:r>
            <w:r>
              <w:t>不涉及满载运输车和小型车辆的</w:t>
            </w:r>
            <w:r>
              <w:rPr>
                <w:rFonts w:hint="eastAsia"/>
              </w:rPr>
              <w:t>清洗、</w:t>
            </w:r>
            <w:r>
              <w:t>维修</w:t>
            </w:r>
            <w:r>
              <w:rPr>
                <w:rFonts w:hint="eastAsia"/>
              </w:rPr>
              <w:t>，主要产生废机油、废手套、</w:t>
            </w:r>
            <w:r>
              <w:rPr>
                <w:rFonts w:hint="eastAsia"/>
                <w:lang w:val="en-US" w:eastAsia="zh-CN"/>
              </w:rPr>
              <w:t>废油桶、</w:t>
            </w:r>
            <w:r>
              <w:rPr>
                <w:rFonts w:hint="eastAsia"/>
              </w:rPr>
              <w:t>含油废抹布。</w:t>
            </w:r>
          </w:p>
          <w:p w14:paraId="1C122FEC">
            <w:pPr>
              <w:numPr>
                <w:ilvl w:val="0"/>
                <w:numId w:val="8"/>
              </w:numPr>
              <w:ind w:firstLine="480"/>
            </w:pPr>
            <w:r>
              <w:rPr>
                <w:rFonts w:hint="eastAsia"/>
              </w:rPr>
              <w:t>出场与收费</w:t>
            </w:r>
          </w:p>
          <w:p w14:paraId="40BBBDEF">
            <w:pPr>
              <w:ind w:firstLine="480"/>
            </w:pPr>
            <w:r>
              <w:rPr>
                <w:rFonts w:hint="eastAsia"/>
              </w:rPr>
              <w:t>办理完相关手续，运输车辆司机接到相关运输通知后由停车场出口驶出。出场收费系统分为两种收费，一道门收费管理、二道门收费管理，其中一道门收费范围为在待检区停车超时的危化品车辆等。二道门收费管理针对停进停车场的车辆进行的收费。</w:t>
            </w:r>
          </w:p>
          <w:p w14:paraId="09A6B812">
            <w:pPr>
              <w:ind w:firstLine="480"/>
            </w:pPr>
            <w:r>
              <w:rPr>
                <w:rFonts w:hint="eastAsia"/>
              </w:rPr>
              <w:t>项目运营过程中产生的废气主要为运输车辆行驶产生的扬尘和尾气，废水主要为员工产生的生活污水、洗车污水和消防废水，噪声主要为运输车辆噪声和设备噪声，固体废物主要为员工产生的生活垃圾和车辆废弃零件，危险废物主要为废机油、废手套、</w:t>
            </w:r>
            <w:r>
              <w:rPr>
                <w:rFonts w:hint="eastAsia"/>
                <w:lang w:val="en-US" w:eastAsia="zh-CN"/>
              </w:rPr>
              <w:t>废油桶、</w:t>
            </w:r>
            <w:r>
              <w:rPr>
                <w:rFonts w:hint="eastAsia"/>
              </w:rPr>
              <w:t>含油废抹布。</w:t>
            </w:r>
          </w:p>
          <w:p w14:paraId="0ADB86A7">
            <w:pPr>
              <w:ind w:firstLine="480"/>
              <w:rPr>
                <w:rFonts w:hint="eastAsia" w:ascii="宋体" w:hAnsi="宋体"/>
              </w:rPr>
            </w:pPr>
            <w:r>
              <w:rPr>
                <w:rFonts w:ascii="宋体" w:hAnsi="宋体"/>
              </w:rPr>
              <w:t>项目施工期工艺流程及产污环节见下图</w:t>
            </w:r>
            <w:r>
              <w:rPr>
                <w:rFonts w:hint="eastAsia" w:ascii="宋体" w:hAnsi="宋体"/>
              </w:rPr>
              <w:t>。</w:t>
            </w:r>
          </w:p>
          <w:p w14:paraId="5163AA5E">
            <w:pPr>
              <w:ind w:firstLine="480"/>
              <w:rPr>
                <w:rFonts w:hint="eastAsia" w:ascii="宋体" w:hAnsi="宋体"/>
              </w:rPr>
            </w:pPr>
          </w:p>
          <w:p w14:paraId="0B2F6BA4">
            <w:pPr>
              <w:ind w:firstLine="480"/>
              <w:rPr>
                <w:rFonts w:hint="eastAsia" w:ascii="宋体" w:hAnsi="宋体"/>
              </w:rPr>
            </w:pPr>
          </w:p>
          <w:p w14:paraId="074BE600">
            <w:pPr>
              <w:ind w:firstLine="480"/>
              <w:rPr>
                <w:rFonts w:hint="eastAsia" w:ascii="宋体" w:hAnsi="宋体"/>
              </w:rPr>
            </w:pPr>
          </w:p>
          <w:p w14:paraId="39EA6673">
            <w:pPr>
              <w:pStyle w:val="19"/>
              <w:spacing w:before="120" w:after="120"/>
            </w:pPr>
            <w:r>
              <w:drawing>
                <wp:inline distT="0" distB="0" distL="114300" distR="114300">
                  <wp:extent cx="5108575" cy="3018790"/>
                  <wp:effectExtent l="0" t="0" r="0" b="0"/>
                  <wp:docPr id="6" name="ECB019B1-382A-4266-B25C-5B523AA43C14-3"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CB019B1-382A-4266-B25C-5B523AA43C14-3" descr="wps"/>
                          <pic:cNvPicPr>
                            <a:picLocks noChangeAspect="1"/>
                          </pic:cNvPicPr>
                        </pic:nvPicPr>
                        <pic:blipFill>
                          <a:blip r:embed="rId19" cstate="print"/>
                          <a:srcRect l="3899" t="5517" r="12557" b="29409"/>
                          <a:stretch>
                            <a:fillRect/>
                          </a:stretch>
                        </pic:blipFill>
                        <pic:spPr>
                          <a:xfrm>
                            <a:off x="0" y="0"/>
                            <a:ext cx="5108575" cy="3018790"/>
                          </a:xfrm>
                          <a:prstGeom prst="rect">
                            <a:avLst/>
                          </a:prstGeom>
                        </pic:spPr>
                      </pic:pic>
                    </a:graphicData>
                  </a:graphic>
                </wp:inline>
              </w:drawing>
            </w:r>
          </w:p>
          <w:p w14:paraId="6EE785BB">
            <w:pPr>
              <w:pStyle w:val="21"/>
              <w:spacing w:before="120"/>
              <w:rPr>
                <w:rFonts w:hint="default"/>
              </w:rPr>
            </w:pPr>
            <w:bookmarkStart w:id="75" w:name="_Toc7867"/>
            <w:bookmarkStart w:id="76" w:name="_Toc16620"/>
            <w:r>
              <w:rPr>
                <w:bCs/>
                <w:kern w:val="44"/>
                <w:szCs w:val="30"/>
              </w:rPr>
              <w:t>图2-3  运营期工艺流程和产排污环节图</w:t>
            </w:r>
            <w:bookmarkEnd w:id="75"/>
            <w:bookmarkEnd w:id="76"/>
          </w:p>
        </w:tc>
      </w:tr>
      <w:tr w14:paraId="2C1779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0" w:hRule="atLeast"/>
          <w:jc w:val="center"/>
        </w:trPr>
        <w:tc>
          <w:tcPr>
            <w:tcW w:w="608" w:type="dxa"/>
            <w:vAlign w:val="center"/>
          </w:tcPr>
          <w:p w14:paraId="4A4A7803">
            <w:pPr>
              <w:pStyle w:val="19"/>
              <w:spacing w:before="120" w:after="120"/>
              <w:rPr>
                <w:bCs/>
                <w:kern w:val="44"/>
                <w:szCs w:val="30"/>
              </w:rPr>
            </w:pPr>
            <w:r>
              <w:rPr>
                <w:bCs/>
                <w:kern w:val="44"/>
                <w:sz w:val="24"/>
                <w:szCs w:val="32"/>
              </w:rPr>
              <w:t>与项目有关的原有环境污染问题</w:t>
            </w:r>
          </w:p>
        </w:tc>
        <w:tc>
          <w:tcPr>
            <w:tcW w:w="8452" w:type="dxa"/>
            <w:vAlign w:val="center"/>
          </w:tcPr>
          <w:p w14:paraId="7DCA8A24">
            <w:pPr>
              <w:ind w:firstLine="480"/>
            </w:pPr>
            <w:r>
              <w:rPr>
                <w:rFonts w:hint="eastAsia"/>
              </w:rPr>
              <w:t>本项目为新建项目，不存在</w:t>
            </w:r>
            <w:r>
              <w:rPr>
                <w:bCs/>
                <w:kern w:val="44"/>
                <w:szCs w:val="30"/>
              </w:rPr>
              <w:t>与项目有关的原有环境污染问题</w:t>
            </w:r>
            <w:r>
              <w:rPr>
                <w:rFonts w:hint="eastAsia"/>
                <w:bCs/>
                <w:kern w:val="44"/>
                <w:szCs w:val="30"/>
              </w:rPr>
              <w:t>。</w:t>
            </w:r>
          </w:p>
        </w:tc>
      </w:tr>
    </w:tbl>
    <w:p w14:paraId="20AB4BC7">
      <w:pPr>
        <w:pStyle w:val="14"/>
        <w:jc w:val="center"/>
        <w:rPr>
          <w:rFonts w:ascii="黑体" w:hAnsi="黑体" w:eastAsia="黑体"/>
          <w:snapToGrid w:val="0"/>
          <w:sz w:val="36"/>
          <w:szCs w:val="36"/>
        </w:rPr>
        <w:sectPr>
          <w:pgSz w:w="11906" w:h="16838"/>
          <w:pgMar w:top="1701" w:right="1531" w:bottom="1701" w:left="1531" w:header="851" w:footer="851" w:gutter="0"/>
          <w:cols w:space="720" w:num="1"/>
          <w:docGrid w:linePitch="312" w:charSpace="0"/>
        </w:sectPr>
      </w:pPr>
    </w:p>
    <w:p w14:paraId="604E1802">
      <w:pPr>
        <w:pStyle w:val="2"/>
      </w:pPr>
      <w:bookmarkStart w:id="77" w:name="_Toc8182"/>
      <w:bookmarkStart w:id="78" w:name="_Toc1654"/>
      <w:r>
        <w:rPr>
          <w:rFonts w:hint="eastAsia"/>
        </w:rPr>
        <w:t>三、区域环境质量现状、环境保护目标及评价标准</w:t>
      </w:r>
      <w:bookmarkEnd w:id="77"/>
      <w:bookmarkEnd w:id="78"/>
    </w:p>
    <w:tbl>
      <w:tblPr>
        <w:tblStyle w:val="1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605"/>
      </w:tblGrid>
      <w:tr w14:paraId="621018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37" w:hRule="atLeast"/>
          <w:jc w:val="center"/>
        </w:trPr>
        <w:tc>
          <w:tcPr>
            <w:tcW w:w="387" w:type="dxa"/>
            <w:vAlign w:val="center"/>
          </w:tcPr>
          <w:p w14:paraId="112DC9B3">
            <w:pPr>
              <w:pStyle w:val="19"/>
              <w:spacing w:before="120" w:after="120"/>
              <w:rPr>
                <w:bCs/>
                <w:kern w:val="44"/>
                <w:szCs w:val="30"/>
              </w:rPr>
            </w:pPr>
            <w:r>
              <w:rPr>
                <w:bCs/>
                <w:kern w:val="44"/>
                <w:sz w:val="24"/>
                <w:szCs w:val="32"/>
              </w:rPr>
              <w:t>区域环境质量现状</w:t>
            </w:r>
          </w:p>
        </w:tc>
        <w:tc>
          <w:tcPr>
            <w:tcW w:w="8603" w:type="dxa"/>
            <w:vAlign w:val="center"/>
          </w:tcPr>
          <w:p w14:paraId="1A39BD9C">
            <w:pPr>
              <w:pStyle w:val="3"/>
              <w:ind w:firstLine="480"/>
            </w:pPr>
            <w:bookmarkStart w:id="79" w:name="_Toc14234"/>
            <w:bookmarkStart w:id="80" w:name="_Toc4298"/>
            <w:r>
              <w:rPr>
                <w:rFonts w:hint="eastAsia"/>
              </w:rPr>
              <w:t>1、环境空气质量现状</w:t>
            </w:r>
            <w:bookmarkEnd w:id="79"/>
            <w:bookmarkEnd w:id="80"/>
          </w:p>
          <w:p w14:paraId="102E0BA8">
            <w:pPr>
              <w:ind w:firstLine="480"/>
            </w:pPr>
            <w:r>
              <w:t>根据《环境影响评价技术导则</w:t>
            </w:r>
            <w:r>
              <w:rPr>
                <w:rFonts w:hint="eastAsia"/>
              </w:rPr>
              <w:t xml:space="preserve"> </w:t>
            </w:r>
            <w:r>
              <w:t>大气环境》（HJ2.2-2018</w:t>
            </w:r>
            <w:r>
              <w:rPr>
                <w:rFonts w:hint="eastAsia"/>
              </w:rPr>
              <w:t>）</w:t>
            </w:r>
            <w:r>
              <w:t>的规定</w:t>
            </w:r>
            <w:r>
              <w:rPr>
                <w:rFonts w:hint="eastAsia"/>
              </w:rPr>
              <w:t>，</w:t>
            </w:r>
            <w:r>
              <w:t>项目所在区域环境空气质量达标判定</w:t>
            </w:r>
            <w:r>
              <w:rPr>
                <w:rFonts w:hint="eastAsia"/>
              </w:rPr>
              <w:t>，</w:t>
            </w:r>
            <w:r>
              <w:t>优先采用国家或地方生态环境主管部门公开发布的评价基准年环境质量公告或环境质量报告中的数据或结论。</w:t>
            </w:r>
          </w:p>
          <w:p w14:paraId="0110EEF6">
            <w:pPr>
              <w:ind w:firstLine="480"/>
            </w:pPr>
            <w:r>
              <w:rPr>
                <w:color w:val="000000" w:themeColor="text1"/>
                <w14:textFill>
                  <w14:solidFill>
                    <w14:schemeClr w14:val="tx1"/>
                  </w14:solidFill>
                </w14:textFill>
              </w:rPr>
              <w:t>本次区域环境质量现状采用内蒙古自治区生态环境厅发布的《202</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年内蒙古自治区生态环境状况公报》鄂尔多斯市的数据统计</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鄂尔多斯市2022年PM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年均浓度分别为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20ug/m³、51ug/m³、10ug/m³、23ug/m³；CO24小时平均第95百分数浓度为0.9mg/m³</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日最大8小时平均值第90百分位数浓度为148ug/m³。</w:t>
            </w:r>
            <w:r>
              <w:rPr>
                <w:rFonts w:hint="eastAsia"/>
              </w:rPr>
              <w:t>具体数据见下表。</w:t>
            </w:r>
          </w:p>
          <w:p w14:paraId="279E264E">
            <w:pPr>
              <w:pStyle w:val="21"/>
              <w:spacing w:before="120"/>
              <w:rPr>
                <w:rFonts w:hint="default"/>
              </w:rPr>
            </w:pPr>
            <w:bookmarkStart w:id="81" w:name="_Toc22370"/>
            <w:bookmarkStart w:id="82" w:name="_Toc17829"/>
            <w:r>
              <w:t>表3-1  区域环境空气质量现状评价表</w:t>
            </w:r>
            <w:bookmarkEnd w:id="81"/>
            <w:bookmarkEnd w:id="82"/>
          </w:p>
          <w:tbl>
            <w:tblPr>
              <w:tblStyle w:val="15"/>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2"/>
              <w:gridCol w:w="2365"/>
              <w:gridCol w:w="1374"/>
              <w:gridCol w:w="1374"/>
              <w:gridCol w:w="1349"/>
              <w:gridCol w:w="950"/>
            </w:tblGrid>
            <w:tr w14:paraId="53B47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74" w:type="pct"/>
                  <w:tcBorders>
                    <w:tl2br w:val="nil"/>
                    <w:tr2bl w:val="nil"/>
                  </w:tcBorders>
                  <w:shd w:val="clear" w:color="auto" w:fill="auto"/>
                  <w:vAlign w:val="center"/>
                </w:tcPr>
                <w:p w14:paraId="445E2637">
                  <w:pPr>
                    <w:pStyle w:val="19"/>
                    <w:spacing w:before="120" w:after="120"/>
                  </w:pPr>
                  <w:r>
                    <w:rPr>
                      <w:rFonts w:hint="eastAsia"/>
                    </w:rPr>
                    <w:t>污染物</w:t>
                  </w:r>
                </w:p>
              </w:tc>
              <w:tc>
                <w:tcPr>
                  <w:tcW w:w="1411" w:type="pct"/>
                  <w:tcBorders>
                    <w:tl2br w:val="nil"/>
                    <w:tr2bl w:val="nil"/>
                  </w:tcBorders>
                  <w:shd w:val="clear" w:color="auto" w:fill="auto"/>
                  <w:vAlign w:val="center"/>
                </w:tcPr>
                <w:p w14:paraId="5ED8AC6A">
                  <w:pPr>
                    <w:pStyle w:val="19"/>
                    <w:spacing w:before="120" w:after="120"/>
                  </w:pPr>
                  <w:r>
                    <w:rPr>
                      <w:rFonts w:hint="eastAsia"/>
                    </w:rPr>
                    <w:t>评价指标</w:t>
                  </w:r>
                </w:p>
              </w:tc>
              <w:tc>
                <w:tcPr>
                  <w:tcW w:w="820" w:type="pct"/>
                  <w:tcBorders>
                    <w:tl2br w:val="nil"/>
                    <w:tr2bl w:val="nil"/>
                  </w:tcBorders>
                  <w:shd w:val="clear" w:color="auto" w:fill="auto"/>
                  <w:vAlign w:val="center"/>
                </w:tcPr>
                <w:p w14:paraId="3BC8A828">
                  <w:pPr>
                    <w:pStyle w:val="19"/>
                    <w:spacing w:before="120" w:after="120"/>
                  </w:pPr>
                  <w:r>
                    <w:rPr>
                      <w:rFonts w:hint="eastAsia"/>
                    </w:rPr>
                    <w:t>现状浓度</w:t>
                  </w:r>
                  <w:r>
                    <w:t>μg/m</w:t>
                  </w:r>
                  <w:r>
                    <w:rPr>
                      <w:vertAlign w:val="superscript"/>
                    </w:rPr>
                    <w:t>3</w:t>
                  </w:r>
                </w:p>
              </w:tc>
              <w:tc>
                <w:tcPr>
                  <w:tcW w:w="820" w:type="pct"/>
                  <w:tcBorders>
                    <w:tl2br w:val="nil"/>
                    <w:tr2bl w:val="nil"/>
                  </w:tcBorders>
                  <w:shd w:val="clear" w:color="auto" w:fill="auto"/>
                  <w:vAlign w:val="center"/>
                </w:tcPr>
                <w:p w14:paraId="08734881">
                  <w:pPr>
                    <w:pStyle w:val="19"/>
                    <w:spacing w:before="120" w:after="120"/>
                  </w:pPr>
                  <w:r>
                    <w:rPr>
                      <w:rFonts w:hint="eastAsia"/>
                    </w:rPr>
                    <w:t>标准值</w:t>
                  </w:r>
                  <w:r>
                    <w:t>μg/m</w:t>
                  </w:r>
                  <w:r>
                    <w:rPr>
                      <w:vertAlign w:val="superscript"/>
                    </w:rPr>
                    <w:t>3</w:t>
                  </w:r>
                </w:p>
              </w:tc>
              <w:tc>
                <w:tcPr>
                  <w:tcW w:w="805" w:type="pct"/>
                  <w:tcBorders>
                    <w:tl2br w:val="nil"/>
                    <w:tr2bl w:val="nil"/>
                  </w:tcBorders>
                  <w:shd w:val="clear" w:color="auto" w:fill="auto"/>
                  <w:vAlign w:val="center"/>
                </w:tcPr>
                <w:p w14:paraId="01572FCD">
                  <w:pPr>
                    <w:pStyle w:val="19"/>
                    <w:spacing w:before="120" w:after="120"/>
                  </w:pPr>
                  <w:r>
                    <w:rPr>
                      <w:rFonts w:hint="eastAsia"/>
                    </w:rPr>
                    <w:t>占标率%</w:t>
                  </w:r>
                </w:p>
              </w:tc>
              <w:tc>
                <w:tcPr>
                  <w:tcW w:w="567" w:type="pct"/>
                  <w:tcBorders>
                    <w:tl2br w:val="nil"/>
                    <w:tr2bl w:val="nil"/>
                  </w:tcBorders>
                  <w:shd w:val="clear" w:color="auto" w:fill="auto"/>
                  <w:vAlign w:val="center"/>
                </w:tcPr>
                <w:p w14:paraId="404E5816">
                  <w:pPr>
                    <w:pStyle w:val="19"/>
                    <w:spacing w:before="120" w:after="120"/>
                  </w:pPr>
                  <w:r>
                    <w:rPr>
                      <w:rFonts w:hint="eastAsia"/>
                    </w:rPr>
                    <w:t>达标情况</w:t>
                  </w:r>
                </w:p>
              </w:tc>
            </w:tr>
            <w:tr w14:paraId="3DFF3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74" w:type="pct"/>
                  <w:tcBorders>
                    <w:tl2br w:val="nil"/>
                    <w:tr2bl w:val="nil"/>
                  </w:tcBorders>
                  <w:shd w:val="clear" w:color="auto" w:fill="auto"/>
                  <w:vAlign w:val="center"/>
                </w:tcPr>
                <w:p w14:paraId="0D8AF346">
                  <w:pPr>
                    <w:pStyle w:val="19"/>
                    <w:spacing w:before="120" w:after="120"/>
                  </w:pPr>
                  <w:r>
                    <w:rPr>
                      <w:rFonts w:hint="eastAsia"/>
                    </w:rPr>
                    <w:t>SO</w:t>
                  </w:r>
                  <w:r>
                    <w:rPr>
                      <w:rFonts w:hint="eastAsia"/>
                      <w:vertAlign w:val="subscript"/>
                    </w:rPr>
                    <w:t>2</w:t>
                  </w:r>
                </w:p>
              </w:tc>
              <w:tc>
                <w:tcPr>
                  <w:tcW w:w="1411" w:type="pct"/>
                  <w:tcBorders>
                    <w:tl2br w:val="nil"/>
                    <w:tr2bl w:val="nil"/>
                  </w:tcBorders>
                  <w:shd w:val="clear" w:color="auto" w:fill="auto"/>
                  <w:vAlign w:val="center"/>
                </w:tcPr>
                <w:p w14:paraId="6834AF9A">
                  <w:pPr>
                    <w:pStyle w:val="19"/>
                    <w:spacing w:before="120" w:after="120"/>
                  </w:pPr>
                  <w:r>
                    <w:rPr>
                      <w:rFonts w:hint="eastAsia"/>
                    </w:rPr>
                    <w:t>年平均质量浓度</w:t>
                  </w:r>
                </w:p>
              </w:tc>
              <w:tc>
                <w:tcPr>
                  <w:tcW w:w="820" w:type="pct"/>
                  <w:tcBorders>
                    <w:tl2br w:val="nil"/>
                    <w:tr2bl w:val="nil"/>
                  </w:tcBorders>
                  <w:shd w:val="clear" w:color="auto" w:fill="auto"/>
                  <w:vAlign w:val="center"/>
                </w:tcPr>
                <w:p w14:paraId="617D643A">
                  <w:pPr>
                    <w:pStyle w:val="19"/>
                    <w:spacing w:before="120" w:after="120"/>
                  </w:pPr>
                  <w:r>
                    <w:t>10</w:t>
                  </w:r>
                </w:p>
              </w:tc>
              <w:tc>
                <w:tcPr>
                  <w:tcW w:w="820" w:type="pct"/>
                  <w:tcBorders>
                    <w:tl2br w:val="nil"/>
                    <w:tr2bl w:val="nil"/>
                  </w:tcBorders>
                  <w:shd w:val="clear" w:color="auto" w:fill="auto"/>
                  <w:vAlign w:val="center"/>
                </w:tcPr>
                <w:p w14:paraId="1BC1F13A">
                  <w:pPr>
                    <w:pStyle w:val="19"/>
                    <w:spacing w:before="120" w:after="120"/>
                  </w:pPr>
                  <w:r>
                    <w:t>60</w:t>
                  </w:r>
                </w:p>
              </w:tc>
              <w:tc>
                <w:tcPr>
                  <w:tcW w:w="805" w:type="pct"/>
                  <w:tcBorders>
                    <w:tl2br w:val="nil"/>
                    <w:tr2bl w:val="nil"/>
                  </w:tcBorders>
                  <w:shd w:val="clear" w:color="auto" w:fill="auto"/>
                  <w:vAlign w:val="center"/>
                </w:tcPr>
                <w:p w14:paraId="0DD84455">
                  <w:pPr>
                    <w:pStyle w:val="19"/>
                    <w:spacing w:before="120" w:after="120"/>
                  </w:pPr>
                  <w:r>
                    <w:t>16.7</w:t>
                  </w:r>
                </w:p>
              </w:tc>
              <w:tc>
                <w:tcPr>
                  <w:tcW w:w="567" w:type="pct"/>
                  <w:tcBorders>
                    <w:tl2br w:val="nil"/>
                    <w:tr2bl w:val="nil"/>
                  </w:tcBorders>
                  <w:shd w:val="clear" w:color="auto" w:fill="auto"/>
                  <w:vAlign w:val="center"/>
                </w:tcPr>
                <w:p w14:paraId="6FC3FB40">
                  <w:pPr>
                    <w:pStyle w:val="19"/>
                    <w:spacing w:before="120" w:after="120"/>
                  </w:pPr>
                  <w:r>
                    <w:rPr>
                      <w:rFonts w:hint="eastAsia"/>
                    </w:rPr>
                    <w:t>达标</w:t>
                  </w:r>
                </w:p>
              </w:tc>
            </w:tr>
            <w:tr w14:paraId="19540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4" w:type="pct"/>
                  <w:tcBorders>
                    <w:tl2br w:val="nil"/>
                    <w:tr2bl w:val="nil"/>
                  </w:tcBorders>
                  <w:shd w:val="clear" w:color="auto" w:fill="auto"/>
                  <w:vAlign w:val="center"/>
                </w:tcPr>
                <w:p w14:paraId="3A51D184">
                  <w:pPr>
                    <w:pStyle w:val="19"/>
                    <w:spacing w:before="120" w:after="120"/>
                  </w:pPr>
                  <w:r>
                    <w:rPr>
                      <w:rFonts w:hint="eastAsia"/>
                    </w:rPr>
                    <w:t>NO</w:t>
                  </w:r>
                  <w:r>
                    <w:rPr>
                      <w:rFonts w:hint="eastAsia"/>
                      <w:vertAlign w:val="subscript"/>
                    </w:rPr>
                    <w:t>2</w:t>
                  </w:r>
                </w:p>
              </w:tc>
              <w:tc>
                <w:tcPr>
                  <w:tcW w:w="1411" w:type="pct"/>
                  <w:tcBorders>
                    <w:tl2br w:val="nil"/>
                    <w:tr2bl w:val="nil"/>
                  </w:tcBorders>
                  <w:shd w:val="clear" w:color="auto" w:fill="auto"/>
                  <w:vAlign w:val="center"/>
                </w:tcPr>
                <w:p w14:paraId="6ED031B6">
                  <w:pPr>
                    <w:pStyle w:val="19"/>
                    <w:spacing w:before="120" w:after="120"/>
                  </w:pPr>
                  <w:r>
                    <w:rPr>
                      <w:rFonts w:hint="eastAsia"/>
                    </w:rPr>
                    <w:t>年平均质量浓度</w:t>
                  </w:r>
                </w:p>
              </w:tc>
              <w:tc>
                <w:tcPr>
                  <w:tcW w:w="820" w:type="pct"/>
                  <w:tcBorders>
                    <w:tl2br w:val="nil"/>
                    <w:tr2bl w:val="nil"/>
                  </w:tcBorders>
                  <w:shd w:val="clear" w:color="auto" w:fill="auto"/>
                  <w:vAlign w:val="center"/>
                </w:tcPr>
                <w:p w14:paraId="27E019FE">
                  <w:pPr>
                    <w:pStyle w:val="19"/>
                    <w:spacing w:before="120" w:after="120"/>
                  </w:pPr>
                  <w:r>
                    <w:t>23</w:t>
                  </w:r>
                </w:p>
              </w:tc>
              <w:tc>
                <w:tcPr>
                  <w:tcW w:w="820" w:type="pct"/>
                  <w:tcBorders>
                    <w:tl2br w:val="nil"/>
                    <w:tr2bl w:val="nil"/>
                  </w:tcBorders>
                  <w:shd w:val="clear" w:color="auto" w:fill="auto"/>
                  <w:vAlign w:val="center"/>
                </w:tcPr>
                <w:p w14:paraId="5A71C252">
                  <w:pPr>
                    <w:pStyle w:val="19"/>
                    <w:spacing w:before="120" w:after="120"/>
                  </w:pPr>
                  <w:r>
                    <w:t>40</w:t>
                  </w:r>
                </w:p>
              </w:tc>
              <w:tc>
                <w:tcPr>
                  <w:tcW w:w="805" w:type="pct"/>
                  <w:tcBorders>
                    <w:tl2br w:val="nil"/>
                    <w:tr2bl w:val="nil"/>
                  </w:tcBorders>
                  <w:shd w:val="clear" w:color="auto" w:fill="auto"/>
                  <w:vAlign w:val="center"/>
                </w:tcPr>
                <w:p w14:paraId="3C64CAA9">
                  <w:pPr>
                    <w:pStyle w:val="19"/>
                    <w:spacing w:before="120" w:after="120"/>
                  </w:pPr>
                  <w:r>
                    <w:t>57.5</w:t>
                  </w:r>
                </w:p>
              </w:tc>
              <w:tc>
                <w:tcPr>
                  <w:tcW w:w="567" w:type="pct"/>
                  <w:tcBorders>
                    <w:tl2br w:val="nil"/>
                    <w:tr2bl w:val="nil"/>
                  </w:tcBorders>
                  <w:shd w:val="clear" w:color="auto" w:fill="auto"/>
                  <w:vAlign w:val="center"/>
                </w:tcPr>
                <w:p w14:paraId="3E9D1E00">
                  <w:pPr>
                    <w:pStyle w:val="19"/>
                    <w:spacing w:before="120" w:after="120"/>
                  </w:pPr>
                  <w:r>
                    <w:rPr>
                      <w:rFonts w:hint="eastAsia"/>
                    </w:rPr>
                    <w:t>达标</w:t>
                  </w:r>
                </w:p>
              </w:tc>
            </w:tr>
            <w:tr w14:paraId="5A3AA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4" w:type="pct"/>
                  <w:tcBorders>
                    <w:tl2br w:val="nil"/>
                    <w:tr2bl w:val="nil"/>
                  </w:tcBorders>
                  <w:shd w:val="clear" w:color="auto" w:fill="auto"/>
                  <w:vAlign w:val="center"/>
                </w:tcPr>
                <w:p w14:paraId="663978E4">
                  <w:pPr>
                    <w:pStyle w:val="19"/>
                    <w:spacing w:before="120" w:after="120"/>
                  </w:pPr>
                  <w:r>
                    <w:rPr>
                      <w:rFonts w:hint="eastAsia"/>
                    </w:rPr>
                    <w:t>PM</w:t>
                  </w:r>
                  <w:r>
                    <w:rPr>
                      <w:rFonts w:hint="eastAsia"/>
                      <w:vertAlign w:val="subscript"/>
                    </w:rPr>
                    <w:t>10</w:t>
                  </w:r>
                </w:p>
              </w:tc>
              <w:tc>
                <w:tcPr>
                  <w:tcW w:w="1411" w:type="pct"/>
                  <w:tcBorders>
                    <w:tl2br w:val="nil"/>
                    <w:tr2bl w:val="nil"/>
                  </w:tcBorders>
                  <w:shd w:val="clear" w:color="auto" w:fill="auto"/>
                  <w:vAlign w:val="center"/>
                </w:tcPr>
                <w:p w14:paraId="053A5EE2">
                  <w:pPr>
                    <w:pStyle w:val="19"/>
                    <w:spacing w:before="120" w:after="120"/>
                  </w:pPr>
                  <w:r>
                    <w:rPr>
                      <w:rFonts w:hint="eastAsia"/>
                    </w:rPr>
                    <w:t>年平均质量浓度</w:t>
                  </w:r>
                </w:p>
              </w:tc>
              <w:tc>
                <w:tcPr>
                  <w:tcW w:w="820" w:type="pct"/>
                  <w:tcBorders>
                    <w:tl2br w:val="nil"/>
                    <w:tr2bl w:val="nil"/>
                  </w:tcBorders>
                  <w:shd w:val="clear" w:color="auto" w:fill="auto"/>
                  <w:vAlign w:val="center"/>
                </w:tcPr>
                <w:p w14:paraId="6FAD7403">
                  <w:pPr>
                    <w:pStyle w:val="19"/>
                    <w:spacing w:before="120" w:after="120"/>
                  </w:pPr>
                  <w:r>
                    <w:t>51</w:t>
                  </w:r>
                </w:p>
              </w:tc>
              <w:tc>
                <w:tcPr>
                  <w:tcW w:w="820" w:type="pct"/>
                  <w:tcBorders>
                    <w:tl2br w:val="nil"/>
                    <w:tr2bl w:val="nil"/>
                  </w:tcBorders>
                  <w:shd w:val="clear" w:color="auto" w:fill="auto"/>
                  <w:vAlign w:val="center"/>
                </w:tcPr>
                <w:p w14:paraId="3828CC04">
                  <w:pPr>
                    <w:pStyle w:val="19"/>
                    <w:spacing w:before="120" w:after="120"/>
                  </w:pPr>
                  <w:r>
                    <w:t>70</w:t>
                  </w:r>
                </w:p>
              </w:tc>
              <w:tc>
                <w:tcPr>
                  <w:tcW w:w="805" w:type="pct"/>
                  <w:tcBorders>
                    <w:tl2br w:val="nil"/>
                    <w:tr2bl w:val="nil"/>
                  </w:tcBorders>
                  <w:shd w:val="clear" w:color="auto" w:fill="auto"/>
                  <w:vAlign w:val="center"/>
                </w:tcPr>
                <w:p w14:paraId="625A3466">
                  <w:pPr>
                    <w:pStyle w:val="19"/>
                    <w:spacing w:before="120" w:after="120"/>
                  </w:pPr>
                  <w:r>
                    <w:t>72.9</w:t>
                  </w:r>
                </w:p>
              </w:tc>
              <w:tc>
                <w:tcPr>
                  <w:tcW w:w="567" w:type="pct"/>
                  <w:tcBorders>
                    <w:tl2br w:val="nil"/>
                    <w:tr2bl w:val="nil"/>
                  </w:tcBorders>
                  <w:shd w:val="clear" w:color="auto" w:fill="auto"/>
                  <w:vAlign w:val="center"/>
                </w:tcPr>
                <w:p w14:paraId="1D3C11EC">
                  <w:pPr>
                    <w:pStyle w:val="19"/>
                    <w:spacing w:before="120" w:after="120"/>
                  </w:pPr>
                  <w:r>
                    <w:rPr>
                      <w:rFonts w:hint="eastAsia"/>
                    </w:rPr>
                    <w:t>达标</w:t>
                  </w:r>
                </w:p>
              </w:tc>
            </w:tr>
            <w:tr w14:paraId="5041A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4" w:type="pct"/>
                  <w:tcBorders>
                    <w:tl2br w:val="nil"/>
                    <w:tr2bl w:val="nil"/>
                  </w:tcBorders>
                  <w:shd w:val="clear" w:color="auto" w:fill="auto"/>
                  <w:vAlign w:val="center"/>
                </w:tcPr>
                <w:p w14:paraId="53C0F3D0">
                  <w:pPr>
                    <w:pStyle w:val="19"/>
                    <w:spacing w:before="120" w:after="120"/>
                  </w:pPr>
                  <w:r>
                    <w:rPr>
                      <w:rFonts w:hint="eastAsia"/>
                    </w:rPr>
                    <w:t>PM</w:t>
                  </w:r>
                  <w:r>
                    <w:rPr>
                      <w:rFonts w:hint="eastAsia"/>
                      <w:vertAlign w:val="subscript"/>
                    </w:rPr>
                    <w:t>2.5</w:t>
                  </w:r>
                </w:p>
              </w:tc>
              <w:tc>
                <w:tcPr>
                  <w:tcW w:w="1411" w:type="pct"/>
                  <w:tcBorders>
                    <w:tl2br w:val="nil"/>
                    <w:tr2bl w:val="nil"/>
                  </w:tcBorders>
                  <w:shd w:val="clear" w:color="auto" w:fill="auto"/>
                  <w:vAlign w:val="center"/>
                </w:tcPr>
                <w:p w14:paraId="3E628896">
                  <w:pPr>
                    <w:pStyle w:val="19"/>
                    <w:spacing w:before="120" w:after="120"/>
                  </w:pPr>
                  <w:r>
                    <w:rPr>
                      <w:rFonts w:hint="eastAsia"/>
                    </w:rPr>
                    <w:t>年平均质量浓度</w:t>
                  </w:r>
                </w:p>
              </w:tc>
              <w:tc>
                <w:tcPr>
                  <w:tcW w:w="820" w:type="pct"/>
                  <w:tcBorders>
                    <w:tl2br w:val="nil"/>
                    <w:tr2bl w:val="nil"/>
                  </w:tcBorders>
                  <w:shd w:val="clear" w:color="auto" w:fill="auto"/>
                  <w:vAlign w:val="center"/>
                </w:tcPr>
                <w:p w14:paraId="39B3A93D">
                  <w:pPr>
                    <w:pStyle w:val="19"/>
                    <w:spacing w:before="120" w:after="120"/>
                  </w:pPr>
                  <w:r>
                    <w:t>20</w:t>
                  </w:r>
                </w:p>
              </w:tc>
              <w:tc>
                <w:tcPr>
                  <w:tcW w:w="820" w:type="pct"/>
                  <w:tcBorders>
                    <w:tl2br w:val="nil"/>
                    <w:tr2bl w:val="nil"/>
                  </w:tcBorders>
                  <w:shd w:val="clear" w:color="auto" w:fill="auto"/>
                  <w:vAlign w:val="center"/>
                </w:tcPr>
                <w:p w14:paraId="1747EAAE">
                  <w:pPr>
                    <w:pStyle w:val="19"/>
                    <w:spacing w:before="120" w:after="120"/>
                  </w:pPr>
                  <w:r>
                    <w:t>35</w:t>
                  </w:r>
                </w:p>
              </w:tc>
              <w:tc>
                <w:tcPr>
                  <w:tcW w:w="805" w:type="pct"/>
                  <w:tcBorders>
                    <w:tl2br w:val="nil"/>
                    <w:tr2bl w:val="nil"/>
                  </w:tcBorders>
                  <w:shd w:val="clear" w:color="auto" w:fill="auto"/>
                  <w:vAlign w:val="center"/>
                </w:tcPr>
                <w:p w14:paraId="79270BAD">
                  <w:pPr>
                    <w:pStyle w:val="19"/>
                    <w:spacing w:before="120" w:after="120"/>
                  </w:pPr>
                  <w:r>
                    <w:t>57.1</w:t>
                  </w:r>
                </w:p>
              </w:tc>
              <w:tc>
                <w:tcPr>
                  <w:tcW w:w="567" w:type="pct"/>
                  <w:tcBorders>
                    <w:tl2br w:val="nil"/>
                    <w:tr2bl w:val="nil"/>
                  </w:tcBorders>
                  <w:shd w:val="clear" w:color="auto" w:fill="auto"/>
                  <w:vAlign w:val="center"/>
                </w:tcPr>
                <w:p w14:paraId="252F9630">
                  <w:pPr>
                    <w:pStyle w:val="19"/>
                    <w:spacing w:before="120" w:after="120"/>
                  </w:pPr>
                  <w:r>
                    <w:rPr>
                      <w:rFonts w:hint="eastAsia"/>
                    </w:rPr>
                    <w:t>达标</w:t>
                  </w:r>
                </w:p>
              </w:tc>
            </w:tr>
            <w:tr w14:paraId="78059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4" w:type="pct"/>
                  <w:tcBorders>
                    <w:tl2br w:val="nil"/>
                    <w:tr2bl w:val="nil"/>
                  </w:tcBorders>
                  <w:shd w:val="clear" w:color="auto" w:fill="auto"/>
                  <w:vAlign w:val="center"/>
                </w:tcPr>
                <w:p w14:paraId="20144D51">
                  <w:pPr>
                    <w:pStyle w:val="19"/>
                    <w:spacing w:before="120" w:after="120"/>
                  </w:pPr>
                  <w:r>
                    <w:rPr>
                      <w:rFonts w:hint="eastAsia"/>
                    </w:rPr>
                    <w:t>CO</w:t>
                  </w:r>
                </w:p>
              </w:tc>
              <w:tc>
                <w:tcPr>
                  <w:tcW w:w="1411" w:type="pct"/>
                  <w:tcBorders>
                    <w:tl2br w:val="nil"/>
                    <w:tr2bl w:val="nil"/>
                  </w:tcBorders>
                  <w:shd w:val="clear" w:color="auto" w:fill="auto"/>
                  <w:vAlign w:val="center"/>
                </w:tcPr>
                <w:p w14:paraId="249E7179">
                  <w:pPr>
                    <w:pStyle w:val="19"/>
                    <w:spacing w:before="120" w:after="120"/>
                  </w:pPr>
                  <w:r>
                    <w:rPr>
                      <w:rFonts w:hint="eastAsia"/>
                    </w:rPr>
                    <w:t>95%日平均浓度</w:t>
                  </w:r>
                </w:p>
              </w:tc>
              <w:tc>
                <w:tcPr>
                  <w:tcW w:w="820" w:type="pct"/>
                  <w:tcBorders>
                    <w:tl2br w:val="nil"/>
                    <w:tr2bl w:val="nil"/>
                  </w:tcBorders>
                  <w:shd w:val="clear" w:color="auto" w:fill="auto"/>
                  <w:vAlign w:val="center"/>
                </w:tcPr>
                <w:p w14:paraId="3EC516A2">
                  <w:pPr>
                    <w:pStyle w:val="19"/>
                    <w:spacing w:before="120" w:after="120"/>
                  </w:pPr>
                  <w:r>
                    <w:t>0.9（mg/m</w:t>
                  </w:r>
                  <w:r>
                    <w:rPr>
                      <w:vertAlign w:val="superscript"/>
                    </w:rPr>
                    <w:t>3</w:t>
                  </w:r>
                  <w:r>
                    <w:rPr>
                      <w:rFonts w:hint="eastAsia"/>
                    </w:rPr>
                    <w:t>）</w:t>
                  </w:r>
                </w:p>
              </w:tc>
              <w:tc>
                <w:tcPr>
                  <w:tcW w:w="820" w:type="pct"/>
                  <w:tcBorders>
                    <w:tl2br w:val="nil"/>
                    <w:tr2bl w:val="nil"/>
                  </w:tcBorders>
                  <w:shd w:val="clear" w:color="auto" w:fill="auto"/>
                  <w:vAlign w:val="center"/>
                </w:tcPr>
                <w:p w14:paraId="01350E6C">
                  <w:pPr>
                    <w:pStyle w:val="19"/>
                    <w:spacing w:before="120" w:after="120"/>
                  </w:pPr>
                  <w:r>
                    <w:t>4（mg/m</w:t>
                  </w:r>
                  <w:r>
                    <w:rPr>
                      <w:vertAlign w:val="superscript"/>
                    </w:rPr>
                    <w:t>3</w:t>
                  </w:r>
                  <w:r>
                    <w:rPr>
                      <w:rFonts w:hint="eastAsia"/>
                    </w:rPr>
                    <w:t>）</w:t>
                  </w:r>
                </w:p>
              </w:tc>
              <w:tc>
                <w:tcPr>
                  <w:tcW w:w="805" w:type="pct"/>
                  <w:tcBorders>
                    <w:tl2br w:val="nil"/>
                    <w:tr2bl w:val="nil"/>
                  </w:tcBorders>
                  <w:shd w:val="clear" w:color="auto" w:fill="auto"/>
                  <w:vAlign w:val="center"/>
                </w:tcPr>
                <w:p w14:paraId="1254A91D">
                  <w:pPr>
                    <w:pStyle w:val="19"/>
                    <w:spacing w:before="120" w:after="120"/>
                  </w:pPr>
                  <w:r>
                    <w:t>22.5</w:t>
                  </w:r>
                </w:p>
              </w:tc>
              <w:tc>
                <w:tcPr>
                  <w:tcW w:w="567" w:type="pct"/>
                  <w:tcBorders>
                    <w:tl2br w:val="nil"/>
                    <w:tr2bl w:val="nil"/>
                  </w:tcBorders>
                  <w:shd w:val="clear" w:color="auto" w:fill="auto"/>
                  <w:vAlign w:val="center"/>
                </w:tcPr>
                <w:p w14:paraId="60FCC275">
                  <w:pPr>
                    <w:pStyle w:val="19"/>
                    <w:spacing w:before="120" w:after="120"/>
                  </w:pPr>
                  <w:r>
                    <w:rPr>
                      <w:rFonts w:hint="eastAsia"/>
                    </w:rPr>
                    <w:t>达标</w:t>
                  </w:r>
                </w:p>
              </w:tc>
            </w:tr>
            <w:tr w14:paraId="0F06C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4" w:type="pct"/>
                  <w:tcBorders>
                    <w:tl2br w:val="nil"/>
                    <w:tr2bl w:val="nil"/>
                  </w:tcBorders>
                  <w:shd w:val="clear" w:color="auto" w:fill="auto"/>
                  <w:vAlign w:val="center"/>
                </w:tcPr>
                <w:p w14:paraId="5FAF0968">
                  <w:pPr>
                    <w:pStyle w:val="19"/>
                    <w:spacing w:before="120" w:after="120"/>
                  </w:pPr>
                  <w:r>
                    <w:rPr>
                      <w:rFonts w:hint="eastAsia"/>
                    </w:rPr>
                    <w:t>O</w:t>
                  </w:r>
                  <w:r>
                    <w:rPr>
                      <w:rFonts w:hint="eastAsia"/>
                      <w:vertAlign w:val="subscript"/>
                    </w:rPr>
                    <w:t>3</w:t>
                  </w:r>
                </w:p>
              </w:tc>
              <w:tc>
                <w:tcPr>
                  <w:tcW w:w="1411" w:type="pct"/>
                  <w:tcBorders>
                    <w:tl2br w:val="nil"/>
                    <w:tr2bl w:val="nil"/>
                  </w:tcBorders>
                  <w:shd w:val="clear" w:color="auto" w:fill="auto"/>
                  <w:vAlign w:val="center"/>
                </w:tcPr>
                <w:p w14:paraId="149884BE">
                  <w:pPr>
                    <w:pStyle w:val="19"/>
                    <w:spacing w:before="120" w:after="120"/>
                  </w:pPr>
                  <w:r>
                    <w:rPr>
                      <w:rFonts w:hint="eastAsia"/>
                    </w:rPr>
                    <w:t>90%</w:t>
                  </w:r>
                  <w:r>
                    <w:t>8h</w:t>
                  </w:r>
                  <w:r>
                    <w:rPr>
                      <w:rFonts w:hint="eastAsia"/>
                    </w:rPr>
                    <w:t>滑动平均浓度</w:t>
                  </w:r>
                </w:p>
              </w:tc>
              <w:tc>
                <w:tcPr>
                  <w:tcW w:w="820" w:type="pct"/>
                  <w:tcBorders>
                    <w:tl2br w:val="nil"/>
                    <w:tr2bl w:val="nil"/>
                  </w:tcBorders>
                  <w:shd w:val="clear" w:color="auto" w:fill="auto"/>
                  <w:vAlign w:val="center"/>
                </w:tcPr>
                <w:p w14:paraId="1695F83E">
                  <w:pPr>
                    <w:pStyle w:val="19"/>
                    <w:spacing w:before="120" w:after="120"/>
                  </w:pPr>
                  <w:r>
                    <w:t>148</w:t>
                  </w:r>
                </w:p>
              </w:tc>
              <w:tc>
                <w:tcPr>
                  <w:tcW w:w="820" w:type="pct"/>
                  <w:tcBorders>
                    <w:tl2br w:val="nil"/>
                    <w:tr2bl w:val="nil"/>
                  </w:tcBorders>
                  <w:shd w:val="clear" w:color="auto" w:fill="auto"/>
                  <w:vAlign w:val="center"/>
                </w:tcPr>
                <w:p w14:paraId="33395FAD">
                  <w:pPr>
                    <w:pStyle w:val="19"/>
                    <w:spacing w:before="120" w:after="120"/>
                  </w:pPr>
                  <w:r>
                    <w:t>160</w:t>
                  </w:r>
                </w:p>
              </w:tc>
              <w:tc>
                <w:tcPr>
                  <w:tcW w:w="805" w:type="pct"/>
                  <w:tcBorders>
                    <w:tl2br w:val="nil"/>
                    <w:tr2bl w:val="nil"/>
                  </w:tcBorders>
                  <w:shd w:val="clear" w:color="auto" w:fill="auto"/>
                  <w:vAlign w:val="center"/>
                </w:tcPr>
                <w:p w14:paraId="5E434F75">
                  <w:pPr>
                    <w:pStyle w:val="19"/>
                    <w:spacing w:before="120" w:after="120"/>
                  </w:pPr>
                  <w:r>
                    <w:t>92.5</w:t>
                  </w:r>
                </w:p>
              </w:tc>
              <w:tc>
                <w:tcPr>
                  <w:tcW w:w="567" w:type="pct"/>
                  <w:tcBorders>
                    <w:tl2br w:val="nil"/>
                    <w:tr2bl w:val="nil"/>
                  </w:tcBorders>
                  <w:shd w:val="clear" w:color="auto" w:fill="auto"/>
                  <w:vAlign w:val="center"/>
                </w:tcPr>
                <w:p w14:paraId="2022DDED">
                  <w:pPr>
                    <w:pStyle w:val="19"/>
                    <w:spacing w:before="120" w:after="120"/>
                  </w:pPr>
                  <w:r>
                    <w:rPr>
                      <w:rFonts w:hint="eastAsia"/>
                    </w:rPr>
                    <w:t>达标</w:t>
                  </w:r>
                </w:p>
              </w:tc>
            </w:tr>
          </w:tbl>
          <w:p w14:paraId="7DC67446">
            <w:pPr>
              <w:ind w:firstLine="480"/>
            </w:pPr>
            <w:r>
              <w:rPr>
                <w:rFonts w:hint="eastAsia"/>
              </w:rPr>
              <w:t>从上表可以看出，</w:t>
            </w:r>
            <w:r>
              <w:rPr>
                <w:color w:val="000000" w:themeColor="text1"/>
                <w14:textFill>
                  <w14:solidFill>
                    <w14:schemeClr w14:val="tx1"/>
                  </w14:solidFill>
                </w14:textFill>
              </w:rPr>
              <w:t>鄂尔多斯市2022年</w:t>
            </w:r>
            <w:r>
              <w:rPr>
                <w:rFonts w:hint="eastAsia"/>
                <w:color w:val="000000" w:themeColor="text1"/>
                <w14:textFill>
                  <w14:solidFill>
                    <w14:schemeClr w14:val="tx1"/>
                  </w14:solidFill>
                </w14:textFill>
              </w:rPr>
              <w:t>环境空气</w:t>
            </w:r>
            <w:r>
              <w:rPr>
                <w:rFonts w:hint="eastAsia"/>
              </w:rPr>
              <w:t>基本污染物各评价指标均符合《环境空气质量标准》（</w:t>
            </w:r>
            <w:r>
              <w:t>GB3095-2012</w:t>
            </w:r>
            <w:r>
              <w:rPr>
                <w:rFonts w:hint="eastAsia"/>
              </w:rPr>
              <w:t>）二级限值，项目所在区域属于达标区。</w:t>
            </w:r>
          </w:p>
          <w:p w14:paraId="3A4E4FD5">
            <w:pPr>
              <w:pStyle w:val="3"/>
              <w:ind w:firstLine="480"/>
            </w:pPr>
            <w:bookmarkStart w:id="83" w:name="_Toc26582"/>
            <w:bookmarkStart w:id="84" w:name="_Toc12176"/>
            <w:r>
              <w:rPr>
                <w:rFonts w:hint="eastAsia"/>
              </w:rPr>
              <w:t>2、地下水质量现状</w:t>
            </w:r>
            <w:bookmarkEnd w:id="83"/>
            <w:bookmarkEnd w:id="84"/>
          </w:p>
          <w:p w14:paraId="0480B4F8">
            <w:pPr>
              <w:ind w:firstLine="480"/>
            </w:pPr>
            <w:r>
              <w:t>根据</w:t>
            </w:r>
            <w:r>
              <w:rPr>
                <w:rFonts w:hint="eastAsia"/>
              </w:rPr>
              <w:t>《</w:t>
            </w:r>
            <w:r>
              <w:t>建设项目环境影响报告表编制技术指南</w:t>
            </w:r>
            <w:r>
              <w:rPr>
                <w:rFonts w:hint="eastAsia"/>
              </w:rPr>
              <w:t>（污染影响类）（试行）》，</w:t>
            </w:r>
            <w:r>
              <w:t>原则上不开展</w:t>
            </w:r>
            <w:r>
              <w:rPr>
                <w:rFonts w:hint="eastAsia"/>
              </w:rPr>
              <w:t>地下水</w:t>
            </w:r>
            <w:r>
              <w:t>环境质量现状调查</w:t>
            </w:r>
            <w:r>
              <w:rPr>
                <w:rFonts w:hint="eastAsia"/>
              </w:rPr>
              <w:t>，</w:t>
            </w:r>
            <w:r>
              <w:t>同时根据</w:t>
            </w:r>
            <w:r>
              <w:rPr>
                <w:rFonts w:hint="eastAsia"/>
              </w:rPr>
              <w:t>《</w:t>
            </w:r>
            <w:r>
              <w:t>环境影响评价技术导则</w:t>
            </w:r>
            <w:r>
              <w:rPr>
                <w:rFonts w:hint="eastAsia"/>
              </w:rPr>
              <w:t>地下水环境》（</w:t>
            </w:r>
            <w:r>
              <w:t>HJ610—2016</w:t>
            </w:r>
            <w:r>
              <w:rPr>
                <w:rFonts w:hint="eastAsia"/>
              </w:rPr>
              <w:t>）</w:t>
            </w:r>
            <w:r>
              <w:t>可知</w:t>
            </w:r>
            <w:r>
              <w:rPr>
                <w:rFonts w:hint="eastAsia"/>
              </w:rPr>
              <w:t>，</w:t>
            </w:r>
            <w:r>
              <w:t>本项目可不开展地下水环境影响评价</w:t>
            </w:r>
            <w:r>
              <w:rPr>
                <w:rFonts w:hint="eastAsia"/>
              </w:rPr>
              <w:t>，</w:t>
            </w:r>
            <w:r>
              <w:t>且本项目厂界外500米范围内无地下水集中式饮用水水源和热水、矿泉水、温泉等特殊地下水资源</w:t>
            </w:r>
            <w:r>
              <w:rPr>
                <w:rFonts w:hint="eastAsia"/>
              </w:rPr>
              <w:t>。</w:t>
            </w:r>
            <w:r>
              <w:t>项目所在区域为工业园区</w:t>
            </w:r>
            <w:r>
              <w:rPr>
                <w:rFonts w:hint="eastAsia"/>
              </w:rPr>
              <w:t>，项目</w:t>
            </w:r>
            <w:r>
              <w:t>用水均</w:t>
            </w:r>
            <w:r>
              <w:rPr>
                <w:rFonts w:hint="eastAsia"/>
              </w:rPr>
              <w:t>由</w:t>
            </w:r>
            <w:r>
              <w:t>园区管网供水</w:t>
            </w:r>
            <w:r>
              <w:rPr>
                <w:rFonts w:hint="eastAsia"/>
              </w:rPr>
              <w:t>，项目</w:t>
            </w:r>
            <w:r>
              <w:t>区域无地下水取水点</w:t>
            </w:r>
            <w:r>
              <w:rPr>
                <w:rFonts w:hint="eastAsia"/>
              </w:rPr>
              <w:t>，</w:t>
            </w:r>
            <w:r>
              <w:t>项目在采取</w:t>
            </w:r>
            <w:r>
              <w:rPr>
                <w:rFonts w:hint="eastAsia"/>
              </w:rPr>
              <w:t>本次评价</w:t>
            </w:r>
            <w:r>
              <w:t>提出的废气、废水</w:t>
            </w:r>
            <w:r>
              <w:rPr>
                <w:rFonts w:hint="eastAsia"/>
              </w:rPr>
              <w:t>污染</w:t>
            </w:r>
            <w:r>
              <w:t>防治措施后</w:t>
            </w:r>
            <w:r>
              <w:rPr>
                <w:rFonts w:hint="eastAsia"/>
              </w:rPr>
              <w:t>，</w:t>
            </w:r>
            <w:r>
              <w:t>一般不会导致地下水污染</w:t>
            </w:r>
            <w:r>
              <w:rPr>
                <w:rFonts w:hint="eastAsia"/>
              </w:rPr>
              <w:t>，</w:t>
            </w:r>
            <w:r>
              <w:t>对地下水环境基本无影响途径</w:t>
            </w:r>
            <w:r>
              <w:rPr>
                <w:rFonts w:hint="eastAsia"/>
              </w:rPr>
              <w:t>，因此</w:t>
            </w:r>
            <w:r>
              <w:t>本</w:t>
            </w:r>
            <w:r>
              <w:rPr>
                <w:rFonts w:hint="eastAsia"/>
              </w:rPr>
              <w:t>次</w:t>
            </w:r>
            <w:r>
              <w:t>评价</w:t>
            </w:r>
            <w:r>
              <w:rPr>
                <w:rFonts w:hint="eastAsia"/>
              </w:rPr>
              <w:t>未</w:t>
            </w:r>
            <w:r>
              <w:t>开展地下水质量现状调查</w:t>
            </w:r>
            <w:r>
              <w:rPr>
                <w:rFonts w:hint="eastAsia"/>
              </w:rPr>
              <w:t>。</w:t>
            </w:r>
          </w:p>
          <w:p w14:paraId="49AA33B2">
            <w:pPr>
              <w:pStyle w:val="3"/>
              <w:ind w:firstLine="480"/>
            </w:pPr>
            <w:bookmarkStart w:id="85" w:name="_Toc32154"/>
            <w:bookmarkStart w:id="86" w:name="_Toc19002"/>
            <w:r>
              <w:rPr>
                <w:rFonts w:hint="eastAsia"/>
              </w:rPr>
              <w:t>3、土壤环境质量现状</w:t>
            </w:r>
            <w:bookmarkEnd w:id="85"/>
            <w:bookmarkEnd w:id="86"/>
          </w:p>
          <w:p w14:paraId="48ECF2E5">
            <w:pPr>
              <w:ind w:firstLine="480"/>
            </w:pPr>
            <w:r>
              <w:t>根据</w:t>
            </w:r>
            <w:r>
              <w:rPr>
                <w:rFonts w:hint="eastAsia"/>
              </w:rPr>
              <w:t>《</w:t>
            </w:r>
            <w:r>
              <w:t>建设项目环境影响报告表编制技术指南</w:t>
            </w:r>
            <w:r>
              <w:rPr>
                <w:rFonts w:hint="eastAsia"/>
              </w:rPr>
              <w:t>（污染影响类）（试行）》，</w:t>
            </w:r>
            <w:r>
              <w:t>原则上不开展土壤环境现状监测</w:t>
            </w:r>
            <w:r>
              <w:rPr>
                <w:rFonts w:hint="eastAsia"/>
              </w:rPr>
              <w:t>，</w:t>
            </w:r>
            <w:r>
              <w:t>同时根据</w:t>
            </w:r>
            <w:r>
              <w:rPr>
                <w:rFonts w:hint="eastAsia"/>
              </w:rPr>
              <w:t>《</w:t>
            </w:r>
            <w:r>
              <w:t>环境影响评价技术导则</w:t>
            </w:r>
            <w:r>
              <w:rPr>
                <w:rFonts w:hint="eastAsia"/>
              </w:rPr>
              <w:t>土壤环境（试行）》（</w:t>
            </w:r>
            <w:r>
              <w:t>HJ</w:t>
            </w:r>
            <w:r>
              <w:rPr>
                <w:rFonts w:hint="eastAsia"/>
              </w:rPr>
              <w:t>964</w:t>
            </w:r>
            <w:r>
              <w:t>—201</w:t>
            </w:r>
            <w:r>
              <w:rPr>
                <w:rFonts w:hint="eastAsia"/>
              </w:rPr>
              <w:t>8）</w:t>
            </w:r>
            <w:r>
              <w:t>可知</w:t>
            </w:r>
            <w:r>
              <w:rPr>
                <w:rFonts w:hint="eastAsia"/>
              </w:rPr>
              <w:t>，</w:t>
            </w:r>
            <w:r>
              <w:t>本项目属于Ⅳ类项目</w:t>
            </w:r>
            <w:r>
              <w:rPr>
                <w:rFonts w:hint="eastAsia"/>
              </w:rPr>
              <w:t>，</w:t>
            </w:r>
            <w:r>
              <w:t>可不开展土壤环境影响评价</w:t>
            </w:r>
            <w:r>
              <w:rPr>
                <w:rFonts w:hint="eastAsia"/>
              </w:rPr>
              <w:t>。</w:t>
            </w:r>
            <w:r>
              <w:t>项目所在区域为工业园区</w:t>
            </w:r>
            <w:r>
              <w:rPr>
                <w:rFonts w:hint="eastAsia"/>
              </w:rPr>
              <w:t>，</w:t>
            </w:r>
            <w:r>
              <w:t>项目厂界外50米范围内无自然保护区、饮用水源地、学校、农田等土壤环境敏感目标</w:t>
            </w:r>
            <w:r>
              <w:rPr>
                <w:rFonts w:hint="eastAsia"/>
              </w:rPr>
              <w:t>，</w:t>
            </w:r>
            <w:r>
              <w:t>周边土壤环境敏感程度为不敏感</w:t>
            </w:r>
            <w:r>
              <w:rPr>
                <w:rFonts w:hint="eastAsia"/>
              </w:rPr>
              <w:t>，因此</w:t>
            </w:r>
            <w:r>
              <w:t>本</w:t>
            </w:r>
            <w:r>
              <w:rPr>
                <w:rFonts w:hint="eastAsia"/>
              </w:rPr>
              <w:t>次</w:t>
            </w:r>
            <w:r>
              <w:t>评价</w:t>
            </w:r>
            <w:r>
              <w:rPr>
                <w:rFonts w:hint="eastAsia"/>
              </w:rPr>
              <w:t>未</w:t>
            </w:r>
            <w:r>
              <w:t>开展土壤环境现状调查</w:t>
            </w:r>
            <w:r>
              <w:rPr>
                <w:rFonts w:hint="eastAsia"/>
              </w:rPr>
              <w:t>。</w:t>
            </w:r>
          </w:p>
          <w:p w14:paraId="3F5865DC">
            <w:pPr>
              <w:pStyle w:val="3"/>
              <w:ind w:firstLine="480"/>
            </w:pPr>
            <w:bookmarkStart w:id="87" w:name="_Toc32343"/>
            <w:bookmarkStart w:id="88" w:name="_Toc16493"/>
            <w:r>
              <w:rPr>
                <w:rFonts w:hint="eastAsia"/>
              </w:rPr>
              <w:t>4、声环境质量现状</w:t>
            </w:r>
            <w:bookmarkEnd w:id="87"/>
            <w:bookmarkEnd w:id="88"/>
          </w:p>
          <w:p w14:paraId="6CCD3D7F">
            <w:pPr>
              <w:ind w:firstLine="480"/>
            </w:pPr>
            <w:r>
              <w:rPr>
                <w:rFonts w:hint="eastAsia"/>
              </w:rPr>
              <w:t>根据《</w:t>
            </w:r>
            <w:r>
              <w:t>建设项目环境影响报告表编制技术指南</w:t>
            </w:r>
            <w:r>
              <w:rPr>
                <w:rFonts w:hint="eastAsia"/>
              </w:rPr>
              <w:t>（污染影响类）（试行）》，</w:t>
            </w:r>
            <w:r>
              <w:t>厂界外周边50米范围内存在声环境保护目标的建设</w:t>
            </w:r>
            <w:r>
              <w:rPr>
                <w:rFonts w:hint="eastAsia"/>
              </w:rPr>
              <w:t>项目，应监测保护目标声环境质量现状并评价达标情况。本项目周边</w:t>
            </w:r>
            <w:r>
              <w:t>50米范围内</w:t>
            </w:r>
            <w:r>
              <w:rPr>
                <w:rFonts w:hint="eastAsia"/>
              </w:rPr>
              <w:t>不</w:t>
            </w:r>
            <w:r>
              <w:t>存在声环境保护目标</w:t>
            </w:r>
            <w:r>
              <w:rPr>
                <w:rFonts w:hint="eastAsia"/>
              </w:rPr>
              <w:t>，因此</w:t>
            </w:r>
            <w:r>
              <w:t>本</w:t>
            </w:r>
            <w:r>
              <w:rPr>
                <w:rFonts w:hint="eastAsia"/>
              </w:rPr>
              <w:t>次</w:t>
            </w:r>
            <w:r>
              <w:t>评价</w:t>
            </w:r>
            <w:r>
              <w:rPr>
                <w:rFonts w:hint="eastAsia"/>
              </w:rPr>
              <w:t>未开展声环境现状监测。</w:t>
            </w:r>
          </w:p>
          <w:p w14:paraId="367E509D">
            <w:pPr>
              <w:pStyle w:val="3"/>
              <w:ind w:firstLine="480"/>
            </w:pPr>
            <w:bookmarkStart w:id="89" w:name="_Toc7949"/>
            <w:bookmarkStart w:id="90" w:name="_Toc28052"/>
            <w:r>
              <w:rPr>
                <w:rFonts w:hint="eastAsia"/>
              </w:rPr>
              <w:t>5、生态环境质量现状</w:t>
            </w:r>
            <w:bookmarkEnd w:id="89"/>
            <w:bookmarkEnd w:id="90"/>
          </w:p>
          <w:p w14:paraId="0C674F48">
            <w:pPr>
              <w:ind w:firstLine="480"/>
            </w:pPr>
            <w:r>
              <w:rPr>
                <w:rFonts w:hint="eastAsia"/>
              </w:rPr>
              <w:t>本项目位于鄂托克经济开发区蒙西产业园，属荒漠化草原地带，生态环境脆弱，植被类型简单。本项目</w:t>
            </w:r>
            <w:r>
              <w:t>用地性质为工业用地</w:t>
            </w:r>
            <w:r>
              <w:rPr>
                <w:rFonts w:hint="eastAsia"/>
              </w:rPr>
              <w:t>，用地范围内植被类型仍以灌木为主，项目区及周边无</w:t>
            </w:r>
            <w:r>
              <w:t>生态环境保护目标</w:t>
            </w:r>
            <w:r>
              <w:rPr>
                <w:rFonts w:hint="eastAsia"/>
              </w:rPr>
              <w:t>。</w:t>
            </w:r>
          </w:p>
        </w:tc>
      </w:tr>
      <w:tr w14:paraId="08D3BD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387" w:type="dxa"/>
            <w:vAlign w:val="center"/>
          </w:tcPr>
          <w:p w14:paraId="6AEE5936">
            <w:pPr>
              <w:pStyle w:val="19"/>
              <w:spacing w:before="120" w:after="120"/>
              <w:rPr>
                <w:bCs/>
                <w:kern w:val="44"/>
                <w:szCs w:val="30"/>
              </w:rPr>
            </w:pPr>
            <w:r>
              <w:rPr>
                <w:bCs/>
                <w:kern w:val="44"/>
                <w:sz w:val="24"/>
                <w:szCs w:val="32"/>
              </w:rPr>
              <w:t>环境保护目标</w:t>
            </w:r>
          </w:p>
        </w:tc>
        <w:tc>
          <w:tcPr>
            <w:tcW w:w="8603" w:type="dxa"/>
            <w:vAlign w:val="center"/>
          </w:tcPr>
          <w:p w14:paraId="39AA777A">
            <w:pPr>
              <w:ind w:firstLine="480"/>
            </w:pPr>
            <w:r>
              <w:rPr>
                <w:rFonts w:hint="eastAsia"/>
              </w:rPr>
              <w:t>根据现场调查，本项目拟建区域不涉及环境敏感区，评价区内无濒危动植物、水源地、名胜古迹、自然保护区、温泉、疗养地等特殊环境敏感区。</w:t>
            </w:r>
            <w:r>
              <w:rPr>
                <w:rFonts w:hint="eastAsia"/>
                <w:kern w:val="0"/>
              </w:rPr>
              <w:t>根据</w:t>
            </w:r>
            <w:r>
              <w:t>建设项目环境影响报告表编制技术指南</w:t>
            </w:r>
            <w:r>
              <w:rPr>
                <w:rFonts w:hint="eastAsia"/>
              </w:rPr>
              <w:t>（污染影响类）（试行）》</w:t>
            </w:r>
            <w:r>
              <w:rPr>
                <w:rFonts w:hint="eastAsia"/>
                <w:kern w:val="0"/>
              </w:rPr>
              <w:t>相关要求，本次评价设置大气环境保护目标范围为厂界外500m范围内，</w:t>
            </w:r>
            <w:r>
              <w:rPr>
                <w:kern w:val="0"/>
              </w:rPr>
              <w:t>声环境</w:t>
            </w:r>
            <w:r>
              <w:rPr>
                <w:rFonts w:hint="eastAsia"/>
                <w:kern w:val="0"/>
              </w:rPr>
              <w:t>保护</w:t>
            </w:r>
            <w:r>
              <w:rPr>
                <w:kern w:val="0"/>
              </w:rPr>
              <w:t>目标为</w:t>
            </w:r>
            <w:r>
              <w:rPr>
                <w:rFonts w:hint="eastAsia"/>
                <w:bCs/>
                <w:kern w:val="0"/>
              </w:rPr>
              <w:t>厂界外</w:t>
            </w:r>
            <w:r>
              <w:rPr>
                <w:kern w:val="0"/>
              </w:rPr>
              <w:t>50m范围内</w:t>
            </w:r>
            <w:r>
              <w:rPr>
                <w:rFonts w:hint="eastAsia"/>
                <w:kern w:val="0"/>
              </w:rPr>
              <w:t>，</w:t>
            </w:r>
            <w:r>
              <w:rPr>
                <w:rFonts w:hint="eastAsia"/>
                <w:spacing w:val="-2"/>
                <w:kern w:val="0"/>
              </w:rPr>
              <w:t>地下水</w:t>
            </w:r>
            <w:r>
              <w:rPr>
                <w:rFonts w:hint="eastAsia"/>
                <w:kern w:val="0"/>
              </w:rPr>
              <w:t>环境保护目标范围为厂界外500m范围内，</w:t>
            </w:r>
            <w:r>
              <w:t>土壤</w:t>
            </w:r>
            <w:r>
              <w:rPr>
                <w:rFonts w:hint="eastAsia"/>
              </w:rPr>
              <w:t>环境</w:t>
            </w:r>
            <w:r>
              <w:rPr>
                <w:rFonts w:hint="eastAsia"/>
                <w:kern w:val="0"/>
              </w:rPr>
              <w:t>保护目标范围为厂界外500m范围内。</w:t>
            </w:r>
            <w:r>
              <w:rPr>
                <w:rFonts w:hint="eastAsia"/>
              </w:rPr>
              <w:t>评价范围内各环境要素的主要环境敏感目标见下表。</w:t>
            </w:r>
          </w:p>
          <w:p w14:paraId="442799A6">
            <w:pPr>
              <w:pStyle w:val="21"/>
              <w:spacing w:before="120"/>
              <w:rPr>
                <w:rFonts w:hint="default"/>
                <w:bCs/>
                <w:kern w:val="44"/>
                <w:szCs w:val="30"/>
              </w:rPr>
            </w:pPr>
            <w:bookmarkStart w:id="91" w:name="_Toc25803"/>
            <w:bookmarkStart w:id="92" w:name="_Toc17428"/>
            <w:r>
              <w:rPr>
                <w:bCs/>
                <w:kern w:val="44"/>
                <w:szCs w:val="30"/>
              </w:rPr>
              <w:t>表3-2  各环境要素环境保护目标一览表</w:t>
            </w:r>
            <w:bookmarkEnd w:id="91"/>
            <w:bookmarkEnd w:id="92"/>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55"/>
              <w:gridCol w:w="1594"/>
              <w:gridCol w:w="915"/>
              <w:gridCol w:w="915"/>
              <w:gridCol w:w="899"/>
              <w:gridCol w:w="2901"/>
            </w:tblGrid>
            <w:tr w14:paraId="4AC70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4" w:hRule="atLeast"/>
                <w:jc w:val="center"/>
              </w:trPr>
              <w:tc>
                <w:tcPr>
                  <w:tcW w:w="689" w:type="pct"/>
                  <w:tcBorders>
                    <w:tl2br w:val="nil"/>
                    <w:tr2bl w:val="nil"/>
                  </w:tcBorders>
                  <w:vAlign w:val="center"/>
                </w:tcPr>
                <w:p w14:paraId="3009F3FD">
                  <w:pPr>
                    <w:pStyle w:val="19"/>
                    <w:spacing w:before="120" w:after="120"/>
                  </w:pPr>
                  <w:r>
                    <w:t>环境要素</w:t>
                  </w:r>
                </w:p>
              </w:tc>
              <w:tc>
                <w:tcPr>
                  <w:tcW w:w="951" w:type="pct"/>
                  <w:tcBorders>
                    <w:tl2br w:val="nil"/>
                    <w:tr2bl w:val="nil"/>
                  </w:tcBorders>
                  <w:vAlign w:val="center"/>
                </w:tcPr>
                <w:p w14:paraId="050AB5C3">
                  <w:pPr>
                    <w:pStyle w:val="19"/>
                    <w:spacing w:before="120" w:after="120"/>
                  </w:pPr>
                  <w:r>
                    <w:t>保护目标名称</w:t>
                  </w:r>
                </w:p>
              </w:tc>
              <w:tc>
                <w:tcPr>
                  <w:tcW w:w="546" w:type="pct"/>
                  <w:tcBorders>
                    <w:tl2br w:val="nil"/>
                    <w:tr2bl w:val="nil"/>
                  </w:tcBorders>
                  <w:vAlign w:val="center"/>
                </w:tcPr>
                <w:p w14:paraId="0CA68175">
                  <w:pPr>
                    <w:pStyle w:val="19"/>
                    <w:spacing w:before="120" w:after="120"/>
                  </w:pPr>
                  <w:r>
                    <w:t>方位</w:t>
                  </w:r>
                </w:p>
              </w:tc>
              <w:tc>
                <w:tcPr>
                  <w:tcW w:w="546" w:type="pct"/>
                  <w:tcBorders>
                    <w:tl2br w:val="nil"/>
                    <w:tr2bl w:val="nil"/>
                  </w:tcBorders>
                  <w:vAlign w:val="center"/>
                </w:tcPr>
                <w:p w14:paraId="0BEE7694">
                  <w:pPr>
                    <w:pStyle w:val="19"/>
                    <w:spacing w:before="120" w:after="120"/>
                  </w:pPr>
                  <w:r>
                    <w:t>距离</w:t>
                  </w:r>
                  <w:r>
                    <w:rPr>
                      <w:rFonts w:hint="eastAsia"/>
                    </w:rPr>
                    <w:t>（</w:t>
                  </w:r>
                  <w:r>
                    <w:t>m</w:t>
                  </w:r>
                  <w:r>
                    <w:rPr>
                      <w:rFonts w:hint="eastAsia"/>
                    </w:rPr>
                    <w:t>）</w:t>
                  </w:r>
                </w:p>
              </w:tc>
              <w:tc>
                <w:tcPr>
                  <w:tcW w:w="535" w:type="pct"/>
                  <w:tcBorders>
                    <w:tl2br w:val="nil"/>
                    <w:tr2bl w:val="nil"/>
                  </w:tcBorders>
                  <w:vAlign w:val="center"/>
                </w:tcPr>
                <w:p w14:paraId="4608065A">
                  <w:pPr>
                    <w:pStyle w:val="19"/>
                    <w:spacing w:before="120" w:after="120"/>
                  </w:pPr>
                  <w:r>
                    <w:t>人数（人</w:t>
                  </w:r>
                  <w:r>
                    <w:rPr>
                      <w:rFonts w:hint="eastAsia"/>
                    </w:rPr>
                    <w:t>）</w:t>
                  </w:r>
                </w:p>
              </w:tc>
              <w:tc>
                <w:tcPr>
                  <w:tcW w:w="1730" w:type="pct"/>
                  <w:tcBorders>
                    <w:tl2br w:val="nil"/>
                    <w:tr2bl w:val="nil"/>
                  </w:tcBorders>
                  <w:vAlign w:val="center"/>
                </w:tcPr>
                <w:p w14:paraId="6FDF1E35">
                  <w:pPr>
                    <w:pStyle w:val="19"/>
                    <w:spacing w:before="120" w:after="120"/>
                  </w:pPr>
                  <w:r>
                    <w:t>保护级别</w:t>
                  </w:r>
                </w:p>
              </w:tc>
            </w:tr>
            <w:tr w14:paraId="51DE6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89" w:type="pct"/>
                  <w:tcBorders>
                    <w:tl2br w:val="nil"/>
                    <w:tr2bl w:val="nil"/>
                  </w:tcBorders>
                  <w:vAlign w:val="center"/>
                </w:tcPr>
                <w:p w14:paraId="19303997">
                  <w:pPr>
                    <w:pStyle w:val="19"/>
                    <w:spacing w:before="120" w:after="120"/>
                  </w:pPr>
                  <w:r>
                    <w:t>大气环境</w:t>
                  </w:r>
                </w:p>
              </w:tc>
              <w:tc>
                <w:tcPr>
                  <w:tcW w:w="2579" w:type="pct"/>
                  <w:gridSpan w:val="4"/>
                  <w:tcBorders>
                    <w:tl2br w:val="nil"/>
                    <w:tr2bl w:val="nil"/>
                  </w:tcBorders>
                  <w:vAlign w:val="center"/>
                </w:tcPr>
                <w:p w14:paraId="17CF1473">
                  <w:pPr>
                    <w:pStyle w:val="19"/>
                    <w:spacing w:before="120" w:after="120"/>
                  </w:pPr>
                  <w:r>
                    <w:t>厂界外500m范围内</w:t>
                  </w:r>
                  <w:r>
                    <w:rPr>
                      <w:rFonts w:hint="eastAsia"/>
                    </w:rPr>
                    <w:t>，</w:t>
                  </w:r>
                  <w:r>
                    <w:t>无环境敏感目标</w:t>
                  </w:r>
                </w:p>
              </w:tc>
              <w:tc>
                <w:tcPr>
                  <w:tcW w:w="1730" w:type="pct"/>
                  <w:tcBorders>
                    <w:tl2br w:val="nil"/>
                    <w:tr2bl w:val="nil"/>
                  </w:tcBorders>
                  <w:vAlign w:val="center"/>
                </w:tcPr>
                <w:p w14:paraId="3C37879A">
                  <w:pPr>
                    <w:pStyle w:val="19"/>
                    <w:spacing w:before="120" w:after="120"/>
                  </w:pPr>
                  <w:r>
                    <w:t>《环境空气质量标准》（GB3095-2012</w:t>
                  </w:r>
                  <w:r>
                    <w:rPr>
                      <w:rFonts w:hint="eastAsia"/>
                    </w:rPr>
                    <w:t>）</w:t>
                  </w:r>
                  <w:r>
                    <w:t>及修改单二级标准</w:t>
                  </w:r>
                </w:p>
              </w:tc>
            </w:tr>
            <w:tr w14:paraId="39B2A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9" w:hRule="atLeast"/>
                <w:jc w:val="center"/>
              </w:trPr>
              <w:tc>
                <w:tcPr>
                  <w:tcW w:w="689" w:type="pct"/>
                  <w:tcBorders>
                    <w:tl2br w:val="nil"/>
                    <w:tr2bl w:val="nil"/>
                  </w:tcBorders>
                  <w:vAlign w:val="center"/>
                </w:tcPr>
                <w:p w14:paraId="3BA9824E">
                  <w:pPr>
                    <w:pStyle w:val="19"/>
                    <w:spacing w:before="120" w:after="120"/>
                  </w:pPr>
                  <w:r>
                    <w:t>声环境</w:t>
                  </w:r>
                </w:p>
              </w:tc>
              <w:tc>
                <w:tcPr>
                  <w:tcW w:w="2579" w:type="pct"/>
                  <w:gridSpan w:val="4"/>
                  <w:tcBorders>
                    <w:tl2br w:val="nil"/>
                    <w:tr2bl w:val="nil"/>
                  </w:tcBorders>
                  <w:vAlign w:val="center"/>
                </w:tcPr>
                <w:p w14:paraId="2C787156">
                  <w:pPr>
                    <w:pStyle w:val="19"/>
                    <w:spacing w:before="120" w:after="120"/>
                  </w:pPr>
                  <w:r>
                    <w:t>厂界外50m范围内</w:t>
                  </w:r>
                  <w:r>
                    <w:rPr>
                      <w:rFonts w:hint="eastAsia"/>
                    </w:rPr>
                    <w:t>，</w:t>
                  </w:r>
                  <w:r>
                    <w:t>无声环境敏感目标</w:t>
                  </w:r>
                </w:p>
              </w:tc>
              <w:tc>
                <w:tcPr>
                  <w:tcW w:w="1730" w:type="pct"/>
                  <w:tcBorders>
                    <w:tl2br w:val="nil"/>
                    <w:tr2bl w:val="nil"/>
                  </w:tcBorders>
                  <w:vAlign w:val="center"/>
                </w:tcPr>
                <w:p w14:paraId="6404E4BF">
                  <w:pPr>
                    <w:pStyle w:val="19"/>
                    <w:spacing w:before="120" w:after="120"/>
                  </w:pPr>
                  <w:r>
                    <w:t>《声环境质量标准》（GB3096-2008</w:t>
                  </w:r>
                  <w:r>
                    <w:rPr>
                      <w:rFonts w:hint="eastAsia"/>
                    </w:rPr>
                    <w:t>）</w:t>
                  </w:r>
                  <w:r>
                    <w:t>3类区标准</w:t>
                  </w:r>
                </w:p>
              </w:tc>
            </w:tr>
            <w:tr w14:paraId="6BD54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89" w:type="pct"/>
                  <w:tcBorders>
                    <w:tl2br w:val="nil"/>
                    <w:tr2bl w:val="nil"/>
                  </w:tcBorders>
                  <w:vAlign w:val="center"/>
                </w:tcPr>
                <w:p w14:paraId="1D0688A7">
                  <w:pPr>
                    <w:pStyle w:val="19"/>
                    <w:spacing w:before="120" w:after="120"/>
                  </w:pPr>
                  <w:r>
                    <w:t>地下水</w:t>
                  </w:r>
                  <w:r>
                    <w:rPr>
                      <w:rFonts w:hint="eastAsia"/>
                    </w:rPr>
                    <w:t>环境</w:t>
                  </w:r>
                </w:p>
              </w:tc>
              <w:tc>
                <w:tcPr>
                  <w:tcW w:w="2579" w:type="pct"/>
                  <w:gridSpan w:val="4"/>
                  <w:tcBorders>
                    <w:tl2br w:val="nil"/>
                    <w:tr2bl w:val="nil"/>
                  </w:tcBorders>
                  <w:vAlign w:val="center"/>
                </w:tcPr>
                <w:p w14:paraId="7E49381D">
                  <w:pPr>
                    <w:pStyle w:val="19"/>
                    <w:spacing w:before="120" w:after="120"/>
                  </w:pPr>
                  <w:r>
                    <w:rPr>
                      <w:rFonts w:hint="eastAsia"/>
                    </w:rPr>
                    <w:t>厂</w:t>
                  </w:r>
                  <w:r>
                    <w:t>界外500m范围内</w:t>
                  </w:r>
                  <w:r>
                    <w:rPr>
                      <w:rFonts w:hint="eastAsia"/>
                    </w:rPr>
                    <w:t>，</w:t>
                  </w:r>
                  <w:r>
                    <w:t>无环境敏感目标</w:t>
                  </w:r>
                </w:p>
              </w:tc>
              <w:tc>
                <w:tcPr>
                  <w:tcW w:w="1730" w:type="pct"/>
                  <w:tcBorders>
                    <w:tl2br w:val="nil"/>
                    <w:tr2bl w:val="nil"/>
                  </w:tcBorders>
                  <w:vAlign w:val="center"/>
                </w:tcPr>
                <w:p w14:paraId="79AA8318">
                  <w:pPr>
                    <w:pStyle w:val="19"/>
                    <w:spacing w:before="120" w:after="120"/>
                  </w:pPr>
                  <w:r>
                    <w:t>《地下水质量标准》（GB/T14848-2017</w:t>
                  </w:r>
                  <w:r>
                    <w:rPr>
                      <w:rFonts w:hint="eastAsia"/>
                    </w:rPr>
                    <w:t>）</w:t>
                  </w:r>
                  <w:r>
                    <w:fldChar w:fldCharType="begin"/>
                  </w:r>
                  <w:r>
                    <w:instrText xml:space="preserve"> = 3 \* ROMAN \* MERGEFORMAT </w:instrText>
                  </w:r>
                  <w:r>
                    <w:fldChar w:fldCharType="separate"/>
                  </w:r>
                  <w:r>
                    <w:t>III</w:t>
                  </w:r>
                  <w:r>
                    <w:fldChar w:fldCharType="end"/>
                  </w:r>
                  <w:r>
                    <w:t>类标准</w:t>
                  </w:r>
                </w:p>
              </w:tc>
            </w:tr>
            <w:tr w14:paraId="66EB4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689" w:type="pct"/>
                  <w:tcBorders>
                    <w:tl2br w:val="nil"/>
                    <w:tr2bl w:val="nil"/>
                  </w:tcBorders>
                  <w:vAlign w:val="center"/>
                </w:tcPr>
                <w:p w14:paraId="0D5FDD4A">
                  <w:pPr>
                    <w:pStyle w:val="19"/>
                    <w:spacing w:before="120" w:after="120"/>
                  </w:pPr>
                  <w:r>
                    <w:t>土壤</w:t>
                  </w:r>
                  <w:r>
                    <w:rPr>
                      <w:rFonts w:hint="eastAsia"/>
                    </w:rPr>
                    <w:t>环境</w:t>
                  </w:r>
                </w:p>
              </w:tc>
              <w:tc>
                <w:tcPr>
                  <w:tcW w:w="2579" w:type="pct"/>
                  <w:gridSpan w:val="4"/>
                  <w:tcBorders>
                    <w:tl2br w:val="nil"/>
                    <w:tr2bl w:val="nil"/>
                  </w:tcBorders>
                  <w:vAlign w:val="center"/>
                </w:tcPr>
                <w:p w14:paraId="03C328D5">
                  <w:pPr>
                    <w:pStyle w:val="19"/>
                    <w:spacing w:before="120" w:after="120"/>
                  </w:pPr>
                  <w:r>
                    <w:rPr>
                      <w:rFonts w:hint="eastAsia"/>
                    </w:rPr>
                    <w:t>厂</w:t>
                  </w:r>
                  <w:r>
                    <w:t>界外500m范围内</w:t>
                  </w:r>
                  <w:r>
                    <w:rPr>
                      <w:rFonts w:hint="eastAsia"/>
                    </w:rPr>
                    <w:t>，</w:t>
                  </w:r>
                  <w:r>
                    <w:t>无环境敏感目标</w:t>
                  </w:r>
                </w:p>
              </w:tc>
              <w:tc>
                <w:tcPr>
                  <w:tcW w:w="1730" w:type="pct"/>
                  <w:tcBorders>
                    <w:tl2br w:val="nil"/>
                    <w:tr2bl w:val="nil"/>
                  </w:tcBorders>
                  <w:vAlign w:val="center"/>
                </w:tcPr>
                <w:p w14:paraId="491D71F3">
                  <w:pPr>
                    <w:pStyle w:val="19"/>
                    <w:spacing w:before="120" w:after="120"/>
                  </w:pPr>
                  <w:r>
                    <w:t>《建设用地土壤污染风险管控标准（试行</w:t>
                  </w:r>
                  <w:r>
                    <w:rPr>
                      <w:rFonts w:hint="eastAsia"/>
                    </w:rPr>
                    <w:t>）</w:t>
                  </w:r>
                  <w:r>
                    <w:t>》（GB26600-2018</w:t>
                  </w:r>
                  <w:r>
                    <w:rPr>
                      <w:rFonts w:hint="eastAsia"/>
                    </w:rPr>
                    <w:t>）</w:t>
                  </w:r>
                  <w:r>
                    <w:t>第二类建设用地的筛选值</w:t>
                  </w:r>
                </w:p>
              </w:tc>
            </w:tr>
          </w:tbl>
          <w:p w14:paraId="3825372F">
            <w:pPr>
              <w:pStyle w:val="19"/>
              <w:spacing w:beforeLines="0" w:afterLines="0" w:line="40" w:lineRule="atLeast"/>
              <w:jc w:val="both"/>
            </w:pPr>
          </w:p>
        </w:tc>
      </w:tr>
      <w:tr w14:paraId="1FEE22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7" w:type="dxa"/>
            <w:tcMar>
              <w:left w:w="28" w:type="dxa"/>
              <w:right w:w="28" w:type="dxa"/>
            </w:tcMar>
            <w:vAlign w:val="center"/>
          </w:tcPr>
          <w:p w14:paraId="1D8A164F">
            <w:pPr>
              <w:pStyle w:val="19"/>
              <w:spacing w:before="120" w:after="120"/>
              <w:rPr>
                <w:bCs/>
                <w:kern w:val="44"/>
                <w:szCs w:val="30"/>
              </w:rPr>
            </w:pPr>
            <w:r>
              <w:rPr>
                <w:bCs/>
                <w:kern w:val="44"/>
                <w:sz w:val="24"/>
                <w:szCs w:val="32"/>
              </w:rPr>
              <w:t>污染物排放控制标准</w:t>
            </w:r>
          </w:p>
        </w:tc>
        <w:tc>
          <w:tcPr>
            <w:tcW w:w="8603" w:type="dxa"/>
            <w:vAlign w:val="center"/>
          </w:tcPr>
          <w:p w14:paraId="6F52BFC3">
            <w:pPr>
              <w:pStyle w:val="3"/>
              <w:ind w:firstLine="480"/>
            </w:pPr>
            <w:bookmarkStart w:id="93" w:name="_Toc12213"/>
            <w:bookmarkStart w:id="94" w:name="_Toc14671"/>
            <w:r>
              <w:rPr>
                <w:rFonts w:hint="eastAsia"/>
              </w:rPr>
              <w:t>1、废气排放标准</w:t>
            </w:r>
            <w:bookmarkEnd w:id="93"/>
            <w:bookmarkEnd w:id="94"/>
          </w:p>
          <w:p w14:paraId="51B3D459">
            <w:pPr>
              <w:ind w:firstLine="480"/>
            </w:pPr>
            <w:r>
              <w:rPr>
                <w:rFonts w:hint="eastAsia"/>
              </w:rPr>
              <w:t>项目施工期产生的废气主要为</w:t>
            </w:r>
            <w:r>
              <w:t>施工作业扬尘、运输车辆扬尘、运输及动力设备运转产生的燃油废气</w:t>
            </w:r>
            <w:r>
              <w:rPr>
                <w:rFonts w:hint="eastAsia"/>
              </w:rPr>
              <w:t>，运营期产生的废气主要为运输车辆行驶产生的扬尘和汽车尾气。废气均为无组织排放，</w:t>
            </w:r>
            <w:r>
              <w:t>执行《大气污染物综合排放标准》（GB16297-1996</w:t>
            </w:r>
            <w:r>
              <w:rPr>
                <w:rFonts w:hint="eastAsia"/>
              </w:rPr>
              <w:t>）</w:t>
            </w:r>
            <w:r>
              <w:t>无组织排放监控浓度限值</w:t>
            </w:r>
            <w:r>
              <w:rPr>
                <w:rFonts w:hint="eastAsia"/>
              </w:rPr>
              <w:t>，</w:t>
            </w:r>
            <w:r>
              <w:t>具体标准浓度限值见</w:t>
            </w:r>
            <w:r>
              <w:rPr>
                <w:rFonts w:hint="eastAsia"/>
              </w:rPr>
              <w:t>下表。</w:t>
            </w:r>
          </w:p>
          <w:p w14:paraId="7BBBE831">
            <w:pPr>
              <w:pStyle w:val="21"/>
              <w:spacing w:before="120"/>
              <w:rPr>
                <w:rFonts w:hint="default"/>
              </w:rPr>
            </w:pPr>
            <w:bookmarkStart w:id="95" w:name="_Toc12924"/>
            <w:bookmarkStart w:id="96" w:name="_Toc17503"/>
            <w:r>
              <w:t>表3-3  《大气污染物综合排放标准》（GB16297-1996）</w:t>
            </w:r>
            <w:bookmarkEnd w:id="95"/>
            <w:bookmarkEnd w:id="96"/>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2"/>
              <w:gridCol w:w="2741"/>
              <w:gridCol w:w="2088"/>
              <w:gridCol w:w="2095"/>
            </w:tblGrid>
            <w:tr w14:paraId="11D6E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867" w:type="pct"/>
                  <w:vMerge w:val="restart"/>
                  <w:tcBorders>
                    <w:tl2br w:val="nil"/>
                    <w:tr2bl w:val="nil"/>
                  </w:tcBorders>
                  <w:vAlign w:val="center"/>
                </w:tcPr>
                <w:p w14:paraId="7D7BF19A">
                  <w:pPr>
                    <w:pStyle w:val="19"/>
                    <w:spacing w:before="120" w:after="120"/>
                  </w:pPr>
                  <w:r>
                    <w:t>污染物</w:t>
                  </w:r>
                </w:p>
              </w:tc>
              <w:tc>
                <w:tcPr>
                  <w:tcW w:w="1636" w:type="pct"/>
                  <w:vMerge w:val="restart"/>
                  <w:tcBorders>
                    <w:tl2br w:val="nil"/>
                    <w:tr2bl w:val="nil"/>
                  </w:tcBorders>
                  <w:vAlign w:val="center"/>
                </w:tcPr>
                <w:p w14:paraId="522F0680">
                  <w:pPr>
                    <w:pStyle w:val="19"/>
                    <w:spacing w:before="120" w:after="120"/>
                  </w:pPr>
                  <w:r>
                    <w:t>最高允许排放浓度（mg/m</w:t>
                  </w:r>
                  <w:r>
                    <w:rPr>
                      <w:vertAlign w:val="superscript"/>
                    </w:rPr>
                    <w:t>3</w:t>
                  </w:r>
                  <w:r>
                    <w:rPr>
                      <w:rFonts w:hint="eastAsia"/>
                    </w:rPr>
                    <w:t>）</w:t>
                  </w:r>
                </w:p>
              </w:tc>
              <w:tc>
                <w:tcPr>
                  <w:tcW w:w="2496" w:type="pct"/>
                  <w:gridSpan w:val="2"/>
                  <w:tcBorders>
                    <w:tl2br w:val="nil"/>
                    <w:tr2bl w:val="nil"/>
                  </w:tcBorders>
                  <w:vAlign w:val="center"/>
                </w:tcPr>
                <w:p w14:paraId="301AD421">
                  <w:pPr>
                    <w:pStyle w:val="19"/>
                    <w:spacing w:before="120" w:after="120"/>
                  </w:pPr>
                  <w:r>
                    <w:t>无组织排放监控浓度限值</w:t>
                  </w:r>
                </w:p>
              </w:tc>
            </w:tr>
            <w:tr w14:paraId="2E1E8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trPr>
              <w:tc>
                <w:tcPr>
                  <w:tcW w:w="867" w:type="pct"/>
                  <w:vMerge w:val="continue"/>
                  <w:tcBorders>
                    <w:tl2br w:val="nil"/>
                    <w:tr2bl w:val="nil"/>
                  </w:tcBorders>
                  <w:vAlign w:val="center"/>
                </w:tcPr>
                <w:p w14:paraId="3B44411F">
                  <w:pPr>
                    <w:pStyle w:val="19"/>
                    <w:spacing w:before="120" w:after="120"/>
                  </w:pPr>
                </w:p>
              </w:tc>
              <w:tc>
                <w:tcPr>
                  <w:tcW w:w="1636" w:type="pct"/>
                  <w:vMerge w:val="continue"/>
                  <w:tcBorders>
                    <w:tl2br w:val="nil"/>
                    <w:tr2bl w:val="nil"/>
                  </w:tcBorders>
                  <w:vAlign w:val="center"/>
                </w:tcPr>
                <w:p w14:paraId="6FA65BEE">
                  <w:pPr>
                    <w:pStyle w:val="19"/>
                    <w:spacing w:before="120" w:after="120"/>
                  </w:pPr>
                </w:p>
              </w:tc>
              <w:tc>
                <w:tcPr>
                  <w:tcW w:w="1246" w:type="pct"/>
                  <w:tcBorders>
                    <w:tl2br w:val="nil"/>
                    <w:tr2bl w:val="nil"/>
                  </w:tcBorders>
                  <w:vAlign w:val="center"/>
                </w:tcPr>
                <w:p w14:paraId="210A2259">
                  <w:pPr>
                    <w:pStyle w:val="19"/>
                    <w:spacing w:before="120" w:after="120"/>
                  </w:pPr>
                  <w:r>
                    <w:t>监控点</w:t>
                  </w:r>
                </w:p>
              </w:tc>
              <w:tc>
                <w:tcPr>
                  <w:tcW w:w="1250" w:type="pct"/>
                  <w:tcBorders>
                    <w:tl2br w:val="nil"/>
                    <w:tr2bl w:val="nil"/>
                  </w:tcBorders>
                  <w:vAlign w:val="center"/>
                </w:tcPr>
                <w:p w14:paraId="213E83DF">
                  <w:pPr>
                    <w:pStyle w:val="19"/>
                    <w:spacing w:before="120" w:after="120"/>
                  </w:pPr>
                  <w:r>
                    <w:t>浓度（mg/m</w:t>
                  </w:r>
                  <w:r>
                    <w:rPr>
                      <w:vertAlign w:val="superscript"/>
                    </w:rPr>
                    <w:t>3</w:t>
                  </w:r>
                  <w:r>
                    <w:rPr>
                      <w:rFonts w:hint="eastAsia"/>
                    </w:rPr>
                    <w:t>）</w:t>
                  </w:r>
                </w:p>
              </w:tc>
            </w:tr>
            <w:tr w14:paraId="5CD8C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 w:hRule="atLeast"/>
              </w:trPr>
              <w:tc>
                <w:tcPr>
                  <w:tcW w:w="867" w:type="pct"/>
                  <w:tcBorders>
                    <w:tl2br w:val="nil"/>
                    <w:tr2bl w:val="nil"/>
                  </w:tcBorders>
                  <w:vAlign w:val="center"/>
                </w:tcPr>
                <w:p w14:paraId="46C6A910">
                  <w:pPr>
                    <w:pStyle w:val="19"/>
                    <w:spacing w:before="120" w:after="120"/>
                  </w:pPr>
                  <w:r>
                    <w:t>颗粒物</w:t>
                  </w:r>
                </w:p>
              </w:tc>
              <w:tc>
                <w:tcPr>
                  <w:tcW w:w="1636" w:type="pct"/>
                  <w:tcBorders>
                    <w:tl2br w:val="nil"/>
                    <w:tr2bl w:val="nil"/>
                  </w:tcBorders>
                  <w:vAlign w:val="center"/>
                </w:tcPr>
                <w:p w14:paraId="5A1CD24B">
                  <w:pPr>
                    <w:pStyle w:val="19"/>
                    <w:spacing w:before="120" w:after="120"/>
                  </w:pPr>
                  <w:r>
                    <w:t>120</w:t>
                  </w:r>
                </w:p>
              </w:tc>
              <w:tc>
                <w:tcPr>
                  <w:tcW w:w="1246" w:type="pct"/>
                  <w:tcBorders>
                    <w:tl2br w:val="nil"/>
                    <w:tr2bl w:val="nil"/>
                  </w:tcBorders>
                  <w:vAlign w:val="center"/>
                </w:tcPr>
                <w:p w14:paraId="0F39192C">
                  <w:pPr>
                    <w:pStyle w:val="19"/>
                    <w:spacing w:before="120" w:after="120"/>
                  </w:pPr>
                  <w:r>
                    <w:t>周界外浓度最高点</w:t>
                  </w:r>
                </w:p>
              </w:tc>
              <w:tc>
                <w:tcPr>
                  <w:tcW w:w="1250" w:type="pct"/>
                  <w:tcBorders>
                    <w:tl2br w:val="nil"/>
                    <w:tr2bl w:val="nil"/>
                  </w:tcBorders>
                  <w:vAlign w:val="center"/>
                </w:tcPr>
                <w:p w14:paraId="358F59DA">
                  <w:pPr>
                    <w:pStyle w:val="19"/>
                    <w:spacing w:before="120" w:after="120"/>
                  </w:pPr>
                  <w:r>
                    <w:t>1.0</w:t>
                  </w:r>
                </w:p>
              </w:tc>
            </w:tr>
          </w:tbl>
          <w:p w14:paraId="7DE7ACF4">
            <w:pPr>
              <w:pStyle w:val="3"/>
              <w:numPr>
                <w:ilvl w:val="0"/>
                <w:numId w:val="7"/>
              </w:numPr>
              <w:ind w:firstLine="480"/>
            </w:pPr>
            <w:bookmarkStart w:id="97" w:name="_Toc2217"/>
            <w:bookmarkStart w:id="98" w:name="_Toc13114"/>
            <w:r>
              <w:rPr>
                <w:rFonts w:hint="eastAsia"/>
              </w:rPr>
              <w:t>废水排放标准</w:t>
            </w:r>
            <w:bookmarkEnd w:id="97"/>
            <w:bookmarkEnd w:id="98"/>
          </w:p>
          <w:p w14:paraId="437ABDB4">
            <w:pPr>
              <w:bidi w:val="0"/>
            </w:pPr>
            <w:r>
              <w:rPr>
                <w:rFonts w:hint="eastAsia"/>
              </w:rPr>
              <w:t>项目运营期产生的废水主要是员工生活污水、洗车污水和消防废水。员工生活污水需满足《污水综合排放标准》（</w:t>
            </w:r>
            <w:r>
              <w:t>GB8978-1996</w:t>
            </w:r>
            <w:r>
              <w:rPr>
                <w:rFonts w:hint="eastAsia"/>
              </w:rPr>
              <w:t>）三级标准及</w:t>
            </w:r>
            <w:r>
              <w:rPr>
                <w:color w:val="000000" w:themeColor="text1"/>
                <w14:textFill>
                  <w14:solidFill>
                    <w14:schemeClr w14:val="tx1"/>
                  </w14:solidFill>
                </w14:textFill>
              </w:rPr>
              <w:t>园区生活污水处理厂接管标准后</w:t>
            </w:r>
            <w:r>
              <w:rPr>
                <w:rFonts w:hint="eastAsia"/>
                <w:color w:val="000000" w:themeColor="text1"/>
                <w14:textFill>
                  <w14:solidFill>
                    <w14:schemeClr w14:val="tx1"/>
                  </w14:solidFill>
                </w14:textFill>
              </w:rPr>
              <w:t>，</w:t>
            </w:r>
            <w:r>
              <w:rPr>
                <w:rFonts w:hint="eastAsia"/>
              </w:rPr>
              <w:t>排入园区生活污水管网，具体</w:t>
            </w:r>
            <w:r>
              <w:rPr>
                <w:rFonts w:hint="eastAsia"/>
                <w:lang w:val="en-US" w:eastAsia="zh-CN"/>
              </w:rPr>
              <w:t>要求</w:t>
            </w:r>
            <w:r>
              <w:rPr>
                <w:rFonts w:hint="eastAsia"/>
              </w:rPr>
              <w:t>见表</w:t>
            </w:r>
            <w:r>
              <w:rPr>
                <w:rFonts w:hint="eastAsia"/>
                <w:lang w:val="en-US" w:eastAsia="zh-CN"/>
              </w:rPr>
              <w:t>3-4</w:t>
            </w:r>
            <w:r>
              <w:t>。</w:t>
            </w:r>
            <w:r>
              <w:rPr>
                <w:rFonts w:hint="eastAsia"/>
              </w:rPr>
              <w:t>洗车污水经一体化处理设施处理后回用于洗车，</w:t>
            </w:r>
            <w:r>
              <w:rPr>
                <w:rFonts w:hint="eastAsia"/>
                <w:lang w:val="en-US" w:eastAsia="zh-CN"/>
              </w:rPr>
              <w:t>回用标准应满足《城市污水再生利用 城市杂用水水质》（GB/T18920-2020）中的</w:t>
            </w:r>
            <w:r>
              <w:rPr>
                <w:rFonts w:hint="default"/>
                <w:lang w:eastAsia="zh-CN"/>
              </w:rPr>
              <w:t>冲厕、车辆冲洗</w:t>
            </w:r>
            <w:r>
              <w:rPr>
                <w:rFonts w:hint="eastAsia"/>
                <w:lang w:val="en-US" w:eastAsia="zh-CN"/>
              </w:rPr>
              <w:t>所用的再生水</w:t>
            </w:r>
            <w:r>
              <w:rPr>
                <w:rFonts w:hint="default"/>
                <w:lang w:eastAsia="zh-CN"/>
              </w:rPr>
              <w:t>水质</w:t>
            </w:r>
            <w:r>
              <w:rPr>
                <w:rFonts w:hint="eastAsia"/>
                <w:lang w:val="en-US" w:eastAsia="zh-CN"/>
              </w:rPr>
              <w:t>指标，</w:t>
            </w:r>
            <w:r>
              <w:rPr>
                <w:rFonts w:hint="eastAsia"/>
              </w:rPr>
              <w:t>具体</w:t>
            </w:r>
            <w:r>
              <w:rPr>
                <w:rFonts w:hint="eastAsia"/>
                <w:lang w:val="en-US" w:eastAsia="zh-CN"/>
              </w:rPr>
              <w:t>要求</w:t>
            </w:r>
            <w:r>
              <w:rPr>
                <w:rFonts w:hint="eastAsia"/>
              </w:rPr>
              <w:t>见表</w:t>
            </w:r>
            <w:r>
              <w:rPr>
                <w:rFonts w:hint="eastAsia"/>
                <w:lang w:val="en-US" w:eastAsia="zh-CN"/>
              </w:rPr>
              <w:t>3-5</w:t>
            </w:r>
            <w:r>
              <w:t>。</w:t>
            </w:r>
            <w:r>
              <w:rPr>
                <w:rFonts w:hint="eastAsia"/>
              </w:rPr>
              <w:t>消防废水产生后收集至事故水池，</w:t>
            </w:r>
            <w:r>
              <w:t>事故后将废水</w:t>
            </w:r>
            <w:r>
              <w:rPr>
                <w:rFonts w:hint="eastAsia"/>
              </w:rPr>
              <w:t>送至工业</w:t>
            </w:r>
            <w:r>
              <w:t>污水处理厂处理</w:t>
            </w:r>
            <w:r>
              <w:rPr>
                <w:rFonts w:hint="eastAsia"/>
                <w:lang w:eastAsia="zh-CN"/>
              </w:rPr>
              <w:t>。</w:t>
            </w:r>
          </w:p>
          <w:p w14:paraId="5A0BCE87">
            <w:pPr>
              <w:pStyle w:val="21"/>
              <w:spacing w:before="120"/>
              <w:rPr>
                <w:rFonts w:hint="default" w:eastAsia="宋体"/>
                <w:lang w:val="en-US" w:eastAsia="zh-CN"/>
              </w:rPr>
            </w:pPr>
            <w:bookmarkStart w:id="99" w:name="_Toc15075"/>
            <w:bookmarkStart w:id="100" w:name="_Toc23077"/>
            <w:r>
              <w:t xml:space="preserve">表3-4  </w:t>
            </w:r>
            <w:bookmarkEnd w:id="99"/>
            <w:bookmarkEnd w:id="100"/>
            <w:r>
              <w:rPr>
                <w:rFonts w:hint="eastAsia"/>
                <w:lang w:val="en-US" w:eastAsia="zh-CN"/>
              </w:rPr>
              <w:t>生活污水排放标准</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91"/>
              <w:gridCol w:w="2793"/>
              <w:gridCol w:w="2792"/>
            </w:tblGrid>
            <w:tr w14:paraId="02350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66" w:type="pct"/>
                  <w:tcBorders>
                    <w:tl2br w:val="nil"/>
                    <w:tr2bl w:val="nil"/>
                  </w:tcBorders>
                </w:tcPr>
                <w:p w14:paraId="6E436062">
                  <w:pPr>
                    <w:pStyle w:val="19"/>
                    <w:spacing w:before="120" w:after="120"/>
                  </w:pPr>
                  <w:r>
                    <w:t>序号</w:t>
                  </w:r>
                </w:p>
              </w:tc>
              <w:tc>
                <w:tcPr>
                  <w:tcW w:w="1667" w:type="pct"/>
                  <w:tcBorders>
                    <w:tl2br w:val="nil"/>
                    <w:tr2bl w:val="nil"/>
                  </w:tcBorders>
                </w:tcPr>
                <w:p w14:paraId="32742573">
                  <w:pPr>
                    <w:pStyle w:val="19"/>
                    <w:spacing w:before="120" w:after="120"/>
                  </w:pPr>
                  <w:r>
                    <w:t>污染物</w:t>
                  </w:r>
                </w:p>
              </w:tc>
              <w:tc>
                <w:tcPr>
                  <w:tcW w:w="1666" w:type="pct"/>
                  <w:tcBorders>
                    <w:tl2br w:val="nil"/>
                    <w:tr2bl w:val="nil"/>
                  </w:tcBorders>
                </w:tcPr>
                <w:p w14:paraId="524C202A">
                  <w:pPr>
                    <w:pStyle w:val="19"/>
                    <w:spacing w:before="120" w:after="120"/>
                  </w:pPr>
                  <w:r>
                    <w:t>标准值mg/L</w:t>
                  </w:r>
                </w:p>
              </w:tc>
            </w:tr>
            <w:tr w14:paraId="70F55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66" w:type="pct"/>
                  <w:tcBorders>
                    <w:tl2br w:val="nil"/>
                    <w:tr2bl w:val="nil"/>
                  </w:tcBorders>
                </w:tcPr>
                <w:p w14:paraId="030B3811">
                  <w:pPr>
                    <w:pStyle w:val="19"/>
                    <w:spacing w:before="120" w:after="120"/>
                  </w:pPr>
                  <w:r>
                    <w:t>1</w:t>
                  </w:r>
                </w:p>
              </w:tc>
              <w:tc>
                <w:tcPr>
                  <w:tcW w:w="1667" w:type="pct"/>
                  <w:tcBorders>
                    <w:tl2br w:val="nil"/>
                    <w:tr2bl w:val="nil"/>
                  </w:tcBorders>
                </w:tcPr>
                <w:p w14:paraId="05184AA8">
                  <w:pPr>
                    <w:pStyle w:val="19"/>
                    <w:spacing w:before="120" w:after="120"/>
                  </w:pPr>
                  <w:r>
                    <w:t>COD</w:t>
                  </w:r>
                </w:p>
              </w:tc>
              <w:tc>
                <w:tcPr>
                  <w:tcW w:w="1666" w:type="pct"/>
                  <w:tcBorders>
                    <w:tl2br w:val="nil"/>
                    <w:tr2bl w:val="nil"/>
                  </w:tcBorders>
                </w:tcPr>
                <w:p w14:paraId="1CCCF0A7">
                  <w:pPr>
                    <w:pStyle w:val="19"/>
                    <w:spacing w:before="120" w:after="120"/>
                  </w:pPr>
                  <w:r>
                    <w:t>500</w:t>
                  </w:r>
                </w:p>
              </w:tc>
            </w:tr>
            <w:tr w14:paraId="1C69B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tcPr>
                <w:p w14:paraId="6751BEC4">
                  <w:pPr>
                    <w:pStyle w:val="19"/>
                    <w:spacing w:before="120" w:after="120"/>
                  </w:pPr>
                  <w:r>
                    <w:t>2</w:t>
                  </w:r>
                </w:p>
              </w:tc>
              <w:tc>
                <w:tcPr>
                  <w:tcW w:w="1667" w:type="pct"/>
                  <w:tcBorders>
                    <w:tl2br w:val="nil"/>
                    <w:tr2bl w:val="nil"/>
                  </w:tcBorders>
                </w:tcPr>
                <w:p w14:paraId="7C6D5267">
                  <w:pPr>
                    <w:pStyle w:val="19"/>
                    <w:spacing w:before="120" w:after="120"/>
                  </w:pPr>
                  <w:r>
                    <w:t>BOD</w:t>
                  </w:r>
                  <w:r>
                    <w:rPr>
                      <w:vertAlign w:val="subscript"/>
                    </w:rPr>
                    <w:t>5</w:t>
                  </w:r>
                </w:p>
              </w:tc>
              <w:tc>
                <w:tcPr>
                  <w:tcW w:w="1666" w:type="pct"/>
                  <w:tcBorders>
                    <w:tl2br w:val="nil"/>
                    <w:tr2bl w:val="nil"/>
                  </w:tcBorders>
                </w:tcPr>
                <w:p w14:paraId="7C79004F">
                  <w:pPr>
                    <w:pStyle w:val="19"/>
                    <w:spacing w:before="120" w:after="120"/>
                  </w:pPr>
                  <w:r>
                    <w:t>300</w:t>
                  </w:r>
                </w:p>
              </w:tc>
            </w:tr>
            <w:tr w14:paraId="5029E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tcPr>
                <w:p w14:paraId="25632E62">
                  <w:pPr>
                    <w:pStyle w:val="19"/>
                    <w:spacing w:before="120" w:after="120"/>
                  </w:pPr>
                  <w:r>
                    <w:t>3</w:t>
                  </w:r>
                </w:p>
              </w:tc>
              <w:tc>
                <w:tcPr>
                  <w:tcW w:w="1667" w:type="pct"/>
                  <w:tcBorders>
                    <w:tl2br w:val="nil"/>
                    <w:tr2bl w:val="nil"/>
                  </w:tcBorders>
                </w:tcPr>
                <w:p w14:paraId="34B06DC2">
                  <w:pPr>
                    <w:pStyle w:val="19"/>
                    <w:spacing w:before="120" w:after="120"/>
                  </w:pPr>
                  <w:r>
                    <w:t>SS</w:t>
                  </w:r>
                </w:p>
              </w:tc>
              <w:tc>
                <w:tcPr>
                  <w:tcW w:w="1666" w:type="pct"/>
                  <w:tcBorders>
                    <w:tl2br w:val="nil"/>
                    <w:tr2bl w:val="nil"/>
                  </w:tcBorders>
                </w:tcPr>
                <w:p w14:paraId="04D68A70">
                  <w:pPr>
                    <w:pStyle w:val="19"/>
                    <w:spacing w:before="120" w:after="120"/>
                  </w:pPr>
                  <w:r>
                    <w:t>400</w:t>
                  </w:r>
                </w:p>
              </w:tc>
            </w:tr>
            <w:tr w14:paraId="4A480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tcPr>
                <w:p w14:paraId="45DD35EF">
                  <w:pPr>
                    <w:pStyle w:val="19"/>
                    <w:spacing w:before="120" w:after="120"/>
                  </w:pPr>
                  <w:r>
                    <w:t>4</w:t>
                  </w:r>
                </w:p>
              </w:tc>
              <w:tc>
                <w:tcPr>
                  <w:tcW w:w="1667" w:type="pct"/>
                  <w:tcBorders>
                    <w:tl2br w:val="nil"/>
                    <w:tr2bl w:val="nil"/>
                  </w:tcBorders>
                </w:tcPr>
                <w:p w14:paraId="2FDA5E52">
                  <w:pPr>
                    <w:pStyle w:val="19"/>
                    <w:spacing w:before="120" w:after="120"/>
                  </w:pPr>
                  <w:r>
                    <w:t>NH</w:t>
                  </w:r>
                  <w:r>
                    <w:rPr>
                      <w:vertAlign w:val="subscript"/>
                    </w:rPr>
                    <w:t>3</w:t>
                  </w:r>
                  <w:r>
                    <w:t>-N</w:t>
                  </w:r>
                </w:p>
              </w:tc>
              <w:tc>
                <w:tcPr>
                  <w:tcW w:w="1666" w:type="pct"/>
                  <w:tcBorders>
                    <w:tl2br w:val="nil"/>
                    <w:tr2bl w:val="nil"/>
                  </w:tcBorders>
                </w:tcPr>
                <w:p w14:paraId="4AA37A01">
                  <w:pPr>
                    <w:pStyle w:val="19"/>
                    <w:spacing w:before="120" w:after="120"/>
                  </w:pPr>
                  <w:r>
                    <w:t>/</w:t>
                  </w:r>
                </w:p>
              </w:tc>
            </w:tr>
          </w:tbl>
          <w:p w14:paraId="44EAAF09">
            <w:pPr>
              <w:pStyle w:val="21"/>
              <w:spacing w:before="120"/>
              <w:rPr>
                <w:rFonts w:hint="default" w:eastAsia="宋体"/>
                <w:lang w:val="en-US" w:eastAsia="zh-CN"/>
              </w:rPr>
            </w:pPr>
            <w:bookmarkStart w:id="101" w:name="_Toc23083"/>
            <w:bookmarkStart w:id="102" w:name="_Toc23316"/>
            <w:r>
              <w:t>表3-</w:t>
            </w:r>
            <w:r>
              <w:rPr>
                <w:rFonts w:hint="eastAsia"/>
                <w:lang w:val="en-US" w:eastAsia="zh-CN"/>
              </w:rPr>
              <w:t>5</w:t>
            </w:r>
            <w:r>
              <w:t xml:space="preserve">  </w:t>
            </w:r>
            <w:r>
              <w:rPr>
                <w:rFonts w:hint="eastAsia"/>
              </w:rPr>
              <w:t>洗车污水</w:t>
            </w:r>
            <w:r>
              <w:rPr>
                <w:rFonts w:hint="eastAsia"/>
                <w:lang w:val="en-US" w:eastAsia="zh-CN"/>
              </w:rPr>
              <w:t>回用标准</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1"/>
              <w:gridCol w:w="3722"/>
              <w:gridCol w:w="3893"/>
            </w:tblGrid>
            <w:tr w14:paraId="4D6AC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4" w:type="pct"/>
                  <w:tcBorders>
                    <w:tl2br w:val="nil"/>
                    <w:tr2bl w:val="nil"/>
                  </w:tcBorders>
                  <w:vAlign w:val="center"/>
                </w:tcPr>
                <w:p w14:paraId="57846647">
                  <w:pPr>
                    <w:pStyle w:val="19"/>
                    <w:bidi w:val="0"/>
                    <w:jc w:val="center"/>
                  </w:pPr>
                  <w:r>
                    <w:t>序号</w:t>
                  </w:r>
                </w:p>
              </w:tc>
              <w:tc>
                <w:tcPr>
                  <w:tcW w:w="2221" w:type="pct"/>
                  <w:tcBorders>
                    <w:tl2br w:val="nil"/>
                    <w:tr2bl w:val="nil"/>
                  </w:tcBorders>
                  <w:vAlign w:val="center"/>
                </w:tcPr>
                <w:p w14:paraId="33364EAE">
                  <w:pPr>
                    <w:pStyle w:val="19"/>
                    <w:bidi w:val="0"/>
                    <w:jc w:val="center"/>
                  </w:pPr>
                  <w:r>
                    <w:t>污染物</w:t>
                  </w:r>
                </w:p>
              </w:tc>
              <w:tc>
                <w:tcPr>
                  <w:tcW w:w="2323" w:type="pct"/>
                  <w:tcBorders>
                    <w:tl2br w:val="nil"/>
                    <w:tr2bl w:val="nil"/>
                  </w:tcBorders>
                  <w:vAlign w:val="center"/>
                </w:tcPr>
                <w:p w14:paraId="456F12CD">
                  <w:pPr>
                    <w:pStyle w:val="19"/>
                    <w:bidi w:val="0"/>
                    <w:jc w:val="center"/>
                  </w:pPr>
                  <w:r>
                    <w:t>标准值mg/L</w:t>
                  </w:r>
                </w:p>
              </w:tc>
            </w:tr>
            <w:tr w14:paraId="08AD1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4" w:type="pct"/>
                  <w:tcBorders>
                    <w:tl2br w:val="nil"/>
                    <w:tr2bl w:val="nil"/>
                  </w:tcBorders>
                  <w:vAlign w:val="center"/>
                </w:tcPr>
                <w:p w14:paraId="1CDB0443">
                  <w:pPr>
                    <w:pStyle w:val="19"/>
                    <w:bidi w:val="0"/>
                    <w:jc w:val="center"/>
                  </w:pPr>
                  <w:r>
                    <w:t>1</w:t>
                  </w:r>
                </w:p>
              </w:tc>
              <w:tc>
                <w:tcPr>
                  <w:tcW w:w="2221" w:type="pct"/>
                  <w:tcBorders>
                    <w:tl2br w:val="nil"/>
                    <w:tr2bl w:val="nil"/>
                  </w:tcBorders>
                  <w:vAlign w:val="center"/>
                </w:tcPr>
                <w:p w14:paraId="4029CF22">
                  <w:pPr>
                    <w:pStyle w:val="19"/>
                    <w:bidi w:val="0"/>
                    <w:jc w:val="center"/>
                    <w:rPr>
                      <w:rFonts w:hint="default"/>
                      <w:lang w:val="en-US" w:eastAsia="zh-CN"/>
                    </w:rPr>
                  </w:pPr>
                  <w:r>
                    <w:rPr>
                      <w:rFonts w:hint="eastAsia"/>
                      <w:lang w:val="en-US" w:eastAsia="zh-CN"/>
                    </w:rPr>
                    <w:t>pH</w:t>
                  </w:r>
                </w:p>
              </w:tc>
              <w:tc>
                <w:tcPr>
                  <w:tcW w:w="2323" w:type="pct"/>
                  <w:tcBorders>
                    <w:tl2br w:val="nil"/>
                    <w:tr2bl w:val="nil"/>
                  </w:tcBorders>
                  <w:vAlign w:val="center"/>
                </w:tcPr>
                <w:p w14:paraId="75A694D2">
                  <w:pPr>
                    <w:pStyle w:val="19"/>
                    <w:bidi w:val="0"/>
                    <w:jc w:val="center"/>
                    <w:rPr>
                      <w:rFonts w:hint="default"/>
                      <w:lang w:val="en-US" w:eastAsia="zh-CN"/>
                    </w:rPr>
                  </w:pPr>
                  <w:r>
                    <w:rPr>
                      <w:rFonts w:hint="eastAsia"/>
                      <w:lang w:val="en-US" w:eastAsia="zh-CN"/>
                    </w:rPr>
                    <w:t>6~9</w:t>
                  </w:r>
                </w:p>
              </w:tc>
            </w:tr>
            <w:tr w14:paraId="7DDD0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Borders>
                    <w:tl2br w:val="nil"/>
                    <w:tr2bl w:val="nil"/>
                  </w:tcBorders>
                  <w:vAlign w:val="center"/>
                </w:tcPr>
                <w:p w14:paraId="1E492F97">
                  <w:pPr>
                    <w:pStyle w:val="19"/>
                    <w:bidi w:val="0"/>
                    <w:jc w:val="center"/>
                  </w:pPr>
                  <w:r>
                    <w:t>2</w:t>
                  </w:r>
                </w:p>
              </w:tc>
              <w:tc>
                <w:tcPr>
                  <w:tcW w:w="2221" w:type="pct"/>
                  <w:tcBorders>
                    <w:tl2br w:val="nil"/>
                    <w:tr2bl w:val="nil"/>
                  </w:tcBorders>
                  <w:vAlign w:val="center"/>
                </w:tcPr>
                <w:p w14:paraId="593A4AB9">
                  <w:pPr>
                    <w:pStyle w:val="19"/>
                    <w:bidi w:val="0"/>
                    <w:jc w:val="center"/>
                    <w:rPr>
                      <w:rFonts w:hint="default"/>
                      <w:lang w:val="en-US" w:eastAsia="zh-CN"/>
                    </w:rPr>
                  </w:pPr>
                  <w:r>
                    <w:rPr>
                      <w:rFonts w:hint="eastAsia"/>
                      <w:lang w:val="en-US" w:eastAsia="zh-CN"/>
                    </w:rPr>
                    <w:t>色度，铂钴色度单位</w:t>
                  </w:r>
                </w:p>
              </w:tc>
              <w:tc>
                <w:tcPr>
                  <w:tcW w:w="2323" w:type="pct"/>
                  <w:tcBorders>
                    <w:tl2br w:val="nil"/>
                    <w:tr2bl w:val="nil"/>
                  </w:tcBorders>
                  <w:vAlign w:val="center"/>
                </w:tcPr>
                <w:p w14:paraId="28D3EBC4">
                  <w:pPr>
                    <w:pStyle w:val="19"/>
                    <w:bidi w:val="0"/>
                    <w:jc w:val="center"/>
                    <w:rPr>
                      <w:rFonts w:hint="default"/>
                      <w:lang w:val="en-US" w:eastAsia="zh-CN"/>
                    </w:rPr>
                  </w:pPr>
                  <w:r>
                    <w:rPr>
                      <w:rFonts w:hint="eastAsia"/>
                      <w:lang w:val="en-US" w:eastAsia="zh-CN"/>
                    </w:rPr>
                    <w:t>≤15</w:t>
                  </w:r>
                </w:p>
              </w:tc>
            </w:tr>
            <w:tr w14:paraId="0AE7F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Borders>
                    <w:tl2br w:val="nil"/>
                    <w:tr2bl w:val="nil"/>
                  </w:tcBorders>
                  <w:vAlign w:val="center"/>
                </w:tcPr>
                <w:p w14:paraId="7889D216">
                  <w:pPr>
                    <w:pStyle w:val="19"/>
                    <w:bidi w:val="0"/>
                    <w:jc w:val="center"/>
                  </w:pPr>
                  <w:r>
                    <w:t>3</w:t>
                  </w:r>
                </w:p>
              </w:tc>
              <w:tc>
                <w:tcPr>
                  <w:tcW w:w="2221" w:type="pct"/>
                  <w:tcBorders>
                    <w:tl2br w:val="nil"/>
                    <w:tr2bl w:val="nil"/>
                  </w:tcBorders>
                  <w:vAlign w:val="center"/>
                </w:tcPr>
                <w:p w14:paraId="3EE92B15">
                  <w:pPr>
                    <w:pStyle w:val="19"/>
                    <w:bidi w:val="0"/>
                    <w:jc w:val="center"/>
                    <w:rPr>
                      <w:rFonts w:hint="eastAsia"/>
                      <w:lang w:val="en-US" w:eastAsia="zh-CN"/>
                    </w:rPr>
                  </w:pPr>
                  <w:r>
                    <w:rPr>
                      <w:rFonts w:hint="eastAsia"/>
                      <w:lang w:val="en-US" w:eastAsia="zh-CN"/>
                    </w:rPr>
                    <w:t>嗅</w:t>
                  </w:r>
                </w:p>
              </w:tc>
              <w:tc>
                <w:tcPr>
                  <w:tcW w:w="2323" w:type="pct"/>
                  <w:tcBorders>
                    <w:tl2br w:val="nil"/>
                    <w:tr2bl w:val="nil"/>
                  </w:tcBorders>
                  <w:vAlign w:val="center"/>
                </w:tcPr>
                <w:p w14:paraId="3942A846">
                  <w:pPr>
                    <w:pStyle w:val="19"/>
                    <w:bidi w:val="0"/>
                    <w:jc w:val="center"/>
                    <w:rPr>
                      <w:rFonts w:hint="default"/>
                      <w:lang w:val="en-US" w:eastAsia="zh-CN"/>
                    </w:rPr>
                  </w:pPr>
                  <w:r>
                    <w:rPr>
                      <w:rFonts w:hint="eastAsia"/>
                      <w:lang w:val="en-US" w:eastAsia="zh-CN"/>
                    </w:rPr>
                    <w:t>无不快感</w:t>
                  </w:r>
                </w:p>
              </w:tc>
            </w:tr>
            <w:tr w14:paraId="41C3B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Borders>
                    <w:tl2br w:val="nil"/>
                    <w:tr2bl w:val="nil"/>
                  </w:tcBorders>
                  <w:vAlign w:val="center"/>
                </w:tcPr>
                <w:p w14:paraId="23C41318">
                  <w:pPr>
                    <w:pStyle w:val="19"/>
                    <w:bidi w:val="0"/>
                    <w:jc w:val="center"/>
                  </w:pPr>
                  <w:r>
                    <w:t>4</w:t>
                  </w:r>
                </w:p>
              </w:tc>
              <w:tc>
                <w:tcPr>
                  <w:tcW w:w="2221" w:type="pct"/>
                  <w:tcBorders>
                    <w:tl2br w:val="nil"/>
                    <w:tr2bl w:val="nil"/>
                  </w:tcBorders>
                  <w:vAlign w:val="center"/>
                </w:tcPr>
                <w:p w14:paraId="75D0BC3C">
                  <w:pPr>
                    <w:pStyle w:val="19"/>
                    <w:bidi w:val="0"/>
                    <w:jc w:val="center"/>
                    <w:rPr>
                      <w:rFonts w:hint="default"/>
                      <w:lang w:val="en-US" w:eastAsia="zh-CN"/>
                    </w:rPr>
                  </w:pPr>
                  <w:r>
                    <w:rPr>
                      <w:rFonts w:hint="eastAsia"/>
                      <w:lang w:val="en-US" w:eastAsia="zh-CN"/>
                    </w:rPr>
                    <w:t>浊度/NTU</w:t>
                  </w:r>
                </w:p>
              </w:tc>
              <w:tc>
                <w:tcPr>
                  <w:tcW w:w="2323" w:type="pct"/>
                  <w:tcBorders>
                    <w:tl2br w:val="nil"/>
                    <w:tr2bl w:val="nil"/>
                  </w:tcBorders>
                  <w:vAlign w:val="center"/>
                </w:tcPr>
                <w:p w14:paraId="248E6E91">
                  <w:pPr>
                    <w:pStyle w:val="19"/>
                    <w:bidi w:val="0"/>
                    <w:jc w:val="center"/>
                    <w:rPr>
                      <w:rFonts w:hint="default"/>
                      <w:lang w:val="en-US"/>
                    </w:rPr>
                  </w:pPr>
                  <w:r>
                    <w:rPr>
                      <w:rFonts w:hint="eastAsia"/>
                      <w:lang w:val="en-US" w:eastAsia="zh-CN"/>
                    </w:rPr>
                    <w:t>≤5</w:t>
                  </w:r>
                </w:p>
              </w:tc>
            </w:tr>
            <w:tr w14:paraId="12A52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Borders>
                    <w:tl2br w:val="nil"/>
                    <w:tr2bl w:val="nil"/>
                  </w:tcBorders>
                  <w:vAlign w:val="center"/>
                </w:tcPr>
                <w:p w14:paraId="019B1CA2">
                  <w:pPr>
                    <w:pStyle w:val="19"/>
                    <w:bidi w:val="0"/>
                    <w:jc w:val="center"/>
                    <w:rPr>
                      <w:rFonts w:hint="eastAsia" w:eastAsia="宋体"/>
                      <w:lang w:val="en-US" w:eastAsia="zh-CN"/>
                    </w:rPr>
                  </w:pPr>
                  <w:r>
                    <w:rPr>
                      <w:rFonts w:hint="eastAsia"/>
                      <w:lang w:val="en-US" w:eastAsia="zh-CN"/>
                    </w:rPr>
                    <w:t>5</w:t>
                  </w:r>
                </w:p>
              </w:tc>
              <w:tc>
                <w:tcPr>
                  <w:tcW w:w="2221" w:type="pct"/>
                  <w:tcBorders>
                    <w:tl2br w:val="nil"/>
                    <w:tr2bl w:val="nil"/>
                  </w:tcBorders>
                  <w:vAlign w:val="center"/>
                </w:tcPr>
                <w:p w14:paraId="3B3AD4A7">
                  <w:pPr>
                    <w:pStyle w:val="19"/>
                    <w:bidi w:val="0"/>
                    <w:jc w:val="center"/>
                    <w:rPr>
                      <w:rFonts w:hint="default"/>
                      <w:lang w:val="en-US" w:eastAsia="zh-CN"/>
                    </w:rPr>
                  </w:pPr>
                  <w:r>
                    <w:rPr>
                      <w:rFonts w:hint="eastAsia"/>
                      <w:lang w:val="en-US" w:eastAsia="zh-CN"/>
                    </w:rPr>
                    <w:t>五日生化需氧量</w:t>
                  </w:r>
                </w:p>
              </w:tc>
              <w:tc>
                <w:tcPr>
                  <w:tcW w:w="2323" w:type="pct"/>
                  <w:tcBorders>
                    <w:tl2br w:val="nil"/>
                    <w:tr2bl w:val="nil"/>
                  </w:tcBorders>
                  <w:vAlign w:val="center"/>
                </w:tcPr>
                <w:p w14:paraId="48A27493">
                  <w:pPr>
                    <w:pStyle w:val="19"/>
                    <w:bidi w:val="0"/>
                    <w:jc w:val="center"/>
                    <w:rPr>
                      <w:rFonts w:hint="default"/>
                      <w:lang w:val="en-US" w:eastAsia="zh-CN"/>
                    </w:rPr>
                  </w:pPr>
                  <w:r>
                    <w:rPr>
                      <w:rFonts w:hint="eastAsia"/>
                      <w:lang w:val="en-US" w:eastAsia="zh-CN"/>
                    </w:rPr>
                    <w:t>≤10</w:t>
                  </w:r>
                </w:p>
              </w:tc>
            </w:tr>
            <w:tr w14:paraId="4E5D9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Borders>
                    <w:tl2br w:val="nil"/>
                    <w:tr2bl w:val="nil"/>
                  </w:tcBorders>
                  <w:vAlign w:val="center"/>
                </w:tcPr>
                <w:p w14:paraId="4CFCE4B7">
                  <w:pPr>
                    <w:pStyle w:val="19"/>
                    <w:bidi w:val="0"/>
                    <w:jc w:val="center"/>
                    <w:rPr>
                      <w:rFonts w:hint="eastAsia" w:eastAsia="宋体"/>
                      <w:lang w:val="en-US" w:eastAsia="zh-CN"/>
                    </w:rPr>
                  </w:pPr>
                  <w:r>
                    <w:rPr>
                      <w:rFonts w:hint="eastAsia"/>
                      <w:lang w:val="en-US" w:eastAsia="zh-CN"/>
                    </w:rPr>
                    <w:t>6</w:t>
                  </w:r>
                </w:p>
              </w:tc>
              <w:tc>
                <w:tcPr>
                  <w:tcW w:w="2221" w:type="pct"/>
                  <w:tcBorders>
                    <w:tl2br w:val="nil"/>
                    <w:tr2bl w:val="nil"/>
                  </w:tcBorders>
                  <w:vAlign w:val="center"/>
                </w:tcPr>
                <w:p w14:paraId="61E20CA4">
                  <w:pPr>
                    <w:pStyle w:val="19"/>
                    <w:bidi w:val="0"/>
                    <w:jc w:val="center"/>
                    <w:rPr>
                      <w:rFonts w:hint="default"/>
                      <w:lang w:val="en-US" w:eastAsia="zh-CN"/>
                    </w:rPr>
                  </w:pPr>
                  <w:r>
                    <w:rPr>
                      <w:rFonts w:hint="eastAsia"/>
                      <w:lang w:val="en-US" w:eastAsia="zh-CN"/>
                    </w:rPr>
                    <w:t>氨氮</w:t>
                  </w:r>
                </w:p>
              </w:tc>
              <w:tc>
                <w:tcPr>
                  <w:tcW w:w="2323" w:type="pct"/>
                  <w:tcBorders>
                    <w:tl2br w:val="nil"/>
                    <w:tr2bl w:val="nil"/>
                  </w:tcBorders>
                  <w:vAlign w:val="center"/>
                </w:tcPr>
                <w:p w14:paraId="5BFB66CC">
                  <w:pPr>
                    <w:pStyle w:val="19"/>
                    <w:bidi w:val="0"/>
                    <w:jc w:val="center"/>
                    <w:rPr>
                      <w:rFonts w:hint="default"/>
                      <w:lang w:val="en-US" w:eastAsia="zh-CN"/>
                    </w:rPr>
                  </w:pPr>
                  <w:r>
                    <w:rPr>
                      <w:rFonts w:hint="eastAsia"/>
                      <w:lang w:val="en-US" w:eastAsia="zh-CN"/>
                    </w:rPr>
                    <w:t>≤5</w:t>
                  </w:r>
                </w:p>
              </w:tc>
            </w:tr>
            <w:tr w14:paraId="240D6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Borders>
                    <w:tl2br w:val="nil"/>
                    <w:tr2bl w:val="nil"/>
                  </w:tcBorders>
                  <w:vAlign w:val="center"/>
                </w:tcPr>
                <w:p w14:paraId="1B3E3229">
                  <w:pPr>
                    <w:pStyle w:val="19"/>
                    <w:bidi w:val="0"/>
                    <w:jc w:val="center"/>
                    <w:rPr>
                      <w:rFonts w:hint="eastAsia" w:eastAsia="宋体"/>
                      <w:lang w:val="en-US" w:eastAsia="zh-CN"/>
                    </w:rPr>
                  </w:pPr>
                  <w:r>
                    <w:rPr>
                      <w:rFonts w:hint="eastAsia"/>
                      <w:lang w:val="en-US" w:eastAsia="zh-CN"/>
                    </w:rPr>
                    <w:t>7</w:t>
                  </w:r>
                </w:p>
              </w:tc>
              <w:tc>
                <w:tcPr>
                  <w:tcW w:w="2221" w:type="pct"/>
                  <w:tcBorders>
                    <w:tl2br w:val="nil"/>
                    <w:tr2bl w:val="nil"/>
                  </w:tcBorders>
                  <w:vAlign w:val="center"/>
                </w:tcPr>
                <w:p w14:paraId="5230A70E">
                  <w:pPr>
                    <w:pStyle w:val="19"/>
                    <w:bidi w:val="0"/>
                    <w:jc w:val="center"/>
                    <w:rPr>
                      <w:rFonts w:hint="default"/>
                      <w:lang w:val="en-US" w:eastAsia="zh-CN"/>
                    </w:rPr>
                  </w:pPr>
                  <w:r>
                    <w:rPr>
                      <w:rFonts w:hint="eastAsia"/>
                      <w:lang w:val="en-US" w:eastAsia="zh-CN"/>
                    </w:rPr>
                    <w:t>阴离子表面活性剂</w:t>
                  </w:r>
                </w:p>
              </w:tc>
              <w:tc>
                <w:tcPr>
                  <w:tcW w:w="2323" w:type="pct"/>
                  <w:tcBorders>
                    <w:tl2br w:val="nil"/>
                    <w:tr2bl w:val="nil"/>
                  </w:tcBorders>
                  <w:vAlign w:val="center"/>
                </w:tcPr>
                <w:p w14:paraId="7AFB0B16">
                  <w:pPr>
                    <w:pStyle w:val="19"/>
                    <w:bidi w:val="0"/>
                    <w:jc w:val="center"/>
                    <w:rPr>
                      <w:rFonts w:hint="default"/>
                      <w:lang w:val="en-US" w:eastAsia="zh-CN"/>
                    </w:rPr>
                  </w:pPr>
                  <w:r>
                    <w:rPr>
                      <w:rFonts w:hint="eastAsia"/>
                      <w:lang w:val="en-US" w:eastAsia="zh-CN"/>
                    </w:rPr>
                    <w:t>≤0.5</w:t>
                  </w:r>
                </w:p>
              </w:tc>
            </w:tr>
            <w:tr w14:paraId="7B128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Borders>
                    <w:tl2br w:val="nil"/>
                    <w:tr2bl w:val="nil"/>
                  </w:tcBorders>
                  <w:vAlign w:val="center"/>
                </w:tcPr>
                <w:p w14:paraId="705F3BF6">
                  <w:pPr>
                    <w:pStyle w:val="19"/>
                    <w:bidi w:val="0"/>
                    <w:jc w:val="center"/>
                    <w:rPr>
                      <w:rFonts w:hint="default"/>
                      <w:lang w:val="en-US" w:eastAsia="zh-CN"/>
                    </w:rPr>
                  </w:pPr>
                  <w:r>
                    <w:rPr>
                      <w:rFonts w:hint="eastAsia"/>
                      <w:lang w:val="en-US" w:eastAsia="zh-CN"/>
                    </w:rPr>
                    <w:t>8</w:t>
                  </w:r>
                </w:p>
              </w:tc>
              <w:tc>
                <w:tcPr>
                  <w:tcW w:w="2221" w:type="pct"/>
                  <w:tcBorders>
                    <w:tl2br w:val="nil"/>
                    <w:tr2bl w:val="nil"/>
                  </w:tcBorders>
                  <w:vAlign w:val="center"/>
                </w:tcPr>
                <w:p w14:paraId="6B291A16">
                  <w:pPr>
                    <w:pStyle w:val="19"/>
                    <w:bidi w:val="0"/>
                    <w:jc w:val="center"/>
                    <w:rPr>
                      <w:rFonts w:hint="default"/>
                      <w:lang w:val="en-US" w:eastAsia="zh-CN"/>
                    </w:rPr>
                  </w:pPr>
                  <w:r>
                    <w:rPr>
                      <w:rFonts w:hint="eastAsia"/>
                      <w:lang w:val="en-US" w:eastAsia="zh-CN"/>
                    </w:rPr>
                    <w:t>铁</w:t>
                  </w:r>
                </w:p>
              </w:tc>
              <w:tc>
                <w:tcPr>
                  <w:tcW w:w="2323" w:type="pct"/>
                  <w:tcBorders>
                    <w:tl2br w:val="nil"/>
                    <w:tr2bl w:val="nil"/>
                  </w:tcBorders>
                  <w:vAlign w:val="center"/>
                </w:tcPr>
                <w:p w14:paraId="74024E03">
                  <w:pPr>
                    <w:pStyle w:val="19"/>
                    <w:bidi w:val="0"/>
                    <w:jc w:val="center"/>
                    <w:rPr>
                      <w:rFonts w:hint="default"/>
                      <w:lang w:val="en-US" w:eastAsia="zh-CN"/>
                    </w:rPr>
                  </w:pPr>
                  <w:r>
                    <w:rPr>
                      <w:rFonts w:hint="eastAsia"/>
                      <w:lang w:val="en-US" w:eastAsia="zh-CN"/>
                    </w:rPr>
                    <w:t>≤0.3</w:t>
                  </w:r>
                </w:p>
              </w:tc>
            </w:tr>
            <w:tr w14:paraId="6ED15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Borders>
                    <w:tl2br w:val="nil"/>
                    <w:tr2bl w:val="nil"/>
                  </w:tcBorders>
                  <w:vAlign w:val="center"/>
                </w:tcPr>
                <w:p w14:paraId="4AFE76AE">
                  <w:pPr>
                    <w:pStyle w:val="19"/>
                    <w:bidi w:val="0"/>
                    <w:jc w:val="center"/>
                    <w:rPr>
                      <w:rFonts w:hint="default"/>
                      <w:lang w:val="en-US" w:eastAsia="zh-CN"/>
                    </w:rPr>
                  </w:pPr>
                  <w:r>
                    <w:rPr>
                      <w:rFonts w:hint="eastAsia"/>
                      <w:lang w:val="en-US" w:eastAsia="zh-CN"/>
                    </w:rPr>
                    <w:t>9</w:t>
                  </w:r>
                </w:p>
              </w:tc>
              <w:tc>
                <w:tcPr>
                  <w:tcW w:w="2221" w:type="pct"/>
                  <w:tcBorders>
                    <w:tl2br w:val="nil"/>
                    <w:tr2bl w:val="nil"/>
                  </w:tcBorders>
                  <w:vAlign w:val="center"/>
                </w:tcPr>
                <w:p w14:paraId="2EEA978A">
                  <w:pPr>
                    <w:pStyle w:val="19"/>
                    <w:bidi w:val="0"/>
                    <w:jc w:val="center"/>
                    <w:rPr>
                      <w:rFonts w:hint="default"/>
                      <w:lang w:val="en-US" w:eastAsia="zh-CN"/>
                    </w:rPr>
                  </w:pPr>
                  <w:r>
                    <w:rPr>
                      <w:rFonts w:hint="eastAsia"/>
                      <w:lang w:val="en-US" w:eastAsia="zh-CN"/>
                    </w:rPr>
                    <w:t>锰</w:t>
                  </w:r>
                </w:p>
              </w:tc>
              <w:tc>
                <w:tcPr>
                  <w:tcW w:w="2323" w:type="pct"/>
                  <w:tcBorders>
                    <w:tl2br w:val="nil"/>
                    <w:tr2bl w:val="nil"/>
                  </w:tcBorders>
                  <w:vAlign w:val="center"/>
                </w:tcPr>
                <w:p w14:paraId="7A446F9D">
                  <w:pPr>
                    <w:pStyle w:val="19"/>
                    <w:bidi w:val="0"/>
                    <w:jc w:val="center"/>
                    <w:rPr>
                      <w:rFonts w:hint="default"/>
                      <w:lang w:val="en-US" w:eastAsia="zh-CN"/>
                    </w:rPr>
                  </w:pPr>
                  <w:r>
                    <w:rPr>
                      <w:rFonts w:hint="eastAsia"/>
                      <w:lang w:val="en-US" w:eastAsia="zh-CN"/>
                    </w:rPr>
                    <w:t>≤0.1</w:t>
                  </w:r>
                </w:p>
              </w:tc>
            </w:tr>
            <w:tr w14:paraId="0826C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Borders>
                    <w:tl2br w:val="nil"/>
                    <w:tr2bl w:val="nil"/>
                  </w:tcBorders>
                  <w:vAlign w:val="center"/>
                </w:tcPr>
                <w:p w14:paraId="383BC791">
                  <w:pPr>
                    <w:pStyle w:val="19"/>
                    <w:bidi w:val="0"/>
                    <w:jc w:val="center"/>
                    <w:rPr>
                      <w:rFonts w:hint="default"/>
                      <w:lang w:val="en-US" w:eastAsia="zh-CN"/>
                    </w:rPr>
                  </w:pPr>
                  <w:r>
                    <w:rPr>
                      <w:rFonts w:hint="eastAsia"/>
                      <w:lang w:val="en-US" w:eastAsia="zh-CN"/>
                    </w:rPr>
                    <w:t>10</w:t>
                  </w:r>
                </w:p>
              </w:tc>
              <w:tc>
                <w:tcPr>
                  <w:tcW w:w="2221" w:type="pct"/>
                  <w:tcBorders>
                    <w:tl2br w:val="nil"/>
                    <w:tr2bl w:val="nil"/>
                  </w:tcBorders>
                  <w:vAlign w:val="center"/>
                </w:tcPr>
                <w:p w14:paraId="2CD10529">
                  <w:pPr>
                    <w:pStyle w:val="19"/>
                    <w:bidi w:val="0"/>
                    <w:jc w:val="center"/>
                    <w:rPr>
                      <w:rFonts w:hint="default"/>
                      <w:lang w:val="en-US" w:eastAsia="zh-CN"/>
                    </w:rPr>
                  </w:pPr>
                  <w:r>
                    <w:rPr>
                      <w:rFonts w:hint="eastAsia"/>
                      <w:lang w:val="en-US" w:eastAsia="zh-CN"/>
                    </w:rPr>
                    <w:t>溶解性总固体</w:t>
                  </w:r>
                </w:p>
              </w:tc>
              <w:tc>
                <w:tcPr>
                  <w:tcW w:w="2323" w:type="pct"/>
                  <w:tcBorders>
                    <w:tl2br w:val="nil"/>
                    <w:tr2bl w:val="nil"/>
                  </w:tcBorders>
                  <w:vAlign w:val="center"/>
                </w:tcPr>
                <w:p w14:paraId="0456EE24">
                  <w:pPr>
                    <w:pStyle w:val="19"/>
                    <w:bidi w:val="0"/>
                    <w:jc w:val="center"/>
                    <w:rPr>
                      <w:rFonts w:hint="default"/>
                      <w:lang w:val="en-US" w:eastAsia="zh-CN"/>
                    </w:rPr>
                  </w:pPr>
                  <w:r>
                    <w:rPr>
                      <w:rFonts w:hint="eastAsia"/>
                      <w:lang w:val="en-US" w:eastAsia="zh-CN"/>
                    </w:rPr>
                    <w:t>≤1000</w:t>
                  </w:r>
                </w:p>
              </w:tc>
            </w:tr>
            <w:tr w14:paraId="354FD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Borders>
                    <w:tl2br w:val="nil"/>
                    <w:tr2bl w:val="nil"/>
                  </w:tcBorders>
                  <w:vAlign w:val="center"/>
                </w:tcPr>
                <w:p w14:paraId="23FB626B">
                  <w:pPr>
                    <w:pStyle w:val="19"/>
                    <w:bidi w:val="0"/>
                    <w:jc w:val="center"/>
                    <w:rPr>
                      <w:rFonts w:hint="default"/>
                      <w:lang w:val="en-US" w:eastAsia="zh-CN"/>
                    </w:rPr>
                  </w:pPr>
                  <w:r>
                    <w:rPr>
                      <w:rFonts w:hint="eastAsia"/>
                      <w:lang w:val="en-US" w:eastAsia="zh-CN"/>
                    </w:rPr>
                    <w:t>11</w:t>
                  </w:r>
                </w:p>
              </w:tc>
              <w:tc>
                <w:tcPr>
                  <w:tcW w:w="2221" w:type="pct"/>
                  <w:tcBorders>
                    <w:tl2br w:val="nil"/>
                    <w:tr2bl w:val="nil"/>
                  </w:tcBorders>
                  <w:vAlign w:val="center"/>
                </w:tcPr>
                <w:p w14:paraId="01837F84">
                  <w:pPr>
                    <w:pStyle w:val="19"/>
                    <w:bidi w:val="0"/>
                    <w:jc w:val="center"/>
                    <w:rPr>
                      <w:rFonts w:hint="default"/>
                      <w:lang w:val="en-US" w:eastAsia="zh-CN"/>
                    </w:rPr>
                  </w:pPr>
                  <w:r>
                    <w:rPr>
                      <w:rFonts w:hint="eastAsia"/>
                      <w:lang w:val="en-US" w:eastAsia="zh-CN"/>
                    </w:rPr>
                    <w:t>溶解氧</w:t>
                  </w:r>
                </w:p>
              </w:tc>
              <w:tc>
                <w:tcPr>
                  <w:tcW w:w="2323" w:type="pct"/>
                  <w:tcBorders>
                    <w:tl2br w:val="nil"/>
                    <w:tr2bl w:val="nil"/>
                  </w:tcBorders>
                  <w:vAlign w:val="center"/>
                </w:tcPr>
                <w:p w14:paraId="58B0CE1E">
                  <w:pPr>
                    <w:pStyle w:val="19"/>
                    <w:bidi w:val="0"/>
                    <w:jc w:val="center"/>
                    <w:rPr>
                      <w:rFonts w:hint="default"/>
                      <w:lang w:val="en-US" w:eastAsia="zh-CN"/>
                    </w:rPr>
                  </w:pPr>
                  <w:r>
                    <w:rPr>
                      <w:rFonts w:hint="eastAsia"/>
                      <w:lang w:val="en-US" w:eastAsia="zh-CN"/>
                    </w:rPr>
                    <w:t>≥2.0</w:t>
                  </w:r>
                </w:p>
              </w:tc>
            </w:tr>
            <w:tr w14:paraId="54BDB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Borders>
                    <w:tl2br w:val="nil"/>
                    <w:tr2bl w:val="nil"/>
                  </w:tcBorders>
                  <w:vAlign w:val="center"/>
                </w:tcPr>
                <w:p w14:paraId="433CD71D">
                  <w:pPr>
                    <w:pStyle w:val="19"/>
                    <w:bidi w:val="0"/>
                    <w:jc w:val="center"/>
                    <w:rPr>
                      <w:rFonts w:hint="default"/>
                      <w:lang w:val="en-US" w:eastAsia="zh-CN"/>
                    </w:rPr>
                  </w:pPr>
                  <w:r>
                    <w:rPr>
                      <w:rFonts w:hint="eastAsia"/>
                      <w:lang w:val="en-US" w:eastAsia="zh-CN"/>
                    </w:rPr>
                    <w:t>12</w:t>
                  </w:r>
                </w:p>
              </w:tc>
              <w:tc>
                <w:tcPr>
                  <w:tcW w:w="2221" w:type="pct"/>
                  <w:tcBorders>
                    <w:tl2br w:val="nil"/>
                    <w:tr2bl w:val="nil"/>
                  </w:tcBorders>
                  <w:vAlign w:val="center"/>
                </w:tcPr>
                <w:p w14:paraId="71267EEF">
                  <w:pPr>
                    <w:pStyle w:val="19"/>
                    <w:bidi w:val="0"/>
                    <w:jc w:val="center"/>
                    <w:rPr>
                      <w:rFonts w:hint="default"/>
                      <w:lang w:val="en-US" w:eastAsia="zh-CN"/>
                    </w:rPr>
                  </w:pPr>
                  <w:r>
                    <w:rPr>
                      <w:rFonts w:hint="eastAsia"/>
                      <w:lang w:val="en-US" w:eastAsia="zh-CN"/>
                    </w:rPr>
                    <w:t>总氯</w:t>
                  </w:r>
                </w:p>
              </w:tc>
              <w:tc>
                <w:tcPr>
                  <w:tcW w:w="2323" w:type="pct"/>
                  <w:tcBorders>
                    <w:tl2br w:val="nil"/>
                    <w:tr2bl w:val="nil"/>
                  </w:tcBorders>
                  <w:vAlign w:val="center"/>
                </w:tcPr>
                <w:p w14:paraId="1242C3AE">
                  <w:pPr>
                    <w:pStyle w:val="19"/>
                    <w:bidi w:val="0"/>
                    <w:jc w:val="center"/>
                    <w:rPr>
                      <w:rFonts w:hint="default"/>
                      <w:lang w:val="en-US" w:eastAsia="zh-CN"/>
                    </w:rPr>
                  </w:pPr>
                  <w:r>
                    <w:rPr>
                      <w:rFonts w:hint="eastAsia"/>
                      <w:lang w:val="en-US" w:eastAsia="zh-CN"/>
                    </w:rPr>
                    <w:t>≥1.0（出厂），0.2（管网末端）</w:t>
                  </w:r>
                </w:p>
              </w:tc>
            </w:tr>
            <w:tr w14:paraId="144A3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tcBorders>
                    <w:tl2br w:val="nil"/>
                    <w:tr2bl w:val="nil"/>
                  </w:tcBorders>
                  <w:vAlign w:val="center"/>
                </w:tcPr>
                <w:p w14:paraId="41006350">
                  <w:pPr>
                    <w:pStyle w:val="19"/>
                    <w:bidi w:val="0"/>
                    <w:jc w:val="center"/>
                    <w:rPr>
                      <w:rFonts w:hint="default"/>
                      <w:lang w:val="en-US" w:eastAsia="zh-CN"/>
                    </w:rPr>
                  </w:pPr>
                  <w:r>
                    <w:rPr>
                      <w:rFonts w:hint="eastAsia"/>
                      <w:lang w:val="en-US" w:eastAsia="zh-CN"/>
                    </w:rPr>
                    <w:t>13</w:t>
                  </w:r>
                </w:p>
              </w:tc>
              <w:tc>
                <w:tcPr>
                  <w:tcW w:w="2221" w:type="pct"/>
                  <w:tcBorders>
                    <w:tl2br w:val="nil"/>
                    <w:tr2bl w:val="nil"/>
                  </w:tcBorders>
                  <w:vAlign w:val="center"/>
                </w:tcPr>
                <w:p w14:paraId="71C8A51A">
                  <w:pPr>
                    <w:pStyle w:val="19"/>
                    <w:bidi w:val="0"/>
                    <w:jc w:val="center"/>
                    <w:rPr>
                      <w:rFonts w:hint="default"/>
                      <w:lang w:val="en-US" w:eastAsia="zh-CN"/>
                    </w:rPr>
                  </w:pPr>
                  <w:r>
                    <w:rPr>
                      <w:rFonts w:hint="eastAsia"/>
                      <w:lang w:val="en-US" w:eastAsia="zh-CN"/>
                    </w:rPr>
                    <w:t>大肠埃希氏菌（MPN/100mL或CFU/100mL）</w:t>
                  </w:r>
                </w:p>
              </w:tc>
              <w:tc>
                <w:tcPr>
                  <w:tcW w:w="2323" w:type="pct"/>
                  <w:tcBorders>
                    <w:tl2br w:val="nil"/>
                    <w:tr2bl w:val="nil"/>
                  </w:tcBorders>
                  <w:vAlign w:val="center"/>
                </w:tcPr>
                <w:p w14:paraId="25D85057">
                  <w:pPr>
                    <w:pStyle w:val="19"/>
                    <w:bidi w:val="0"/>
                    <w:jc w:val="center"/>
                    <w:rPr>
                      <w:rFonts w:hint="default"/>
                      <w:lang w:val="en-US" w:eastAsia="zh-CN"/>
                    </w:rPr>
                  </w:pPr>
                  <w:r>
                    <w:rPr>
                      <w:rFonts w:hint="eastAsia"/>
                      <w:lang w:val="en-US" w:eastAsia="zh-CN"/>
                    </w:rPr>
                    <w:t>无（不得检出）</w:t>
                  </w:r>
                </w:p>
              </w:tc>
            </w:tr>
          </w:tbl>
          <w:p w14:paraId="0DEE547D">
            <w:pPr>
              <w:pStyle w:val="3"/>
              <w:bidi w:val="0"/>
            </w:pPr>
            <w:r>
              <w:rPr>
                <w:rFonts w:hint="eastAsia"/>
                <w:lang w:val="en-US" w:eastAsia="zh-CN"/>
              </w:rPr>
              <w:t>3、</w:t>
            </w:r>
            <w:r>
              <w:rPr>
                <w:rFonts w:hint="eastAsia"/>
              </w:rPr>
              <w:t>噪声排放标准</w:t>
            </w:r>
            <w:bookmarkEnd w:id="101"/>
            <w:bookmarkEnd w:id="102"/>
          </w:p>
          <w:p w14:paraId="739DB566">
            <w:pPr>
              <w:ind w:firstLine="480"/>
            </w:pPr>
            <w:r>
              <w:t>项目施工期噪声主要为施工机械和车辆运输产生的噪声</w:t>
            </w:r>
            <w:r>
              <w:rPr>
                <w:rFonts w:hint="eastAsia"/>
              </w:rPr>
              <w:t>，施工机械主要包括</w:t>
            </w:r>
            <w:r>
              <w:t>挖掘机、推土机、钻孔机、液压桩等</w:t>
            </w:r>
            <w:r>
              <w:rPr>
                <w:rFonts w:hint="eastAsia"/>
              </w:rPr>
              <w:t>，</w:t>
            </w:r>
            <w:r>
              <w:t>执行《建筑施工场界环境噪声排放标准》（GB12523-2011</w:t>
            </w:r>
            <w:r>
              <w:rPr>
                <w:rFonts w:hint="eastAsia"/>
              </w:rPr>
              <w:t>），运营期噪声污染主要来源于车辆进出停车场时的噪声、清洗车间高压清洗水枪运行噪声，厂界</w:t>
            </w:r>
            <w:r>
              <w:t>执行《工业企业厂界环境噪声排放标准》（GB12348-2008</w:t>
            </w:r>
            <w:r>
              <w:rPr>
                <w:rFonts w:hint="eastAsia"/>
              </w:rPr>
              <w:t>）3</w:t>
            </w:r>
            <w:r>
              <w:t>类</w:t>
            </w:r>
            <w:r>
              <w:rPr>
                <w:rFonts w:hint="eastAsia"/>
              </w:rPr>
              <w:t>区</w:t>
            </w:r>
            <w:r>
              <w:t>标准</w:t>
            </w:r>
            <w:r>
              <w:rPr>
                <w:rFonts w:hint="eastAsia"/>
              </w:rPr>
              <w:t>，具体标准见下表</w:t>
            </w:r>
            <w:r>
              <w:t>。</w:t>
            </w:r>
          </w:p>
          <w:p w14:paraId="1174DB2D">
            <w:pPr>
              <w:pStyle w:val="21"/>
              <w:spacing w:before="120"/>
              <w:rPr>
                <w:rFonts w:hint="default"/>
              </w:rPr>
            </w:pPr>
            <w:bookmarkStart w:id="103" w:name="_Toc7610"/>
            <w:bookmarkStart w:id="104" w:name="_Toc18124"/>
            <w:r>
              <w:t>表3-</w:t>
            </w:r>
            <w:r>
              <w:rPr>
                <w:rFonts w:hint="eastAsia"/>
                <w:lang w:val="en-US" w:eastAsia="zh-CN"/>
              </w:rPr>
              <w:t>6</w:t>
            </w:r>
            <w:r>
              <w:t xml:space="preserve">  《建筑施工场界环境噪声排放标准》（GB12523-2011）  单位：dB（A）</w:t>
            </w:r>
            <w:bookmarkEnd w:id="103"/>
            <w:bookmarkEnd w:id="104"/>
          </w:p>
          <w:tbl>
            <w:tblPr>
              <w:tblStyle w:val="15"/>
              <w:tblW w:w="83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83"/>
              <w:gridCol w:w="1051"/>
              <w:gridCol w:w="1147"/>
            </w:tblGrid>
            <w:tr w14:paraId="180F0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88" w:type="pct"/>
                  <w:tcBorders>
                    <w:tl2br w:val="nil"/>
                    <w:tr2bl w:val="nil"/>
                  </w:tcBorders>
                  <w:vAlign w:val="center"/>
                </w:tcPr>
                <w:p w14:paraId="7A576594">
                  <w:pPr>
                    <w:pStyle w:val="19"/>
                    <w:spacing w:before="120" w:after="120"/>
                  </w:pPr>
                  <w:r>
                    <w:rPr>
                      <w:rFonts w:hint="eastAsia"/>
                    </w:rPr>
                    <w:t>执行标准</w:t>
                  </w:r>
                </w:p>
              </w:tc>
              <w:tc>
                <w:tcPr>
                  <w:tcW w:w="627" w:type="pct"/>
                  <w:tcBorders>
                    <w:tl2br w:val="nil"/>
                    <w:tr2bl w:val="nil"/>
                  </w:tcBorders>
                  <w:vAlign w:val="center"/>
                </w:tcPr>
                <w:p w14:paraId="7EDD4FCA">
                  <w:pPr>
                    <w:pStyle w:val="19"/>
                    <w:spacing w:before="120" w:after="120"/>
                  </w:pPr>
                  <w:r>
                    <w:t>昼间</w:t>
                  </w:r>
                </w:p>
              </w:tc>
              <w:tc>
                <w:tcPr>
                  <w:tcW w:w="684" w:type="pct"/>
                  <w:tcBorders>
                    <w:tl2br w:val="nil"/>
                    <w:tr2bl w:val="nil"/>
                  </w:tcBorders>
                  <w:vAlign w:val="center"/>
                </w:tcPr>
                <w:p w14:paraId="18887C3E">
                  <w:pPr>
                    <w:pStyle w:val="19"/>
                    <w:spacing w:before="120" w:after="120"/>
                  </w:pPr>
                  <w:r>
                    <w:t>夜间</w:t>
                  </w:r>
                </w:p>
              </w:tc>
            </w:tr>
            <w:tr w14:paraId="0F884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88" w:type="pct"/>
                  <w:tcBorders>
                    <w:tl2br w:val="nil"/>
                    <w:tr2bl w:val="nil"/>
                  </w:tcBorders>
                  <w:vAlign w:val="center"/>
                </w:tcPr>
                <w:p w14:paraId="27578544">
                  <w:pPr>
                    <w:pStyle w:val="19"/>
                    <w:spacing w:before="120" w:after="120"/>
                  </w:pPr>
                  <w:r>
                    <w:t>《建筑施工场界环境噪声排放标准》（GB12523-2011</w:t>
                  </w:r>
                  <w:r>
                    <w:rPr>
                      <w:rFonts w:hint="eastAsia"/>
                    </w:rPr>
                    <w:t>）</w:t>
                  </w:r>
                </w:p>
              </w:tc>
              <w:tc>
                <w:tcPr>
                  <w:tcW w:w="627" w:type="pct"/>
                  <w:tcBorders>
                    <w:tl2br w:val="nil"/>
                    <w:tr2bl w:val="nil"/>
                  </w:tcBorders>
                  <w:vAlign w:val="center"/>
                </w:tcPr>
                <w:p w14:paraId="4709A15C">
                  <w:pPr>
                    <w:pStyle w:val="19"/>
                    <w:spacing w:before="120" w:after="120"/>
                  </w:pPr>
                  <w:r>
                    <w:t>70</w:t>
                  </w:r>
                </w:p>
              </w:tc>
              <w:tc>
                <w:tcPr>
                  <w:tcW w:w="684" w:type="pct"/>
                  <w:tcBorders>
                    <w:tl2br w:val="nil"/>
                    <w:tr2bl w:val="nil"/>
                  </w:tcBorders>
                  <w:vAlign w:val="center"/>
                </w:tcPr>
                <w:p w14:paraId="0A97F4A4">
                  <w:pPr>
                    <w:pStyle w:val="19"/>
                    <w:spacing w:before="120" w:after="120"/>
                  </w:pPr>
                  <w:r>
                    <w:t>55</w:t>
                  </w:r>
                </w:p>
              </w:tc>
            </w:tr>
          </w:tbl>
          <w:p w14:paraId="7378D905">
            <w:pPr>
              <w:pStyle w:val="21"/>
              <w:spacing w:before="120"/>
              <w:rPr>
                <w:rFonts w:hint="default"/>
              </w:rPr>
            </w:pPr>
            <w:bookmarkStart w:id="105" w:name="_Toc25161"/>
            <w:bookmarkStart w:id="106" w:name="_Toc3081"/>
            <w:r>
              <w:t>表3-</w:t>
            </w:r>
            <w:r>
              <w:rPr>
                <w:rFonts w:hint="eastAsia"/>
                <w:lang w:val="en-US" w:eastAsia="zh-CN"/>
              </w:rPr>
              <w:t>7</w:t>
            </w:r>
            <w:r>
              <w:t xml:space="preserve">  《工业企业厂界环境噪声排放标准》（GB12348-2008）  单位：dB（A）</w:t>
            </w:r>
            <w:bookmarkEnd w:id="105"/>
            <w:bookmarkEnd w:id="106"/>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63"/>
              <w:gridCol w:w="1079"/>
              <w:gridCol w:w="1137"/>
            </w:tblGrid>
            <w:tr w14:paraId="18A6C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77" w:type="pct"/>
                  <w:tcBorders>
                    <w:tl2br w:val="nil"/>
                    <w:tr2bl w:val="nil"/>
                  </w:tcBorders>
                  <w:vAlign w:val="center"/>
                </w:tcPr>
                <w:p w14:paraId="26B621C2">
                  <w:pPr>
                    <w:pStyle w:val="19"/>
                    <w:spacing w:before="120" w:after="120"/>
                  </w:pPr>
                  <w:r>
                    <w:rPr>
                      <w:rFonts w:hint="eastAsia"/>
                    </w:rPr>
                    <w:t>执行标准</w:t>
                  </w:r>
                </w:p>
              </w:tc>
              <w:tc>
                <w:tcPr>
                  <w:tcW w:w="644" w:type="pct"/>
                  <w:tcBorders>
                    <w:tl2br w:val="nil"/>
                    <w:tr2bl w:val="nil"/>
                  </w:tcBorders>
                  <w:vAlign w:val="center"/>
                </w:tcPr>
                <w:p w14:paraId="6C1620D3">
                  <w:pPr>
                    <w:pStyle w:val="19"/>
                    <w:spacing w:before="120" w:after="120"/>
                  </w:pPr>
                  <w:r>
                    <w:t>昼间</w:t>
                  </w:r>
                </w:p>
              </w:tc>
              <w:tc>
                <w:tcPr>
                  <w:tcW w:w="678" w:type="pct"/>
                  <w:tcBorders>
                    <w:tl2br w:val="nil"/>
                    <w:tr2bl w:val="nil"/>
                  </w:tcBorders>
                  <w:vAlign w:val="center"/>
                </w:tcPr>
                <w:p w14:paraId="716BC60F">
                  <w:pPr>
                    <w:pStyle w:val="19"/>
                    <w:spacing w:before="120" w:after="120"/>
                  </w:pPr>
                  <w:r>
                    <w:t>夜间</w:t>
                  </w:r>
                </w:p>
              </w:tc>
            </w:tr>
            <w:tr w14:paraId="3B415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77" w:type="pct"/>
                  <w:tcBorders>
                    <w:tl2br w:val="nil"/>
                    <w:tr2bl w:val="nil"/>
                  </w:tcBorders>
                  <w:vAlign w:val="center"/>
                </w:tcPr>
                <w:p w14:paraId="3A1E885C">
                  <w:pPr>
                    <w:pStyle w:val="19"/>
                    <w:spacing w:before="120" w:after="120"/>
                  </w:pPr>
                  <w:r>
                    <w:t>《工业企业厂界环境噪声排放标准》（GB12348-2008</w:t>
                  </w:r>
                  <w:r>
                    <w:rPr>
                      <w:rFonts w:hint="eastAsia"/>
                    </w:rPr>
                    <w:t>）</w:t>
                  </w:r>
                  <w:r>
                    <w:t>3类区</w:t>
                  </w:r>
                </w:p>
              </w:tc>
              <w:tc>
                <w:tcPr>
                  <w:tcW w:w="644" w:type="pct"/>
                  <w:tcBorders>
                    <w:tl2br w:val="nil"/>
                    <w:tr2bl w:val="nil"/>
                  </w:tcBorders>
                  <w:vAlign w:val="center"/>
                </w:tcPr>
                <w:p w14:paraId="261DFDC1">
                  <w:pPr>
                    <w:pStyle w:val="19"/>
                    <w:spacing w:before="120" w:after="120"/>
                  </w:pPr>
                  <w:r>
                    <w:t>65</w:t>
                  </w:r>
                </w:p>
              </w:tc>
              <w:tc>
                <w:tcPr>
                  <w:tcW w:w="678" w:type="pct"/>
                  <w:tcBorders>
                    <w:tl2br w:val="nil"/>
                    <w:tr2bl w:val="nil"/>
                  </w:tcBorders>
                  <w:vAlign w:val="center"/>
                </w:tcPr>
                <w:p w14:paraId="40CC8CD0">
                  <w:pPr>
                    <w:pStyle w:val="19"/>
                    <w:spacing w:before="120" w:after="120"/>
                  </w:pPr>
                  <w:r>
                    <w:t>55</w:t>
                  </w:r>
                </w:p>
              </w:tc>
            </w:tr>
          </w:tbl>
          <w:p w14:paraId="6DA86907">
            <w:pPr>
              <w:pStyle w:val="3"/>
              <w:ind w:firstLine="480"/>
            </w:pPr>
            <w:bookmarkStart w:id="107" w:name="_Toc26455"/>
            <w:bookmarkStart w:id="108" w:name="_Toc19603"/>
            <w:r>
              <w:rPr>
                <w:rFonts w:hint="eastAsia"/>
              </w:rPr>
              <w:t>4、固体废物</w:t>
            </w:r>
            <w:bookmarkEnd w:id="107"/>
            <w:bookmarkEnd w:id="108"/>
          </w:p>
          <w:p w14:paraId="5DBE849C">
            <w:pPr>
              <w:ind w:firstLine="480"/>
            </w:pPr>
            <w:r>
              <w:rPr>
                <w:rFonts w:hint="eastAsia"/>
              </w:rPr>
              <w:t>项目施工期产生的固体废物主要是建筑垃圾和生活垃圾，运营期产生的固体废物主要为员工生活垃圾和车辆废弃零件，危险废物主要为废机油、废手套、</w:t>
            </w:r>
            <w:r>
              <w:rPr>
                <w:rFonts w:hint="eastAsia"/>
                <w:lang w:val="en-US" w:eastAsia="zh-CN"/>
              </w:rPr>
              <w:t>废油桶、</w:t>
            </w:r>
            <w:r>
              <w:rPr>
                <w:rFonts w:hint="eastAsia"/>
              </w:rPr>
              <w:t>含油废抹布。</w:t>
            </w:r>
            <w:r>
              <w:t>一般</w:t>
            </w:r>
            <w:r>
              <w:rPr>
                <w:rFonts w:hint="eastAsia"/>
              </w:rPr>
              <w:t>固体废物的处理与处置</w:t>
            </w:r>
            <w:r>
              <w:t>执行《一般工业固体废物贮存和填埋污染控制标准》（GB18599-2020</w:t>
            </w:r>
            <w:r>
              <w:rPr>
                <w:rFonts w:hint="eastAsia"/>
              </w:rPr>
              <w:t>）</w:t>
            </w:r>
            <w:r>
              <w:t>中的相关规定；危险废物的临时贮存执行《危险废物贮存污染控制标准》（GB18597-2023</w:t>
            </w:r>
            <w:r>
              <w:rPr>
                <w:rFonts w:hint="eastAsia"/>
              </w:rPr>
              <w:t>）</w:t>
            </w:r>
            <w:r>
              <w:t>及国家污染物标准修改单。</w:t>
            </w:r>
          </w:p>
        </w:tc>
      </w:tr>
      <w:tr w14:paraId="7FBF83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32" w:hRule="atLeast"/>
          <w:jc w:val="center"/>
        </w:trPr>
        <w:tc>
          <w:tcPr>
            <w:tcW w:w="387" w:type="dxa"/>
            <w:vAlign w:val="center"/>
          </w:tcPr>
          <w:p w14:paraId="3389FA37">
            <w:pPr>
              <w:pStyle w:val="19"/>
              <w:spacing w:before="120" w:after="120"/>
              <w:rPr>
                <w:bCs/>
                <w:kern w:val="44"/>
                <w:szCs w:val="30"/>
              </w:rPr>
            </w:pPr>
            <w:r>
              <w:rPr>
                <w:bCs/>
                <w:kern w:val="44"/>
                <w:sz w:val="24"/>
                <w:szCs w:val="32"/>
              </w:rPr>
              <w:t>总量控制指标</w:t>
            </w:r>
          </w:p>
        </w:tc>
        <w:tc>
          <w:tcPr>
            <w:tcW w:w="8603" w:type="dxa"/>
            <w:vAlign w:val="center"/>
          </w:tcPr>
          <w:p w14:paraId="68886FBC">
            <w:pPr>
              <w:ind w:firstLine="480"/>
            </w:pPr>
            <w:r>
              <w:t>根据《国务院关于印发</w:t>
            </w:r>
            <w:r>
              <w:rPr>
                <w:rFonts w:hint="eastAsia"/>
              </w:rPr>
              <w:t>“</w:t>
            </w:r>
            <w:r>
              <w:t>十四五</w:t>
            </w:r>
            <w:r>
              <w:rPr>
                <w:rFonts w:hint="eastAsia"/>
              </w:rPr>
              <w:t>”</w:t>
            </w:r>
            <w:r>
              <w:t>节能减排综合工作方案的通知》（国发〔2021〕33号</w:t>
            </w:r>
            <w:r>
              <w:rPr>
                <w:rFonts w:hint="eastAsia"/>
              </w:rPr>
              <w:t>）</w:t>
            </w:r>
            <w:r>
              <w:t>的要求</w:t>
            </w:r>
            <w:r>
              <w:rPr>
                <w:rFonts w:hint="eastAsia"/>
              </w:rPr>
              <w:t>，“十四五”期间</w:t>
            </w:r>
            <w:r>
              <w:rPr>
                <w:bCs/>
                <w:kern w:val="44"/>
                <w:szCs w:val="30"/>
              </w:rPr>
              <w:t>总量控制指标</w:t>
            </w:r>
            <w:r>
              <w:rPr>
                <w:rFonts w:hint="eastAsia"/>
                <w:bCs/>
                <w:kern w:val="44"/>
                <w:szCs w:val="30"/>
              </w:rPr>
              <w:t>为</w:t>
            </w:r>
            <w:r>
              <w:rPr>
                <w:rFonts w:hint="eastAsia"/>
              </w:rPr>
              <w:t>化学需氧量、氨氮、氮氧化物、挥发性有机物。</w:t>
            </w:r>
            <w:r>
              <w:t>结合</w:t>
            </w:r>
            <w:r>
              <w:rPr>
                <w:rFonts w:hint="eastAsia"/>
              </w:rPr>
              <w:t>本</w:t>
            </w:r>
            <w:r>
              <w:t>项目排污特征</w:t>
            </w:r>
            <w:r>
              <w:rPr>
                <w:rFonts w:hint="eastAsia"/>
              </w:rPr>
              <w:t>，运营期生活污水经化粪池处理后，排入园区生活污水管网，总量指标纳入园区控制指标中，因此本项目无需申请</w:t>
            </w:r>
            <w:r>
              <w:rPr>
                <w:bCs/>
                <w:kern w:val="44"/>
                <w:szCs w:val="30"/>
              </w:rPr>
              <w:t>总量控制</w:t>
            </w:r>
            <w:r>
              <w:rPr>
                <w:rFonts w:hint="eastAsia"/>
                <w:bCs/>
                <w:kern w:val="44"/>
                <w:szCs w:val="30"/>
              </w:rPr>
              <w:t>。</w:t>
            </w:r>
          </w:p>
        </w:tc>
      </w:tr>
    </w:tbl>
    <w:p w14:paraId="4F899320">
      <w:pPr>
        <w:pStyle w:val="2"/>
        <w:rPr>
          <w:rFonts w:ascii="黑体" w:hAnsi="黑体"/>
          <w:snapToGrid w:val="0"/>
          <w:color w:val="auto"/>
        </w:rPr>
      </w:pPr>
      <w:r>
        <w:rPr>
          <w:rFonts w:ascii="黑体" w:hAnsi="黑体"/>
          <w:snapToGrid w:val="0"/>
          <w:color w:val="auto"/>
          <w:sz w:val="36"/>
          <w:szCs w:val="36"/>
        </w:rPr>
        <w:br w:type="page"/>
      </w:r>
      <w:bookmarkStart w:id="109" w:name="_Toc29890"/>
      <w:bookmarkStart w:id="110" w:name="_Toc18379"/>
      <w:r>
        <w:rPr>
          <w:rFonts w:hint="eastAsia" w:ascii="黑体" w:hAnsi="黑体"/>
          <w:snapToGrid w:val="0"/>
          <w:color w:val="auto"/>
        </w:rPr>
        <w:t>四、主要环境影响和保护措施</w:t>
      </w:r>
      <w:bookmarkEnd w:id="109"/>
      <w:bookmarkEnd w:id="110"/>
    </w:p>
    <w:tbl>
      <w:tblPr>
        <w:tblStyle w:val="15"/>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67"/>
        <w:gridCol w:w="8541"/>
      </w:tblGrid>
      <w:tr w14:paraId="564C62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367" w:type="dxa"/>
            <w:tcMar>
              <w:left w:w="28" w:type="dxa"/>
              <w:right w:w="28" w:type="dxa"/>
            </w:tcMar>
            <w:vAlign w:val="center"/>
          </w:tcPr>
          <w:p w14:paraId="5044FD95">
            <w:pPr>
              <w:pStyle w:val="19"/>
              <w:spacing w:before="120" w:after="120"/>
              <w:rPr>
                <w:bCs/>
                <w:kern w:val="44"/>
                <w:szCs w:val="30"/>
              </w:rPr>
            </w:pPr>
            <w:r>
              <w:rPr>
                <w:bCs/>
                <w:kern w:val="44"/>
                <w:sz w:val="24"/>
                <w:szCs w:val="32"/>
              </w:rPr>
              <w:t>施工期环境保护措施</w:t>
            </w:r>
          </w:p>
        </w:tc>
        <w:tc>
          <w:tcPr>
            <w:tcW w:w="8541" w:type="dxa"/>
            <w:vAlign w:val="center"/>
          </w:tcPr>
          <w:p w14:paraId="7961266E">
            <w:pPr>
              <w:pStyle w:val="3"/>
              <w:ind w:firstLine="480"/>
            </w:pPr>
            <w:bookmarkStart w:id="111" w:name="_Toc13573"/>
            <w:bookmarkStart w:id="112" w:name="_Toc23107"/>
            <w:r>
              <w:rPr>
                <w:rFonts w:hint="eastAsia"/>
              </w:rPr>
              <w:t>1、大气环境影响分析及环境保护措施</w:t>
            </w:r>
            <w:bookmarkEnd w:id="111"/>
            <w:bookmarkEnd w:id="112"/>
          </w:p>
          <w:p w14:paraId="19A590B7">
            <w:pPr>
              <w:ind w:firstLine="480"/>
            </w:pPr>
            <w:r>
              <w:rPr>
                <w:rFonts w:hint="eastAsia"/>
              </w:rPr>
              <w:t>施工期的大气污染主要来自</w:t>
            </w:r>
            <w:r>
              <w:t>施工作业扬尘、运输车辆扬尘、运输及动力设备运转产生的燃油废气。</w:t>
            </w:r>
          </w:p>
          <w:p w14:paraId="32B1BAA6">
            <w:pPr>
              <w:numPr>
                <w:ilvl w:val="0"/>
                <w:numId w:val="9"/>
              </w:numPr>
              <w:ind w:firstLine="480"/>
            </w:pPr>
            <w:r>
              <w:t>施工作业扬尘</w:t>
            </w:r>
            <w:r>
              <w:rPr>
                <w:rFonts w:hint="eastAsia"/>
              </w:rPr>
              <w:t>与运输车辆扬尘</w:t>
            </w:r>
          </w:p>
          <w:p w14:paraId="0672B1CF">
            <w:pPr>
              <w:ind w:firstLine="480"/>
            </w:pPr>
            <w:r>
              <w:rPr>
                <w:rFonts w:hint="eastAsia"/>
              </w:rPr>
              <w:t>项目施工期在场地平整、施工材料装卸和运输等施工作业过程会产生大量的粉尘，</w:t>
            </w:r>
            <w:r>
              <w:t>尘粒在空气中的传播扩散情况与风速等气象条件有关</w:t>
            </w:r>
            <w:r>
              <w:rPr>
                <w:rFonts w:hint="eastAsia"/>
              </w:rPr>
              <w:t>，</w:t>
            </w:r>
            <w:r>
              <w:t>也与尘粒本身的沉降速度有关</w:t>
            </w:r>
            <w:r>
              <w:rPr>
                <w:rFonts w:hint="eastAsia"/>
              </w:rPr>
              <w:t>，</w:t>
            </w:r>
            <w:r>
              <w:t>在有风的情况下</w:t>
            </w:r>
            <w:r>
              <w:rPr>
                <w:rFonts w:hint="eastAsia"/>
              </w:rPr>
              <w:t>，</w:t>
            </w:r>
            <w:r>
              <w:t>施工扬尘会对区域</w:t>
            </w:r>
            <w:r>
              <w:rPr>
                <w:rFonts w:hint="eastAsia"/>
              </w:rPr>
              <w:t>环境空气</w:t>
            </w:r>
            <w:r>
              <w:t>造成一定的影响。</w:t>
            </w:r>
            <w:r>
              <w:rPr>
                <w:rFonts w:hint="eastAsia"/>
              </w:rPr>
              <w:t>。为最大程度的减轻扬尘污染，施工单位应贯彻“清洁生产”的要求，建议按照以下要求进行防尘：</w:t>
            </w:r>
          </w:p>
          <w:p w14:paraId="535D7CFE">
            <w:pPr>
              <w:ind w:firstLine="480"/>
            </w:pPr>
            <w:r>
              <w:rPr>
                <w:rFonts w:hint="eastAsia"/>
              </w:rPr>
              <w:t>①装运土方时控制车内土方低于车厢挡板，做到表面覆盖。减少途中撒落，对施工现场抛撒的砂石等物料应及时清扫，砂石堆场、施工道路应定时洒水抑尘。</w:t>
            </w:r>
          </w:p>
          <w:p w14:paraId="539F5A9E">
            <w:pPr>
              <w:ind w:firstLine="480"/>
            </w:pPr>
            <w:r>
              <w:rPr>
                <w:rFonts w:hint="eastAsia"/>
              </w:rPr>
              <w:t>②限制车速。施工场地的扬尘，大部分来自施工车辆。在同样的清洁程度的条件下，车速越慢，扬尘量越小。施工车辆在进入施工场地时，需减速行驶，以减少施工场地扬尘。</w:t>
            </w:r>
          </w:p>
          <w:p w14:paraId="2DA0BE1F">
            <w:pPr>
              <w:ind w:firstLine="480"/>
            </w:pPr>
            <w:r>
              <w:rPr>
                <w:rFonts w:hint="eastAsia"/>
              </w:rPr>
              <w:t>③避免大风天气作业。应避免在大风天气下进行沙石等的装卸作业，物资尽可能不要露天堆放，即使必须露天堆放，也要注意加盖防雨布，减少大风造成的施工扬尘。</w:t>
            </w:r>
          </w:p>
          <w:p w14:paraId="0613001F">
            <w:pPr>
              <w:ind w:firstLine="480"/>
            </w:pPr>
            <w:r>
              <w:rPr>
                <w:rFonts w:hint="eastAsia"/>
              </w:rPr>
              <w:t>④对整个施工场地设临时围墙或防护板，减少施工场地与外界的流通，减轻的施工场界外的影响。</w:t>
            </w:r>
          </w:p>
          <w:p w14:paraId="38905973">
            <w:pPr>
              <w:ind w:firstLine="480"/>
            </w:pPr>
            <w:r>
              <w:rPr>
                <w:rFonts w:hint="eastAsia"/>
              </w:rPr>
              <w:t>通过上述措施，能够最大限度减少扬尘的产生，使本工程的施工扬尘对大气环境产生的影响降到最低。</w:t>
            </w:r>
          </w:p>
          <w:p w14:paraId="57FE28B7">
            <w:pPr>
              <w:widowControl/>
              <w:ind w:firstLine="480"/>
            </w:pPr>
            <w:r>
              <w:rPr>
                <w:rFonts w:hint="eastAsia"/>
              </w:rPr>
              <w:t>（2）</w:t>
            </w:r>
            <w:r>
              <w:t>运输及动力设备运转产生的燃油废气</w:t>
            </w:r>
          </w:p>
          <w:p w14:paraId="395B591C">
            <w:pPr>
              <w:ind w:firstLine="480"/>
            </w:pPr>
            <w:r>
              <w:rPr>
                <w:rFonts w:hint="eastAsia"/>
              </w:rPr>
              <w:t>在建筑原材料、建筑垃圾运输过程及施工设备运转中会产生一定量的燃油废气，其主要污染物为</w:t>
            </w:r>
            <w:r>
              <w:t>HC</w:t>
            </w:r>
            <w:r>
              <w:rPr>
                <w:rFonts w:hint="eastAsia"/>
              </w:rPr>
              <w:t>、</w:t>
            </w:r>
            <w:r>
              <w:t>CO</w:t>
            </w:r>
            <w:r>
              <w:rPr>
                <w:rFonts w:hint="eastAsia"/>
              </w:rPr>
              <w:t>、</w:t>
            </w:r>
            <w:r>
              <w:t>NO</w:t>
            </w:r>
            <w:r>
              <w:rPr>
                <w:rFonts w:hint="eastAsia"/>
              </w:rPr>
              <w:t>等，</w:t>
            </w:r>
            <w:r>
              <w:rPr>
                <w:bCs/>
              </w:rPr>
              <w:t>施工机械设备尾气中污染物的组分与汽车尾气基本相似</w:t>
            </w:r>
            <w:r>
              <w:rPr>
                <w:rFonts w:hint="eastAsia"/>
                <w:bCs/>
              </w:rPr>
              <w:t>。</w:t>
            </w:r>
            <w:r>
              <w:rPr>
                <w:rFonts w:hint="eastAsia"/>
              </w:rPr>
              <w:t>由于</w:t>
            </w:r>
            <w:r>
              <w:t>燃油废气</w:t>
            </w:r>
            <w:r>
              <w:rPr>
                <w:rFonts w:hint="eastAsia"/>
              </w:rPr>
              <w:t>排放具有间歇性和流动性，污染物排放量较少且属于无组织排放，故对环境产生的影响不大。建议建设单位采用排放达标的设备和车辆，加强对机械设备和车辆的维护保养，使之处于良好的运行状态，使用合格的油品，尽量减少设备和车辆空转空驶，可进一步减小环境影响。</w:t>
            </w:r>
          </w:p>
          <w:p w14:paraId="71C71B99">
            <w:pPr>
              <w:pStyle w:val="3"/>
              <w:ind w:firstLine="480"/>
            </w:pPr>
            <w:bookmarkStart w:id="113" w:name="_Toc5634"/>
            <w:bookmarkStart w:id="114" w:name="_Toc20611"/>
            <w:r>
              <w:rPr>
                <w:rFonts w:hint="eastAsia"/>
              </w:rPr>
              <w:t>2、水环境影响分析及环境保护措施</w:t>
            </w:r>
            <w:bookmarkEnd w:id="113"/>
            <w:bookmarkEnd w:id="114"/>
          </w:p>
          <w:p w14:paraId="35FEF4FA">
            <w:pPr>
              <w:ind w:firstLine="480"/>
            </w:pPr>
            <w:r>
              <w:rPr>
                <w:rFonts w:hint="eastAsia"/>
              </w:rPr>
              <w:t>本项目工人全都是就近招募，施工期不建设临时生活区，不涉及生活污水的产生和排放，施工期的水污染主要来自施工废水。</w:t>
            </w:r>
          </w:p>
          <w:p w14:paraId="2FDE65AA">
            <w:pPr>
              <w:ind w:firstLine="480"/>
            </w:pPr>
            <w:r>
              <w:rPr>
                <w:bCs/>
              </w:rPr>
              <w:t>施工场内不设混凝土拌和</w:t>
            </w:r>
            <w:r>
              <w:rPr>
                <w:rFonts w:hint="eastAsia"/>
                <w:bCs/>
              </w:rPr>
              <w:t>站，</w:t>
            </w:r>
            <w:r>
              <w:rPr>
                <w:bCs/>
              </w:rPr>
              <w:t>使用商品混凝土。</w:t>
            </w:r>
            <w:r>
              <w:rPr>
                <w:rFonts w:hint="eastAsia"/>
              </w:rPr>
              <w:t>施工期由于建筑安装等工程的实施，将会产生一定量的施工废水，包括</w:t>
            </w:r>
            <w:r>
              <w:rPr>
                <w:bCs/>
              </w:rPr>
              <w:t>混凝土养护废水、工具清洗废水等</w:t>
            </w:r>
            <w:r>
              <w:rPr>
                <w:rFonts w:hint="eastAsia"/>
              </w:rPr>
              <w:t>。根据有关资料，施工废水施中的主要污染物为悬浮物和石油类，</w:t>
            </w:r>
            <w:r>
              <w:rPr>
                <w:bCs/>
              </w:rPr>
              <w:t>施工废水经项目区拟建的临时沉淀池收集、澄清后</w:t>
            </w:r>
            <w:r>
              <w:rPr>
                <w:rFonts w:hint="eastAsia"/>
                <w:bCs/>
              </w:rPr>
              <w:t>，</w:t>
            </w:r>
            <w:r>
              <w:rPr>
                <w:bCs/>
              </w:rPr>
              <w:t>全部回用于场内混凝土搅拌、场地洒水降尘、建筑材料冲洗等施工环节</w:t>
            </w:r>
            <w:r>
              <w:rPr>
                <w:rFonts w:hint="eastAsia"/>
              </w:rPr>
              <w:t>。</w:t>
            </w:r>
          </w:p>
          <w:p w14:paraId="695BAC58">
            <w:pPr>
              <w:ind w:firstLine="480"/>
            </w:pPr>
            <w:r>
              <w:rPr>
                <w:rFonts w:hint="eastAsia"/>
              </w:rPr>
              <w:t>为最大程度的减轻废水污染，施工单位应尽量做到以下污染防治措施：</w:t>
            </w:r>
          </w:p>
          <w:p w14:paraId="335F00C7">
            <w:pPr>
              <w:ind w:firstLine="480"/>
            </w:pPr>
            <w:r>
              <w:rPr>
                <w:rFonts w:hint="eastAsia"/>
              </w:rPr>
              <w:t>（1）施工现场因地制宜，建造沉淀池、隔油池等污水临时处理设施，对含油量较高的施工机械冲洗水或悬浮物含量高的其它施工废水需经处理后回用。</w:t>
            </w:r>
          </w:p>
          <w:p w14:paraId="13E74D76">
            <w:pPr>
              <w:ind w:firstLine="480"/>
            </w:pPr>
            <w:r>
              <w:rPr>
                <w:rFonts w:hint="eastAsia"/>
              </w:rPr>
              <w:t>（2）砂浆应集中沉淀处理，干燥后与固体废物一起处置。</w:t>
            </w:r>
          </w:p>
          <w:p w14:paraId="511896CE">
            <w:pPr>
              <w:ind w:firstLine="480"/>
            </w:pPr>
            <w:r>
              <w:rPr>
                <w:rFonts w:hint="eastAsia"/>
              </w:rPr>
              <w:t>通过采取以上措施，</w:t>
            </w:r>
            <w:r>
              <w:t>可避免污染物的无序排放</w:t>
            </w:r>
            <w:r>
              <w:rPr>
                <w:rFonts w:hint="eastAsia"/>
              </w:rPr>
              <w:t>，</w:t>
            </w:r>
            <w:r>
              <w:t>使项目施工产生的污染物均得到合理处置</w:t>
            </w:r>
            <w:r>
              <w:rPr>
                <w:rFonts w:hint="eastAsia"/>
              </w:rPr>
              <w:t>，</w:t>
            </w:r>
            <w:r>
              <w:t>最大限度减小污染物排放对外环境的影响</w:t>
            </w:r>
            <w:r>
              <w:rPr>
                <w:rFonts w:hint="eastAsia"/>
              </w:rPr>
              <w:t>，</w:t>
            </w:r>
            <w:r>
              <w:t>对水环境影响较小</w:t>
            </w:r>
            <w:r>
              <w:rPr>
                <w:rFonts w:hint="eastAsia"/>
              </w:rPr>
              <w:t>。</w:t>
            </w:r>
          </w:p>
          <w:p w14:paraId="066E1DE0">
            <w:pPr>
              <w:pStyle w:val="3"/>
              <w:ind w:firstLine="480"/>
            </w:pPr>
            <w:bookmarkStart w:id="115" w:name="_Toc19115"/>
            <w:bookmarkStart w:id="116" w:name="_Toc26553"/>
            <w:r>
              <w:rPr>
                <w:rFonts w:hint="eastAsia"/>
              </w:rPr>
              <w:t>3、声环境影响分析及环境保护措施</w:t>
            </w:r>
            <w:bookmarkEnd w:id="115"/>
            <w:bookmarkEnd w:id="116"/>
          </w:p>
          <w:p w14:paraId="6FEC3603">
            <w:pPr>
              <w:ind w:firstLine="480"/>
            </w:pPr>
            <w:r>
              <w:t>本项目施工期噪声主要为施工机械和车辆运输产生的噪声</w:t>
            </w:r>
            <w:r>
              <w:rPr>
                <w:rFonts w:hint="eastAsia"/>
              </w:rPr>
              <w:t>，施工机械主要包括</w:t>
            </w:r>
            <w:r>
              <w:t>挖掘机、推土机、钻孔机、液压桩等</w:t>
            </w:r>
            <w:r>
              <w:rPr>
                <w:rFonts w:hint="eastAsia"/>
              </w:rPr>
              <w:t>，本项目周边500米范围内没有声环境敏感点，为最大程度的减轻噪声污染，施工单位应做到：</w:t>
            </w:r>
          </w:p>
          <w:p w14:paraId="3FEE1C39">
            <w:pPr>
              <w:ind w:firstLine="480"/>
            </w:pPr>
            <w:r>
              <w:rPr>
                <w:rFonts w:hint="eastAsia"/>
              </w:rPr>
              <w:t>（</w:t>
            </w:r>
            <w:r>
              <w:t>1</w:t>
            </w:r>
            <w:r>
              <w:rPr>
                <w:rFonts w:hint="eastAsia"/>
              </w:rPr>
              <w:t>）合理安排好施工进度和作业时间，加强对施工场地的监督管理。</w:t>
            </w:r>
          </w:p>
          <w:p w14:paraId="7A5E751C">
            <w:pPr>
              <w:ind w:firstLine="480"/>
            </w:pPr>
            <w:r>
              <w:rPr>
                <w:rFonts w:hint="eastAsia"/>
              </w:rPr>
              <w:t>（</w:t>
            </w:r>
            <w:r>
              <w:t>2</w:t>
            </w:r>
            <w:r>
              <w:rPr>
                <w:rFonts w:hint="eastAsia"/>
              </w:rPr>
              <w:t>）加强对机械设备的维护保养和正确操作，保证在良好的条件下使用，减少运行噪声。</w:t>
            </w:r>
          </w:p>
          <w:p w14:paraId="2B950B29">
            <w:pPr>
              <w:ind w:firstLine="480"/>
            </w:pPr>
            <w:r>
              <w:rPr>
                <w:rFonts w:hint="eastAsia"/>
              </w:rPr>
              <w:t>（</w:t>
            </w:r>
            <w:r>
              <w:t>3</w:t>
            </w:r>
            <w:r>
              <w:rPr>
                <w:rFonts w:hint="eastAsia"/>
              </w:rPr>
              <w:t>）优化高噪设备的布局，尽量布置在施工场地的中央，确保施工场界噪声达到《建筑施工场界环境噪声排放标准》（</w:t>
            </w:r>
            <w:r>
              <w:t>GB12523-2011</w:t>
            </w:r>
            <w:r>
              <w:rPr>
                <w:rFonts w:hint="eastAsia"/>
              </w:rPr>
              <w:t>）规定的要求。</w:t>
            </w:r>
          </w:p>
          <w:p w14:paraId="0CD9E9F5">
            <w:pPr>
              <w:ind w:firstLine="480"/>
            </w:pPr>
            <w:r>
              <w:rPr>
                <w:rFonts w:hint="eastAsia"/>
              </w:rPr>
              <w:t>（</w:t>
            </w:r>
            <w:r>
              <w:t>4</w:t>
            </w:r>
            <w:r>
              <w:rPr>
                <w:rFonts w:hint="eastAsia"/>
              </w:rPr>
              <w:t>）做好施工机械和运输车辆的调度和交通疏导工作，禁止车辆鸣笛，降低交通噪声。</w:t>
            </w:r>
          </w:p>
          <w:p w14:paraId="6EE87FA3">
            <w:pPr>
              <w:ind w:firstLine="480"/>
            </w:pPr>
            <w:r>
              <w:rPr>
                <w:rFonts w:hint="eastAsia"/>
              </w:rPr>
              <w:t>通过采取以上措施，能够最大限度减少噪声对周围声环境的影响。</w:t>
            </w:r>
          </w:p>
          <w:p w14:paraId="1A7247BA">
            <w:pPr>
              <w:pStyle w:val="3"/>
              <w:ind w:firstLine="480"/>
            </w:pPr>
            <w:bookmarkStart w:id="117" w:name="_Toc27514"/>
            <w:bookmarkStart w:id="118" w:name="_Toc12015"/>
            <w:r>
              <w:rPr>
                <w:rFonts w:hint="eastAsia"/>
              </w:rPr>
              <w:t>4、固体废物环境影响分析及环境保护措施</w:t>
            </w:r>
            <w:bookmarkEnd w:id="117"/>
            <w:bookmarkEnd w:id="118"/>
          </w:p>
          <w:p w14:paraId="5F4D492C">
            <w:pPr>
              <w:ind w:firstLine="480"/>
            </w:pPr>
            <w:r>
              <w:rPr>
                <w:rFonts w:hint="eastAsia"/>
              </w:rPr>
              <w:t>施工过程产生的固体废物主要是建筑垃圾和生活垃圾。施工建筑垃圾主要是石子、混凝土块、砖头、石块、石屑、黄沙、石灰和废木料等。建筑垃圾能回收利用予以回收利用，如产生的废钢筋、废水泥块等建筑垃圾综合利用，不能回收的要集中收集转运至建筑垃圾填埋场作消纳处理，不得随意堆放。生活垃圾要集中定点收集，定期由环卫部门清运，不得任意堆放和丢弃，以减少对环境的影响。</w:t>
            </w:r>
          </w:p>
        </w:tc>
      </w:tr>
      <w:tr w14:paraId="39F054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15" w:hRule="atLeast"/>
          <w:jc w:val="center"/>
        </w:trPr>
        <w:tc>
          <w:tcPr>
            <w:tcW w:w="367" w:type="dxa"/>
            <w:tcMar>
              <w:left w:w="28" w:type="dxa"/>
              <w:right w:w="28" w:type="dxa"/>
            </w:tcMar>
            <w:vAlign w:val="center"/>
          </w:tcPr>
          <w:p w14:paraId="7D4D7F25">
            <w:pPr>
              <w:pStyle w:val="19"/>
              <w:spacing w:before="120" w:after="120"/>
              <w:rPr>
                <w:bCs/>
                <w:kern w:val="44"/>
                <w:szCs w:val="30"/>
              </w:rPr>
            </w:pPr>
            <w:r>
              <w:rPr>
                <w:bCs/>
                <w:kern w:val="44"/>
                <w:sz w:val="24"/>
                <w:szCs w:val="32"/>
              </w:rPr>
              <w:t>运营期环境影响和保护措施</w:t>
            </w:r>
          </w:p>
        </w:tc>
        <w:tc>
          <w:tcPr>
            <w:tcW w:w="8541" w:type="dxa"/>
            <w:vAlign w:val="center"/>
          </w:tcPr>
          <w:p w14:paraId="1739F837">
            <w:pPr>
              <w:ind w:firstLine="480"/>
            </w:pPr>
            <w:r>
              <w:rPr>
                <w:rFonts w:hint="eastAsia"/>
              </w:rPr>
              <w:t>本项目运营期产生的废气主要是运输车辆行驶产生的扬尘和汽车尾气，废水主要是员工产生的生活污水、洗车污水和消防废水，噪声主要为运输车辆噪声和设备噪声，固体废物主要为员工产生的生活垃圾和车辆废弃零件，危险废物主要为废机油、废手套、</w:t>
            </w:r>
            <w:r>
              <w:rPr>
                <w:rFonts w:hint="eastAsia"/>
                <w:lang w:val="en-US" w:eastAsia="zh-CN"/>
              </w:rPr>
              <w:t>废油桶、</w:t>
            </w:r>
            <w:r>
              <w:rPr>
                <w:rFonts w:hint="eastAsia"/>
              </w:rPr>
              <w:t>含油废抹布。</w:t>
            </w:r>
          </w:p>
          <w:p w14:paraId="720AD04E">
            <w:pPr>
              <w:pStyle w:val="3"/>
              <w:ind w:firstLine="480"/>
            </w:pPr>
            <w:bookmarkStart w:id="119" w:name="_Toc12478"/>
            <w:bookmarkStart w:id="120" w:name="_Toc3480"/>
            <w:r>
              <w:rPr>
                <w:rFonts w:hint="eastAsia"/>
              </w:rPr>
              <w:t>1、大气环境影响分析及环境保护措施</w:t>
            </w:r>
            <w:bookmarkEnd w:id="119"/>
            <w:bookmarkEnd w:id="120"/>
          </w:p>
          <w:p w14:paraId="499A18DF">
            <w:pPr>
              <w:ind w:firstLine="480"/>
            </w:pPr>
            <w:r>
              <w:rPr>
                <w:rFonts w:hint="eastAsia"/>
              </w:rPr>
              <w:t>本项目为危险化学品停车场及配套设施建设项目，项目运营过程中产生的废气主要为运输车辆行驶产生的扬尘和尾气，均为无组织排放。正常情况下停车场不会出现满负荷车辆同时出入的情况，且建设项目场地开阔，空气流动畅通，有较大的绿化面积，尾气排放浓度较小，扩散速度较快，不会产生累计影响，废气对周边贡献较小。</w:t>
            </w:r>
          </w:p>
          <w:p w14:paraId="56B31D0F">
            <w:pPr>
              <w:pStyle w:val="3"/>
              <w:ind w:firstLine="480"/>
            </w:pPr>
            <w:bookmarkStart w:id="121" w:name="_Toc22707"/>
            <w:bookmarkStart w:id="122" w:name="_Toc10576"/>
            <w:r>
              <w:rPr>
                <w:rFonts w:hint="eastAsia"/>
              </w:rPr>
              <w:t>2、水环境影响分析及环境保护措施</w:t>
            </w:r>
            <w:bookmarkEnd w:id="121"/>
            <w:bookmarkEnd w:id="122"/>
          </w:p>
          <w:p w14:paraId="25C4306F">
            <w:pPr>
              <w:ind w:firstLine="480"/>
            </w:pPr>
            <w:r>
              <w:t>本项目</w:t>
            </w:r>
            <w:r>
              <w:rPr>
                <w:rFonts w:hint="eastAsia"/>
              </w:rPr>
              <w:t>运营期</w:t>
            </w:r>
            <w:r>
              <w:t>产生的废水主要为生活污水</w:t>
            </w:r>
            <w:r>
              <w:rPr>
                <w:rFonts w:hint="eastAsia"/>
              </w:rPr>
              <w:t>、洗车污水和消防废水。</w:t>
            </w:r>
          </w:p>
          <w:p w14:paraId="61AB096E">
            <w:pPr>
              <w:ind w:firstLine="480"/>
            </w:pPr>
            <w:r>
              <w:rPr>
                <w:rFonts w:hint="eastAsia"/>
              </w:rPr>
              <w:t>（1）生活污水</w:t>
            </w:r>
          </w:p>
          <w:p w14:paraId="11495ABF">
            <w:pPr>
              <w:ind w:firstLine="480"/>
            </w:pPr>
            <w:r>
              <w:rPr>
                <w:rFonts w:hint="eastAsia"/>
              </w:rPr>
              <w:t>本项目劳动定员为10人，员工在场内食宿，年工作日为360天，参照《内蒙古自治区行业用水定额》（D</w:t>
            </w:r>
            <w:r>
              <w:t>B15/T385-2020</w:t>
            </w:r>
            <w:r>
              <w:rPr>
                <w:rFonts w:hint="eastAsia"/>
              </w:rPr>
              <w:t>）中“社会用水定额--城市居民”用水定额值90L/人·d，则员工生活用水量为0.9m</w:t>
            </w:r>
            <w:r>
              <w:rPr>
                <w:rFonts w:hint="eastAsia"/>
                <w:vertAlign w:val="superscript"/>
              </w:rPr>
              <w:t>3</w:t>
            </w:r>
            <w:r>
              <w:rPr>
                <w:rFonts w:hint="eastAsia"/>
              </w:rPr>
              <w:t>/d（324</w:t>
            </w:r>
            <w:r>
              <w:t>m</w:t>
            </w:r>
            <w:r>
              <w:rPr>
                <w:vertAlign w:val="superscript"/>
              </w:rPr>
              <w:t>3</w:t>
            </w:r>
            <w:r>
              <w:rPr>
                <w:rFonts w:hint="eastAsia"/>
              </w:rPr>
              <w:t>/a）。生活污水排放量按生活用水量的80%计，则生活污水排放量为0.72m</w:t>
            </w:r>
            <w:r>
              <w:rPr>
                <w:rFonts w:hint="eastAsia"/>
                <w:vertAlign w:val="superscript"/>
              </w:rPr>
              <w:t>3</w:t>
            </w:r>
            <w:r>
              <w:rPr>
                <w:rFonts w:hint="eastAsia"/>
              </w:rPr>
              <w:t>/d（259.2m</w:t>
            </w:r>
            <w:r>
              <w:rPr>
                <w:rFonts w:hint="eastAsia"/>
                <w:vertAlign w:val="superscript"/>
              </w:rPr>
              <w:t>3</w:t>
            </w:r>
            <w:r>
              <w:rPr>
                <w:rFonts w:hint="eastAsia"/>
              </w:rPr>
              <w:t>/a），主要污染物为</w:t>
            </w:r>
            <w:r>
              <w:t>CODCr</w:t>
            </w:r>
            <w:r>
              <w:rPr>
                <w:rFonts w:hint="eastAsia"/>
              </w:rPr>
              <w:t>、</w:t>
            </w:r>
            <w:r>
              <w:t>BOD</w:t>
            </w:r>
            <w:r>
              <w:rPr>
                <w:vertAlign w:val="subscript"/>
              </w:rPr>
              <w:t>5</w:t>
            </w:r>
            <w:r>
              <w:rPr>
                <w:rFonts w:hint="eastAsia"/>
              </w:rPr>
              <w:t>、</w:t>
            </w:r>
            <w:r>
              <w:t>SS</w:t>
            </w:r>
            <w:r>
              <w:rPr>
                <w:rFonts w:hint="eastAsia"/>
              </w:rPr>
              <w:t>、氨氮等。生活污水排入场区化粪池处理后，进入园区污水管网。生活污水产排污情况详见下表。</w:t>
            </w:r>
          </w:p>
          <w:p w14:paraId="3EA16FC7">
            <w:pPr>
              <w:pStyle w:val="21"/>
              <w:spacing w:before="120"/>
              <w:rPr>
                <w:rFonts w:hint="default"/>
              </w:rPr>
            </w:pPr>
            <w:bookmarkStart w:id="123" w:name="_Toc30892"/>
            <w:bookmarkStart w:id="124" w:name="_Toc26065"/>
            <w:r>
              <w:t>表4-1  生活污水污染物产排情况</w:t>
            </w:r>
            <w:bookmarkEnd w:id="123"/>
            <w:bookmarkEnd w:id="124"/>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52"/>
              <w:gridCol w:w="1693"/>
              <w:gridCol w:w="2641"/>
              <w:gridCol w:w="1829"/>
            </w:tblGrid>
            <w:tr w14:paraId="604F5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1294" w:type="pct"/>
                  <w:vMerge w:val="restart"/>
                  <w:tcBorders>
                    <w:tl2br w:val="nil"/>
                    <w:tr2bl w:val="nil"/>
                  </w:tcBorders>
                  <w:vAlign w:val="center"/>
                </w:tcPr>
                <w:p w14:paraId="30E5AA61">
                  <w:pPr>
                    <w:pStyle w:val="19"/>
                    <w:spacing w:before="120" w:after="120"/>
                  </w:pPr>
                  <w:r>
                    <w:t>生活污水</w:t>
                  </w:r>
                </w:p>
                <w:p w14:paraId="3A5A4E82">
                  <w:pPr>
                    <w:pStyle w:val="19"/>
                    <w:spacing w:before="120" w:after="120"/>
                  </w:pPr>
                  <w:r>
                    <w:rPr>
                      <w:rFonts w:hint="eastAsia"/>
                    </w:rPr>
                    <w:t>259.2</w:t>
                  </w:r>
                  <w:r>
                    <w:t>t/a</w:t>
                  </w:r>
                </w:p>
              </w:tc>
              <w:tc>
                <w:tcPr>
                  <w:tcW w:w="1018" w:type="pct"/>
                  <w:tcBorders>
                    <w:tl2br w:val="nil"/>
                    <w:tr2bl w:val="nil"/>
                  </w:tcBorders>
                  <w:vAlign w:val="center"/>
                </w:tcPr>
                <w:p w14:paraId="6C256D2A">
                  <w:pPr>
                    <w:pStyle w:val="19"/>
                    <w:spacing w:before="120" w:after="120"/>
                  </w:pPr>
                  <w:r>
                    <w:rPr>
                      <w:rFonts w:hint="eastAsia"/>
                    </w:rPr>
                    <w:t>污染物</w:t>
                  </w:r>
                </w:p>
              </w:tc>
              <w:tc>
                <w:tcPr>
                  <w:tcW w:w="1588" w:type="pct"/>
                  <w:tcBorders>
                    <w:tl2br w:val="nil"/>
                    <w:tr2bl w:val="nil"/>
                  </w:tcBorders>
                  <w:vAlign w:val="center"/>
                </w:tcPr>
                <w:p w14:paraId="37DE77D5">
                  <w:pPr>
                    <w:pStyle w:val="19"/>
                    <w:spacing w:before="120" w:after="120"/>
                  </w:pPr>
                  <w:r>
                    <w:rPr>
                      <w:rFonts w:hint="eastAsia"/>
                    </w:rPr>
                    <w:t>排放浓</w:t>
                  </w:r>
                  <w:r>
                    <w:t>度mg/L</w:t>
                  </w:r>
                </w:p>
              </w:tc>
              <w:tc>
                <w:tcPr>
                  <w:tcW w:w="1100" w:type="pct"/>
                  <w:tcBorders>
                    <w:tl2br w:val="nil"/>
                    <w:tr2bl w:val="nil"/>
                  </w:tcBorders>
                  <w:vAlign w:val="center"/>
                </w:tcPr>
                <w:p w14:paraId="42263E28">
                  <w:pPr>
                    <w:pStyle w:val="19"/>
                    <w:spacing w:before="120" w:after="120"/>
                  </w:pPr>
                  <w:r>
                    <w:rPr>
                      <w:rFonts w:hint="eastAsia"/>
                    </w:rPr>
                    <w:t>排放量</w:t>
                  </w:r>
                  <w:r>
                    <w:t>t/a</w:t>
                  </w:r>
                </w:p>
              </w:tc>
            </w:tr>
            <w:tr w14:paraId="59870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294" w:type="pct"/>
                  <w:vMerge w:val="continue"/>
                  <w:tcBorders>
                    <w:tl2br w:val="nil"/>
                    <w:tr2bl w:val="nil"/>
                  </w:tcBorders>
                  <w:vAlign w:val="center"/>
                </w:tcPr>
                <w:p w14:paraId="62E46CB4">
                  <w:pPr>
                    <w:pStyle w:val="19"/>
                    <w:spacing w:before="120" w:after="120"/>
                  </w:pPr>
                </w:p>
              </w:tc>
              <w:tc>
                <w:tcPr>
                  <w:tcW w:w="1018" w:type="pct"/>
                  <w:tcBorders>
                    <w:tl2br w:val="nil"/>
                    <w:tr2bl w:val="nil"/>
                  </w:tcBorders>
                  <w:vAlign w:val="center"/>
                </w:tcPr>
                <w:p w14:paraId="413CED7F">
                  <w:pPr>
                    <w:pStyle w:val="19"/>
                    <w:spacing w:before="120" w:after="120"/>
                  </w:pPr>
                  <w:r>
                    <w:t>COD</w:t>
                  </w:r>
                </w:p>
              </w:tc>
              <w:tc>
                <w:tcPr>
                  <w:tcW w:w="1588" w:type="pct"/>
                  <w:tcBorders>
                    <w:tl2br w:val="nil"/>
                    <w:tr2bl w:val="nil"/>
                  </w:tcBorders>
                  <w:vAlign w:val="center"/>
                </w:tcPr>
                <w:p w14:paraId="7CA3E6A7">
                  <w:pPr>
                    <w:pStyle w:val="19"/>
                    <w:spacing w:before="120" w:after="120"/>
                  </w:pPr>
                  <w:r>
                    <w:t>450</w:t>
                  </w:r>
                </w:p>
              </w:tc>
              <w:tc>
                <w:tcPr>
                  <w:tcW w:w="1832" w:type="dxa"/>
                  <w:tcBorders>
                    <w:tl2br w:val="nil"/>
                    <w:tr2bl w:val="nil"/>
                  </w:tcBorders>
                  <w:vAlign w:val="center"/>
                </w:tcPr>
                <w:p w14:paraId="6051BFDE">
                  <w:pPr>
                    <w:pStyle w:val="19"/>
                    <w:spacing w:before="120" w:after="120"/>
                  </w:pPr>
                  <w:r>
                    <w:rPr>
                      <w:rFonts w:hint="eastAsia"/>
                    </w:rPr>
                    <w:t>0.12</w:t>
                  </w:r>
                </w:p>
              </w:tc>
            </w:tr>
            <w:tr w14:paraId="26E8C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1294" w:type="pct"/>
                  <w:vMerge w:val="continue"/>
                  <w:tcBorders>
                    <w:tl2br w:val="nil"/>
                    <w:tr2bl w:val="nil"/>
                  </w:tcBorders>
                  <w:vAlign w:val="center"/>
                </w:tcPr>
                <w:p w14:paraId="759150D1">
                  <w:pPr>
                    <w:pStyle w:val="19"/>
                    <w:spacing w:before="120" w:after="120"/>
                  </w:pPr>
                </w:p>
              </w:tc>
              <w:tc>
                <w:tcPr>
                  <w:tcW w:w="1018" w:type="pct"/>
                  <w:tcBorders>
                    <w:tl2br w:val="nil"/>
                    <w:tr2bl w:val="nil"/>
                  </w:tcBorders>
                  <w:vAlign w:val="center"/>
                </w:tcPr>
                <w:p w14:paraId="5DE66E94">
                  <w:pPr>
                    <w:pStyle w:val="19"/>
                    <w:spacing w:before="120" w:after="120"/>
                  </w:pPr>
                  <w:r>
                    <w:t>BOD</w:t>
                  </w:r>
                  <w:r>
                    <w:rPr>
                      <w:vertAlign w:val="subscript"/>
                    </w:rPr>
                    <w:t>5</w:t>
                  </w:r>
                </w:p>
              </w:tc>
              <w:tc>
                <w:tcPr>
                  <w:tcW w:w="1588" w:type="pct"/>
                  <w:tcBorders>
                    <w:tl2br w:val="nil"/>
                    <w:tr2bl w:val="nil"/>
                  </w:tcBorders>
                  <w:vAlign w:val="center"/>
                </w:tcPr>
                <w:p w14:paraId="608FFF69">
                  <w:pPr>
                    <w:pStyle w:val="19"/>
                    <w:spacing w:before="120" w:after="120"/>
                  </w:pPr>
                  <w:r>
                    <w:t>250</w:t>
                  </w:r>
                </w:p>
              </w:tc>
              <w:tc>
                <w:tcPr>
                  <w:tcW w:w="1832" w:type="dxa"/>
                  <w:tcBorders>
                    <w:tl2br w:val="nil"/>
                    <w:tr2bl w:val="nil"/>
                  </w:tcBorders>
                  <w:vAlign w:val="center"/>
                </w:tcPr>
                <w:p w14:paraId="1F42941D">
                  <w:pPr>
                    <w:pStyle w:val="19"/>
                    <w:spacing w:before="120" w:after="120"/>
                  </w:pPr>
                  <w:r>
                    <w:rPr>
                      <w:rFonts w:hint="eastAsia"/>
                    </w:rPr>
                    <w:t>0.07</w:t>
                  </w:r>
                </w:p>
              </w:tc>
            </w:tr>
            <w:tr w14:paraId="65A03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1294" w:type="pct"/>
                  <w:vMerge w:val="continue"/>
                  <w:tcBorders>
                    <w:tl2br w:val="nil"/>
                    <w:tr2bl w:val="nil"/>
                  </w:tcBorders>
                  <w:vAlign w:val="center"/>
                </w:tcPr>
                <w:p w14:paraId="582FC153">
                  <w:pPr>
                    <w:pStyle w:val="19"/>
                    <w:spacing w:before="120" w:after="120"/>
                  </w:pPr>
                </w:p>
              </w:tc>
              <w:tc>
                <w:tcPr>
                  <w:tcW w:w="1018" w:type="pct"/>
                  <w:tcBorders>
                    <w:tl2br w:val="nil"/>
                    <w:tr2bl w:val="nil"/>
                  </w:tcBorders>
                  <w:vAlign w:val="center"/>
                </w:tcPr>
                <w:p w14:paraId="616D4C0B">
                  <w:pPr>
                    <w:pStyle w:val="19"/>
                    <w:spacing w:before="120" w:after="120"/>
                  </w:pPr>
                  <w:r>
                    <w:t>SS</w:t>
                  </w:r>
                </w:p>
              </w:tc>
              <w:tc>
                <w:tcPr>
                  <w:tcW w:w="1588" w:type="pct"/>
                  <w:tcBorders>
                    <w:tl2br w:val="nil"/>
                    <w:tr2bl w:val="nil"/>
                  </w:tcBorders>
                  <w:vAlign w:val="center"/>
                </w:tcPr>
                <w:p w14:paraId="093F9B56">
                  <w:pPr>
                    <w:pStyle w:val="19"/>
                    <w:spacing w:before="120" w:after="120"/>
                  </w:pPr>
                  <w:r>
                    <w:t>300</w:t>
                  </w:r>
                </w:p>
              </w:tc>
              <w:tc>
                <w:tcPr>
                  <w:tcW w:w="1832" w:type="dxa"/>
                  <w:tcBorders>
                    <w:tl2br w:val="nil"/>
                    <w:tr2bl w:val="nil"/>
                  </w:tcBorders>
                  <w:vAlign w:val="center"/>
                </w:tcPr>
                <w:p w14:paraId="39712A84">
                  <w:pPr>
                    <w:pStyle w:val="19"/>
                    <w:spacing w:before="120" w:after="120"/>
                  </w:pPr>
                  <w:r>
                    <w:rPr>
                      <w:rFonts w:hint="eastAsia"/>
                    </w:rPr>
                    <w:t>0.08</w:t>
                  </w:r>
                </w:p>
              </w:tc>
            </w:tr>
            <w:tr w14:paraId="027B1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94" w:type="pct"/>
                  <w:vMerge w:val="continue"/>
                  <w:tcBorders>
                    <w:tl2br w:val="nil"/>
                    <w:tr2bl w:val="nil"/>
                  </w:tcBorders>
                  <w:vAlign w:val="center"/>
                </w:tcPr>
                <w:p w14:paraId="3C2A5429">
                  <w:pPr>
                    <w:pStyle w:val="19"/>
                    <w:spacing w:before="120" w:after="120"/>
                  </w:pPr>
                </w:p>
              </w:tc>
              <w:tc>
                <w:tcPr>
                  <w:tcW w:w="1018" w:type="pct"/>
                  <w:tcBorders>
                    <w:tl2br w:val="nil"/>
                    <w:tr2bl w:val="nil"/>
                  </w:tcBorders>
                  <w:vAlign w:val="center"/>
                </w:tcPr>
                <w:p w14:paraId="2B2004AD">
                  <w:pPr>
                    <w:pStyle w:val="19"/>
                    <w:spacing w:before="120" w:after="120"/>
                  </w:pPr>
                  <w:r>
                    <w:rPr>
                      <w:rFonts w:hint="eastAsia"/>
                    </w:rPr>
                    <w:t>氨氮</w:t>
                  </w:r>
                </w:p>
              </w:tc>
              <w:tc>
                <w:tcPr>
                  <w:tcW w:w="1588" w:type="pct"/>
                  <w:tcBorders>
                    <w:tl2br w:val="nil"/>
                    <w:tr2bl w:val="nil"/>
                  </w:tcBorders>
                  <w:vAlign w:val="center"/>
                </w:tcPr>
                <w:p w14:paraId="15103E5D">
                  <w:pPr>
                    <w:pStyle w:val="19"/>
                    <w:spacing w:before="120" w:after="120"/>
                  </w:pPr>
                  <w:r>
                    <w:t>30</w:t>
                  </w:r>
                </w:p>
              </w:tc>
              <w:tc>
                <w:tcPr>
                  <w:tcW w:w="1832" w:type="dxa"/>
                  <w:tcBorders>
                    <w:tl2br w:val="nil"/>
                    <w:tr2bl w:val="nil"/>
                  </w:tcBorders>
                  <w:vAlign w:val="center"/>
                </w:tcPr>
                <w:p w14:paraId="0FBEBD11">
                  <w:pPr>
                    <w:pStyle w:val="19"/>
                    <w:spacing w:before="120" w:after="120"/>
                  </w:pPr>
                  <w:r>
                    <w:rPr>
                      <w:rFonts w:hint="eastAsia"/>
                    </w:rPr>
                    <w:t>0.01</w:t>
                  </w:r>
                </w:p>
              </w:tc>
            </w:tr>
          </w:tbl>
          <w:p w14:paraId="462F0CF2">
            <w:pPr>
              <w:ind w:firstLine="480"/>
              <w:rPr>
                <w:color w:val="auto"/>
              </w:rPr>
            </w:pPr>
            <w:r>
              <w:rPr>
                <w:rFonts w:hint="eastAsia"/>
                <w:color w:val="auto"/>
              </w:rPr>
              <w:t>（2）洗车污水</w:t>
            </w:r>
          </w:p>
          <w:p w14:paraId="6CC36DD7">
            <w:pPr>
              <w:bidi w:val="0"/>
              <w:rPr>
                <w:rFonts w:hint="eastAsia"/>
                <w:color w:val="auto"/>
                <w:lang w:val="en-US" w:eastAsia="zh-CN"/>
              </w:rPr>
            </w:pPr>
            <w:r>
              <w:rPr>
                <w:rFonts w:hint="eastAsia"/>
                <w:color w:val="auto"/>
              </w:rPr>
              <w:t>本项目设置洗车车间，主要对空载车辆进行清洗，</w:t>
            </w:r>
            <w:r>
              <w:rPr>
                <w:color w:val="auto"/>
              </w:rPr>
              <w:t>只清洗</w:t>
            </w:r>
            <w:r>
              <w:rPr>
                <w:rFonts w:hint="eastAsia"/>
                <w:color w:val="auto"/>
              </w:rPr>
              <w:t>外部，</w:t>
            </w:r>
            <w:r>
              <w:rPr>
                <w:color w:val="auto"/>
              </w:rPr>
              <w:t>不清洗</w:t>
            </w:r>
            <w:r>
              <w:rPr>
                <w:rFonts w:hint="eastAsia"/>
                <w:color w:val="auto"/>
              </w:rPr>
              <w:t>内壁。清洗车间为间歇式工作，每天工作8h。本项目设置一体化污水处理系统，</w:t>
            </w:r>
            <w:r>
              <w:rPr>
                <w:rFonts w:hint="eastAsia"/>
                <w:color w:val="auto"/>
                <w:lang w:val="en-US" w:eastAsia="zh-CN"/>
              </w:rPr>
              <w:t>洗车污水经</w:t>
            </w:r>
            <w:r>
              <w:rPr>
                <w:rFonts w:hint="eastAsia"/>
                <w:color w:val="auto"/>
              </w:rPr>
              <w:t>一体化污水处理</w:t>
            </w:r>
            <w:r>
              <w:rPr>
                <w:rFonts w:hint="eastAsia"/>
                <w:color w:val="auto"/>
                <w:lang w:val="en-US" w:eastAsia="zh-CN"/>
              </w:rPr>
              <w:t>设备处理后回用于洗车。</w:t>
            </w:r>
          </w:p>
          <w:p w14:paraId="1BA5D7EF">
            <w:pPr>
              <w:bidi w:val="0"/>
              <w:rPr>
                <w:rFonts w:hint="default" w:eastAsia="宋体"/>
                <w:color w:val="auto"/>
                <w:lang w:val="en-US" w:eastAsia="zh-CN"/>
              </w:rPr>
            </w:pPr>
            <w:r>
              <w:rPr>
                <w:rFonts w:hint="default"/>
                <w:color w:val="auto"/>
              </w:rPr>
              <w:t>一体化污水处理将混合反应、沉淀、过滤三道工艺综合在一台设备内完成</w:t>
            </w:r>
            <w:r>
              <w:rPr>
                <w:rFonts w:hint="eastAsia"/>
                <w:color w:val="auto"/>
                <w:lang w:eastAsia="zh-CN"/>
              </w:rPr>
              <w:t>，</w:t>
            </w:r>
            <w:r>
              <w:rPr>
                <w:rFonts w:hint="eastAsia"/>
                <w:color w:val="auto"/>
                <w:lang w:val="en-US" w:eastAsia="zh-CN"/>
              </w:rPr>
              <w:t>处理工艺为：</w:t>
            </w:r>
            <w:r>
              <w:rPr>
                <w:rFonts w:hint="default"/>
                <w:color w:val="auto"/>
              </w:rPr>
              <w:t>洗车废水→废水收集池→泵→混凝沉淀→过滤→集水池→泵→洗车</w:t>
            </w:r>
            <w:r>
              <w:rPr>
                <w:rFonts w:hint="eastAsia"/>
                <w:color w:val="auto"/>
                <w:lang w:eastAsia="zh-CN"/>
              </w:rPr>
              <w:t>，</w:t>
            </w:r>
            <w:r>
              <w:rPr>
                <w:rFonts w:hint="eastAsia"/>
                <w:color w:val="auto"/>
                <w:lang w:val="en-US" w:eastAsia="zh-CN"/>
              </w:rPr>
              <w:t>设计进出水水质如下表所示：</w:t>
            </w:r>
          </w:p>
          <w:p w14:paraId="1FFF4CE0">
            <w:pPr>
              <w:pStyle w:val="21"/>
              <w:spacing w:before="120"/>
              <w:rPr>
                <w:rFonts w:hint="default"/>
                <w:color w:val="auto"/>
              </w:rPr>
            </w:pPr>
            <w:r>
              <w:rPr>
                <w:color w:val="auto"/>
              </w:rPr>
              <w:t>表4-</w:t>
            </w:r>
            <w:r>
              <w:rPr>
                <w:rFonts w:hint="eastAsia"/>
                <w:color w:val="auto"/>
                <w:lang w:val="en-US" w:eastAsia="zh-CN"/>
              </w:rPr>
              <w:t>2</w:t>
            </w:r>
            <w:r>
              <w:rPr>
                <w:color w:val="auto"/>
              </w:rPr>
              <w:t xml:space="preserve">  </w:t>
            </w:r>
            <w:r>
              <w:rPr>
                <w:rFonts w:hint="eastAsia"/>
                <w:color w:val="auto"/>
              </w:rPr>
              <w:t>一体化污水处理</w:t>
            </w:r>
            <w:r>
              <w:rPr>
                <w:rFonts w:hint="eastAsia"/>
                <w:color w:val="auto"/>
                <w:lang w:val="en-US" w:eastAsia="zh-CN"/>
              </w:rPr>
              <w:t>设施设计进出水水质</w:t>
            </w:r>
          </w:p>
          <w:tbl>
            <w:tblPr>
              <w:tblStyle w:val="1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2"/>
              <w:gridCol w:w="1924"/>
              <w:gridCol w:w="1951"/>
              <w:gridCol w:w="554"/>
              <w:gridCol w:w="1977"/>
              <w:gridCol w:w="712"/>
            </w:tblGrid>
            <w:tr w14:paraId="7FC57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717" w:type="pct"/>
                  <w:tcBorders>
                    <w:top w:val="single" w:color="auto" w:sz="4" w:space="0"/>
                    <w:left w:val="single" w:color="auto" w:sz="4" w:space="0"/>
                    <w:bottom w:val="single" w:color="auto" w:sz="4" w:space="0"/>
                    <w:right w:val="single" w:color="auto" w:sz="4" w:space="0"/>
                  </w:tcBorders>
                  <w:noWrap w:val="0"/>
                  <w:vAlign w:val="center"/>
                </w:tcPr>
                <w:p w14:paraId="10F1AAE5">
                  <w:pPr>
                    <w:pStyle w:val="19"/>
                    <w:bidi w:val="0"/>
                    <w:rPr>
                      <w:rFonts w:hint="eastAsia"/>
                      <w:color w:val="auto"/>
                    </w:rPr>
                  </w:pPr>
                  <w:r>
                    <w:rPr>
                      <w:rFonts w:hint="eastAsia"/>
                      <w:color w:val="auto"/>
                      <w:lang w:val="en-US" w:eastAsia="zh-CN"/>
                    </w:rPr>
                    <w:t>名称</w:t>
                  </w:r>
                </w:p>
              </w:tc>
              <w:tc>
                <w:tcPr>
                  <w:tcW w:w="1157" w:type="pct"/>
                  <w:tcBorders>
                    <w:top w:val="single" w:color="auto" w:sz="4" w:space="0"/>
                    <w:left w:val="single" w:color="auto" w:sz="4" w:space="0"/>
                    <w:bottom w:val="single" w:color="auto" w:sz="4" w:space="0"/>
                    <w:right w:val="single" w:color="auto" w:sz="4" w:space="0"/>
                  </w:tcBorders>
                  <w:noWrap w:val="0"/>
                  <w:vAlign w:val="center"/>
                </w:tcPr>
                <w:p w14:paraId="634031F4">
                  <w:pPr>
                    <w:pStyle w:val="19"/>
                    <w:bidi w:val="0"/>
                    <w:rPr>
                      <w:rFonts w:hint="default"/>
                      <w:color w:val="auto"/>
                      <w:lang w:val="en-US"/>
                    </w:rPr>
                  </w:pPr>
                  <w:r>
                    <w:rPr>
                      <w:rFonts w:hint="eastAsia"/>
                      <w:color w:val="auto"/>
                      <w:lang w:val="en-US" w:eastAsia="zh-CN"/>
                    </w:rPr>
                    <w:t>CODcr（mg/L）</w:t>
                  </w:r>
                </w:p>
              </w:tc>
              <w:tc>
                <w:tcPr>
                  <w:tcW w:w="1173" w:type="pct"/>
                  <w:tcBorders>
                    <w:top w:val="single" w:color="auto" w:sz="4" w:space="0"/>
                    <w:left w:val="single" w:color="auto" w:sz="4" w:space="0"/>
                    <w:bottom w:val="single" w:color="auto" w:sz="4" w:space="0"/>
                    <w:right w:val="single" w:color="auto" w:sz="4" w:space="0"/>
                  </w:tcBorders>
                  <w:noWrap w:val="0"/>
                  <w:vAlign w:val="center"/>
                </w:tcPr>
                <w:p w14:paraId="2CE1D267">
                  <w:pPr>
                    <w:pStyle w:val="19"/>
                    <w:bidi w:val="0"/>
                    <w:rPr>
                      <w:rFonts w:hint="eastAsia"/>
                      <w:color w:val="auto"/>
                    </w:rPr>
                  </w:pPr>
                  <w:r>
                    <w:rPr>
                      <w:rFonts w:hint="eastAsia"/>
                      <w:color w:val="auto"/>
                      <w:lang w:val="en-US" w:eastAsia="zh-CN"/>
                    </w:rPr>
                    <w:t>悬浮物（mg/L）</w:t>
                  </w:r>
                </w:p>
              </w:tc>
              <w:tc>
                <w:tcPr>
                  <w:tcW w:w="333" w:type="pct"/>
                  <w:tcBorders>
                    <w:top w:val="single" w:color="auto" w:sz="4" w:space="0"/>
                    <w:left w:val="single" w:color="auto" w:sz="4" w:space="0"/>
                    <w:bottom w:val="single" w:color="auto" w:sz="4" w:space="0"/>
                    <w:right w:val="single" w:color="auto" w:sz="4" w:space="0"/>
                  </w:tcBorders>
                  <w:noWrap w:val="0"/>
                  <w:vAlign w:val="center"/>
                </w:tcPr>
                <w:p w14:paraId="54AAA948">
                  <w:pPr>
                    <w:pStyle w:val="19"/>
                    <w:bidi w:val="0"/>
                    <w:rPr>
                      <w:rFonts w:hint="eastAsia"/>
                      <w:color w:val="auto"/>
                    </w:rPr>
                  </w:pPr>
                  <w:r>
                    <w:rPr>
                      <w:rFonts w:hint="eastAsia"/>
                      <w:color w:val="auto"/>
                      <w:lang w:val="en-US" w:eastAsia="zh-CN"/>
                    </w:rPr>
                    <w:t>pH</w:t>
                  </w:r>
                </w:p>
              </w:tc>
              <w:tc>
                <w:tcPr>
                  <w:tcW w:w="1189" w:type="pct"/>
                  <w:tcBorders>
                    <w:top w:val="single" w:color="auto" w:sz="4" w:space="0"/>
                    <w:left w:val="single" w:color="auto" w:sz="4" w:space="0"/>
                    <w:bottom w:val="single" w:color="auto" w:sz="4" w:space="0"/>
                    <w:right w:val="single" w:color="auto" w:sz="4" w:space="0"/>
                  </w:tcBorders>
                  <w:noWrap w:val="0"/>
                  <w:vAlign w:val="center"/>
                </w:tcPr>
                <w:p w14:paraId="2EF9F81A">
                  <w:pPr>
                    <w:pStyle w:val="19"/>
                    <w:bidi w:val="0"/>
                    <w:rPr>
                      <w:rFonts w:hint="eastAsia" w:eastAsia="宋体"/>
                      <w:color w:val="auto"/>
                      <w:lang w:val="en-US" w:eastAsia="zh-CN"/>
                    </w:rPr>
                  </w:pPr>
                  <w:r>
                    <w:rPr>
                      <w:rFonts w:hint="default"/>
                      <w:color w:val="auto"/>
                    </w:rPr>
                    <w:t>动植物油</w:t>
                  </w:r>
                  <w:r>
                    <w:rPr>
                      <w:rFonts w:hint="eastAsia"/>
                      <w:color w:val="auto"/>
                      <w:lang w:val="en-US" w:eastAsia="zh-CN"/>
                    </w:rPr>
                    <w:t>/</w:t>
                  </w:r>
                  <w:r>
                    <w:rPr>
                      <w:rFonts w:hint="default"/>
                      <w:color w:val="auto"/>
                    </w:rPr>
                    <w:t>石油</w:t>
                  </w:r>
                  <w:r>
                    <w:rPr>
                      <w:rFonts w:hint="eastAsia"/>
                      <w:color w:val="auto"/>
                      <w:lang w:val="en-US" w:eastAsia="zh-CN"/>
                    </w:rPr>
                    <w:t>类</w:t>
                  </w:r>
                </w:p>
              </w:tc>
              <w:tc>
                <w:tcPr>
                  <w:tcW w:w="428" w:type="pct"/>
                  <w:tcBorders>
                    <w:top w:val="single" w:color="auto" w:sz="4" w:space="0"/>
                    <w:left w:val="single" w:color="auto" w:sz="4" w:space="0"/>
                    <w:bottom w:val="single" w:color="auto" w:sz="4" w:space="0"/>
                    <w:right w:val="single" w:color="auto" w:sz="4" w:space="0"/>
                  </w:tcBorders>
                  <w:noWrap w:val="0"/>
                  <w:vAlign w:val="center"/>
                </w:tcPr>
                <w:p w14:paraId="486C4CAA">
                  <w:pPr>
                    <w:pStyle w:val="19"/>
                    <w:bidi w:val="0"/>
                    <w:rPr>
                      <w:rFonts w:hint="default"/>
                      <w:color w:val="auto"/>
                    </w:rPr>
                  </w:pPr>
                  <w:r>
                    <w:rPr>
                      <w:rFonts w:hint="default"/>
                      <w:color w:val="auto"/>
                    </w:rPr>
                    <w:t>氨氮</w:t>
                  </w:r>
                </w:p>
              </w:tc>
            </w:tr>
            <w:tr w14:paraId="2B9EB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717" w:type="pct"/>
                  <w:tcBorders>
                    <w:top w:val="single" w:color="auto" w:sz="4" w:space="0"/>
                    <w:left w:val="single" w:color="auto" w:sz="4" w:space="0"/>
                    <w:bottom w:val="single" w:color="auto" w:sz="4" w:space="0"/>
                    <w:right w:val="single" w:color="auto" w:sz="4" w:space="0"/>
                  </w:tcBorders>
                  <w:noWrap w:val="0"/>
                  <w:vAlign w:val="center"/>
                </w:tcPr>
                <w:p w14:paraId="231E3E21">
                  <w:pPr>
                    <w:pStyle w:val="19"/>
                    <w:bidi w:val="0"/>
                    <w:rPr>
                      <w:rFonts w:hint="eastAsia"/>
                      <w:color w:val="auto"/>
                    </w:rPr>
                  </w:pPr>
                  <w:r>
                    <w:rPr>
                      <w:rFonts w:hint="eastAsia"/>
                      <w:color w:val="auto"/>
                      <w:lang w:val="en-US" w:eastAsia="zh-CN"/>
                    </w:rPr>
                    <w:t>进水水质</w:t>
                  </w:r>
                </w:p>
              </w:tc>
              <w:tc>
                <w:tcPr>
                  <w:tcW w:w="1157" w:type="pct"/>
                  <w:tcBorders>
                    <w:top w:val="single" w:color="auto" w:sz="4" w:space="0"/>
                    <w:left w:val="single" w:color="auto" w:sz="4" w:space="0"/>
                    <w:bottom w:val="single" w:color="auto" w:sz="4" w:space="0"/>
                    <w:right w:val="single" w:color="auto" w:sz="4" w:space="0"/>
                  </w:tcBorders>
                  <w:noWrap w:val="0"/>
                  <w:vAlign w:val="center"/>
                </w:tcPr>
                <w:p w14:paraId="77010300">
                  <w:pPr>
                    <w:pStyle w:val="19"/>
                    <w:bidi w:val="0"/>
                    <w:rPr>
                      <w:rFonts w:hint="eastAsia"/>
                      <w:color w:val="auto"/>
                    </w:rPr>
                  </w:pPr>
                  <w:r>
                    <w:rPr>
                      <w:rFonts w:hint="eastAsia"/>
                      <w:color w:val="auto"/>
                      <w:lang w:val="en-US" w:eastAsia="zh-CN"/>
                    </w:rPr>
                    <w:t>≤</w:t>
                  </w:r>
                  <w:r>
                    <w:rPr>
                      <w:rFonts w:hint="default"/>
                      <w:color w:val="auto"/>
                      <w:lang w:eastAsia="zh-CN"/>
                    </w:rPr>
                    <w:t>3</w:t>
                  </w:r>
                  <w:r>
                    <w:rPr>
                      <w:rFonts w:hint="eastAsia"/>
                      <w:color w:val="auto"/>
                      <w:lang w:val="en-US" w:eastAsia="zh-CN"/>
                    </w:rPr>
                    <w:t>50</w:t>
                  </w:r>
                </w:p>
              </w:tc>
              <w:tc>
                <w:tcPr>
                  <w:tcW w:w="1173" w:type="pct"/>
                  <w:tcBorders>
                    <w:top w:val="single" w:color="auto" w:sz="4" w:space="0"/>
                    <w:left w:val="single" w:color="auto" w:sz="4" w:space="0"/>
                    <w:bottom w:val="single" w:color="auto" w:sz="4" w:space="0"/>
                    <w:right w:val="single" w:color="auto" w:sz="4" w:space="0"/>
                  </w:tcBorders>
                  <w:noWrap w:val="0"/>
                  <w:vAlign w:val="center"/>
                </w:tcPr>
                <w:p w14:paraId="3BE89A1F">
                  <w:pPr>
                    <w:pStyle w:val="19"/>
                    <w:bidi w:val="0"/>
                    <w:rPr>
                      <w:rFonts w:hint="eastAsia"/>
                      <w:color w:val="auto"/>
                    </w:rPr>
                  </w:pPr>
                  <w:r>
                    <w:rPr>
                      <w:rFonts w:hint="eastAsia"/>
                      <w:color w:val="auto"/>
                      <w:lang w:val="en-US" w:eastAsia="zh-CN"/>
                    </w:rPr>
                    <w:t>≤</w:t>
                  </w:r>
                  <w:r>
                    <w:rPr>
                      <w:rFonts w:hint="default"/>
                      <w:color w:val="auto"/>
                      <w:lang w:eastAsia="zh-CN"/>
                    </w:rPr>
                    <w:t>7</w:t>
                  </w:r>
                  <w:r>
                    <w:rPr>
                      <w:rFonts w:hint="eastAsia"/>
                      <w:color w:val="auto"/>
                      <w:lang w:val="en-US" w:eastAsia="zh-CN"/>
                    </w:rPr>
                    <w:t>00</w:t>
                  </w:r>
                </w:p>
              </w:tc>
              <w:tc>
                <w:tcPr>
                  <w:tcW w:w="333" w:type="pct"/>
                  <w:tcBorders>
                    <w:top w:val="single" w:color="auto" w:sz="4" w:space="0"/>
                    <w:left w:val="single" w:color="auto" w:sz="4" w:space="0"/>
                    <w:bottom w:val="single" w:color="auto" w:sz="4" w:space="0"/>
                    <w:right w:val="single" w:color="auto" w:sz="4" w:space="0"/>
                  </w:tcBorders>
                  <w:noWrap w:val="0"/>
                  <w:vAlign w:val="center"/>
                </w:tcPr>
                <w:p w14:paraId="66ACE26A">
                  <w:pPr>
                    <w:pStyle w:val="19"/>
                    <w:bidi w:val="0"/>
                    <w:rPr>
                      <w:rFonts w:hint="eastAsia"/>
                      <w:color w:val="auto"/>
                    </w:rPr>
                  </w:pPr>
                  <w:r>
                    <w:rPr>
                      <w:rFonts w:hint="eastAsia"/>
                      <w:color w:val="auto"/>
                      <w:lang w:val="en-US" w:eastAsia="zh-CN"/>
                    </w:rPr>
                    <w:t>7-9</w:t>
                  </w:r>
                </w:p>
              </w:tc>
              <w:tc>
                <w:tcPr>
                  <w:tcW w:w="1189" w:type="pct"/>
                  <w:tcBorders>
                    <w:top w:val="single" w:color="auto" w:sz="4" w:space="0"/>
                    <w:left w:val="single" w:color="auto" w:sz="4" w:space="0"/>
                    <w:bottom w:val="single" w:color="auto" w:sz="4" w:space="0"/>
                    <w:right w:val="single" w:color="auto" w:sz="4" w:space="0"/>
                  </w:tcBorders>
                  <w:noWrap w:val="0"/>
                  <w:vAlign w:val="center"/>
                </w:tcPr>
                <w:p w14:paraId="27C787A7">
                  <w:pPr>
                    <w:pStyle w:val="19"/>
                    <w:bidi w:val="0"/>
                    <w:rPr>
                      <w:rFonts w:hint="eastAsia"/>
                      <w:color w:val="auto"/>
                    </w:rPr>
                  </w:pPr>
                  <w:r>
                    <w:rPr>
                      <w:rFonts w:hint="eastAsia"/>
                      <w:color w:val="auto"/>
                      <w:lang w:val="en-US" w:eastAsia="zh-CN"/>
                    </w:rPr>
                    <w:t>≤10</w:t>
                  </w:r>
                </w:p>
              </w:tc>
              <w:tc>
                <w:tcPr>
                  <w:tcW w:w="428" w:type="pct"/>
                  <w:tcBorders>
                    <w:top w:val="single" w:color="auto" w:sz="4" w:space="0"/>
                    <w:left w:val="single" w:color="auto" w:sz="4" w:space="0"/>
                    <w:bottom w:val="single" w:color="auto" w:sz="4" w:space="0"/>
                    <w:right w:val="single" w:color="auto" w:sz="4" w:space="0"/>
                  </w:tcBorders>
                  <w:noWrap w:val="0"/>
                  <w:vAlign w:val="center"/>
                </w:tcPr>
                <w:p w14:paraId="2C6928F7">
                  <w:pPr>
                    <w:pStyle w:val="19"/>
                    <w:bidi w:val="0"/>
                    <w:rPr>
                      <w:rFonts w:hint="default"/>
                      <w:color w:val="auto"/>
                      <w:lang w:eastAsia="zh-CN"/>
                    </w:rPr>
                  </w:pPr>
                  <w:r>
                    <w:rPr>
                      <w:rFonts w:hint="eastAsia"/>
                      <w:color w:val="auto"/>
                      <w:lang w:val="en-US" w:eastAsia="zh-CN"/>
                    </w:rPr>
                    <w:t>≤</w:t>
                  </w:r>
                  <w:r>
                    <w:rPr>
                      <w:rFonts w:hint="default"/>
                      <w:color w:val="auto"/>
                      <w:lang w:eastAsia="zh-CN"/>
                    </w:rPr>
                    <w:t>5</w:t>
                  </w:r>
                </w:p>
              </w:tc>
            </w:tr>
            <w:tr w14:paraId="1B895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717" w:type="pct"/>
                  <w:tcBorders>
                    <w:top w:val="single" w:color="auto" w:sz="4" w:space="0"/>
                    <w:left w:val="single" w:color="auto" w:sz="4" w:space="0"/>
                    <w:bottom w:val="single" w:color="auto" w:sz="4" w:space="0"/>
                    <w:right w:val="single" w:color="auto" w:sz="4" w:space="0"/>
                  </w:tcBorders>
                  <w:noWrap w:val="0"/>
                  <w:vAlign w:val="center"/>
                </w:tcPr>
                <w:p w14:paraId="3686FA00">
                  <w:pPr>
                    <w:pStyle w:val="19"/>
                    <w:bidi w:val="0"/>
                    <w:rPr>
                      <w:rFonts w:hint="default"/>
                      <w:color w:val="auto"/>
                    </w:rPr>
                  </w:pPr>
                  <w:r>
                    <w:rPr>
                      <w:rFonts w:hint="eastAsia"/>
                      <w:color w:val="auto"/>
                      <w:lang w:val="en-US" w:eastAsia="zh-CN"/>
                    </w:rPr>
                    <w:t>出水水质</w:t>
                  </w:r>
                </w:p>
              </w:tc>
              <w:tc>
                <w:tcPr>
                  <w:tcW w:w="1157" w:type="pct"/>
                  <w:tcBorders>
                    <w:top w:val="single" w:color="auto" w:sz="4" w:space="0"/>
                    <w:left w:val="single" w:color="auto" w:sz="4" w:space="0"/>
                    <w:bottom w:val="single" w:color="auto" w:sz="4" w:space="0"/>
                    <w:right w:val="single" w:color="auto" w:sz="4" w:space="0"/>
                  </w:tcBorders>
                  <w:noWrap w:val="0"/>
                  <w:vAlign w:val="center"/>
                </w:tcPr>
                <w:p w14:paraId="7082E8C2">
                  <w:pPr>
                    <w:pStyle w:val="19"/>
                    <w:bidi w:val="0"/>
                    <w:rPr>
                      <w:rFonts w:hint="eastAsia" w:eastAsia="宋体"/>
                      <w:color w:val="auto"/>
                      <w:lang w:eastAsia="zh-CN"/>
                    </w:rPr>
                  </w:pPr>
                  <w:r>
                    <w:rPr>
                      <w:rFonts w:hint="eastAsia"/>
                      <w:color w:val="auto"/>
                      <w:lang w:val="en-US" w:eastAsia="zh-CN"/>
                    </w:rPr>
                    <w:t>/</w:t>
                  </w:r>
                </w:p>
              </w:tc>
              <w:tc>
                <w:tcPr>
                  <w:tcW w:w="1173" w:type="pct"/>
                  <w:tcBorders>
                    <w:top w:val="single" w:color="auto" w:sz="4" w:space="0"/>
                    <w:left w:val="single" w:color="auto" w:sz="4" w:space="0"/>
                    <w:bottom w:val="single" w:color="auto" w:sz="4" w:space="0"/>
                    <w:right w:val="single" w:color="auto" w:sz="4" w:space="0"/>
                  </w:tcBorders>
                  <w:noWrap w:val="0"/>
                  <w:vAlign w:val="center"/>
                </w:tcPr>
                <w:p w14:paraId="5A61D1FA">
                  <w:pPr>
                    <w:pStyle w:val="19"/>
                    <w:bidi w:val="0"/>
                    <w:rPr>
                      <w:rFonts w:hint="default"/>
                      <w:color w:val="auto"/>
                    </w:rPr>
                  </w:pPr>
                  <w:r>
                    <w:rPr>
                      <w:rFonts w:hint="default"/>
                      <w:color w:val="auto"/>
                    </w:rPr>
                    <w:t>浊度</w:t>
                  </w:r>
                  <w:r>
                    <w:rPr>
                      <w:rFonts w:hint="eastAsia"/>
                      <w:color w:val="auto"/>
                      <w:lang w:val="en-US" w:eastAsia="zh-CN"/>
                    </w:rPr>
                    <w:t>≤</w:t>
                  </w:r>
                  <w:r>
                    <w:rPr>
                      <w:rFonts w:hint="default"/>
                      <w:color w:val="auto"/>
                      <w:lang w:eastAsia="zh-CN"/>
                    </w:rPr>
                    <w:t>5</w:t>
                  </w:r>
                </w:p>
              </w:tc>
              <w:tc>
                <w:tcPr>
                  <w:tcW w:w="333" w:type="pct"/>
                  <w:tcBorders>
                    <w:top w:val="single" w:color="auto" w:sz="4" w:space="0"/>
                    <w:left w:val="single" w:color="auto" w:sz="4" w:space="0"/>
                    <w:bottom w:val="single" w:color="auto" w:sz="4" w:space="0"/>
                    <w:right w:val="single" w:color="auto" w:sz="4" w:space="0"/>
                  </w:tcBorders>
                  <w:noWrap w:val="0"/>
                  <w:vAlign w:val="center"/>
                </w:tcPr>
                <w:p w14:paraId="25AC4271">
                  <w:pPr>
                    <w:pStyle w:val="19"/>
                    <w:bidi w:val="0"/>
                    <w:rPr>
                      <w:rFonts w:hint="eastAsia"/>
                      <w:color w:val="auto"/>
                    </w:rPr>
                  </w:pPr>
                  <w:r>
                    <w:rPr>
                      <w:rFonts w:hint="eastAsia"/>
                      <w:color w:val="auto"/>
                      <w:lang w:val="en-US" w:eastAsia="zh-CN"/>
                    </w:rPr>
                    <w:t>6-9</w:t>
                  </w:r>
                </w:p>
              </w:tc>
              <w:tc>
                <w:tcPr>
                  <w:tcW w:w="1189" w:type="pct"/>
                  <w:tcBorders>
                    <w:top w:val="single" w:color="auto" w:sz="4" w:space="0"/>
                    <w:left w:val="single" w:color="auto" w:sz="4" w:space="0"/>
                    <w:bottom w:val="single" w:color="auto" w:sz="4" w:space="0"/>
                    <w:right w:val="single" w:color="auto" w:sz="4" w:space="0"/>
                  </w:tcBorders>
                  <w:noWrap w:val="0"/>
                  <w:vAlign w:val="center"/>
                </w:tcPr>
                <w:p w14:paraId="1120B14D">
                  <w:pPr>
                    <w:pStyle w:val="19"/>
                    <w:bidi w:val="0"/>
                    <w:rPr>
                      <w:rFonts w:hint="default"/>
                      <w:color w:val="auto"/>
                    </w:rPr>
                  </w:pPr>
                  <w:r>
                    <w:rPr>
                      <w:rFonts w:hint="eastAsia"/>
                      <w:color w:val="auto"/>
                      <w:lang w:val="en-US" w:eastAsia="zh-CN"/>
                    </w:rPr>
                    <w:t>/</w:t>
                  </w:r>
                </w:p>
              </w:tc>
              <w:tc>
                <w:tcPr>
                  <w:tcW w:w="428" w:type="pct"/>
                  <w:tcBorders>
                    <w:top w:val="single" w:color="auto" w:sz="4" w:space="0"/>
                    <w:left w:val="single" w:color="auto" w:sz="4" w:space="0"/>
                    <w:bottom w:val="single" w:color="auto" w:sz="4" w:space="0"/>
                    <w:right w:val="single" w:color="auto" w:sz="4" w:space="0"/>
                  </w:tcBorders>
                  <w:noWrap w:val="0"/>
                  <w:vAlign w:val="center"/>
                </w:tcPr>
                <w:p w14:paraId="560398E8">
                  <w:pPr>
                    <w:pStyle w:val="19"/>
                    <w:bidi w:val="0"/>
                    <w:rPr>
                      <w:rFonts w:hint="eastAsia"/>
                      <w:color w:val="auto"/>
                      <w:lang w:val="en-US" w:eastAsia="zh-CN"/>
                    </w:rPr>
                  </w:pPr>
                  <w:r>
                    <w:rPr>
                      <w:rFonts w:hint="eastAsia"/>
                      <w:color w:val="auto"/>
                      <w:lang w:val="en-US" w:eastAsia="zh-CN"/>
                    </w:rPr>
                    <w:t>≤</w:t>
                  </w:r>
                  <w:r>
                    <w:rPr>
                      <w:rFonts w:hint="default"/>
                      <w:color w:val="auto"/>
                      <w:lang w:eastAsia="zh-CN"/>
                    </w:rPr>
                    <w:t>5</w:t>
                  </w:r>
                </w:p>
              </w:tc>
            </w:tr>
          </w:tbl>
          <w:p w14:paraId="2A634A0B">
            <w:pPr>
              <w:pStyle w:val="7"/>
              <w:ind w:firstLine="480"/>
              <w:rPr>
                <w:rFonts w:hint="eastAsia"/>
                <w:color w:val="auto"/>
              </w:rPr>
            </w:pPr>
            <w:r>
              <w:rPr>
                <w:rFonts w:hint="eastAsia"/>
                <w:color w:val="auto"/>
              </w:rPr>
              <w:t>本项目设置一体化污水处理系统，</w:t>
            </w:r>
            <w:r>
              <w:rPr>
                <w:rFonts w:hint="eastAsia"/>
                <w:color w:val="auto"/>
                <w:lang w:val="en-US" w:eastAsia="zh-CN"/>
              </w:rPr>
              <w:t>洗车水回用标准应满足《城市污水再生利用 城市杂用水水质》（GB/T18920-2020）中的</w:t>
            </w:r>
            <w:r>
              <w:rPr>
                <w:rFonts w:hint="default"/>
                <w:color w:val="auto"/>
                <w:lang w:eastAsia="zh-CN"/>
              </w:rPr>
              <w:t>冲厕、车辆冲洗</w:t>
            </w:r>
            <w:r>
              <w:rPr>
                <w:rFonts w:hint="eastAsia"/>
                <w:color w:val="auto"/>
                <w:lang w:val="en-US" w:eastAsia="zh-CN"/>
              </w:rPr>
              <w:t>所用的再生水</w:t>
            </w:r>
            <w:r>
              <w:rPr>
                <w:rFonts w:hint="default"/>
                <w:color w:val="auto"/>
                <w:lang w:eastAsia="zh-CN"/>
              </w:rPr>
              <w:t>水质</w:t>
            </w:r>
            <w:r>
              <w:rPr>
                <w:rFonts w:hint="eastAsia"/>
                <w:color w:val="auto"/>
                <w:lang w:val="en-US" w:eastAsia="zh-CN"/>
              </w:rPr>
              <w:t>指标，</w:t>
            </w:r>
            <w:r>
              <w:rPr>
                <w:rFonts w:hint="eastAsia"/>
                <w:color w:val="auto"/>
              </w:rPr>
              <w:t>洗车污水经处理后可实现闭路循环，不外排。</w:t>
            </w:r>
          </w:p>
          <w:p w14:paraId="4A3704F0">
            <w:pPr>
              <w:pStyle w:val="7"/>
              <w:ind w:firstLine="480"/>
              <w:rPr>
                <w:color w:val="auto"/>
              </w:rPr>
            </w:pPr>
            <w:r>
              <w:rPr>
                <w:rFonts w:hint="eastAsia"/>
                <w:color w:val="auto"/>
              </w:rPr>
              <w:t>（3）消防废水</w:t>
            </w:r>
          </w:p>
          <w:p w14:paraId="2876E688">
            <w:pPr>
              <w:pStyle w:val="7"/>
              <w:ind w:firstLine="480"/>
              <w:rPr>
                <w:color w:val="auto"/>
              </w:rPr>
            </w:pPr>
            <w:r>
              <w:rPr>
                <w:rFonts w:hint="eastAsia"/>
                <w:color w:val="auto"/>
              </w:rPr>
              <w:t>本项目运营期</w:t>
            </w:r>
            <w:r>
              <w:rPr>
                <w:color w:val="auto"/>
              </w:rPr>
              <w:t>全厂同一时间内火灾次数按一次计算</w:t>
            </w:r>
            <w:r>
              <w:rPr>
                <w:rFonts w:hint="eastAsia"/>
                <w:color w:val="auto"/>
              </w:rPr>
              <w:t>，</w:t>
            </w:r>
            <w:r>
              <w:rPr>
                <w:color w:val="auto"/>
              </w:rPr>
              <w:t>消防设计用水量为756m</w:t>
            </w:r>
            <w:r>
              <w:rPr>
                <w:color w:val="auto"/>
                <w:vertAlign w:val="superscript"/>
              </w:rPr>
              <w:t>3</w:t>
            </w:r>
            <w:r>
              <w:rPr>
                <w:rFonts w:hint="eastAsia"/>
                <w:color w:val="auto"/>
              </w:rPr>
              <w:t>/次，消防废水量按用水量的90%计，则消防废水排放量为680.4</w:t>
            </w:r>
            <w:r>
              <w:rPr>
                <w:color w:val="auto"/>
              </w:rPr>
              <w:t>m</w:t>
            </w:r>
            <w:r>
              <w:rPr>
                <w:color w:val="auto"/>
                <w:vertAlign w:val="superscript"/>
              </w:rPr>
              <w:t>3</w:t>
            </w:r>
            <w:r>
              <w:rPr>
                <w:rFonts w:hint="eastAsia"/>
                <w:color w:val="auto"/>
              </w:rPr>
              <w:t>/次。消防废水收集至事故水池，</w:t>
            </w:r>
            <w:r>
              <w:rPr>
                <w:color w:val="auto"/>
              </w:rPr>
              <w:t>事故后将废水</w:t>
            </w:r>
            <w:r>
              <w:rPr>
                <w:rFonts w:hint="eastAsia"/>
                <w:color w:val="auto"/>
              </w:rPr>
              <w:t>送至工业</w:t>
            </w:r>
            <w:r>
              <w:rPr>
                <w:color w:val="auto"/>
              </w:rPr>
              <w:t>污水处理厂处理。</w:t>
            </w:r>
          </w:p>
          <w:p w14:paraId="625044CF">
            <w:pPr>
              <w:bidi w:val="0"/>
            </w:pPr>
            <w:r>
              <w:rPr>
                <w:rFonts w:hint="eastAsia"/>
                <w:color w:val="auto"/>
              </w:rPr>
              <w:t>综上所述，本项目运营期产生的洗车污水经一体化处理设施处理</w:t>
            </w:r>
            <w:r>
              <w:rPr>
                <w:rFonts w:hint="eastAsia"/>
                <w:color w:val="auto"/>
                <w:lang w:eastAsia="zh-CN"/>
              </w:rPr>
              <w:t>，</w:t>
            </w:r>
            <w:r>
              <w:rPr>
                <w:rFonts w:hint="eastAsia"/>
                <w:color w:val="auto"/>
                <w:lang w:val="en-US" w:eastAsia="zh-CN"/>
              </w:rPr>
              <w:t>满足《城市污水再生利用 城市杂用水水质》（GB/T18920-2020）标准后</w:t>
            </w:r>
            <w:r>
              <w:rPr>
                <w:rFonts w:hint="eastAsia"/>
                <w:color w:val="auto"/>
              </w:rPr>
              <w:t>回用于洗车，消防废水产生后收集至事故水池，</w:t>
            </w:r>
            <w:r>
              <w:rPr>
                <w:color w:val="auto"/>
              </w:rPr>
              <w:t>事故后将废水</w:t>
            </w:r>
            <w:r>
              <w:rPr>
                <w:rFonts w:hint="eastAsia"/>
                <w:color w:val="auto"/>
              </w:rPr>
              <w:t>送至工业</w:t>
            </w:r>
            <w:r>
              <w:rPr>
                <w:color w:val="auto"/>
              </w:rPr>
              <w:t>污水处理厂处理</w:t>
            </w:r>
            <w:r>
              <w:rPr>
                <w:rFonts w:hint="eastAsia"/>
                <w:color w:val="auto"/>
              </w:rPr>
              <w:t>，排放废水主要是生活污水，生活污水经化粪池沉淀，满足《污水综合排放标准》（</w:t>
            </w:r>
            <w:r>
              <w:rPr>
                <w:color w:val="auto"/>
              </w:rPr>
              <w:t>GB8978-1996</w:t>
            </w:r>
            <w:r>
              <w:rPr>
                <w:rFonts w:hint="eastAsia"/>
                <w:color w:val="auto"/>
              </w:rPr>
              <w:t>）三级标准及</w:t>
            </w:r>
            <w:r>
              <w:rPr>
                <w:color w:val="auto"/>
              </w:rPr>
              <w:t>园区生活污水处理厂接管标准后</w:t>
            </w:r>
            <w:r>
              <w:rPr>
                <w:rFonts w:hint="eastAsia"/>
              </w:rPr>
              <w:t>，排入园区生活污水管网。本项目位于鄂托克经济开发区蒙西产业园，园区配套生活污水处理厂为“蒙西污水处理厂”，同时配备鄂尔多斯市蒙西工业园污水处理工程等工业污水处理项目，在满足水环境保护措施的条件下，项目运行不会对周围水环境产生影响。</w:t>
            </w:r>
          </w:p>
          <w:p w14:paraId="339B1755">
            <w:pPr>
              <w:pStyle w:val="3"/>
              <w:ind w:firstLine="480"/>
            </w:pPr>
            <w:bookmarkStart w:id="125" w:name="_Toc18454"/>
            <w:bookmarkStart w:id="126" w:name="_Toc26830"/>
            <w:r>
              <w:rPr>
                <w:rFonts w:hint="eastAsia"/>
              </w:rPr>
              <w:t>3、声环境影响分析及环境保护措施</w:t>
            </w:r>
            <w:bookmarkEnd w:id="125"/>
            <w:bookmarkEnd w:id="126"/>
          </w:p>
          <w:p w14:paraId="3B980F46">
            <w:pPr>
              <w:ind w:firstLine="480"/>
            </w:pPr>
            <w:r>
              <w:rPr>
                <w:rFonts w:hint="eastAsia"/>
              </w:rPr>
              <w:t>本项目运营期产生的噪声污染主要来源于车辆进出停车场时的噪声、清洗车间高压清洗水枪运行噪声。本项目停放车辆为大型运输车辆，噪声声级值范围</w:t>
            </w:r>
            <w:r>
              <w:t>在</w:t>
            </w:r>
            <w:r>
              <w:rPr>
                <w:rFonts w:hint="eastAsia"/>
              </w:rPr>
              <w:t>60~75dB（A）</w:t>
            </w:r>
            <w:r>
              <w:t>之间</w:t>
            </w:r>
            <w:r>
              <w:rPr>
                <w:rFonts w:hint="eastAsia"/>
              </w:rPr>
              <w:t>。为降低项目运营期噪声污染，应采取以下噪声污染防治措施：</w:t>
            </w:r>
          </w:p>
          <w:p w14:paraId="6FB9FBD4">
            <w:pPr>
              <w:numPr>
                <w:ilvl w:val="0"/>
                <w:numId w:val="10"/>
              </w:numPr>
              <w:ind w:firstLine="480"/>
            </w:pPr>
            <w:r>
              <w:rPr>
                <w:rFonts w:hint="eastAsia"/>
              </w:rPr>
              <w:t>停车场出入口进设置明显的减速及限速标志，并设置禁鸣标志；</w:t>
            </w:r>
          </w:p>
          <w:p w14:paraId="415228DD">
            <w:pPr>
              <w:numPr>
                <w:ilvl w:val="0"/>
                <w:numId w:val="10"/>
              </w:numPr>
              <w:ind w:firstLine="480"/>
            </w:pPr>
            <w:r>
              <w:rPr>
                <w:rFonts w:hint="eastAsia"/>
              </w:rPr>
              <w:t>加强停车场内的车辆停放管理，车辆进出场听从管理人员引导；</w:t>
            </w:r>
          </w:p>
          <w:p w14:paraId="13E6E2E1">
            <w:pPr>
              <w:numPr>
                <w:ilvl w:val="0"/>
                <w:numId w:val="10"/>
              </w:numPr>
              <w:ind w:firstLine="480"/>
            </w:pPr>
            <w:r>
              <w:rPr>
                <w:rFonts w:hint="eastAsia"/>
              </w:rPr>
              <w:t>停车场场界四周均设有围墙，起到一定的隔声效果；</w:t>
            </w:r>
          </w:p>
          <w:p w14:paraId="0DC834AB">
            <w:pPr>
              <w:numPr>
                <w:ilvl w:val="0"/>
                <w:numId w:val="10"/>
              </w:numPr>
              <w:ind w:firstLine="480"/>
            </w:pPr>
            <w:r>
              <w:rPr>
                <w:rFonts w:hint="eastAsia"/>
              </w:rPr>
              <w:t>停车区周围及停车场场界四周均设有绿化进行吸声、隔声。</w:t>
            </w:r>
          </w:p>
          <w:p w14:paraId="4315C3C7">
            <w:pPr>
              <w:ind w:firstLine="480"/>
            </w:pPr>
            <w:r>
              <w:rPr>
                <w:rFonts w:hint="eastAsia"/>
              </w:rPr>
              <w:t>建设单位采取上述措施后，本项目停车场边界噪声能够满足《工业企业厂界环境噪声排放标准》（GB12348-2008）3类标准。项目周边主要为工业企业或空地，项目运营对周围声环境影响很小。</w:t>
            </w:r>
          </w:p>
          <w:p w14:paraId="0C126772">
            <w:pPr>
              <w:pStyle w:val="3"/>
              <w:ind w:firstLine="480"/>
            </w:pPr>
            <w:bookmarkStart w:id="127" w:name="_Toc8569"/>
            <w:bookmarkStart w:id="128" w:name="_Toc17819"/>
            <w:r>
              <w:rPr>
                <w:rFonts w:hint="eastAsia"/>
              </w:rPr>
              <w:t>4、固体废物影响分析及环境保护措施</w:t>
            </w:r>
            <w:bookmarkEnd w:id="127"/>
            <w:bookmarkEnd w:id="128"/>
          </w:p>
          <w:p w14:paraId="37670AD1">
            <w:pPr>
              <w:ind w:firstLine="480"/>
            </w:pPr>
            <w:r>
              <w:rPr>
                <w:rFonts w:hint="eastAsia"/>
              </w:rPr>
              <w:t>项目运行产生的固体废物主要为员工生活垃圾和车辆废弃零件，危险废物主要为废机油、废手套、</w:t>
            </w:r>
            <w:r>
              <w:rPr>
                <w:rFonts w:hint="eastAsia"/>
                <w:lang w:val="en-US" w:eastAsia="zh-CN"/>
              </w:rPr>
              <w:t>废油桶、</w:t>
            </w:r>
            <w:r>
              <w:rPr>
                <w:rFonts w:hint="eastAsia"/>
              </w:rPr>
              <w:t>含油废抹布。</w:t>
            </w:r>
          </w:p>
          <w:p w14:paraId="6FE52C6C">
            <w:pPr>
              <w:ind w:firstLine="480"/>
            </w:pPr>
            <w:r>
              <w:rPr>
                <w:rFonts w:hint="eastAsia"/>
              </w:rPr>
              <w:t>（1）生活垃圾</w:t>
            </w:r>
          </w:p>
          <w:p w14:paraId="76291016">
            <w:pPr>
              <w:ind w:firstLine="480"/>
            </w:pPr>
            <w:r>
              <w:rPr>
                <w:rFonts w:hint="eastAsia"/>
              </w:rPr>
              <w:t>本项目劳动定员为10人，生活垃圾按每人</w:t>
            </w:r>
            <w:r>
              <w:t>1kg/d</w:t>
            </w:r>
            <w:r>
              <w:rPr>
                <w:rFonts w:hint="eastAsia"/>
              </w:rPr>
              <w:t>计算，则项目生活垃圾产生量为3.0</w:t>
            </w:r>
            <w:r>
              <w:t>t/a</w:t>
            </w:r>
            <w:r>
              <w:rPr>
                <w:rFonts w:hint="eastAsia"/>
              </w:rPr>
              <w:t>，</w:t>
            </w:r>
            <w:r>
              <w:t>由环卫部门统一收集并处置</w:t>
            </w:r>
            <w:r>
              <w:rPr>
                <w:rFonts w:hint="eastAsia"/>
              </w:rPr>
              <w:t>。</w:t>
            </w:r>
          </w:p>
          <w:p w14:paraId="45D38536">
            <w:pPr>
              <w:numPr>
                <w:ilvl w:val="0"/>
                <w:numId w:val="9"/>
              </w:numPr>
              <w:ind w:firstLine="480"/>
            </w:pPr>
            <w:r>
              <w:rPr>
                <w:rFonts w:hint="eastAsia"/>
              </w:rPr>
              <w:t>车辆废弃零件</w:t>
            </w:r>
          </w:p>
          <w:p w14:paraId="03127AE6">
            <w:pPr>
              <w:ind w:firstLine="480"/>
            </w:pPr>
            <w:r>
              <w:rPr>
                <w:rFonts w:hint="eastAsia"/>
              </w:rPr>
              <w:t>本项目设有维修车间，对有需要的车辆进行换机油、换轮胎等简单维修服务，在车辆保养更换零件工序和维修过程会产生废零部件、废轮胎等废配件。根据同类型项目运营数据，废弃零件产生量约为15t/a，经收集后外售综合利用。</w:t>
            </w:r>
          </w:p>
          <w:p w14:paraId="44636089">
            <w:pPr>
              <w:ind w:firstLine="480"/>
            </w:pPr>
            <w:r>
              <w:rPr>
                <w:rFonts w:hint="eastAsia"/>
              </w:rPr>
              <w:t>（3）废机油、废手套、</w:t>
            </w:r>
            <w:r>
              <w:rPr>
                <w:rFonts w:hint="eastAsia"/>
                <w:lang w:val="en-US" w:eastAsia="zh-CN"/>
              </w:rPr>
              <w:t>废油桶、</w:t>
            </w:r>
            <w:r>
              <w:rPr>
                <w:rFonts w:hint="eastAsia"/>
              </w:rPr>
              <w:t>含油废抹布</w:t>
            </w:r>
          </w:p>
          <w:p w14:paraId="5CF9011F">
            <w:pPr>
              <w:ind w:firstLine="480"/>
            </w:pPr>
            <w:r>
              <w:rPr>
                <w:rFonts w:hint="eastAsia"/>
              </w:rPr>
              <w:t>本项目设有维修车间，对有需要的车辆进行换机油、换轮胎等简单维修服务，在车辆维修</w:t>
            </w:r>
            <w:r>
              <w:t>过程中</w:t>
            </w:r>
            <w:r>
              <w:rPr>
                <w:rFonts w:hint="eastAsia"/>
              </w:rPr>
              <w:t>会产生少量的废机油、</w:t>
            </w:r>
            <w:r>
              <w:rPr>
                <w:rFonts w:hint="eastAsia"/>
                <w:lang w:val="en-US" w:eastAsia="zh-CN"/>
              </w:rPr>
              <w:t>废油桶、</w:t>
            </w:r>
            <w:r>
              <w:rPr>
                <w:rFonts w:hint="eastAsia"/>
              </w:rPr>
              <w:t>废手套、含油废抹布，根据同类型项目运营数据，废机油产生量约为0.05t/a，废手套产生量约为0.03t/a，含油废抹布产生量约为0.5t/a</w:t>
            </w:r>
            <w:r>
              <w:rPr>
                <w:rFonts w:hint="eastAsia"/>
                <w:lang w:eastAsia="zh-CN"/>
              </w:rPr>
              <w:t>，</w:t>
            </w:r>
            <w:r>
              <w:rPr>
                <w:rFonts w:hint="eastAsia"/>
                <w:lang w:val="en-US" w:eastAsia="zh-CN"/>
              </w:rPr>
              <w:t>废油桶产生量约为8个</w:t>
            </w:r>
            <w:r>
              <w:rPr>
                <w:rFonts w:hint="eastAsia"/>
              </w:rPr>
              <w:t>。</w:t>
            </w:r>
          </w:p>
          <w:p w14:paraId="05607227">
            <w:pPr>
              <w:ind w:firstLine="480"/>
            </w:pPr>
            <w:r>
              <w:t>废</w:t>
            </w:r>
            <w:r>
              <w:rPr>
                <w:rFonts w:hint="eastAsia"/>
              </w:rPr>
              <w:t>机油</w:t>
            </w:r>
            <w:r>
              <w:t>属于《国家危险废物名录》</w:t>
            </w:r>
            <w:r>
              <w:rPr>
                <w:rFonts w:hint="eastAsia"/>
              </w:rPr>
              <w:t>（2</w:t>
            </w:r>
            <w:r>
              <w:t>021版</w:t>
            </w:r>
            <w:r>
              <w:rPr>
                <w:rFonts w:hint="eastAsia"/>
              </w:rPr>
              <w:t>）</w:t>
            </w:r>
            <w:r>
              <w:t>中</w:t>
            </w:r>
            <w:r>
              <w:rPr>
                <w:rFonts w:hint="eastAsia"/>
                <w:lang w:eastAsia="zh-CN"/>
              </w:rPr>
              <w:t>“</w:t>
            </w:r>
            <w:r>
              <w:t>HW08废矿物油与含矿物油废物</w:t>
            </w:r>
            <w:r>
              <w:rPr>
                <w:rFonts w:hint="eastAsia"/>
                <w:lang w:val="en-US" w:eastAsia="zh-CN"/>
              </w:rPr>
              <w:t>--</w:t>
            </w:r>
            <w:r>
              <w:rPr>
                <w:rFonts w:hint="eastAsia"/>
              </w:rPr>
              <w:t>车辆、轮船及其它机械维修过程中产生的废发动机油、制动器油、自动变速器油、齿轮油等废润滑油</w:t>
            </w:r>
            <w:r>
              <w:rPr>
                <w:rFonts w:hint="eastAsia"/>
                <w:lang w:eastAsia="zh-CN"/>
              </w:rPr>
              <w:t>”</w:t>
            </w:r>
            <w:r>
              <w:rPr>
                <w:rFonts w:hint="eastAsia"/>
              </w:rPr>
              <w:t>，危险废物编码</w:t>
            </w:r>
            <w:r>
              <w:t>为900-214-08</w:t>
            </w:r>
            <w:r>
              <w:rPr>
                <w:rFonts w:hint="eastAsia"/>
                <w:lang w:eastAsia="zh-CN"/>
              </w:rPr>
              <w:t>，</w:t>
            </w:r>
            <w:r>
              <w:t>经专门的收集桶收集后放置在危废暂存间中暂存</w:t>
            </w:r>
            <w:r>
              <w:rPr>
                <w:rFonts w:hint="eastAsia"/>
              </w:rPr>
              <w:t>，</w:t>
            </w:r>
            <w:r>
              <w:t>须按危险废物管理有关规定送至有资质的单位进行处理。</w:t>
            </w:r>
          </w:p>
          <w:p w14:paraId="164A0E8E">
            <w:pPr>
              <w:bidi w:val="0"/>
              <w:rPr>
                <w:rFonts w:hint="eastAsia"/>
              </w:rPr>
            </w:pPr>
            <w:r>
              <w:rPr>
                <w:rFonts w:hint="eastAsia"/>
              </w:rPr>
              <w:t>废手套与含油废抹布属于</w:t>
            </w:r>
            <w:r>
              <w:t>《国家危险废物名录》（20</w:t>
            </w:r>
            <w:r>
              <w:rPr>
                <w:rFonts w:hint="eastAsia"/>
              </w:rPr>
              <w:t>21</w:t>
            </w:r>
            <w:r>
              <w:t>年版</w:t>
            </w:r>
            <w:r>
              <w:rPr>
                <w:rFonts w:hint="eastAsia"/>
              </w:rPr>
              <w:t>）</w:t>
            </w:r>
            <w:r>
              <w:t>中</w:t>
            </w:r>
            <w:r>
              <w:rPr>
                <w:rFonts w:hint="eastAsia"/>
              </w:rPr>
              <w:t>“</w:t>
            </w:r>
            <w:r>
              <w:t>HW</w:t>
            </w:r>
            <w:r>
              <w:rPr>
                <w:rFonts w:hint="eastAsia"/>
              </w:rPr>
              <w:t>49其他废物</w:t>
            </w:r>
            <w:r>
              <w:rPr>
                <w:rFonts w:hint="eastAsia"/>
                <w:lang w:val="en-US" w:eastAsia="zh-CN"/>
              </w:rPr>
              <w:t>--</w:t>
            </w:r>
            <w:r>
              <w:rPr>
                <w:rFonts w:hint="eastAsia"/>
              </w:rPr>
              <w:t>含有或沾染毒性、感染性危险废物的废弃包装物、容器、过滤吸附介质”，危险废物编码</w:t>
            </w:r>
            <w:r>
              <w:t>为900-</w:t>
            </w:r>
            <w:r>
              <w:rPr>
                <w:rFonts w:hint="eastAsia"/>
              </w:rPr>
              <w:t>041</w:t>
            </w:r>
            <w:r>
              <w:t>-</w:t>
            </w:r>
            <w:r>
              <w:rPr>
                <w:rFonts w:hint="eastAsia"/>
              </w:rPr>
              <w:t>49，</w:t>
            </w:r>
            <w:r>
              <w:t>收集后由密闭容器盛放</w:t>
            </w:r>
            <w:r>
              <w:rPr>
                <w:rFonts w:hint="eastAsia"/>
              </w:rPr>
              <w:t>，由危废暂存间暂存后，由</w:t>
            </w:r>
            <w:r>
              <w:t>有资质的单位进行处理</w:t>
            </w:r>
            <w:r>
              <w:rPr>
                <w:rFonts w:hint="eastAsia"/>
              </w:rPr>
              <w:t>。</w:t>
            </w:r>
          </w:p>
          <w:p w14:paraId="12848091">
            <w:pPr>
              <w:bidi w:val="0"/>
              <w:rPr>
                <w:rFonts w:hint="eastAsia" w:eastAsia="宋体"/>
                <w:lang w:val="en-US" w:eastAsia="zh-CN"/>
              </w:rPr>
            </w:pPr>
            <w:r>
              <w:rPr>
                <w:rFonts w:hint="eastAsia"/>
                <w:lang w:val="en-US" w:eastAsia="zh-CN"/>
              </w:rPr>
              <w:t>废油桶</w:t>
            </w:r>
            <w:r>
              <w:rPr>
                <w:rFonts w:hint="eastAsia"/>
              </w:rPr>
              <w:t>属于</w:t>
            </w:r>
            <w:r>
              <w:t>《国家危险废物名录》（20</w:t>
            </w:r>
            <w:r>
              <w:rPr>
                <w:rFonts w:hint="eastAsia"/>
              </w:rPr>
              <w:t>21</w:t>
            </w:r>
            <w:r>
              <w:t>年版</w:t>
            </w:r>
            <w:r>
              <w:rPr>
                <w:rFonts w:hint="eastAsia"/>
              </w:rPr>
              <w:t>）</w:t>
            </w:r>
            <w:r>
              <w:t>中</w:t>
            </w:r>
            <w:r>
              <w:rPr>
                <w:rFonts w:hint="eastAsia"/>
                <w:lang w:eastAsia="zh-CN"/>
              </w:rPr>
              <w:t>“</w:t>
            </w:r>
            <w:r>
              <w:t>HW08废矿物油与含矿物油废物</w:t>
            </w:r>
            <w:r>
              <w:rPr>
                <w:rFonts w:hint="eastAsia"/>
                <w:lang w:val="en-US" w:eastAsia="zh-CN"/>
              </w:rPr>
              <w:t>--</w:t>
            </w:r>
            <w:r>
              <w:t>其他生产、销售、使用过程中产生的废矿物油及沾染矿物油的废弃包装物</w:t>
            </w:r>
            <w:r>
              <w:rPr>
                <w:rFonts w:hint="eastAsia"/>
                <w:lang w:eastAsia="zh-CN"/>
              </w:rPr>
              <w:t>”</w:t>
            </w:r>
            <w:r>
              <w:rPr>
                <w:rFonts w:hint="eastAsia"/>
              </w:rPr>
              <w:t>，危险废物编码</w:t>
            </w:r>
            <w:r>
              <w:t>为900-249-08</w:t>
            </w:r>
            <w:r>
              <w:rPr>
                <w:rFonts w:hint="eastAsia"/>
                <w:lang w:eastAsia="zh-CN"/>
              </w:rPr>
              <w:t>，</w:t>
            </w:r>
            <w:r>
              <w:t>收集后放置在危废暂存间中暂存</w:t>
            </w:r>
            <w:r>
              <w:rPr>
                <w:rFonts w:hint="eastAsia"/>
              </w:rPr>
              <w:t>，</w:t>
            </w:r>
            <w:r>
              <w:t>须按危险废物管理有关规定送至有资质的单位进行处理。</w:t>
            </w:r>
          </w:p>
          <w:p w14:paraId="4E05202C">
            <w:pPr>
              <w:ind w:firstLine="480"/>
            </w:pPr>
            <w:r>
              <w:rPr>
                <w:rFonts w:hint="eastAsia"/>
              </w:rPr>
              <w:t>项目在采取有效的措施后，固体废物均可合理处置，基本不会对周围环境产生影响。</w:t>
            </w:r>
          </w:p>
          <w:p w14:paraId="62EC06C7">
            <w:pPr>
              <w:pStyle w:val="3"/>
              <w:ind w:firstLine="480"/>
            </w:pPr>
            <w:bookmarkStart w:id="129" w:name="_Toc23678"/>
            <w:bookmarkStart w:id="130" w:name="_Toc12597"/>
            <w:r>
              <w:rPr>
                <w:rFonts w:hint="eastAsia"/>
              </w:rPr>
              <w:t>5、生态影响分析及环境保护措施</w:t>
            </w:r>
            <w:bookmarkEnd w:id="129"/>
            <w:bookmarkEnd w:id="130"/>
          </w:p>
          <w:p w14:paraId="44B42F74">
            <w:pPr>
              <w:ind w:firstLine="480"/>
            </w:pPr>
            <w:r>
              <w:rPr>
                <w:rFonts w:hint="eastAsia"/>
              </w:rPr>
              <w:t>本项目位于鄂托克经济开发区蒙西产业园，占地面积</w:t>
            </w:r>
            <w:r>
              <w:rPr>
                <w:rFonts w:hint="eastAsia"/>
                <w:szCs w:val="21"/>
              </w:rPr>
              <w:t>35296.11</w:t>
            </w:r>
            <w:r>
              <w:rPr>
                <w:rFonts w:hint="eastAsia"/>
              </w:rPr>
              <w:t>m</w:t>
            </w:r>
            <w:r>
              <w:rPr>
                <w:rFonts w:hint="eastAsia"/>
                <w:vertAlign w:val="superscript"/>
              </w:rPr>
              <w:t>2</w:t>
            </w:r>
            <w:r>
              <w:rPr>
                <w:rFonts w:hint="eastAsia"/>
              </w:rPr>
              <w:t>，土地利用类型为工业用地，用地范围内植被类型以灌木为主。建设项目对周边植被的影响因素主要是扬尘，长期累计于植被叶面上会影响植物叶面光合作用和呼吸作用。但由于场区周围主要植被为灌木，并且春节和冬季大风天气较多，灰尘长期附着在植物叶面的情况发生较少，扬尘对区域植被的影响很小，生态环境影响较小。</w:t>
            </w:r>
          </w:p>
          <w:p w14:paraId="6755E8BE">
            <w:pPr>
              <w:pStyle w:val="3"/>
              <w:ind w:firstLine="480"/>
            </w:pPr>
            <w:bookmarkStart w:id="131" w:name="_Toc13358"/>
            <w:bookmarkStart w:id="132" w:name="_Toc5621"/>
            <w:r>
              <w:rPr>
                <w:rFonts w:hint="eastAsia"/>
              </w:rPr>
              <w:t>6、环境管理与监测计划</w:t>
            </w:r>
            <w:bookmarkEnd w:id="131"/>
            <w:bookmarkEnd w:id="132"/>
          </w:p>
          <w:p w14:paraId="495E38A0">
            <w:pPr>
              <w:widowControl/>
              <w:ind w:firstLine="480"/>
            </w:pPr>
            <w:r>
              <w:rPr>
                <w:rFonts w:hint="eastAsia"/>
              </w:rPr>
              <w:t>（1）环境管理</w:t>
            </w:r>
          </w:p>
          <w:p w14:paraId="73DC085A">
            <w:pPr>
              <w:ind w:firstLine="480"/>
            </w:pPr>
            <w:r>
              <w:rPr>
                <w:rFonts w:hint="eastAsia"/>
              </w:rPr>
              <w:t>根据项目的主要环境问题、环保工程措施及省、地市生态环境主管部门对企业环境管理的要求，提出项目环境管理，供生态环境主管部门对该项目进行环境管理时参考，并作为企业项目设计、建设及运营阶段环境保护管理工作的依据。</w:t>
            </w:r>
          </w:p>
          <w:p w14:paraId="61BF4FDC">
            <w:pPr>
              <w:ind w:firstLine="480"/>
            </w:pPr>
            <w:r>
              <w:rPr>
                <w:rFonts w:hint="eastAsia"/>
              </w:rPr>
              <w:t>项目环境管理工作由专人管理，负责污染治理设施的运行和维护。运行过程应明确环境管理机构职责，制定环境管理规章制度，把它作为各级领导和全体职工必须严格遵守的一种规范和准则。制定环境管理计划，环境管理计划要从项目建设全过程进行，如设计阶段污染防范、施工阶段污染防治、运营后环保设施环境管理、信息反馈和群众监督各方面形成网络管理，使环境管理工作贯穿于生产全过程。本项目环境管理工作计划见下表。</w:t>
            </w:r>
          </w:p>
          <w:p w14:paraId="1C0525C3">
            <w:pPr>
              <w:pStyle w:val="21"/>
              <w:spacing w:before="120"/>
              <w:rPr>
                <w:rFonts w:hint="default"/>
              </w:rPr>
            </w:pPr>
            <w:bookmarkStart w:id="133" w:name="_Toc10314"/>
            <w:bookmarkStart w:id="134" w:name="_Toc14344"/>
            <w:r>
              <w:t>表4-</w:t>
            </w:r>
            <w:r>
              <w:rPr>
                <w:rFonts w:hint="eastAsia"/>
                <w:lang w:val="en-US" w:eastAsia="zh-CN"/>
              </w:rPr>
              <w:t>3</w:t>
            </w:r>
            <w:r>
              <w:t xml:space="preserve">  环境管理工作计划表</w:t>
            </w:r>
            <w:bookmarkEnd w:id="133"/>
            <w:bookmarkEnd w:id="134"/>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470"/>
              <w:gridCol w:w="1088"/>
              <w:gridCol w:w="6757"/>
            </w:tblGrid>
            <w:tr w14:paraId="5B907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94" w:hRule="atLeast"/>
                <w:tblHeader/>
                <w:jc w:val="center"/>
              </w:trPr>
              <w:tc>
                <w:tcPr>
                  <w:tcW w:w="0" w:type="auto"/>
                  <w:tcMar>
                    <w:top w:w="0" w:type="dxa"/>
                    <w:left w:w="85" w:type="dxa"/>
                    <w:bottom w:w="0" w:type="dxa"/>
                    <w:right w:w="85" w:type="dxa"/>
                  </w:tcMar>
                  <w:vAlign w:val="center"/>
                </w:tcPr>
                <w:p w14:paraId="474D7024">
                  <w:pPr>
                    <w:pStyle w:val="19"/>
                    <w:spacing w:before="120" w:after="120"/>
                  </w:pPr>
                  <w:r>
                    <w:rPr>
                      <w:rFonts w:hint="eastAsia"/>
                    </w:rPr>
                    <w:t>序号</w:t>
                  </w:r>
                </w:p>
              </w:tc>
              <w:tc>
                <w:tcPr>
                  <w:tcW w:w="0" w:type="auto"/>
                  <w:tcMar>
                    <w:top w:w="0" w:type="dxa"/>
                    <w:left w:w="85" w:type="dxa"/>
                    <w:bottom w:w="0" w:type="dxa"/>
                    <w:right w:w="85" w:type="dxa"/>
                  </w:tcMar>
                  <w:vAlign w:val="center"/>
                </w:tcPr>
                <w:p w14:paraId="0CE7D97D">
                  <w:pPr>
                    <w:pStyle w:val="19"/>
                    <w:spacing w:before="120" w:after="120"/>
                  </w:pPr>
                  <w:r>
                    <w:rPr>
                      <w:rFonts w:hint="eastAsia"/>
                    </w:rPr>
                    <w:t>项目</w:t>
                  </w:r>
                </w:p>
              </w:tc>
              <w:tc>
                <w:tcPr>
                  <w:tcW w:w="0" w:type="auto"/>
                  <w:tcMar>
                    <w:top w:w="0" w:type="dxa"/>
                    <w:left w:w="85" w:type="dxa"/>
                    <w:bottom w:w="0" w:type="dxa"/>
                    <w:right w:w="85" w:type="dxa"/>
                  </w:tcMar>
                  <w:vAlign w:val="center"/>
                </w:tcPr>
                <w:p w14:paraId="146CE229">
                  <w:pPr>
                    <w:pStyle w:val="19"/>
                    <w:spacing w:before="120" w:after="120"/>
                  </w:pPr>
                  <w:r>
                    <w:rPr>
                      <w:rFonts w:hint="eastAsia"/>
                    </w:rPr>
                    <w:t>环保管理内容要求</w:t>
                  </w:r>
                </w:p>
              </w:tc>
            </w:tr>
            <w:tr w14:paraId="1B4A3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94" w:hRule="atLeast"/>
                <w:jc w:val="center"/>
              </w:trPr>
              <w:tc>
                <w:tcPr>
                  <w:tcW w:w="0" w:type="auto"/>
                  <w:vMerge w:val="restart"/>
                  <w:tcMar>
                    <w:top w:w="0" w:type="dxa"/>
                    <w:left w:w="85" w:type="dxa"/>
                    <w:bottom w:w="0" w:type="dxa"/>
                    <w:right w:w="85" w:type="dxa"/>
                  </w:tcMar>
                  <w:vAlign w:val="center"/>
                </w:tcPr>
                <w:p w14:paraId="2E888A2D">
                  <w:pPr>
                    <w:pStyle w:val="19"/>
                    <w:spacing w:before="120" w:after="120"/>
                  </w:pPr>
                  <w:r>
                    <w:rPr>
                      <w:rFonts w:hint="eastAsia"/>
                    </w:rPr>
                    <w:t>1</w:t>
                  </w:r>
                </w:p>
              </w:tc>
              <w:tc>
                <w:tcPr>
                  <w:tcW w:w="0" w:type="auto"/>
                  <w:vMerge w:val="restart"/>
                  <w:tcMar>
                    <w:top w:w="0" w:type="dxa"/>
                    <w:left w:w="85" w:type="dxa"/>
                    <w:bottom w:w="0" w:type="dxa"/>
                    <w:right w:w="85" w:type="dxa"/>
                  </w:tcMar>
                  <w:vAlign w:val="center"/>
                </w:tcPr>
                <w:p w14:paraId="006A20FE">
                  <w:pPr>
                    <w:pStyle w:val="19"/>
                    <w:spacing w:before="120" w:after="120"/>
                  </w:pPr>
                  <w:r>
                    <w:rPr>
                      <w:rFonts w:hint="eastAsia"/>
                    </w:rPr>
                    <w:t>运行过程环境管理</w:t>
                  </w:r>
                </w:p>
              </w:tc>
              <w:tc>
                <w:tcPr>
                  <w:tcW w:w="0" w:type="auto"/>
                  <w:tcMar>
                    <w:top w:w="0" w:type="dxa"/>
                    <w:left w:w="85" w:type="dxa"/>
                    <w:bottom w:w="0" w:type="dxa"/>
                    <w:right w:w="85" w:type="dxa"/>
                  </w:tcMar>
                  <w:vAlign w:val="center"/>
                </w:tcPr>
                <w:p w14:paraId="6204E96C">
                  <w:pPr>
                    <w:pStyle w:val="19"/>
                    <w:spacing w:before="120" w:after="120"/>
                  </w:pPr>
                  <w:r>
                    <w:rPr>
                      <w:rFonts w:hint="eastAsia"/>
                    </w:rPr>
                    <w:t>严格环境管理及危险品管理，建立环境管理体系，提高环境管理水平。</w:t>
                  </w:r>
                </w:p>
              </w:tc>
            </w:tr>
            <w:tr w14:paraId="212CF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94" w:hRule="atLeast"/>
                <w:jc w:val="center"/>
              </w:trPr>
              <w:tc>
                <w:tcPr>
                  <w:tcW w:w="0" w:type="auto"/>
                  <w:vMerge w:val="continue"/>
                  <w:vAlign w:val="center"/>
                </w:tcPr>
                <w:p w14:paraId="1358FCC3">
                  <w:pPr>
                    <w:pStyle w:val="19"/>
                    <w:spacing w:before="120" w:after="120"/>
                  </w:pPr>
                </w:p>
              </w:tc>
              <w:tc>
                <w:tcPr>
                  <w:tcW w:w="0" w:type="auto"/>
                  <w:vMerge w:val="continue"/>
                  <w:vAlign w:val="center"/>
                </w:tcPr>
                <w:p w14:paraId="217A199B">
                  <w:pPr>
                    <w:pStyle w:val="19"/>
                    <w:spacing w:before="120" w:after="120"/>
                  </w:pPr>
                </w:p>
              </w:tc>
              <w:tc>
                <w:tcPr>
                  <w:tcW w:w="0" w:type="auto"/>
                  <w:tcMar>
                    <w:top w:w="0" w:type="dxa"/>
                    <w:left w:w="85" w:type="dxa"/>
                    <w:bottom w:w="0" w:type="dxa"/>
                    <w:right w:w="85" w:type="dxa"/>
                  </w:tcMar>
                  <w:vAlign w:val="center"/>
                </w:tcPr>
                <w:p w14:paraId="5519DBC6">
                  <w:pPr>
                    <w:pStyle w:val="19"/>
                    <w:spacing w:before="120" w:after="120"/>
                  </w:pPr>
                  <w:r>
                    <w:rPr>
                      <w:rFonts w:hint="eastAsia"/>
                    </w:rPr>
                    <w:t>运行过程建立各类危险废物产生情况、处置情况台账；当污水处理设施发生故障时，应按照程序立即停止生产，对设施进行检修，待检修合格后方可恢复生产。</w:t>
                  </w:r>
                </w:p>
              </w:tc>
            </w:tr>
            <w:tr w14:paraId="71E54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94" w:hRule="atLeast"/>
                <w:jc w:val="center"/>
              </w:trPr>
              <w:tc>
                <w:tcPr>
                  <w:tcW w:w="0" w:type="auto"/>
                  <w:vMerge w:val="continue"/>
                  <w:vAlign w:val="center"/>
                </w:tcPr>
                <w:p w14:paraId="2446ECA7">
                  <w:pPr>
                    <w:pStyle w:val="19"/>
                    <w:spacing w:before="120" w:after="120"/>
                  </w:pPr>
                </w:p>
              </w:tc>
              <w:tc>
                <w:tcPr>
                  <w:tcW w:w="0" w:type="auto"/>
                  <w:vMerge w:val="continue"/>
                  <w:vAlign w:val="center"/>
                </w:tcPr>
                <w:p w14:paraId="502C1C29">
                  <w:pPr>
                    <w:pStyle w:val="19"/>
                    <w:spacing w:before="120" w:after="120"/>
                  </w:pPr>
                </w:p>
              </w:tc>
              <w:tc>
                <w:tcPr>
                  <w:tcW w:w="0" w:type="auto"/>
                  <w:tcMar>
                    <w:top w:w="0" w:type="dxa"/>
                    <w:left w:w="85" w:type="dxa"/>
                    <w:bottom w:w="0" w:type="dxa"/>
                    <w:right w:w="85" w:type="dxa"/>
                  </w:tcMar>
                  <w:vAlign w:val="center"/>
                </w:tcPr>
                <w:p w14:paraId="496B579E">
                  <w:pPr>
                    <w:pStyle w:val="19"/>
                    <w:spacing w:before="120" w:after="120"/>
                  </w:pPr>
                  <w:r>
                    <w:rPr>
                      <w:rFonts w:hint="eastAsia"/>
                    </w:rPr>
                    <w:t>建立运行情况记录制度，如实记载有关运行管理情况，主要包括固体废物的种类和数量、环境监测数据等。运行情况记录簿应当按照国家有关档案管理的法律法规进行整理和保管。</w:t>
                  </w:r>
                </w:p>
              </w:tc>
            </w:tr>
            <w:tr w14:paraId="6C65C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94" w:hRule="atLeast"/>
                <w:jc w:val="center"/>
              </w:trPr>
              <w:tc>
                <w:tcPr>
                  <w:tcW w:w="0" w:type="auto"/>
                  <w:vMerge w:val="continue"/>
                  <w:vAlign w:val="center"/>
                </w:tcPr>
                <w:p w14:paraId="6B641195">
                  <w:pPr>
                    <w:pStyle w:val="19"/>
                    <w:spacing w:before="120" w:after="120"/>
                  </w:pPr>
                </w:p>
              </w:tc>
              <w:tc>
                <w:tcPr>
                  <w:tcW w:w="0" w:type="auto"/>
                  <w:vMerge w:val="continue"/>
                  <w:vAlign w:val="center"/>
                </w:tcPr>
                <w:p w14:paraId="5ECFE78E">
                  <w:pPr>
                    <w:pStyle w:val="19"/>
                    <w:spacing w:before="120" w:after="120"/>
                  </w:pPr>
                </w:p>
              </w:tc>
              <w:tc>
                <w:tcPr>
                  <w:tcW w:w="0" w:type="auto"/>
                  <w:tcMar>
                    <w:top w:w="0" w:type="dxa"/>
                    <w:left w:w="85" w:type="dxa"/>
                    <w:bottom w:w="0" w:type="dxa"/>
                    <w:right w:w="85" w:type="dxa"/>
                  </w:tcMar>
                  <w:vAlign w:val="center"/>
                </w:tcPr>
                <w:p w14:paraId="13AF8471">
                  <w:pPr>
                    <w:pStyle w:val="19"/>
                    <w:spacing w:before="120" w:after="120"/>
                  </w:pPr>
                  <w:r>
                    <w:rPr>
                      <w:rFonts w:hint="eastAsia"/>
                    </w:rPr>
                    <w:t>提高员工的环保意识，加强环保知识教育和技术培训</w:t>
                  </w:r>
                </w:p>
              </w:tc>
            </w:tr>
            <w:tr w14:paraId="15BD3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94" w:hRule="atLeast"/>
                <w:jc w:val="center"/>
              </w:trPr>
              <w:tc>
                <w:tcPr>
                  <w:tcW w:w="0" w:type="auto"/>
                  <w:tcMar>
                    <w:top w:w="0" w:type="dxa"/>
                    <w:left w:w="85" w:type="dxa"/>
                    <w:bottom w:w="0" w:type="dxa"/>
                    <w:right w:w="85" w:type="dxa"/>
                  </w:tcMar>
                  <w:vAlign w:val="center"/>
                </w:tcPr>
                <w:p w14:paraId="07BA621A">
                  <w:pPr>
                    <w:pStyle w:val="19"/>
                    <w:spacing w:before="120" w:after="120"/>
                  </w:pPr>
                  <w:r>
                    <w:rPr>
                      <w:rFonts w:hint="eastAsia"/>
                    </w:rPr>
                    <w:t>2</w:t>
                  </w:r>
                </w:p>
              </w:tc>
              <w:tc>
                <w:tcPr>
                  <w:tcW w:w="0" w:type="auto"/>
                  <w:tcMar>
                    <w:top w:w="0" w:type="dxa"/>
                    <w:left w:w="85" w:type="dxa"/>
                    <w:bottom w:w="0" w:type="dxa"/>
                    <w:right w:w="85" w:type="dxa"/>
                  </w:tcMar>
                  <w:vAlign w:val="center"/>
                </w:tcPr>
                <w:p w14:paraId="791E4AFE">
                  <w:pPr>
                    <w:pStyle w:val="19"/>
                    <w:spacing w:before="120" w:after="120"/>
                  </w:pPr>
                  <w:r>
                    <w:rPr>
                      <w:rFonts w:hint="eastAsia"/>
                    </w:rPr>
                    <w:t>环保设施管理</w:t>
                  </w:r>
                </w:p>
              </w:tc>
              <w:tc>
                <w:tcPr>
                  <w:tcW w:w="0" w:type="auto"/>
                  <w:tcMar>
                    <w:top w:w="0" w:type="dxa"/>
                    <w:left w:w="85" w:type="dxa"/>
                    <w:bottom w:w="0" w:type="dxa"/>
                    <w:right w:w="85" w:type="dxa"/>
                  </w:tcMar>
                  <w:vAlign w:val="center"/>
                </w:tcPr>
                <w:p w14:paraId="4DAFFDE4">
                  <w:pPr>
                    <w:pStyle w:val="19"/>
                    <w:spacing w:before="120" w:after="120"/>
                  </w:pPr>
                  <w:r>
                    <w:rPr>
                      <w:rFonts w:hint="eastAsia"/>
                    </w:rPr>
                    <w:t>加强对各类污水处理设施、危险废物暂存场等环保设施的运行管理，制定环保设施的操作规程，执行详细的环保设施管理计划，对环保设施定期维护、检修、保养。</w:t>
                  </w:r>
                </w:p>
              </w:tc>
            </w:tr>
            <w:tr w14:paraId="3DC5D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94" w:hRule="atLeast"/>
                <w:jc w:val="center"/>
              </w:trPr>
              <w:tc>
                <w:tcPr>
                  <w:tcW w:w="0" w:type="auto"/>
                  <w:vAlign w:val="center"/>
                </w:tcPr>
                <w:p w14:paraId="44FEE705">
                  <w:pPr>
                    <w:pStyle w:val="19"/>
                    <w:spacing w:before="120" w:after="120"/>
                  </w:pPr>
                  <w:r>
                    <w:rPr>
                      <w:rFonts w:hint="eastAsia"/>
                    </w:rPr>
                    <w:t>3</w:t>
                  </w:r>
                </w:p>
              </w:tc>
              <w:tc>
                <w:tcPr>
                  <w:tcW w:w="0" w:type="auto"/>
                  <w:vAlign w:val="center"/>
                </w:tcPr>
                <w:p w14:paraId="7AA5552A">
                  <w:pPr>
                    <w:pStyle w:val="19"/>
                    <w:spacing w:before="120" w:after="120"/>
                  </w:pPr>
                  <w:r>
                    <w:rPr>
                      <w:rFonts w:hint="eastAsia"/>
                    </w:rPr>
                    <w:t>其他环境保护管理内容</w:t>
                  </w:r>
                </w:p>
              </w:tc>
              <w:tc>
                <w:tcPr>
                  <w:tcW w:w="0" w:type="auto"/>
                  <w:vAlign w:val="center"/>
                </w:tcPr>
                <w:p w14:paraId="2B4D6DC5">
                  <w:pPr>
                    <w:pStyle w:val="19"/>
                    <w:spacing w:before="120" w:after="120"/>
                  </w:pPr>
                  <w:r>
                    <w:rPr>
                      <w:rFonts w:hint="eastAsia"/>
                    </w:rPr>
                    <w:t>污染物排放情况、环保设施运行管理情况、环境监测及污染物监测情况、环境事故的调查和有关记录、污染源建档记录等接受环保主管部门监督检查。</w:t>
                  </w:r>
                </w:p>
              </w:tc>
            </w:tr>
          </w:tbl>
          <w:p w14:paraId="23EF16A3">
            <w:pPr>
              <w:widowControl/>
              <w:ind w:firstLine="480"/>
            </w:pPr>
            <w:r>
              <w:rPr>
                <w:rFonts w:hint="eastAsia"/>
              </w:rPr>
              <w:t>（2）环境监测计划</w:t>
            </w:r>
          </w:p>
          <w:p w14:paraId="3FC6F45E">
            <w:pPr>
              <w:ind w:firstLine="480"/>
            </w:pPr>
            <w:r>
              <w:rPr>
                <w:rFonts w:hint="eastAsia"/>
              </w:rPr>
              <w:t>企业内部的环境监测是企业环境管理的耳目，是基本的手段和信息的基础，主要对企业生产过程中排放的污染物进行定期监测，判断环境质量，评价环保设施及其治理效果，为防治污染提供科学依据。</w:t>
            </w:r>
          </w:p>
          <w:p w14:paraId="7323587C">
            <w:pPr>
              <w:ind w:firstLine="480"/>
            </w:pPr>
            <w:r>
              <w:rPr>
                <w:rFonts w:hint="eastAsia"/>
              </w:rPr>
              <w:t>本项目在建成投入生产后建设单位对项目产生的各污染源进行监测和分析，污染源监测计划见下表。</w:t>
            </w:r>
          </w:p>
          <w:p w14:paraId="03547A40">
            <w:pPr>
              <w:pStyle w:val="21"/>
              <w:spacing w:before="120"/>
              <w:rPr>
                <w:rFonts w:hint="default"/>
              </w:rPr>
            </w:pPr>
            <w:bookmarkStart w:id="135" w:name="_Toc11244"/>
            <w:bookmarkStart w:id="136" w:name="_Toc31298"/>
            <w:r>
              <w:t>表4-</w:t>
            </w:r>
            <w:r>
              <w:rPr>
                <w:rFonts w:hint="eastAsia"/>
                <w:lang w:val="en-US" w:eastAsia="zh-CN"/>
              </w:rPr>
              <w:t>4</w:t>
            </w:r>
            <w:r>
              <w:t xml:space="preserve">  运营期环境监测计划表</w:t>
            </w:r>
            <w:bookmarkEnd w:id="135"/>
            <w:bookmarkEnd w:id="136"/>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4"/>
              <w:gridCol w:w="1028"/>
              <w:gridCol w:w="1521"/>
              <w:gridCol w:w="1597"/>
              <w:gridCol w:w="3655"/>
            </w:tblGrid>
            <w:tr w14:paraId="3EBC7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 w:type="pct"/>
                  <w:tcBorders>
                    <w:tl2br w:val="nil"/>
                    <w:tr2bl w:val="nil"/>
                  </w:tcBorders>
                  <w:vAlign w:val="center"/>
                </w:tcPr>
                <w:p w14:paraId="6CD9754C">
                  <w:pPr>
                    <w:pStyle w:val="19"/>
                    <w:spacing w:before="120" w:after="120"/>
                  </w:pPr>
                  <w:r>
                    <w:t>类别</w:t>
                  </w:r>
                </w:p>
              </w:tc>
              <w:tc>
                <w:tcPr>
                  <w:tcW w:w="618" w:type="pct"/>
                  <w:tcBorders>
                    <w:tl2br w:val="nil"/>
                    <w:tr2bl w:val="nil"/>
                  </w:tcBorders>
                  <w:vAlign w:val="center"/>
                </w:tcPr>
                <w:p w14:paraId="2B777E8B">
                  <w:pPr>
                    <w:pStyle w:val="19"/>
                    <w:spacing w:before="120" w:after="120"/>
                  </w:pPr>
                  <w:r>
                    <w:t>监测因子</w:t>
                  </w:r>
                </w:p>
              </w:tc>
              <w:tc>
                <w:tcPr>
                  <w:tcW w:w="914" w:type="pct"/>
                  <w:tcBorders>
                    <w:tl2br w:val="nil"/>
                    <w:tr2bl w:val="nil"/>
                  </w:tcBorders>
                  <w:vAlign w:val="center"/>
                </w:tcPr>
                <w:p w14:paraId="18411C76">
                  <w:pPr>
                    <w:pStyle w:val="19"/>
                    <w:spacing w:before="120" w:after="120"/>
                  </w:pPr>
                  <w:r>
                    <w:t>监测点位</w:t>
                  </w:r>
                </w:p>
              </w:tc>
              <w:tc>
                <w:tcPr>
                  <w:tcW w:w="960" w:type="pct"/>
                  <w:tcBorders>
                    <w:tl2br w:val="nil"/>
                    <w:tr2bl w:val="nil"/>
                  </w:tcBorders>
                  <w:vAlign w:val="center"/>
                </w:tcPr>
                <w:p w14:paraId="6C4807C5">
                  <w:pPr>
                    <w:pStyle w:val="19"/>
                    <w:spacing w:before="120" w:after="120"/>
                  </w:pPr>
                  <w:r>
                    <w:t>监测频率</w:t>
                  </w:r>
                </w:p>
              </w:tc>
              <w:tc>
                <w:tcPr>
                  <w:tcW w:w="2197" w:type="pct"/>
                  <w:tcBorders>
                    <w:tl2br w:val="nil"/>
                    <w:tr2bl w:val="nil"/>
                  </w:tcBorders>
                  <w:vAlign w:val="center"/>
                </w:tcPr>
                <w:p w14:paraId="157648F1">
                  <w:pPr>
                    <w:pStyle w:val="19"/>
                    <w:spacing w:before="120" w:after="120"/>
                  </w:pPr>
                  <w:r>
                    <w:t>执行标准</w:t>
                  </w:r>
                </w:p>
              </w:tc>
            </w:tr>
            <w:tr w14:paraId="4C4A4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 w:type="pct"/>
                  <w:tcBorders>
                    <w:tl2br w:val="nil"/>
                    <w:tr2bl w:val="nil"/>
                  </w:tcBorders>
                  <w:vAlign w:val="center"/>
                </w:tcPr>
                <w:p w14:paraId="2BAF008C">
                  <w:pPr>
                    <w:pStyle w:val="19"/>
                    <w:spacing w:before="120" w:after="120"/>
                  </w:pPr>
                  <w:r>
                    <w:t>废气</w:t>
                  </w:r>
                </w:p>
              </w:tc>
              <w:tc>
                <w:tcPr>
                  <w:tcW w:w="618" w:type="pct"/>
                  <w:tcBorders>
                    <w:tl2br w:val="nil"/>
                    <w:tr2bl w:val="nil"/>
                  </w:tcBorders>
                  <w:vAlign w:val="center"/>
                </w:tcPr>
                <w:p w14:paraId="2F69766A">
                  <w:pPr>
                    <w:pStyle w:val="19"/>
                    <w:spacing w:before="120" w:after="120"/>
                  </w:pPr>
                  <w:r>
                    <w:t>颗粒物</w:t>
                  </w:r>
                </w:p>
              </w:tc>
              <w:tc>
                <w:tcPr>
                  <w:tcW w:w="914" w:type="pct"/>
                  <w:tcBorders>
                    <w:tl2br w:val="nil"/>
                    <w:tr2bl w:val="nil"/>
                  </w:tcBorders>
                  <w:vAlign w:val="center"/>
                </w:tcPr>
                <w:p w14:paraId="5DCB412B">
                  <w:pPr>
                    <w:pStyle w:val="19"/>
                    <w:spacing w:before="120" w:after="120"/>
                  </w:pPr>
                  <w:r>
                    <w:t>上风向1个、下风向3个</w:t>
                  </w:r>
                </w:p>
              </w:tc>
              <w:tc>
                <w:tcPr>
                  <w:tcW w:w="960" w:type="pct"/>
                  <w:tcBorders>
                    <w:tl2br w:val="nil"/>
                    <w:tr2bl w:val="nil"/>
                  </w:tcBorders>
                  <w:vAlign w:val="center"/>
                </w:tcPr>
                <w:p w14:paraId="0126BDB1">
                  <w:pPr>
                    <w:pStyle w:val="19"/>
                    <w:spacing w:before="120" w:after="120"/>
                  </w:pPr>
                  <w:r>
                    <w:t>每半年一次</w:t>
                  </w:r>
                </w:p>
              </w:tc>
              <w:tc>
                <w:tcPr>
                  <w:tcW w:w="2197" w:type="pct"/>
                  <w:tcBorders>
                    <w:tl2br w:val="nil"/>
                    <w:tr2bl w:val="nil"/>
                  </w:tcBorders>
                  <w:vAlign w:val="center"/>
                </w:tcPr>
                <w:p w14:paraId="519D48FF">
                  <w:pPr>
                    <w:pStyle w:val="19"/>
                    <w:spacing w:before="120" w:after="120"/>
                  </w:pPr>
                  <w:r>
                    <w:t>《大气污染物综合排放标准》（GB16297-1996</w:t>
                  </w:r>
                  <w:r>
                    <w:rPr>
                      <w:rFonts w:hint="eastAsia"/>
                    </w:rPr>
                    <w:t>）</w:t>
                  </w:r>
                </w:p>
              </w:tc>
            </w:tr>
            <w:tr w14:paraId="0FB90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 w:type="pct"/>
                  <w:tcBorders>
                    <w:tl2br w:val="nil"/>
                    <w:tr2bl w:val="nil"/>
                  </w:tcBorders>
                  <w:vAlign w:val="center"/>
                </w:tcPr>
                <w:p w14:paraId="7D28551C">
                  <w:pPr>
                    <w:pStyle w:val="19"/>
                    <w:spacing w:before="120" w:after="120"/>
                  </w:pPr>
                  <w:r>
                    <w:t>噪声</w:t>
                  </w:r>
                </w:p>
              </w:tc>
              <w:tc>
                <w:tcPr>
                  <w:tcW w:w="618" w:type="pct"/>
                  <w:tcBorders>
                    <w:tl2br w:val="nil"/>
                    <w:tr2bl w:val="nil"/>
                  </w:tcBorders>
                  <w:vAlign w:val="center"/>
                </w:tcPr>
                <w:p w14:paraId="423BEDF0">
                  <w:pPr>
                    <w:pStyle w:val="19"/>
                    <w:spacing w:before="120" w:after="120"/>
                  </w:pPr>
                  <w:r>
                    <w:t>Leq</w:t>
                  </w:r>
                  <w:r>
                    <w:rPr>
                      <w:rFonts w:hint="eastAsia"/>
                    </w:rPr>
                    <w:t xml:space="preserve"> </w:t>
                  </w:r>
                  <w:r>
                    <w:t>dB</w:t>
                  </w:r>
                  <w:r>
                    <w:rPr>
                      <w:rFonts w:hint="eastAsia"/>
                    </w:rPr>
                    <w:t>（</w:t>
                  </w:r>
                  <w:r>
                    <w:t>A</w:t>
                  </w:r>
                  <w:r>
                    <w:rPr>
                      <w:rFonts w:hint="eastAsia"/>
                    </w:rPr>
                    <w:t>）</w:t>
                  </w:r>
                </w:p>
              </w:tc>
              <w:tc>
                <w:tcPr>
                  <w:tcW w:w="914" w:type="pct"/>
                  <w:tcBorders>
                    <w:tl2br w:val="nil"/>
                    <w:tr2bl w:val="nil"/>
                  </w:tcBorders>
                  <w:vAlign w:val="center"/>
                </w:tcPr>
                <w:p w14:paraId="3D7E1AF1">
                  <w:pPr>
                    <w:pStyle w:val="19"/>
                    <w:spacing w:before="120" w:after="120"/>
                  </w:pPr>
                  <w:r>
                    <w:t>厂界四周</w:t>
                  </w:r>
                </w:p>
              </w:tc>
              <w:tc>
                <w:tcPr>
                  <w:tcW w:w="960" w:type="pct"/>
                  <w:tcBorders>
                    <w:tl2br w:val="nil"/>
                    <w:tr2bl w:val="nil"/>
                  </w:tcBorders>
                  <w:vAlign w:val="center"/>
                </w:tcPr>
                <w:p w14:paraId="16798A71">
                  <w:pPr>
                    <w:pStyle w:val="19"/>
                    <w:spacing w:before="120" w:after="120"/>
                  </w:pPr>
                  <w:r>
                    <w:t>每半年一次</w:t>
                  </w:r>
                  <w:r>
                    <w:rPr>
                      <w:rFonts w:hint="eastAsia"/>
                    </w:rPr>
                    <w:t>，</w:t>
                  </w:r>
                  <w:r>
                    <w:t>昼、夜各监测1次</w:t>
                  </w:r>
                </w:p>
              </w:tc>
              <w:tc>
                <w:tcPr>
                  <w:tcW w:w="2197" w:type="pct"/>
                  <w:tcBorders>
                    <w:tl2br w:val="nil"/>
                    <w:tr2bl w:val="nil"/>
                  </w:tcBorders>
                  <w:vAlign w:val="center"/>
                </w:tcPr>
                <w:p w14:paraId="1D4FC09A">
                  <w:pPr>
                    <w:pStyle w:val="19"/>
                    <w:spacing w:before="120" w:after="120"/>
                  </w:pPr>
                  <w:r>
                    <w:t>《工业企业厂界环境噪声排放标准》（GB12348-2008</w:t>
                  </w:r>
                  <w:r>
                    <w:rPr>
                      <w:rFonts w:hint="eastAsia"/>
                    </w:rPr>
                    <w:t>）</w:t>
                  </w:r>
                  <w:r>
                    <w:t>3类区标准</w:t>
                  </w:r>
                </w:p>
              </w:tc>
            </w:tr>
          </w:tbl>
          <w:p w14:paraId="5AFABA18">
            <w:pPr>
              <w:pStyle w:val="3"/>
              <w:ind w:firstLine="480"/>
            </w:pPr>
            <w:bookmarkStart w:id="137" w:name="_Toc12635"/>
            <w:bookmarkStart w:id="138" w:name="_Toc18787"/>
            <w:r>
              <w:rPr>
                <w:rFonts w:hint="eastAsia"/>
              </w:rPr>
              <w:t>7、环保投资</w:t>
            </w:r>
            <w:bookmarkEnd w:id="137"/>
            <w:bookmarkEnd w:id="138"/>
          </w:p>
          <w:p w14:paraId="1A3C41D3">
            <w:pPr>
              <w:ind w:firstLine="480"/>
            </w:pPr>
            <w:r>
              <w:rPr>
                <w:rFonts w:hint="eastAsia"/>
              </w:rPr>
              <w:t>本项目总投资2400万元，其中环保投资150万元，环保投资占总投资的6.25%，具体内容见下表。</w:t>
            </w:r>
          </w:p>
          <w:p w14:paraId="125C1434">
            <w:pPr>
              <w:ind w:firstLine="480"/>
            </w:pPr>
            <w:r>
              <w:rPr>
                <w:rFonts w:hint="eastAsia"/>
              </w:rPr>
              <w:t>项目运营过程中产生的废气主要为运输车辆行驶产生的扬尘和尾气，废水主要为员工产生的生活污水、洗车污水和消防废水，噪声主要为运输车辆噪声和设备噪声，固体废物主要为员工产生的生活垃圾和车辆废弃零件，危险废物主要为废机油、废手套、含油废抹布。</w:t>
            </w:r>
          </w:p>
          <w:p w14:paraId="36448177">
            <w:pPr>
              <w:pStyle w:val="21"/>
              <w:spacing w:before="120"/>
              <w:rPr>
                <w:rFonts w:hint="default"/>
              </w:rPr>
            </w:pPr>
            <w:bookmarkStart w:id="139" w:name="_Toc8039"/>
            <w:bookmarkStart w:id="140" w:name="_Toc11536"/>
            <w:r>
              <w:t>表4-</w:t>
            </w:r>
            <w:r>
              <w:rPr>
                <w:rFonts w:hint="eastAsia"/>
                <w:lang w:val="en-US" w:eastAsia="zh-CN"/>
              </w:rPr>
              <w:t>5</w:t>
            </w:r>
            <w:r>
              <w:t xml:space="preserve">  环保投资一览表</w:t>
            </w:r>
            <w:bookmarkEnd w:id="139"/>
            <w:bookmarkEnd w:id="140"/>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
              <w:gridCol w:w="1866"/>
              <w:gridCol w:w="5316"/>
              <w:gridCol w:w="669"/>
            </w:tblGrid>
            <w:tr w14:paraId="632B6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 w:hRule="atLeast"/>
              </w:trPr>
              <w:tc>
                <w:tcPr>
                  <w:tcW w:w="1401" w:type="pct"/>
                  <w:gridSpan w:val="2"/>
                  <w:tcBorders>
                    <w:tl2br w:val="nil"/>
                    <w:tr2bl w:val="nil"/>
                  </w:tcBorders>
                  <w:vAlign w:val="center"/>
                </w:tcPr>
                <w:p w14:paraId="578C4399">
                  <w:pPr>
                    <w:pStyle w:val="19"/>
                    <w:spacing w:before="120" w:after="120"/>
                  </w:pPr>
                  <w:r>
                    <w:t>项目</w:t>
                  </w:r>
                </w:p>
              </w:tc>
              <w:tc>
                <w:tcPr>
                  <w:tcW w:w="3196" w:type="pct"/>
                  <w:tcBorders>
                    <w:tl2br w:val="nil"/>
                    <w:tr2bl w:val="nil"/>
                  </w:tcBorders>
                  <w:vAlign w:val="center"/>
                </w:tcPr>
                <w:p w14:paraId="6249F9C9">
                  <w:pPr>
                    <w:pStyle w:val="19"/>
                    <w:spacing w:before="120" w:after="120"/>
                  </w:pPr>
                  <w:r>
                    <w:rPr>
                      <w:rFonts w:hint="eastAsia"/>
                    </w:rPr>
                    <w:t>投资</w:t>
                  </w:r>
                  <w:r>
                    <w:t>内容</w:t>
                  </w:r>
                </w:p>
              </w:tc>
              <w:tc>
                <w:tcPr>
                  <w:tcW w:w="402" w:type="pct"/>
                  <w:tcBorders>
                    <w:tl2br w:val="nil"/>
                    <w:tr2bl w:val="nil"/>
                  </w:tcBorders>
                  <w:vAlign w:val="center"/>
                </w:tcPr>
                <w:p w14:paraId="45468497">
                  <w:pPr>
                    <w:pStyle w:val="19"/>
                    <w:spacing w:before="120" w:after="120"/>
                  </w:pPr>
                  <w:r>
                    <w:t>环保投资</w:t>
                  </w:r>
                </w:p>
              </w:tc>
            </w:tr>
            <w:tr w14:paraId="1BB7A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79" w:type="pct"/>
                  <w:tcBorders>
                    <w:tl2br w:val="nil"/>
                    <w:tr2bl w:val="nil"/>
                  </w:tcBorders>
                  <w:vAlign w:val="center"/>
                </w:tcPr>
                <w:p w14:paraId="74BC28A7">
                  <w:pPr>
                    <w:pStyle w:val="19"/>
                    <w:spacing w:before="120" w:after="120"/>
                  </w:pPr>
                  <w:r>
                    <w:t>废气</w:t>
                  </w:r>
                </w:p>
              </w:tc>
              <w:tc>
                <w:tcPr>
                  <w:tcW w:w="1122" w:type="pct"/>
                  <w:tcBorders>
                    <w:tl2br w:val="nil"/>
                    <w:tr2bl w:val="nil"/>
                  </w:tcBorders>
                  <w:vAlign w:val="center"/>
                </w:tcPr>
                <w:p w14:paraId="40C8EEE1">
                  <w:pPr>
                    <w:pStyle w:val="19"/>
                    <w:spacing w:before="120" w:after="120"/>
                  </w:pPr>
                  <w:r>
                    <w:rPr>
                      <w:rFonts w:hint="eastAsia"/>
                      <w:color w:val="000000"/>
                      <w:szCs w:val="21"/>
                    </w:rPr>
                    <w:t>运输车辆行驶扬尘、运输车辆尾气</w:t>
                  </w:r>
                </w:p>
              </w:tc>
              <w:tc>
                <w:tcPr>
                  <w:tcW w:w="3196" w:type="pct"/>
                  <w:tcBorders>
                    <w:tl2br w:val="nil"/>
                    <w:tr2bl w:val="nil"/>
                  </w:tcBorders>
                  <w:vAlign w:val="center"/>
                </w:tcPr>
                <w:p w14:paraId="2F9A585F">
                  <w:pPr>
                    <w:pStyle w:val="19"/>
                    <w:spacing w:before="120" w:after="120"/>
                  </w:pPr>
                  <w:r>
                    <w:rPr>
                      <w:rFonts w:hint="eastAsia"/>
                    </w:rPr>
                    <w:t>车辆</w:t>
                  </w:r>
                  <w:r>
                    <w:t>限速行驶</w:t>
                  </w:r>
                  <w:r>
                    <w:rPr>
                      <w:rFonts w:hint="eastAsia"/>
                    </w:rPr>
                    <w:t>、厂区道路硬化，增加场区绿化。</w:t>
                  </w:r>
                </w:p>
              </w:tc>
              <w:tc>
                <w:tcPr>
                  <w:tcW w:w="402" w:type="pct"/>
                  <w:tcBorders>
                    <w:tl2br w:val="nil"/>
                    <w:tr2bl w:val="nil"/>
                  </w:tcBorders>
                  <w:vAlign w:val="center"/>
                </w:tcPr>
                <w:p w14:paraId="3264A863">
                  <w:pPr>
                    <w:pStyle w:val="19"/>
                    <w:spacing w:before="120" w:after="120"/>
                  </w:pPr>
                  <w:r>
                    <w:rPr>
                      <w:rFonts w:hint="eastAsia"/>
                    </w:rPr>
                    <w:t>30</w:t>
                  </w:r>
                </w:p>
              </w:tc>
            </w:tr>
            <w:tr w14:paraId="57DBF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trPr>
              <w:tc>
                <w:tcPr>
                  <w:tcW w:w="279" w:type="pct"/>
                  <w:vMerge w:val="restart"/>
                  <w:tcBorders>
                    <w:tl2br w:val="nil"/>
                    <w:tr2bl w:val="nil"/>
                  </w:tcBorders>
                  <w:vAlign w:val="center"/>
                </w:tcPr>
                <w:p w14:paraId="53434ADD">
                  <w:pPr>
                    <w:pStyle w:val="19"/>
                    <w:spacing w:before="120" w:after="120"/>
                  </w:pPr>
                  <w:r>
                    <w:t>废水</w:t>
                  </w:r>
                </w:p>
              </w:tc>
              <w:tc>
                <w:tcPr>
                  <w:tcW w:w="1122" w:type="pct"/>
                  <w:tcBorders>
                    <w:tl2br w:val="nil"/>
                    <w:tr2bl w:val="nil"/>
                  </w:tcBorders>
                  <w:vAlign w:val="center"/>
                </w:tcPr>
                <w:p w14:paraId="1737F52F">
                  <w:pPr>
                    <w:pStyle w:val="19"/>
                    <w:spacing w:before="120" w:after="120"/>
                  </w:pPr>
                  <w:r>
                    <w:t>生活污水</w:t>
                  </w:r>
                </w:p>
              </w:tc>
              <w:tc>
                <w:tcPr>
                  <w:tcW w:w="3196" w:type="pct"/>
                  <w:tcBorders>
                    <w:tl2br w:val="nil"/>
                    <w:tr2bl w:val="nil"/>
                  </w:tcBorders>
                  <w:vAlign w:val="center"/>
                </w:tcPr>
                <w:p w14:paraId="024515E8">
                  <w:pPr>
                    <w:pStyle w:val="19"/>
                    <w:spacing w:before="120" w:after="120"/>
                  </w:pPr>
                  <w:r>
                    <w:rPr>
                      <w:rFonts w:hint="eastAsia"/>
                    </w:rPr>
                    <w:t>生活污水排入场区化粪池处理后，进入园区污水管网。</w:t>
                  </w:r>
                </w:p>
              </w:tc>
              <w:tc>
                <w:tcPr>
                  <w:tcW w:w="402" w:type="pct"/>
                  <w:tcBorders>
                    <w:tl2br w:val="nil"/>
                    <w:tr2bl w:val="nil"/>
                  </w:tcBorders>
                  <w:vAlign w:val="center"/>
                </w:tcPr>
                <w:p w14:paraId="62FCD678">
                  <w:pPr>
                    <w:pStyle w:val="19"/>
                    <w:spacing w:before="120" w:after="120"/>
                  </w:pPr>
                  <w:r>
                    <w:rPr>
                      <w:rFonts w:hint="eastAsia"/>
                    </w:rPr>
                    <w:t>8</w:t>
                  </w:r>
                </w:p>
              </w:tc>
            </w:tr>
            <w:tr w14:paraId="0F301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279" w:type="pct"/>
                  <w:vMerge w:val="continue"/>
                  <w:tcBorders>
                    <w:tl2br w:val="nil"/>
                    <w:tr2bl w:val="nil"/>
                  </w:tcBorders>
                  <w:vAlign w:val="center"/>
                </w:tcPr>
                <w:p w14:paraId="1716D491">
                  <w:pPr>
                    <w:pStyle w:val="19"/>
                    <w:spacing w:before="120" w:after="120"/>
                  </w:pPr>
                </w:p>
              </w:tc>
              <w:tc>
                <w:tcPr>
                  <w:tcW w:w="1122" w:type="pct"/>
                  <w:tcBorders>
                    <w:tl2br w:val="nil"/>
                    <w:tr2bl w:val="nil"/>
                  </w:tcBorders>
                  <w:vAlign w:val="center"/>
                </w:tcPr>
                <w:p w14:paraId="3DF5FA0E">
                  <w:pPr>
                    <w:pStyle w:val="19"/>
                    <w:bidi w:val="0"/>
                  </w:pPr>
                  <w:r>
                    <w:rPr>
                      <w:rFonts w:hint="eastAsia"/>
                    </w:rPr>
                    <w:t>洗车污水</w:t>
                  </w:r>
                </w:p>
              </w:tc>
              <w:tc>
                <w:tcPr>
                  <w:tcW w:w="3196" w:type="pct"/>
                  <w:tcBorders>
                    <w:tl2br w:val="nil"/>
                    <w:tr2bl w:val="nil"/>
                  </w:tcBorders>
                  <w:vAlign w:val="center"/>
                </w:tcPr>
                <w:p w14:paraId="17D10239">
                  <w:pPr>
                    <w:pStyle w:val="19"/>
                    <w:bidi w:val="0"/>
                    <w:rPr>
                      <w:rFonts w:hint="eastAsia" w:eastAsia="宋体"/>
                      <w:lang w:eastAsia="zh-CN"/>
                    </w:rPr>
                  </w:pPr>
                  <w:r>
                    <w:rPr>
                      <w:rFonts w:hint="eastAsia"/>
                    </w:rPr>
                    <w:t>洗车污水经一体化处理设施处理</w:t>
                  </w:r>
                  <w:r>
                    <w:rPr>
                      <w:rFonts w:hint="eastAsia"/>
                      <w:lang w:eastAsia="zh-CN"/>
                    </w:rPr>
                    <w:t>，</w:t>
                  </w:r>
                  <w:r>
                    <w:rPr>
                      <w:rFonts w:hint="eastAsia"/>
                      <w:lang w:val="en-US" w:eastAsia="zh-CN"/>
                    </w:rPr>
                    <w:t>满足《城市污水再生利用 城市杂用水水质》（GB/T18920-2020）标准后，</w:t>
                  </w:r>
                  <w:r>
                    <w:rPr>
                      <w:rFonts w:hint="eastAsia"/>
                    </w:rPr>
                    <w:t>回用于洗车</w:t>
                  </w:r>
                  <w:r>
                    <w:rPr>
                      <w:rFonts w:hint="eastAsia"/>
                      <w:lang w:eastAsia="zh-CN"/>
                    </w:rPr>
                    <w:t>。</w:t>
                  </w:r>
                </w:p>
              </w:tc>
              <w:tc>
                <w:tcPr>
                  <w:tcW w:w="402" w:type="pct"/>
                  <w:tcBorders>
                    <w:tl2br w:val="nil"/>
                    <w:tr2bl w:val="nil"/>
                  </w:tcBorders>
                  <w:vAlign w:val="center"/>
                </w:tcPr>
                <w:p w14:paraId="764C0FF2">
                  <w:pPr>
                    <w:pStyle w:val="19"/>
                    <w:spacing w:before="120" w:after="120"/>
                  </w:pPr>
                  <w:r>
                    <w:rPr>
                      <w:rFonts w:hint="eastAsia"/>
                    </w:rPr>
                    <w:t>15</w:t>
                  </w:r>
                </w:p>
              </w:tc>
            </w:tr>
            <w:tr w14:paraId="17FAD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279" w:type="pct"/>
                  <w:vMerge w:val="continue"/>
                  <w:tcBorders>
                    <w:tl2br w:val="nil"/>
                    <w:tr2bl w:val="nil"/>
                  </w:tcBorders>
                  <w:vAlign w:val="center"/>
                </w:tcPr>
                <w:p w14:paraId="272588F3">
                  <w:pPr>
                    <w:pStyle w:val="19"/>
                    <w:spacing w:before="120" w:after="120"/>
                  </w:pPr>
                </w:p>
              </w:tc>
              <w:tc>
                <w:tcPr>
                  <w:tcW w:w="1122" w:type="pct"/>
                  <w:tcBorders>
                    <w:tl2br w:val="nil"/>
                    <w:tr2bl w:val="nil"/>
                  </w:tcBorders>
                  <w:vAlign w:val="center"/>
                </w:tcPr>
                <w:p w14:paraId="5DA7BC08">
                  <w:pPr>
                    <w:pStyle w:val="19"/>
                    <w:spacing w:before="120" w:after="120"/>
                  </w:pPr>
                  <w:r>
                    <w:rPr>
                      <w:rFonts w:hint="eastAsia"/>
                    </w:rPr>
                    <w:t>消防废水</w:t>
                  </w:r>
                </w:p>
              </w:tc>
              <w:tc>
                <w:tcPr>
                  <w:tcW w:w="3196" w:type="pct"/>
                  <w:tcBorders>
                    <w:tl2br w:val="nil"/>
                    <w:tr2bl w:val="nil"/>
                  </w:tcBorders>
                  <w:vAlign w:val="center"/>
                </w:tcPr>
                <w:p w14:paraId="10EC39FC">
                  <w:pPr>
                    <w:pStyle w:val="19"/>
                    <w:spacing w:before="120" w:after="120"/>
                  </w:pPr>
                  <w:r>
                    <w:rPr>
                      <w:rFonts w:hint="eastAsia"/>
                    </w:rPr>
                    <w:t>消防废水产生后收集至事故水池，</w:t>
                  </w:r>
                  <w:r>
                    <w:t>事故后将废水</w:t>
                  </w:r>
                  <w:r>
                    <w:rPr>
                      <w:rFonts w:hint="eastAsia"/>
                    </w:rPr>
                    <w:t>送至工业</w:t>
                  </w:r>
                  <w:r>
                    <w:t>污水处理厂处理</w:t>
                  </w:r>
                  <w:r>
                    <w:rPr>
                      <w:rFonts w:hint="eastAsia"/>
                    </w:rPr>
                    <w:t>。</w:t>
                  </w:r>
                </w:p>
              </w:tc>
              <w:tc>
                <w:tcPr>
                  <w:tcW w:w="402" w:type="pct"/>
                  <w:tcBorders>
                    <w:tl2br w:val="nil"/>
                    <w:tr2bl w:val="nil"/>
                  </w:tcBorders>
                  <w:vAlign w:val="center"/>
                </w:tcPr>
                <w:p w14:paraId="07D4EFC2">
                  <w:pPr>
                    <w:pStyle w:val="19"/>
                    <w:spacing w:before="120" w:after="120"/>
                  </w:pPr>
                  <w:r>
                    <w:rPr>
                      <w:rFonts w:hint="eastAsia"/>
                    </w:rPr>
                    <w:t>3</w:t>
                  </w:r>
                </w:p>
              </w:tc>
            </w:tr>
            <w:tr w14:paraId="69D11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279" w:type="pct"/>
                  <w:tcBorders>
                    <w:tl2br w:val="nil"/>
                    <w:tr2bl w:val="nil"/>
                  </w:tcBorders>
                  <w:vAlign w:val="center"/>
                </w:tcPr>
                <w:p w14:paraId="12662FF8">
                  <w:pPr>
                    <w:pStyle w:val="19"/>
                    <w:spacing w:before="120" w:after="120"/>
                  </w:pPr>
                  <w:r>
                    <w:t>噪声</w:t>
                  </w:r>
                </w:p>
              </w:tc>
              <w:tc>
                <w:tcPr>
                  <w:tcW w:w="1122" w:type="pct"/>
                  <w:tcBorders>
                    <w:tl2br w:val="nil"/>
                    <w:tr2bl w:val="nil"/>
                  </w:tcBorders>
                  <w:vAlign w:val="center"/>
                </w:tcPr>
                <w:p w14:paraId="76F5A042">
                  <w:pPr>
                    <w:pStyle w:val="19"/>
                    <w:spacing w:before="120" w:after="120"/>
                  </w:pPr>
                  <w:r>
                    <w:rPr>
                      <w:rFonts w:hint="eastAsia"/>
                    </w:rPr>
                    <w:t>运输车辆噪声和设备噪声</w:t>
                  </w:r>
                </w:p>
              </w:tc>
              <w:tc>
                <w:tcPr>
                  <w:tcW w:w="3196" w:type="pct"/>
                  <w:tcBorders>
                    <w:tl2br w:val="nil"/>
                    <w:tr2bl w:val="nil"/>
                  </w:tcBorders>
                  <w:vAlign w:val="center"/>
                </w:tcPr>
                <w:p w14:paraId="78C473DD">
                  <w:pPr>
                    <w:pStyle w:val="19"/>
                    <w:spacing w:before="120" w:after="120"/>
                  </w:pPr>
                  <w:r>
                    <w:t>选用先进的低噪声设备</w:t>
                  </w:r>
                  <w:r>
                    <w:rPr>
                      <w:rFonts w:hint="eastAsia"/>
                    </w:rPr>
                    <w:t>，</w:t>
                  </w:r>
                  <w:r>
                    <w:t>在高噪声设备周围适当设置屏障、减少噪声影响时间</w:t>
                  </w:r>
                  <w:r>
                    <w:rPr>
                      <w:rFonts w:hint="eastAsia"/>
                    </w:rPr>
                    <w:t>，</w:t>
                  </w:r>
                  <w:r>
                    <w:t>加强对</w:t>
                  </w:r>
                  <w:r>
                    <w:rPr>
                      <w:rFonts w:hint="eastAsia"/>
                    </w:rPr>
                    <w:t>噪声设备的</w:t>
                  </w:r>
                  <w:r>
                    <w:t>维护保养等措施降噪</w:t>
                  </w:r>
                  <w:r>
                    <w:rPr>
                      <w:rFonts w:hint="eastAsia"/>
                    </w:rPr>
                    <w:t>。</w:t>
                  </w:r>
                </w:p>
              </w:tc>
              <w:tc>
                <w:tcPr>
                  <w:tcW w:w="402" w:type="pct"/>
                  <w:tcBorders>
                    <w:tl2br w:val="nil"/>
                    <w:tr2bl w:val="nil"/>
                  </w:tcBorders>
                  <w:vAlign w:val="center"/>
                </w:tcPr>
                <w:p w14:paraId="099E9139">
                  <w:pPr>
                    <w:pStyle w:val="19"/>
                    <w:spacing w:before="120" w:after="120"/>
                  </w:pPr>
                  <w:r>
                    <w:rPr>
                      <w:rFonts w:hint="eastAsia"/>
                    </w:rPr>
                    <w:t>5</w:t>
                  </w:r>
                </w:p>
              </w:tc>
            </w:tr>
            <w:tr w14:paraId="5EB15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279" w:type="pct"/>
                  <w:vMerge w:val="restart"/>
                  <w:tcBorders>
                    <w:tl2br w:val="nil"/>
                    <w:tr2bl w:val="nil"/>
                  </w:tcBorders>
                  <w:vAlign w:val="center"/>
                </w:tcPr>
                <w:p w14:paraId="1DB43714">
                  <w:pPr>
                    <w:pStyle w:val="19"/>
                    <w:spacing w:before="120" w:after="120"/>
                  </w:pPr>
                  <w:r>
                    <w:t>固</w:t>
                  </w:r>
                </w:p>
                <w:p w14:paraId="0FB337AC">
                  <w:pPr>
                    <w:pStyle w:val="19"/>
                    <w:spacing w:before="120" w:after="120"/>
                  </w:pPr>
                  <w:r>
                    <w:t>废</w:t>
                  </w:r>
                </w:p>
              </w:tc>
              <w:tc>
                <w:tcPr>
                  <w:tcW w:w="1122" w:type="pct"/>
                  <w:tcBorders>
                    <w:tl2br w:val="nil"/>
                    <w:tr2bl w:val="nil"/>
                  </w:tcBorders>
                  <w:vAlign w:val="center"/>
                </w:tcPr>
                <w:p w14:paraId="299FF557">
                  <w:pPr>
                    <w:pStyle w:val="19"/>
                    <w:spacing w:before="120" w:after="120"/>
                  </w:pPr>
                  <w:r>
                    <w:t>生活垃圾</w:t>
                  </w:r>
                </w:p>
              </w:tc>
              <w:tc>
                <w:tcPr>
                  <w:tcW w:w="3196" w:type="pct"/>
                  <w:tcBorders>
                    <w:tl2br w:val="nil"/>
                    <w:tr2bl w:val="nil"/>
                  </w:tcBorders>
                  <w:vAlign w:val="center"/>
                </w:tcPr>
                <w:p w14:paraId="43DB756E">
                  <w:pPr>
                    <w:pStyle w:val="19"/>
                    <w:spacing w:before="120" w:after="120"/>
                  </w:pPr>
                  <w:r>
                    <w:rPr>
                      <w:rFonts w:hint="eastAsia"/>
                    </w:rPr>
                    <w:t>生活垃圾</w:t>
                  </w:r>
                  <w:r>
                    <w:t>由环卫部门统一收集并处置</w:t>
                  </w:r>
                  <w:r>
                    <w:rPr>
                      <w:rFonts w:hint="eastAsia"/>
                    </w:rPr>
                    <w:t>。</w:t>
                  </w:r>
                </w:p>
              </w:tc>
              <w:tc>
                <w:tcPr>
                  <w:tcW w:w="402" w:type="pct"/>
                  <w:tcBorders>
                    <w:tl2br w:val="nil"/>
                    <w:tr2bl w:val="nil"/>
                  </w:tcBorders>
                  <w:vAlign w:val="center"/>
                </w:tcPr>
                <w:p w14:paraId="66EDBEB0">
                  <w:pPr>
                    <w:pStyle w:val="19"/>
                    <w:spacing w:before="120" w:after="120"/>
                  </w:pPr>
                  <w:r>
                    <w:rPr>
                      <w:rFonts w:hint="eastAsia"/>
                    </w:rPr>
                    <w:t>3</w:t>
                  </w:r>
                </w:p>
              </w:tc>
            </w:tr>
            <w:tr w14:paraId="64CA6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279" w:type="pct"/>
                  <w:vMerge w:val="continue"/>
                  <w:tcBorders>
                    <w:tl2br w:val="nil"/>
                    <w:tr2bl w:val="nil"/>
                  </w:tcBorders>
                  <w:vAlign w:val="center"/>
                </w:tcPr>
                <w:p w14:paraId="08EEFA3B">
                  <w:pPr>
                    <w:pStyle w:val="19"/>
                    <w:spacing w:before="120" w:after="120"/>
                  </w:pPr>
                </w:p>
              </w:tc>
              <w:tc>
                <w:tcPr>
                  <w:tcW w:w="1122" w:type="pct"/>
                  <w:tcBorders>
                    <w:tl2br w:val="nil"/>
                    <w:tr2bl w:val="nil"/>
                  </w:tcBorders>
                  <w:vAlign w:val="center"/>
                </w:tcPr>
                <w:p w14:paraId="3B19C0E2">
                  <w:pPr>
                    <w:pStyle w:val="19"/>
                    <w:spacing w:before="120" w:after="120"/>
                  </w:pPr>
                  <w:r>
                    <w:rPr>
                      <w:rFonts w:hint="eastAsia"/>
                    </w:rPr>
                    <w:t>车辆废弃零件</w:t>
                  </w:r>
                </w:p>
              </w:tc>
              <w:tc>
                <w:tcPr>
                  <w:tcW w:w="3196" w:type="pct"/>
                  <w:tcBorders>
                    <w:tl2br w:val="nil"/>
                    <w:tr2bl w:val="nil"/>
                  </w:tcBorders>
                  <w:vAlign w:val="center"/>
                </w:tcPr>
                <w:p w14:paraId="784DB090">
                  <w:pPr>
                    <w:pStyle w:val="19"/>
                    <w:spacing w:before="120" w:after="120"/>
                  </w:pPr>
                  <w:r>
                    <w:rPr>
                      <w:rFonts w:hint="eastAsia"/>
                    </w:rPr>
                    <w:t>车辆废弃零件经收集后外售综合利用。</w:t>
                  </w:r>
                </w:p>
              </w:tc>
              <w:tc>
                <w:tcPr>
                  <w:tcW w:w="402" w:type="pct"/>
                  <w:tcBorders>
                    <w:tl2br w:val="nil"/>
                    <w:tr2bl w:val="nil"/>
                  </w:tcBorders>
                  <w:vAlign w:val="center"/>
                </w:tcPr>
                <w:p w14:paraId="28252A69">
                  <w:pPr>
                    <w:pStyle w:val="19"/>
                    <w:spacing w:before="120" w:after="120"/>
                  </w:pPr>
                  <w:r>
                    <w:rPr>
                      <w:rFonts w:hint="eastAsia"/>
                    </w:rPr>
                    <w:t>2</w:t>
                  </w:r>
                </w:p>
              </w:tc>
            </w:tr>
            <w:tr w14:paraId="09B30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279" w:type="pct"/>
                  <w:vMerge w:val="continue"/>
                  <w:tcBorders>
                    <w:tl2br w:val="nil"/>
                    <w:tr2bl w:val="nil"/>
                  </w:tcBorders>
                  <w:vAlign w:val="center"/>
                </w:tcPr>
                <w:p w14:paraId="792E6EE2">
                  <w:pPr>
                    <w:pStyle w:val="19"/>
                    <w:spacing w:before="120" w:after="120"/>
                  </w:pPr>
                </w:p>
              </w:tc>
              <w:tc>
                <w:tcPr>
                  <w:tcW w:w="1122" w:type="pct"/>
                  <w:tcBorders>
                    <w:tl2br w:val="nil"/>
                    <w:tr2bl w:val="nil"/>
                  </w:tcBorders>
                  <w:vAlign w:val="center"/>
                </w:tcPr>
                <w:p w14:paraId="58C8E62C">
                  <w:pPr>
                    <w:pStyle w:val="19"/>
                    <w:spacing w:before="120" w:after="120"/>
                  </w:pPr>
                  <w:r>
                    <w:rPr>
                      <w:rFonts w:hint="eastAsia"/>
                    </w:rPr>
                    <w:t>废机油、废手套、</w:t>
                  </w:r>
                  <w:r>
                    <w:rPr>
                      <w:rFonts w:hint="eastAsia"/>
                      <w:lang w:val="en-US" w:eastAsia="zh-CN"/>
                    </w:rPr>
                    <w:t>废油桶、</w:t>
                  </w:r>
                  <w:r>
                    <w:rPr>
                      <w:rFonts w:hint="eastAsia"/>
                    </w:rPr>
                    <w:t>含油废抹布</w:t>
                  </w:r>
                </w:p>
              </w:tc>
              <w:tc>
                <w:tcPr>
                  <w:tcW w:w="3196" w:type="pct"/>
                  <w:tcBorders>
                    <w:tl2br w:val="nil"/>
                    <w:tr2bl w:val="nil"/>
                  </w:tcBorders>
                  <w:vAlign w:val="center"/>
                </w:tcPr>
                <w:p w14:paraId="5574E43B">
                  <w:pPr>
                    <w:pStyle w:val="19"/>
                    <w:spacing w:before="120" w:after="120"/>
                  </w:pPr>
                  <w:r>
                    <w:rPr>
                      <w:rFonts w:hint="eastAsia"/>
                    </w:rPr>
                    <w:t>废机油、废手套、</w:t>
                  </w:r>
                  <w:r>
                    <w:rPr>
                      <w:rFonts w:hint="eastAsia"/>
                      <w:lang w:val="en-US" w:eastAsia="zh-CN"/>
                    </w:rPr>
                    <w:t>废油桶、</w:t>
                  </w:r>
                  <w:r>
                    <w:rPr>
                      <w:rFonts w:hint="eastAsia"/>
                    </w:rPr>
                    <w:t>含油废抹布需</w:t>
                  </w:r>
                  <w:r>
                    <w:t>经专门的收集桶收集后放置在危废暂存间中暂存</w:t>
                  </w:r>
                  <w:r>
                    <w:rPr>
                      <w:rFonts w:hint="eastAsia"/>
                    </w:rPr>
                    <w:t>，</w:t>
                  </w:r>
                  <w:r>
                    <w:t>按危险废物管理有关规定送至有资质的单位进行处理。</w:t>
                  </w:r>
                </w:p>
              </w:tc>
              <w:tc>
                <w:tcPr>
                  <w:tcW w:w="402" w:type="pct"/>
                  <w:tcBorders>
                    <w:tl2br w:val="nil"/>
                    <w:tr2bl w:val="nil"/>
                  </w:tcBorders>
                  <w:vAlign w:val="center"/>
                </w:tcPr>
                <w:p w14:paraId="477D8EC9">
                  <w:pPr>
                    <w:pStyle w:val="19"/>
                    <w:spacing w:before="120" w:after="120"/>
                  </w:pPr>
                  <w:r>
                    <w:rPr>
                      <w:rFonts w:hint="eastAsia"/>
                    </w:rPr>
                    <w:t>4</w:t>
                  </w:r>
                </w:p>
              </w:tc>
            </w:tr>
            <w:tr w14:paraId="673A1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279" w:type="pct"/>
                  <w:tcBorders>
                    <w:tl2br w:val="nil"/>
                    <w:tr2bl w:val="nil"/>
                  </w:tcBorders>
                  <w:vAlign w:val="center"/>
                </w:tcPr>
                <w:p w14:paraId="4EB4B208">
                  <w:pPr>
                    <w:pStyle w:val="19"/>
                    <w:spacing w:before="120" w:after="120"/>
                  </w:pPr>
                  <w:r>
                    <w:t>防渗</w:t>
                  </w:r>
                </w:p>
              </w:tc>
              <w:tc>
                <w:tcPr>
                  <w:tcW w:w="1122" w:type="pct"/>
                  <w:tcBorders>
                    <w:tl2br w:val="nil"/>
                    <w:tr2bl w:val="nil"/>
                  </w:tcBorders>
                  <w:vAlign w:val="center"/>
                </w:tcPr>
                <w:p w14:paraId="331BC627">
                  <w:pPr>
                    <w:pStyle w:val="19"/>
                    <w:spacing w:before="120" w:after="120"/>
                  </w:pPr>
                  <w:r>
                    <w:rPr>
                      <w:rFonts w:hint="eastAsia"/>
                    </w:rPr>
                    <w:t>场区分区</w:t>
                  </w:r>
                  <w:r>
                    <w:t>防渗</w:t>
                  </w:r>
                </w:p>
              </w:tc>
              <w:tc>
                <w:tcPr>
                  <w:tcW w:w="3196" w:type="pct"/>
                  <w:tcBorders>
                    <w:tl2br w:val="nil"/>
                    <w:tr2bl w:val="nil"/>
                  </w:tcBorders>
                  <w:vAlign w:val="center"/>
                </w:tcPr>
                <w:p w14:paraId="13B25A03">
                  <w:pPr>
                    <w:pStyle w:val="19"/>
                    <w:spacing w:before="120" w:after="120"/>
                    <w:rPr>
                      <w:b/>
                    </w:rPr>
                  </w:pPr>
                  <w:r>
                    <w:rPr>
                      <w:rFonts w:hint="eastAsia"/>
                    </w:rPr>
                    <w:t>项目对场区采取分区防渗。</w:t>
                  </w:r>
                  <w:r>
                    <w:t>危化车辆停车区</w:t>
                  </w:r>
                  <w:r>
                    <w:rPr>
                      <w:rFonts w:hint="eastAsia"/>
                    </w:rPr>
                    <w:t>、</w:t>
                  </w:r>
                  <w:r>
                    <w:t>候检区</w:t>
                  </w:r>
                  <w:r>
                    <w:rPr>
                      <w:rFonts w:hint="eastAsia"/>
                    </w:rPr>
                    <w:t>、</w:t>
                  </w:r>
                  <w:r>
                    <w:t>维修车间</w:t>
                  </w:r>
                  <w:r>
                    <w:rPr>
                      <w:rFonts w:hint="eastAsia"/>
                    </w:rPr>
                    <w:t>、洗车车间、危废暂存间、消防</w:t>
                  </w:r>
                  <w:r>
                    <w:t>水池</w:t>
                  </w:r>
                  <w:r>
                    <w:rPr>
                      <w:rFonts w:hint="eastAsia"/>
                    </w:rPr>
                    <w:t>、消防泵房、事故水池和初期雨水池、一体化</w:t>
                  </w:r>
                  <w:r>
                    <w:t>污</w:t>
                  </w:r>
                  <w:r>
                    <w:rPr>
                      <w:rFonts w:hint="eastAsia"/>
                    </w:rPr>
                    <w:t>水处理设备存放处、场区道路等均按照《</w:t>
                  </w:r>
                  <w:r>
                    <w:t>危险废物贮存污染控制标准</w:t>
                  </w:r>
                  <w:r>
                    <w:rPr>
                      <w:rFonts w:hint="eastAsia"/>
                    </w:rPr>
                    <w:t>》（</w:t>
                  </w:r>
                  <w:r>
                    <w:t>GB18597—2023</w:t>
                  </w:r>
                  <w:r>
                    <w:rPr>
                      <w:rFonts w:hint="eastAsia"/>
                    </w:rPr>
                    <w:t>）相关要求进行重点防渗，地面采用至少2mm厚HDPE或其他人工材料进行防渗处理，渗透系数不大于1.0×10</w:t>
                  </w:r>
                  <w:r>
                    <w:rPr>
                      <w:rFonts w:hint="eastAsia"/>
                      <w:vertAlign w:val="superscript"/>
                    </w:rPr>
                    <w:t>-</w:t>
                  </w:r>
                  <w:r>
                    <w:rPr>
                      <w:vertAlign w:val="superscript"/>
                    </w:rPr>
                    <w:t>10</w:t>
                  </w:r>
                  <w:r>
                    <w:rPr>
                      <w:rFonts w:hint="eastAsia"/>
                    </w:rPr>
                    <w:t>cm/s。</w:t>
                  </w:r>
                  <w:r>
                    <w:t>辅助用房</w:t>
                  </w:r>
                  <w:r>
                    <w:rPr>
                      <w:rFonts w:hint="eastAsia"/>
                    </w:rPr>
                    <w:t>、管理用房进行一般防渗，没有特别的防渗要求，但应采用水泥硬化地面。</w:t>
                  </w:r>
                </w:p>
              </w:tc>
              <w:tc>
                <w:tcPr>
                  <w:tcW w:w="402" w:type="pct"/>
                  <w:tcBorders>
                    <w:tl2br w:val="nil"/>
                    <w:tr2bl w:val="nil"/>
                  </w:tcBorders>
                  <w:vAlign w:val="center"/>
                </w:tcPr>
                <w:p w14:paraId="351C10A5">
                  <w:pPr>
                    <w:pStyle w:val="19"/>
                    <w:spacing w:before="120" w:after="120"/>
                  </w:pPr>
                  <w:r>
                    <w:rPr>
                      <w:rFonts w:hint="eastAsia"/>
                    </w:rPr>
                    <w:t>80</w:t>
                  </w:r>
                </w:p>
              </w:tc>
            </w:tr>
            <w:tr w14:paraId="67C27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97" w:type="pct"/>
                  <w:gridSpan w:val="3"/>
                  <w:tcBorders>
                    <w:tl2br w:val="nil"/>
                    <w:tr2bl w:val="nil"/>
                  </w:tcBorders>
                  <w:vAlign w:val="center"/>
                </w:tcPr>
                <w:p w14:paraId="20EC1111">
                  <w:pPr>
                    <w:pStyle w:val="19"/>
                    <w:spacing w:before="120" w:after="120"/>
                  </w:pPr>
                  <w:r>
                    <w:rPr>
                      <w:rFonts w:hint="eastAsia"/>
                    </w:rPr>
                    <w:t>合计</w:t>
                  </w:r>
                </w:p>
              </w:tc>
              <w:tc>
                <w:tcPr>
                  <w:tcW w:w="402" w:type="pct"/>
                  <w:tcBorders>
                    <w:tl2br w:val="nil"/>
                    <w:tr2bl w:val="nil"/>
                  </w:tcBorders>
                  <w:vAlign w:val="center"/>
                </w:tcPr>
                <w:p w14:paraId="28AB4635">
                  <w:pPr>
                    <w:pStyle w:val="19"/>
                    <w:spacing w:before="120" w:after="120"/>
                  </w:pPr>
                  <w:r>
                    <w:rPr>
                      <w:rFonts w:hint="eastAsia"/>
                    </w:rPr>
                    <w:t>150</w:t>
                  </w:r>
                </w:p>
              </w:tc>
            </w:tr>
          </w:tbl>
          <w:p w14:paraId="6C2DAFC7">
            <w:pPr>
              <w:pStyle w:val="3"/>
              <w:ind w:firstLine="480"/>
            </w:pPr>
            <w:bookmarkStart w:id="141" w:name="_Toc28231"/>
            <w:bookmarkStart w:id="142" w:name="_Toc13606"/>
            <w:r>
              <w:rPr>
                <w:rFonts w:hint="eastAsia"/>
              </w:rPr>
              <w:t>8、“三同时”竣工环境保护验收</w:t>
            </w:r>
            <w:bookmarkEnd w:id="141"/>
            <w:bookmarkEnd w:id="142"/>
          </w:p>
          <w:p w14:paraId="31C43F1D">
            <w:pPr>
              <w:widowControl/>
              <w:ind w:firstLine="480"/>
            </w:pPr>
            <w:r>
              <w:rPr>
                <w:rFonts w:hint="eastAsia"/>
              </w:rPr>
              <w:t>按照国家建设项目竣工验收相关规定，项目竣工后，应由建设单位组织自主验收，上报审批环境影响报告的</w:t>
            </w:r>
            <w:r>
              <w:rPr>
                <w:rFonts w:hint="eastAsia"/>
                <w:lang w:val="en-US" w:eastAsia="zh-CN"/>
              </w:rPr>
              <w:t>生态环境</w:t>
            </w:r>
            <w:r>
              <w:rPr>
                <w:rFonts w:hint="eastAsia"/>
              </w:rPr>
              <w:t>部门，由</w:t>
            </w:r>
            <w:r>
              <w:rPr>
                <w:rFonts w:hint="eastAsia"/>
                <w:lang w:val="en-US" w:eastAsia="zh-CN"/>
              </w:rPr>
              <w:t>生态环境</w:t>
            </w:r>
            <w:r>
              <w:rPr>
                <w:rFonts w:hint="eastAsia"/>
              </w:rPr>
              <w:t>部门对项目采取的各项环保设施和措施的落实情况进行监督。拟建项目“三同时”竣工环境保护验收详见下表。</w:t>
            </w:r>
          </w:p>
          <w:p w14:paraId="3D72316D">
            <w:pPr>
              <w:pStyle w:val="21"/>
              <w:spacing w:before="120"/>
              <w:rPr>
                <w:rFonts w:hint="default"/>
              </w:rPr>
            </w:pPr>
            <w:bookmarkStart w:id="143" w:name="_Toc882"/>
            <w:bookmarkStart w:id="144" w:name="_Toc1949"/>
            <w:r>
              <w:t>表4-</w:t>
            </w:r>
            <w:r>
              <w:rPr>
                <w:rFonts w:hint="eastAsia"/>
                <w:lang w:val="en-US" w:eastAsia="zh-CN"/>
              </w:rPr>
              <w:t>6</w:t>
            </w:r>
            <w:r>
              <w:t xml:space="preserve">  “三同时”竣工环境保护验收一览表</w:t>
            </w:r>
            <w:bookmarkEnd w:id="143"/>
            <w:bookmarkEnd w:id="144"/>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9"/>
              <w:gridCol w:w="1882"/>
              <w:gridCol w:w="3405"/>
              <w:gridCol w:w="2576"/>
            </w:tblGrid>
            <w:tr w14:paraId="17F8A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 w:hRule="atLeast"/>
              </w:trPr>
              <w:tc>
                <w:tcPr>
                  <w:tcW w:w="1402" w:type="pct"/>
                  <w:gridSpan w:val="2"/>
                  <w:tcBorders>
                    <w:tl2br w:val="nil"/>
                    <w:tr2bl w:val="nil"/>
                  </w:tcBorders>
                  <w:vAlign w:val="center"/>
                </w:tcPr>
                <w:p w14:paraId="62292E3D">
                  <w:pPr>
                    <w:pStyle w:val="19"/>
                    <w:spacing w:before="120" w:after="120"/>
                  </w:pPr>
                  <w:r>
                    <w:t>验收项目</w:t>
                  </w:r>
                </w:p>
              </w:tc>
              <w:tc>
                <w:tcPr>
                  <w:tcW w:w="2048" w:type="pct"/>
                  <w:tcBorders>
                    <w:tl2br w:val="nil"/>
                    <w:tr2bl w:val="nil"/>
                  </w:tcBorders>
                  <w:vAlign w:val="center"/>
                </w:tcPr>
                <w:p w14:paraId="610CEE56">
                  <w:pPr>
                    <w:pStyle w:val="19"/>
                    <w:spacing w:before="120" w:after="120"/>
                  </w:pPr>
                  <w:r>
                    <w:t>验收内容</w:t>
                  </w:r>
                </w:p>
              </w:tc>
              <w:tc>
                <w:tcPr>
                  <w:tcW w:w="1548" w:type="pct"/>
                  <w:tcBorders>
                    <w:tl2br w:val="nil"/>
                    <w:tr2bl w:val="nil"/>
                  </w:tcBorders>
                  <w:vAlign w:val="center"/>
                </w:tcPr>
                <w:p w14:paraId="3B1067FF">
                  <w:pPr>
                    <w:pStyle w:val="19"/>
                    <w:spacing w:before="120" w:after="120"/>
                  </w:pPr>
                  <w:r>
                    <w:t>验收标准</w:t>
                  </w:r>
                </w:p>
              </w:tc>
            </w:tr>
            <w:tr w14:paraId="272D6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70" w:type="pct"/>
                  <w:tcBorders>
                    <w:tl2br w:val="nil"/>
                    <w:tr2bl w:val="nil"/>
                  </w:tcBorders>
                  <w:vAlign w:val="center"/>
                </w:tcPr>
                <w:p w14:paraId="690CA338">
                  <w:pPr>
                    <w:pStyle w:val="19"/>
                    <w:spacing w:before="120" w:after="120"/>
                  </w:pPr>
                  <w:r>
                    <w:t>废气</w:t>
                  </w:r>
                </w:p>
              </w:tc>
              <w:tc>
                <w:tcPr>
                  <w:tcW w:w="1132" w:type="pct"/>
                  <w:tcBorders>
                    <w:tl2br w:val="nil"/>
                    <w:tr2bl w:val="nil"/>
                  </w:tcBorders>
                  <w:vAlign w:val="center"/>
                </w:tcPr>
                <w:p w14:paraId="3018EA35">
                  <w:pPr>
                    <w:pStyle w:val="19"/>
                    <w:spacing w:before="120" w:after="120"/>
                  </w:pPr>
                  <w:r>
                    <w:rPr>
                      <w:rFonts w:hint="eastAsia"/>
                      <w:color w:val="000000"/>
                      <w:szCs w:val="21"/>
                    </w:rPr>
                    <w:t>运输车辆行驶扬尘、运输车辆尾气</w:t>
                  </w:r>
                </w:p>
              </w:tc>
              <w:tc>
                <w:tcPr>
                  <w:tcW w:w="2048" w:type="pct"/>
                  <w:tcBorders>
                    <w:tl2br w:val="nil"/>
                    <w:tr2bl w:val="nil"/>
                  </w:tcBorders>
                  <w:vAlign w:val="center"/>
                </w:tcPr>
                <w:p w14:paraId="1B7DE33C">
                  <w:pPr>
                    <w:pStyle w:val="19"/>
                    <w:spacing w:before="120" w:after="120"/>
                  </w:pPr>
                  <w:r>
                    <w:rPr>
                      <w:rFonts w:hint="eastAsia"/>
                    </w:rPr>
                    <w:t>车辆</w:t>
                  </w:r>
                  <w:r>
                    <w:t>限速行驶</w:t>
                  </w:r>
                  <w:r>
                    <w:rPr>
                      <w:rFonts w:hint="eastAsia"/>
                    </w:rPr>
                    <w:t>、厂区道路硬化，增加场区绿化</w:t>
                  </w:r>
                </w:p>
              </w:tc>
              <w:tc>
                <w:tcPr>
                  <w:tcW w:w="1548" w:type="pct"/>
                  <w:tcBorders>
                    <w:tl2br w:val="nil"/>
                    <w:tr2bl w:val="nil"/>
                  </w:tcBorders>
                  <w:vAlign w:val="center"/>
                </w:tcPr>
                <w:p w14:paraId="68EED589">
                  <w:pPr>
                    <w:pStyle w:val="19"/>
                    <w:spacing w:before="120" w:after="120"/>
                  </w:pPr>
                  <w:r>
                    <w:t>《大气污染物综合排放标准》（GB16297-1996</w:t>
                  </w:r>
                  <w:r>
                    <w:rPr>
                      <w:rFonts w:hint="eastAsia"/>
                    </w:rPr>
                    <w:t>）无组织排放标准</w:t>
                  </w:r>
                </w:p>
              </w:tc>
            </w:tr>
            <w:tr w14:paraId="5CEE3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trPr>
              <w:tc>
                <w:tcPr>
                  <w:tcW w:w="270" w:type="pct"/>
                  <w:vMerge w:val="restart"/>
                  <w:tcBorders>
                    <w:tl2br w:val="nil"/>
                    <w:tr2bl w:val="nil"/>
                  </w:tcBorders>
                  <w:vAlign w:val="center"/>
                </w:tcPr>
                <w:p w14:paraId="145A852F">
                  <w:pPr>
                    <w:pStyle w:val="19"/>
                    <w:spacing w:before="120" w:after="120"/>
                  </w:pPr>
                  <w:r>
                    <w:t>废水</w:t>
                  </w:r>
                </w:p>
              </w:tc>
              <w:tc>
                <w:tcPr>
                  <w:tcW w:w="1132" w:type="pct"/>
                  <w:tcBorders>
                    <w:tl2br w:val="nil"/>
                    <w:tr2bl w:val="nil"/>
                  </w:tcBorders>
                  <w:vAlign w:val="center"/>
                </w:tcPr>
                <w:p w14:paraId="25FB76C3">
                  <w:pPr>
                    <w:pStyle w:val="19"/>
                    <w:spacing w:before="120" w:after="120"/>
                  </w:pPr>
                  <w:r>
                    <w:t>生活污水</w:t>
                  </w:r>
                </w:p>
              </w:tc>
              <w:tc>
                <w:tcPr>
                  <w:tcW w:w="2048" w:type="pct"/>
                  <w:tcBorders>
                    <w:tl2br w:val="nil"/>
                    <w:tr2bl w:val="nil"/>
                  </w:tcBorders>
                  <w:vAlign w:val="center"/>
                </w:tcPr>
                <w:p w14:paraId="03BFC276">
                  <w:pPr>
                    <w:pStyle w:val="19"/>
                    <w:spacing w:before="120" w:after="120"/>
                  </w:pPr>
                  <w:r>
                    <w:rPr>
                      <w:rFonts w:hint="eastAsia"/>
                    </w:rPr>
                    <w:t>生活污水进入园区生活污水管网</w:t>
                  </w:r>
                </w:p>
              </w:tc>
              <w:tc>
                <w:tcPr>
                  <w:tcW w:w="1548" w:type="pct"/>
                  <w:tcBorders>
                    <w:tl2br w:val="nil"/>
                    <w:tr2bl w:val="nil"/>
                  </w:tcBorders>
                  <w:vAlign w:val="center"/>
                </w:tcPr>
                <w:p w14:paraId="7941EC67">
                  <w:pPr>
                    <w:pStyle w:val="19"/>
                    <w:spacing w:before="120" w:after="120"/>
                  </w:pPr>
                  <w:r>
                    <w:rPr>
                      <w:rFonts w:hint="eastAsia"/>
                    </w:rPr>
                    <w:t>满足《污水综合排放标准》（</w:t>
                  </w:r>
                  <w:r>
                    <w:t>GB8978-1996</w:t>
                  </w:r>
                  <w:r>
                    <w:rPr>
                      <w:rFonts w:hint="eastAsia"/>
                    </w:rPr>
                    <w:t>）三级标准</w:t>
                  </w:r>
                </w:p>
              </w:tc>
            </w:tr>
            <w:tr w14:paraId="40BEA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270" w:type="pct"/>
                  <w:vMerge w:val="continue"/>
                  <w:tcBorders>
                    <w:tl2br w:val="nil"/>
                    <w:tr2bl w:val="nil"/>
                  </w:tcBorders>
                  <w:vAlign w:val="center"/>
                </w:tcPr>
                <w:p w14:paraId="33B3B613">
                  <w:pPr>
                    <w:pStyle w:val="19"/>
                    <w:spacing w:before="120" w:after="120"/>
                  </w:pPr>
                </w:p>
              </w:tc>
              <w:tc>
                <w:tcPr>
                  <w:tcW w:w="1132" w:type="pct"/>
                  <w:tcBorders>
                    <w:tl2br w:val="nil"/>
                    <w:tr2bl w:val="nil"/>
                  </w:tcBorders>
                  <w:vAlign w:val="center"/>
                </w:tcPr>
                <w:p w14:paraId="6E27BFBB">
                  <w:pPr>
                    <w:pStyle w:val="19"/>
                    <w:bidi w:val="0"/>
                  </w:pPr>
                  <w:r>
                    <w:rPr>
                      <w:rFonts w:hint="eastAsia"/>
                    </w:rPr>
                    <w:t>洗车污水</w:t>
                  </w:r>
                </w:p>
              </w:tc>
              <w:tc>
                <w:tcPr>
                  <w:tcW w:w="2048" w:type="pct"/>
                  <w:tcBorders>
                    <w:tl2br w:val="nil"/>
                    <w:tr2bl w:val="nil"/>
                  </w:tcBorders>
                  <w:vAlign w:val="center"/>
                </w:tcPr>
                <w:p w14:paraId="286CF25A">
                  <w:pPr>
                    <w:pStyle w:val="19"/>
                    <w:bidi w:val="0"/>
                  </w:pPr>
                  <w:r>
                    <w:rPr>
                      <w:rFonts w:hint="eastAsia"/>
                    </w:rPr>
                    <w:t>洗车污水经一体化处理设施处理</w:t>
                  </w:r>
                  <w:r>
                    <w:rPr>
                      <w:rFonts w:hint="eastAsia"/>
                      <w:lang w:eastAsia="zh-CN"/>
                    </w:rPr>
                    <w:t>，</w:t>
                  </w:r>
                  <w:r>
                    <w:rPr>
                      <w:rFonts w:hint="eastAsia"/>
                      <w:lang w:val="en-US" w:eastAsia="zh-CN"/>
                    </w:rPr>
                    <w:t>满足《城市污水再生利用 城市杂用水水质》（GB/T18920-2020）标准后，</w:t>
                  </w:r>
                  <w:r>
                    <w:rPr>
                      <w:rFonts w:hint="eastAsia"/>
                    </w:rPr>
                    <w:t>回用于洗车</w:t>
                  </w:r>
                </w:p>
              </w:tc>
              <w:tc>
                <w:tcPr>
                  <w:tcW w:w="1548" w:type="pct"/>
                  <w:tcBorders>
                    <w:tl2br w:val="nil"/>
                    <w:tr2bl w:val="nil"/>
                  </w:tcBorders>
                  <w:vAlign w:val="center"/>
                </w:tcPr>
                <w:p w14:paraId="3AADFD99">
                  <w:pPr>
                    <w:pStyle w:val="19"/>
                    <w:spacing w:before="120" w:after="120"/>
                  </w:pPr>
                  <w:r>
                    <w:rPr>
                      <w:rFonts w:hint="eastAsia"/>
                    </w:rPr>
                    <w:t>回用，不外排</w:t>
                  </w:r>
                </w:p>
              </w:tc>
            </w:tr>
            <w:tr w14:paraId="7ADC6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270" w:type="pct"/>
                  <w:tcBorders>
                    <w:tl2br w:val="nil"/>
                    <w:tr2bl w:val="nil"/>
                  </w:tcBorders>
                  <w:vAlign w:val="center"/>
                </w:tcPr>
                <w:p w14:paraId="6E77F1C6">
                  <w:pPr>
                    <w:pStyle w:val="19"/>
                    <w:spacing w:before="120" w:after="120"/>
                  </w:pPr>
                  <w:r>
                    <w:t>噪声</w:t>
                  </w:r>
                </w:p>
              </w:tc>
              <w:tc>
                <w:tcPr>
                  <w:tcW w:w="1132" w:type="pct"/>
                  <w:tcBorders>
                    <w:tl2br w:val="nil"/>
                    <w:tr2bl w:val="nil"/>
                  </w:tcBorders>
                  <w:vAlign w:val="center"/>
                </w:tcPr>
                <w:p w14:paraId="36877B56">
                  <w:pPr>
                    <w:pStyle w:val="19"/>
                    <w:spacing w:before="120" w:after="120"/>
                  </w:pPr>
                  <w:r>
                    <w:rPr>
                      <w:rFonts w:hint="eastAsia"/>
                    </w:rPr>
                    <w:t>运输车辆噪声和设备噪声</w:t>
                  </w:r>
                </w:p>
              </w:tc>
              <w:tc>
                <w:tcPr>
                  <w:tcW w:w="2048" w:type="pct"/>
                  <w:tcBorders>
                    <w:tl2br w:val="nil"/>
                    <w:tr2bl w:val="nil"/>
                  </w:tcBorders>
                  <w:vAlign w:val="center"/>
                </w:tcPr>
                <w:p w14:paraId="3B7037F9">
                  <w:pPr>
                    <w:pStyle w:val="19"/>
                    <w:spacing w:before="120" w:after="120"/>
                  </w:pPr>
                  <w:r>
                    <w:t>选用先进的低噪声设备</w:t>
                  </w:r>
                  <w:r>
                    <w:rPr>
                      <w:rFonts w:hint="eastAsia"/>
                    </w:rPr>
                    <w:t>，</w:t>
                  </w:r>
                  <w:r>
                    <w:t>在高噪声设备周围适当设置屏障、减少噪声影响时间</w:t>
                  </w:r>
                  <w:r>
                    <w:rPr>
                      <w:rFonts w:hint="eastAsia"/>
                    </w:rPr>
                    <w:t>，</w:t>
                  </w:r>
                  <w:r>
                    <w:t>加强对</w:t>
                  </w:r>
                  <w:r>
                    <w:rPr>
                      <w:rFonts w:hint="eastAsia"/>
                    </w:rPr>
                    <w:t>噪声设备的</w:t>
                  </w:r>
                  <w:r>
                    <w:t>维护保养等措施降噪</w:t>
                  </w:r>
                  <w:r>
                    <w:rPr>
                      <w:rFonts w:hint="eastAsia"/>
                    </w:rPr>
                    <w:t>。</w:t>
                  </w:r>
                </w:p>
              </w:tc>
              <w:tc>
                <w:tcPr>
                  <w:tcW w:w="1548" w:type="pct"/>
                  <w:tcBorders>
                    <w:tl2br w:val="nil"/>
                    <w:tr2bl w:val="nil"/>
                  </w:tcBorders>
                  <w:vAlign w:val="center"/>
                </w:tcPr>
                <w:p w14:paraId="63DFBC79">
                  <w:pPr>
                    <w:pStyle w:val="19"/>
                    <w:spacing w:before="120" w:after="120"/>
                  </w:pPr>
                  <w:r>
                    <w:t>厂界满足《工业企业厂界环境噪声排放标准》（GB12348-2008</w:t>
                  </w:r>
                  <w:r>
                    <w:rPr>
                      <w:rFonts w:hint="eastAsia"/>
                    </w:rPr>
                    <w:t>）</w:t>
                  </w:r>
                  <w:r>
                    <w:t>3类区标准。</w:t>
                  </w:r>
                </w:p>
              </w:tc>
            </w:tr>
            <w:tr w14:paraId="72FB3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270" w:type="pct"/>
                  <w:vMerge w:val="restart"/>
                  <w:tcBorders>
                    <w:tl2br w:val="nil"/>
                    <w:tr2bl w:val="nil"/>
                  </w:tcBorders>
                  <w:vAlign w:val="center"/>
                </w:tcPr>
                <w:p w14:paraId="2460154E">
                  <w:pPr>
                    <w:pStyle w:val="19"/>
                    <w:spacing w:before="120" w:after="120"/>
                  </w:pPr>
                  <w:r>
                    <w:t>固</w:t>
                  </w:r>
                </w:p>
                <w:p w14:paraId="032D549B">
                  <w:pPr>
                    <w:pStyle w:val="19"/>
                    <w:spacing w:before="120" w:after="120"/>
                  </w:pPr>
                  <w:r>
                    <w:t>废</w:t>
                  </w:r>
                </w:p>
              </w:tc>
              <w:tc>
                <w:tcPr>
                  <w:tcW w:w="1882" w:type="dxa"/>
                  <w:tcBorders>
                    <w:tl2br w:val="nil"/>
                    <w:tr2bl w:val="nil"/>
                  </w:tcBorders>
                  <w:vAlign w:val="center"/>
                </w:tcPr>
                <w:p w14:paraId="034AF2DB">
                  <w:pPr>
                    <w:pStyle w:val="19"/>
                    <w:spacing w:before="120" w:after="120"/>
                  </w:pPr>
                  <w:r>
                    <w:t>生活垃圾</w:t>
                  </w:r>
                </w:p>
              </w:tc>
              <w:tc>
                <w:tcPr>
                  <w:tcW w:w="3405" w:type="dxa"/>
                  <w:tcBorders>
                    <w:tl2br w:val="nil"/>
                    <w:tr2bl w:val="nil"/>
                  </w:tcBorders>
                  <w:vAlign w:val="center"/>
                </w:tcPr>
                <w:p w14:paraId="180A0E6E">
                  <w:pPr>
                    <w:pStyle w:val="19"/>
                    <w:spacing w:before="120" w:after="120"/>
                  </w:pPr>
                  <w:r>
                    <w:rPr>
                      <w:rFonts w:hint="eastAsia"/>
                    </w:rPr>
                    <w:t>生活垃圾</w:t>
                  </w:r>
                  <w:r>
                    <w:t>由环卫部门统一收集并处置</w:t>
                  </w:r>
                  <w:r>
                    <w:rPr>
                      <w:rFonts w:hint="eastAsia"/>
                    </w:rPr>
                    <w:t>。</w:t>
                  </w:r>
                </w:p>
              </w:tc>
              <w:tc>
                <w:tcPr>
                  <w:tcW w:w="1548" w:type="pct"/>
                  <w:vMerge w:val="restart"/>
                  <w:tcBorders>
                    <w:tl2br w:val="nil"/>
                    <w:tr2bl w:val="nil"/>
                  </w:tcBorders>
                  <w:vAlign w:val="center"/>
                </w:tcPr>
                <w:p w14:paraId="5B0A8276">
                  <w:pPr>
                    <w:pStyle w:val="19"/>
                    <w:spacing w:before="120" w:after="120"/>
                  </w:pPr>
                  <w:r>
                    <w:t>合理处置</w:t>
                  </w:r>
                </w:p>
              </w:tc>
            </w:tr>
            <w:tr w14:paraId="5E778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270" w:type="pct"/>
                  <w:vMerge w:val="continue"/>
                  <w:tcBorders>
                    <w:tl2br w:val="nil"/>
                    <w:tr2bl w:val="nil"/>
                  </w:tcBorders>
                  <w:vAlign w:val="center"/>
                </w:tcPr>
                <w:p w14:paraId="0E614DD2">
                  <w:pPr>
                    <w:pStyle w:val="19"/>
                    <w:spacing w:before="120" w:after="120"/>
                  </w:pPr>
                </w:p>
              </w:tc>
              <w:tc>
                <w:tcPr>
                  <w:tcW w:w="1882" w:type="dxa"/>
                  <w:tcBorders>
                    <w:tl2br w:val="nil"/>
                    <w:tr2bl w:val="nil"/>
                  </w:tcBorders>
                  <w:vAlign w:val="center"/>
                </w:tcPr>
                <w:p w14:paraId="3AAFFBC7">
                  <w:pPr>
                    <w:pStyle w:val="19"/>
                    <w:spacing w:before="120" w:after="120"/>
                  </w:pPr>
                  <w:r>
                    <w:rPr>
                      <w:rFonts w:hint="eastAsia"/>
                    </w:rPr>
                    <w:t>车辆废弃零件</w:t>
                  </w:r>
                </w:p>
              </w:tc>
              <w:tc>
                <w:tcPr>
                  <w:tcW w:w="3405" w:type="dxa"/>
                  <w:tcBorders>
                    <w:tl2br w:val="nil"/>
                    <w:tr2bl w:val="nil"/>
                  </w:tcBorders>
                  <w:vAlign w:val="center"/>
                </w:tcPr>
                <w:p w14:paraId="7A335896">
                  <w:pPr>
                    <w:pStyle w:val="19"/>
                    <w:spacing w:before="120" w:after="120"/>
                  </w:pPr>
                  <w:r>
                    <w:rPr>
                      <w:rFonts w:hint="eastAsia"/>
                    </w:rPr>
                    <w:t>车辆废弃零件经收集后外售综合利用。</w:t>
                  </w:r>
                </w:p>
              </w:tc>
              <w:tc>
                <w:tcPr>
                  <w:tcW w:w="1548" w:type="pct"/>
                  <w:vMerge w:val="continue"/>
                  <w:tcBorders>
                    <w:tl2br w:val="nil"/>
                    <w:tr2bl w:val="nil"/>
                  </w:tcBorders>
                  <w:vAlign w:val="center"/>
                </w:tcPr>
                <w:p w14:paraId="7F2AB247">
                  <w:pPr>
                    <w:pStyle w:val="19"/>
                    <w:spacing w:before="120" w:after="120"/>
                  </w:pPr>
                </w:p>
              </w:tc>
            </w:tr>
            <w:tr w14:paraId="34EEC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270" w:type="pct"/>
                  <w:vMerge w:val="continue"/>
                  <w:tcBorders>
                    <w:tl2br w:val="nil"/>
                    <w:tr2bl w:val="nil"/>
                  </w:tcBorders>
                  <w:vAlign w:val="center"/>
                </w:tcPr>
                <w:p w14:paraId="44C4480A">
                  <w:pPr>
                    <w:pStyle w:val="19"/>
                    <w:spacing w:before="120" w:after="120"/>
                  </w:pPr>
                </w:p>
              </w:tc>
              <w:tc>
                <w:tcPr>
                  <w:tcW w:w="1882" w:type="dxa"/>
                  <w:tcBorders>
                    <w:tl2br w:val="nil"/>
                    <w:tr2bl w:val="nil"/>
                  </w:tcBorders>
                  <w:vAlign w:val="center"/>
                </w:tcPr>
                <w:p w14:paraId="5181210C">
                  <w:pPr>
                    <w:pStyle w:val="19"/>
                    <w:spacing w:before="120" w:after="120"/>
                  </w:pPr>
                  <w:r>
                    <w:rPr>
                      <w:rFonts w:hint="eastAsia"/>
                    </w:rPr>
                    <w:t>废机油、废手套、</w:t>
                  </w:r>
                  <w:r>
                    <w:rPr>
                      <w:rFonts w:hint="eastAsia"/>
                      <w:lang w:val="en-US" w:eastAsia="zh-CN"/>
                    </w:rPr>
                    <w:t>废油桶、</w:t>
                  </w:r>
                  <w:r>
                    <w:rPr>
                      <w:rFonts w:hint="eastAsia"/>
                    </w:rPr>
                    <w:t>含油废抹布</w:t>
                  </w:r>
                </w:p>
              </w:tc>
              <w:tc>
                <w:tcPr>
                  <w:tcW w:w="3405" w:type="dxa"/>
                  <w:tcBorders>
                    <w:tl2br w:val="nil"/>
                    <w:tr2bl w:val="nil"/>
                  </w:tcBorders>
                  <w:vAlign w:val="center"/>
                </w:tcPr>
                <w:p w14:paraId="65D9D920">
                  <w:pPr>
                    <w:pStyle w:val="19"/>
                    <w:spacing w:before="120" w:after="120"/>
                  </w:pPr>
                  <w:r>
                    <w:rPr>
                      <w:rFonts w:hint="eastAsia"/>
                    </w:rPr>
                    <w:t>废机油、废手套、</w:t>
                  </w:r>
                  <w:r>
                    <w:rPr>
                      <w:rFonts w:hint="eastAsia"/>
                      <w:lang w:val="en-US" w:eastAsia="zh-CN"/>
                    </w:rPr>
                    <w:t>废油桶、</w:t>
                  </w:r>
                  <w:r>
                    <w:rPr>
                      <w:rFonts w:hint="eastAsia"/>
                    </w:rPr>
                    <w:t>含油废抹布需</w:t>
                  </w:r>
                  <w:r>
                    <w:t>经专门的收集桶收集后放置在危废暂存间中暂存</w:t>
                  </w:r>
                  <w:r>
                    <w:rPr>
                      <w:rFonts w:hint="eastAsia"/>
                    </w:rPr>
                    <w:t>，</w:t>
                  </w:r>
                  <w:r>
                    <w:t>按危险废物管理有关规定送至有资质的单位进行处理。</w:t>
                  </w:r>
                </w:p>
              </w:tc>
              <w:tc>
                <w:tcPr>
                  <w:tcW w:w="1548" w:type="pct"/>
                  <w:vMerge w:val="continue"/>
                  <w:tcBorders>
                    <w:tl2br w:val="nil"/>
                    <w:tr2bl w:val="nil"/>
                  </w:tcBorders>
                  <w:vAlign w:val="center"/>
                </w:tcPr>
                <w:p w14:paraId="6A82426A">
                  <w:pPr>
                    <w:pStyle w:val="19"/>
                    <w:spacing w:before="120" w:after="120"/>
                  </w:pPr>
                </w:p>
              </w:tc>
            </w:tr>
            <w:tr w14:paraId="3578D5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270" w:type="pct"/>
                  <w:tcBorders>
                    <w:tl2br w:val="nil"/>
                    <w:tr2bl w:val="nil"/>
                  </w:tcBorders>
                  <w:vAlign w:val="center"/>
                </w:tcPr>
                <w:p w14:paraId="2C7371E6">
                  <w:pPr>
                    <w:pStyle w:val="19"/>
                    <w:spacing w:before="120" w:after="120"/>
                  </w:pPr>
                  <w:r>
                    <w:t>防渗</w:t>
                  </w:r>
                </w:p>
              </w:tc>
              <w:tc>
                <w:tcPr>
                  <w:tcW w:w="1132" w:type="pct"/>
                  <w:tcBorders>
                    <w:tl2br w:val="nil"/>
                    <w:tr2bl w:val="nil"/>
                  </w:tcBorders>
                  <w:vAlign w:val="center"/>
                </w:tcPr>
                <w:p w14:paraId="7EC9D5F7">
                  <w:pPr>
                    <w:pStyle w:val="19"/>
                    <w:spacing w:before="120" w:after="120"/>
                  </w:pPr>
                  <w:r>
                    <w:rPr>
                      <w:rFonts w:hint="eastAsia"/>
                    </w:rPr>
                    <w:t>场区</w:t>
                  </w:r>
                  <w:r>
                    <w:t>防渗</w:t>
                  </w:r>
                </w:p>
              </w:tc>
              <w:tc>
                <w:tcPr>
                  <w:tcW w:w="3597" w:type="pct"/>
                  <w:gridSpan w:val="2"/>
                  <w:tcBorders>
                    <w:tl2br w:val="nil"/>
                    <w:tr2bl w:val="nil"/>
                  </w:tcBorders>
                  <w:vAlign w:val="center"/>
                </w:tcPr>
                <w:p w14:paraId="6C8311DD">
                  <w:pPr>
                    <w:pStyle w:val="19"/>
                    <w:spacing w:before="120" w:after="120"/>
                  </w:pPr>
                  <w:r>
                    <w:rPr>
                      <w:rFonts w:hint="eastAsia"/>
                    </w:rPr>
                    <w:t>对场区采取分区防渗。</w:t>
                  </w:r>
                  <w:r>
                    <w:t>危化车辆停车区</w:t>
                  </w:r>
                  <w:r>
                    <w:rPr>
                      <w:rFonts w:hint="eastAsia"/>
                    </w:rPr>
                    <w:t>、</w:t>
                  </w:r>
                  <w:r>
                    <w:t>候检区</w:t>
                  </w:r>
                  <w:r>
                    <w:rPr>
                      <w:rFonts w:hint="eastAsia"/>
                    </w:rPr>
                    <w:t>、</w:t>
                  </w:r>
                  <w:r>
                    <w:t>维修车间</w:t>
                  </w:r>
                  <w:r>
                    <w:rPr>
                      <w:rFonts w:hint="eastAsia"/>
                    </w:rPr>
                    <w:t>、洗车车间、危废暂存间、消防</w:t>
                  </w:r>
                  <w:r>
                    <w:t>水池</w:t>
                  </w:r>
                  <w:r>
                    <w:rPr>
                      <w:rFonts w:hint="eastAsia"/>
                    </w:rPr>
                    <w:t>、消防泵房、事故水池和初期雨水池、一体化</w:t>
                  </w:r>
                  <w:r>
                    <w:t>污</w:t>
                  </w:r>
                  <w:r>
                    <w:rPr>
                      <w:rFonts w:hint="eastAsia"/>
                    </w:rPr>
                    <w:t>水处理设备存放处、场区道路等均按照《</w:t>
                  </w:r>
                  <w:r>
                    <w:t>危险废物贮存污染控制标准</w:t>
                  </w:r>
                  <w:r>
                    <w:rPr>
                      <w:rFonts w:hint="eastAsia"/>
                    </w:rPr>
                    <w:t>》（</w:t>
                  </w:r>
                  <w:r>
                    <w:t>GB18597—2023</w:t>
                  </w:r>
                  <w:r>
                    <w:rPr>
                      <w:rFonts w:hint="eastAsia"/>
                    </w:rPr>
                    <w:t>）相关要求进行重点防渗，地面采用至少2mm厚HDPE或其他人工材料进行防渗处理，渗透系数不大于1.0×10</w:t>
                  </w:r>
                  <w:r>
                    <w:rPr>
                      <w:rFonts w:hint="eastAsia"/>
                      <w:vertAlign w:val="superscript"/>
                    </w:rPr>
                    <w:t>-</w:t>
                  </w:r>
                  <w:r>
                    <w:rPr>
                      <w:vertAlign w:val="superscript"/>
                    </w:rPr>
                    <w:t>10</w:t>
                  </w:r>
                  <w:r>
                    <w:rPr>
                      <w:rFonts w:hint="eastAsia"/>
                    </w:rPr>
                    <w:t>cm/s。</w:t>
                  </w:r>
                  <w:r>
                    <w:t>辅助用房</w:t>
                  </w:r>
                  <w:r>
                    <w:rPr>
                      <w:rFonts w:hint="eastAsia"/>
                    </w:rPr>
                    <w:t>、管理用房进行一般防渗，没有特别的防渗要求，但应采用水泥硬化地面。</w:t>
                  </w:r>
                </w:p>
              </w:tc>
            </w:tr>
          </w:tbl>
          <w:p w14:paraId="482F51A7">
            <w:pPr>
              <w:ind w:firstLine="480"/>
            </w:pPr>
          </w:p>
          <w:p w14:paraId="3478E76A">
            <w:pPr>
              <w:ind w:firstLine="480"/>
            </w:pPr>
          </w:p>
          <w:p w14:paraId="689CFF85">
            <w:pPr>
              <w:ind w:firstLine="480"/>
            </w:pPr>
          </w:p>
          <w:p w14:paraId="4B0DF12B">
            <w:pPr>
              <w:ind w:firstLine="480"/>
            </w:pPr>
          </w:p>
          <w:p w14:paraId="6CCB04FC">
            <w:pPr>
              <w:ind w:firstLine="480"/>
            </w:pPr>
          </w:p>
          <w:p w14:paraId="209F1673">
            <w:pPr>
              <w:ind w:firstLine="480"/>
            </w:pPr>
          </w:p>
          <w:p w14:paraId="7190441B">
            <w:pPr>
              <w:ind w:firstLine="480"/>
            </w:pPr>
          </w:p>
          <w:p w14:paraId="4404FA6B">
            <w:pPr>
              <w:ind w:firstLine="480"/>
            </w:pPr>
          </w:p>
          <w:p w14:paraId="31A15645">
            <w:pPr>
              <w:ind w:firstLine="480"/>
            </w:pPr>
          </w:p>
          <w:p w14:paraId="07384306">
            <w:pPr>
              <w:ind w:firstLine="480"/>
            </w:pPr>
          </w:p>
          <w:p w14:paraId="3A6268F1">
            <w:pPr>
              <w:ind w:firstLine="480"/>
            </w:pPr>
          </w:p>
          <w:p w14:paraId="34BD586F">
            <w:pPr>
              <w:ind w:firstLine="480"/>
            </w:pPr>
          </w:p>
          <w:p w14:paraId="48506596">
            <w:pPr>
              <w:ind w:firstLine="480"/>
            </w:pPr>
          </w:p>
          <w:p w14:paraId="536F729F">
            <w:pPr>
              <w:ind w:firstLine="480"/>
            </w:pPr>
          </w:p>
          <w:p w14:paraId="0BF84C3B">
            <w:pPr>
              <w:ind w:firstLine="480"/>
            </w:pPr>
          </w:p>
          <w:p w14:paraId="1E204C68">
            <w:pPr>
              <w:ind w:firstLine="480"/>
            </w:pPr>
          </w:p>
          <w:p w14:paraId="58B7DEC3">
            <w:pPr>
              <w:ind w:firstLine="480"/>
            </w:pPr>
          </w:p>
          <w:p w14:paraId="34C67411">
            <w:pPr>
              <w:ind w:firstLine="480"/>
            </w:pPr>
          </w:p>
          <w:p w14:paraId="208E413A">
            <w:pPr>
              <w:ind w:firstLine="480"/>
            </w:pPr>
          </w:p>
          <w:p w14:paraId="679AD00D">
            <w:pPr>
              <w:ind w:firstLine="480"/>
            </w:pPr>
          </w:p>
          <w:p w14:paraId="2293EDD2">
            <w:pPr>
              <w:ind w:firstLine="480"/>
            </w:pPr>
          </w:p>
          <w:p w14:paraId="315B5AFA">
            <w:pPr>
              <w:ind w:firstLine="480"/>
            </w:pPr>
          </w:p>
        </w:tc>
      </w:tr>
    </w:tbl>
    <w:p w14:paraId="3807EA7E">
      <w:pPr>
        <w:pStyle w:val="23"/>
        <w:ind w:firstLine="0" w:firstLineChars="0"/>
        <w:rPr>
          <w:rFonts w:ascii="宋体"/>
          <w:b/>
          <w:color w:val="auto"/>
          <w:kern w:val="0"/>
          <w:sz w:val="28"/>
          <w:szCs w:val="28"/>
        </w:rPr>
        <w:sectPr>
          <w:pgSz w:w="11907" w:h="16840"/>
          <w:pgMar w:top="1701" w:right="1531" w:bottom="2127" w:left="1531" w:header="851" w:footer="851" w:gutter="0"/>
          <w:cols w:space="720" w:num="1"/>
          <w:docGrid w:linePitch="312" w:charSpace="0"/>
        </w:sectPr>
      </w:pPr>
    </w:p>
    <w:p w14:paraId="43B805EF">
      <w:pPr>
        <w:pStyle w:val="2"/>
        <w:rPr>
          <w:color w:val="auto"/>
        </w:rPr>
      </w:pPr>
      <w:bookmarkStart w:id="145" w:name="_Toc7264"/>
      <w:bookmarkStart w:id="146" w:name="_Toc32669"/>
      <w:r>
        <w:rPr>
          <w:rFonts w:hint="eastAsia"/>
          <w:color w:val="auto"/>
        </w:rPr>
        <w:t>五、</w:t>
      </w:r>
      <w:bookmarkStart w:id="147" w:name="_Hlk54167917"/>
      <w:r>
        <w:rPr>
          <w:rFonts w:hint="eastAsia"/>
          <w:color w:val="auto"/>
        </w:rPr>
        <w:t>环境保护措施监督检查清单</w:t>
      </w:r>
      <w:bookmarkEnd w:id="145"/>
      <w:bookmarkEnd w:id="146"/>
      <w:bookmarkEnd w:id="147"/>
    </w:p>
    <w:tbl>
      <w:tblPr>
        <w:tblStyle w:val="1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13"/>
        <w:gridCol w:w="466"/>
        <w:gridCol w:w="1214"/>
        <w:gridCol w:w="1361"/>
        <w:gridCol w:w="3454"/>
        <w:gridCol w:w="1852"/>
      </w:tblGrid>
      <w:tr w14:paraId="2974F2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50" w:type="pct"/>
            <w:gridSpan w:val="2"/>
            <w:tcBorders>
              <w:tl2br w:val="single" w:color="auto" w:sz="4" w:space="0"/>
            </w:tcBorders>
          </w:tcPr>
          <w:p w14:paraId="7CFF1125">
            <w:pPr>
              <w:pStyle w:val="19"/>
              <w:spacing w:before="120" w:after="120"/>
              <w:jc w:val="right"/>
              <w:rPr>
                <w:bCs/>
                <w:kern w:val="44"/>
                <w:sz w:val="24"/>
                <w:szCs w:val="32"/>
              </w:rPr>
            </w:pPr>
            <w:r>
              <w:rPr>
                <w:bCs/>
                <w:kern w:val="44"/>
                <w:sz w:val="24"/>
                <w:szCs w:val="32"/>
              </w:rPr>
              <w:t>内容</w:t>
            </w:r>
          </w:p>
          <w:p w14:paraId="528BC46F">
            <w:pPr>
              <w:pStyle w:val="19"/>
              <w:spacing w:before="120" w:after="120"/>
              <w:jc w:val="left"/>
              <w:rPr>
                <w:bCs/>
                <w:kern w:val="44"/>
                <w:sz w:val="24"/>
                <w:szCs w:val="32"/>
              </w:rPr>
            </w:pPr>
          </w:p>
          <w:p w14:paraId="3D046569">
            <w:pPr>
              <w:pStyle w:val="19"/>
              <w:spacing w:before="120" w:after="120"/>
              <w:jc w:val="left"/>
              <w:rPr>
                <w:bCs/>
                <w:kern w:val="44"/>
                <w:sz w:val="24"/>
                <w:szCs w:val="32"/>
              </w:rPr>
            </w:pPr>
          </w:p>
          <w:p w14:paraId="2BC00DE0">
            <w:pPr>
              <w:pStyle w:val="19"/>
              <w:spacing w:before="120" w:after="120"/>
              <w:jc w:val="left"/>
              <w:rPr>
                <w:bCs/>
                <w:kern w:val="44"/>
                <w:sz w:val="24"/>
                <w:szCs w:val="32"/>
              </w:rPr>
            </w:pPr>
            <w:r>
              <w:rPr>
                <w:bCs/>
                <w:kern w:val="44"/>
                <w:sz w:val="24"/>
                <w:szCs w:val="32"/>
              </w:rPr>
              <w:t>要素</w:t>
            </w:r>
          </w:p>
        </w:tc>
        <w:tc>
          <w:tcPr>
            <w:tcW w:w="669" w:type="pct"/>
            <w:vAlign w:val="center"/>
          </w:tcPr>
          <w:p w14:paraId="516909E8">
            <w:pPr>
              <w:pStyle w:val="19"/>
              <w:spacing w:before="120" w:after="120"/>
              <w:rPr>
                <w:bCs/>
                <w:kern w:val="44"/>
                <w:sz w:val="24"/>
                <w:szCs w:val="32"/>
              </w:rPr>
            </w:pPr>
            <w:r>
              <w:rPr>
                <w:bCs/>
                <w:kern w:val="44"/>
                <w:sz w:val="24"/>
                <w:szCs w:val="32"/>
              </w:rPr>
              <w:t>排放口</w:t>
            </w:r>
            <w:r>
              <w:rPr>
                <w:rFonts w:hint="eastAsia"/>
                <w:bCs/>
                <w:kern w:val="44"/>
                <w:sz w:val="24"/>
                <w:szCs w:val="32"/>
              </w:rPr>
              <w:t>（</w:t>
            </w:r>
            <w:r>
              <w:rPr>
                <w:bCs/>
                <w:kern w:val="44"/>
                <w:sz w:val="24"/>
                <w:szCs w:val="32"/>
              </w:rPr>
              <w:t>编号、名称</w:t>
            </w:r>
            <w:r>
              <w:rPr>
                <w:rFonts w:hint="eastAsia"/>
                <w:bCs/>
                <w:kern w:val="44"/>
                <w:sz w:val="24"/>
                <w:szCs w:val="32"/>
              </w:rPr>
              <w:t>）</w:t>
            </w:r>
            <w:r>
              <w:rPr>
                <w:bCs/>
                <w:kern w:val="44"/>
                <w:sz w:val="24"/>
                <w:szCs w:val="32"/>
              </w:rPr>
              <w:t>/污染源</w:t>
            </w:r>
          </w:p>
        </w:tc>
        <w:tc>
          <w:tcPr>
            <w:tcW w:w="751" w:type="pct"/>
            <w:vAlign w:val="center"/>
          </w:tcPr>
          <w:p w14:paraId="6B59AB65">
            <w:pPr>
              <w:pStyle w:val="19"/>
              <w:spacing w:before="120" w:after="120"/>
              <w:rPr>
                <w:bCs/>
                <w:kern w:val="44"/>
                <w:sz w:val="24"/>
                <w:szCs w:val="32"/>
              </w:rPr>
            </w:pPr>
            <w:r>
              <w:rPr>
                <w:bCs/>
                <w:kern w:val="44"/>
                <w:sz w:val="24"/>
                <w:szCs w:val="32"/>
              </w:rPr>
              <w:t>污染物项目</w:t>
            </w:r>
          </w:p>
        </w:tc>
        <w:tc>
          <w:tcPr>
            <w:tcW w:w="1906" w:type="pct"/>
            <w:vAlign w:val="center"/>
          </w:tcPr>
          <w:p w14:paraId="33DD4692">
            <w:pPr>
              <w:pStyle w:val="19"/>
              <w:spacing w:before="120" w:after="120"/>
              <w:rPr>
                <w:bCs/>
                <w:kern w:val="44"/>
                <w:sz w:val="24"/>
                <w:szCs w:val="32"/>
              </w:rPr>
            </w:pPr>
            <w:r>
              <w:rPr>
                <w:bCs/>
                <w:kern w:val="44"/>
                <w:sz w:val="24"/>
                <w:szCs w:val="32"/>
              </w:rPr>
              <w:t>环境保护措施</w:t>
            </w:r>
          </w:p>
        </w:tc>
        <w:tc>
          <w:tcPr>
            <w:tcW w:w="1022" w:type="pct"/>
            <w:vAlign w:val="center"/>
          </w:tcPr>
          <w:p w14:paraId="35C94830">
            <w:pPr>
              <w:pStyle w:val="19"/>
              <w:spacing w:before="120" w:after="120"/>
              <w:rPr>
                <w:bCs/>
                <w:kern w:val="44"/>
                <w:sz w:val="24"/>
                <w:szCs w:val="32"/>
              </w:rPr>
            </w:pPr>
            <w:r>
              <w:rPr>
                <w:bCs/>
                <w:kern w:val="44"/>
                <w:sz w:val="24"/>
                <w:szCs w:val="32"/>
              </w:rPr>
              <w:t>执行标准</w:t>
            </w:r>
          </w:p>
        </w:tc>
      </w:tr>
      <w:tr w14:paraId="6AF329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3" w:type="pct"/>
            <w:vMerge w:val="restart"/>
            <w:vAlign w:val="center"/>
          </w:tcPr>
          <w:p w14:paraId="7F3D0E41">
            <w:pPr>
              <w:pStyle w:val="19"/>
              <w:spacing w:before="120" w:after="120"/>
              <w:rPr>
                <w:bCs/>
                <w:kern w:val="44"/>
                <w:sz w:val="24"/>
                <w:szCs w:val="32"/>
              </w:rPr>
            </w:pPr>
            <w:r>
              <w:rPr>
                <w:bCs/>
                <w:kern w:val="44"/>
                <w:sz w:val="24"/>
                <w:szCs w:val="32"/>
              </w:rPr>
              <w:t>大气环境</w:t>
            </w:r>
          </w:p>
        </w:tc>
        <w:tc>
          <w:tcPr>
            <w:tcW w:w="257" w:type="pct"/>
            <w:vMerge w:val="restart"/>
            <w:vAlign w:val="center"/>
          </w:tcPr>
          <w:p w14:paraId="32B48D78">
            <w:pPr>
              <w:pStyle w:val="19"/>
              <w:spacing w:before="120" w:after="120"/>
              <w:rPr>
                <w:bCs/>
                <w:kern w:val="44"/>
                <w:sz w:val="24"/>
                <w:szCs w:val="32"/>
              </w:rPr>
            </w:pPr>
            <w:r>
              <w:rPr>
                <w:bCs/>
                <w:kern w:val="44"/>
                <w:sz w:val="24"/>
                <w:szCs w:val="32"/>
              </w:rPr>
              <w:t>施工期</w:t>
            </w:r>
          </w:p>
        </w:tc>
        <w:tc>
          <w:tcPr>
            <w:tcW w:w="669" w:type="pct"/>
            <w:vAlign w:val="center"/>
          </w:tcPr>
          <w:p w14:paraId="53A0836E">
            <w:pPr>
              <w:pStyle w:val="19"/>
              <w:spacing w:before="120" w:after="120"/>
              <w:rPr>
                <w:bCs/>
                <w:kern w:val="44"/>
                <w:sz w:val="24"/>
                <w:szCs w:val="32"/>
              </w:rPr>
            </w:pPr>
            <w:r>
              <w:rPr>
                <w:bCs/>
                <w:kern w:val="44"/>
                <w:sz w:val="24"/>
                <w:szCs w:val="32"/>
              </w:rPr>
              <w:t>施工作业</w:t>
            </w:r>
            <w:r>
              <w:rPr>
                <w:rFonts w:hint="eastAsia"/>
                <w:bCs/>
                <w:kern w:val="44"/>
                <w:sz w:val="24"/>
                <w:szCs w:val="32"/>
              </w:rPr>
              <w:t>、</w:t>
            </w:r>
            <w:r>
              <w:rPr>
                <w:sz w:val="24"/>
                <w:szCs w:val="21"/>
              </w:rPr>
              <w:t>运输车辆</w:t>
            </w:r>
          </w:p>
        </w:tc>
        <w:tc>
          <w:tcPr>
            <w:tcW w:w="751" w:type="pct"/>
            <w:vAlign w:val="center"/>
          </w:tcPr>
          <w:p w14:paraId="40F0363A">
            <w:pPr>
              <w:pStyle w:val="19"/>
              <w:spacing w:before="120" w:after="120"/>
              <w:rPr>
                <w:bCs/>
                <w:kern w:val="44"/>
                <w:sz w:val="24"/>
                <w:szCs w:val="32"/>
              </w:rPr>
            </w:pPr>
            <w:r>
              <w:rPr>
                <w:bCs/>
                <w:kern w:val="44"/>
                <w:sz w:val="24"/>
                <w:szCs w:val="32"/>
              </w:rPr>
              <w:t>扬尘</w:t>
            </w:r>
          </w:p>
        </w:tc>
        <w:tc>
          <w:tcPr>
            <w:tcW w:w="1906" w:type="pct"/>
            <w:vAlign w:val="center"/>
          </w:tcPr>
          <w:p w14:paraId="1EE70064">
            <w:pPr>
              <w:pStyle w:val="19"/>
              <w:spacing w:before="120" w:after="120"/>
              <w:rPr>
                <w:bCs/>
                <w:kern w:val="44"/>
                <w:sz w:val="24"/>
                <w:szCs w:val="32"/>
              </w:rPr>
            </w:pPr>
            <w:r>
              <w:rPr>
                <w:bCs/>
                <w:kern w:val="44"/>
                <w:sz w:val="24"/>
                <w:szCs w:val="32"/>
              </w:rPr>
              <w:t>装运土方时控制车内土方低于车厢挡板</w:t>
            </w:r>
            <w:r>
              <w:rPr>
                <w:rFonts w:hint="eastAsia"/>
                <w:bCs/>
                <w:kern w:val="44"/>
                <w:sz w:val="24"/>
                <w:szCs w:val="32"/>
              </w:rPr>
              <w:t>，</w:t>
            </w:r>
            <w:r>
              <w:rPr>
                <w:bCs/>
                <w:kern w:val="44"/>
                <w:sz w:val="24"/>
                <w:szCs w:val="32"/>
              </w:rPr>
              <w:t>做到表面覆盖；限制车速；避免大风天气作业；施工场地设临时围墙或防护板</w:t>
            </w:r>
            <w:r>
              <w:rPr>
                <w:rFonts w:hint="eastAsia"/>
                <w:bCs/>
                <w:kern w:val="44"/>
                <w:sz w:val="24"/>
                <w:szCs w:val="32"/>
              </w:rPr>
              <w:t>，</w:t>
            </w:r>
            <w:r>
              <w:rPr>
                <w:bCs/>
                <w:kern w:val="44"/>
                <w:sz w:val="24"/>
                <w:szCs w:val="32"/>
              </w:rPr>
              <w:t>减少施工场地与外界流通</w:t>
            </w:r>
          </w:p>
        </w:tc>
        <w:tc>
          <w:tcPr>
            <w:tcW w:w="1022" w:type="pct"/>
            <w:vMerge w:val="restart"/>
            <w:vAlign w:val="center"/>
          </w:tcPr>
          <w:p w14:paraId="7E888737">
            <w:pPr>
              <w:pStyle w:val="19"/>
              <w:spacing w:before="120" w:after="120"/>
              <w:rPr>
                <w:bCs/>
                <w:kern w:val="44"/>
                <w:sz w:val="24"/>
                <w:szCs w:val="32"/>
              </w:rPr>
            </w:pPr>
            <w:r>
              <w:rPr>
                <w:bCs/>
                <w:kern w:val="44"/>
                <w:sz w:val="24"/>
                <w:szCs w:val="32"/>
              </w:rPr>
              <w:t>《大气污染物综合排放标准》（GB16297-1996</w:t>
            </w:r>
            <w:r>
              <w:rPr>
                <w:rFonts w:hint="eastAsia"/>
                <w:bCs/>
                <w:kern w:val="44"/>
                <w:sz w:val="24"/>
                <w:szCs w:val="32"/>
              </w:rPr>
              <w:t>）</w:t>
            </w:r>
            <w:r>
              <w:rPr>
                <w:bCs/>
                <w:kern w:val="44"/>
                <w:sz w:val="24"/>
                <w:szCs w:val="32"/>
              </w:rPr>
              <w:t>中无组织排放监控浓度限值</w:t>
            </w:r>
          </w:p>
        </w:tc>
      </w:tr>
      <w:tr w14:paraId="26916B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3" w:type="pct"/>
            <w:vMerge w:val="continue"/>
            <w:vAlign w:val="center"/>
          </w:tcPr>
          <w:p w14:paraId="336E9647">
            <w:pPr>
              <w:pStyle w:val="19"/>
              <w:spacing w:before="120" w:after="120"/>
              <w:rPr>
                <w:bCs/>
                <w:kern w:val="44"/>
                <w:sz w:val="24"/>
                <w:szCs w:val="32"/>
              </w:rPr>
            </w:pPr>
          </w:p>
        </w:tc>
        <w:tc>
          <w:tcPr>
            <w:tcW w:w="257" w:type="pct"/>
            <w:vMerge w:val="continue"/>
            <w:vAlign w:val="center"/>
          </w:tcPr>
          <w:p w14:paraId="0B4078B3">
            <w:pPr>
              <w:pStyle w:val="19"/>
              <w:spacing w:before="120" w:after="120"/>
              <w:rPr>
                <w:bCs/>
                <w:kern w:val="44"/>
                <w:sz w:val="24"/>
                <w:szCs w:val="32"/>
              </w:rPr>
            </w:pPr>
          </w:p>
        </w:tc>
        <w:tc>
          <w:tcPr>
            <w:tcW w:w="669" w:type="pct"/>
            <w:vAlign w:val="center"/>
          </w:tcPr>
          <w:p w14:paraId="33819E2B">
            <w:pPr>
              <w:pStyle w:val="19"/>
              <w:spacing w:before="120" w:after="120"/>
              <w:rPr>
                <w:bCs/>
                <w:kern w:val="44"/>
                <w:sz w:val="24"/>
                <w:szCs w:val="32"/>
              </w:rPr>
            </w:pPr>
            <w:r>
              <w:rPr>
                <w:bCs/>
                <w:kern w:val="44"/>
                <w:sz w:val="24"/>
                <w:szCs w:val="32"/>
              </w:rPr>
              <w:t>燃油机械设备及运输车辆</w:t>
            </w:r>
          </w:p>
        </w:tc>
        <w:tc>
          <w:tcPr>
            <w:tcW w:w="751" w:type="pct"/>
            <w:vAlign w:val="center"/>
          </w:tcPr>
          <w:p w14:paraId="2C9D7408">
            <w:pPr>
              <w:pStyle w:val="19"/>
              <w:spacing w:before="120" w:after="120"/>
              <w:rPr>
                <w:bCs/>
                <w:kern w:val="44"/>
                <w:sz w:val="24"/>
                <w:szCs w:val="32"/>
              </w:rPr>
            </w:pPr>
            <w:r>
              <w:rPr>
                <w:bCs/>
                <w:kern w:val="44"/>
                <w:sz w:val="24"/>
                <w:szCs w:val="32"/>
              </w:rPr>
              <w:t>机械废气</w:t>
            </w:r>
          </w:p>
        </w:tc>
        <w:tc>
          <w:tcPr>
            <w:tcW w:w="1906" w:type="pct"/>
            <w:vAlign w:val="center"/>
          </w:tcPr>
          <w:p w14:paraId="4B80739A">
            <w:pPr>
              <w:pStyle w:val="19"/>
              <w:spacing w:before="120" w:after="120"/>
              <w:rPr>
                <w:bCs/>
                <w:kern w:val="44"/>
                <w:sz w:val="24"/>
                <w:szCs w:val="32"/>
              </w:rPr>
            </w:pPr>
            <w:r>
              <w:rPr>
                <w:bCs/>
                <w:kern w:val="44"/>
                <w:sz w:val="24"/>
                <w:szCs w:val="32"/>
              </w:rPr>
              <w:t>采用排放达标的设备和车辆</w:t>
            </w:r>
            <w:r>
              <w:rPr>
                <w:rFonts w:hint="eastAsia"/>
                <w:bCs/>
                <w:kern w:val="44"/>
                <w:sz w:val="24"/>
                <w:szCs w:val="32"/>
              </w:rPr>
              <w:t>，</w:t>
            </w:r>
            <w:r>
              <w:rPr>
                <w:bCs/>
                <w:kern w:val="44"/>
                <w:sz w:val="24"/>
                <w:szCs w:val="32"/>
              </w:rPr>
              <w:t>加强对机械设备和车辆的维护保养</w:t>
            </w:r>
            <w:r>
              <w:rPr>
                <w:rFonts w:hint="eastAsia"/>
                <w:bCs/>
                <w:kern w:val="44"/>
                <w:sz w:val="24"/>
                <w:szCs w:val="32"/>
              </w:rPr>
              <w:t>，</w:t>
            </w:r>
            <w:r>
              <w:rPr>
                <w:bCs/>
                <w:kern w:val="44"/>
                <w:sz w:val="24"/>
                <w:szCs w:val="32"/>
              </w:rPr>
              <w:t>使之处于良好的运行状态</w:t>
            </w:r>
            <w:r>
              <w:rPr>
                <w:rFonts w:hint="eastAsia"/>
                <w:bCs/>
                <w:kern w:val="44"/>
                <w:sz w:val="24"/>
                <w:szCs w:val="32"/>
              </w:rPr>
              <w:t>，</w:t>
            </w:r>
            <w:r>
              <w:rPr>
                <w:bCs/>
                <w:kern w:val="44"/>
                <w:sz w:val="24"/>
                <w:szCs w:val="32"/>
              </w:rPr>
              <w:t>使用合格的油品</w:t>
            </w:r>
            <w:r>
              <w:rPr>
                <w:rFonts w:hint="eastAsia"/>
                <w:bCs/>
                <w:kern w:val="44"/>
                <w:sz w:val="24"/>
                <w:szCs w:val="32"/>
              </w:rPr>
              <w:t>，</w:t>
            </w:r>
            <w:r>
              <w:rPr>
                <w:bCs/>
                <w:kern w:val="44"/>
                <w:sz w:val="24"/>
                <w:szCs w:val="32"/>
              </w:rPr>
              <w:t>尽量减少设备和车辆空转空驶</w:t>
            </w:r>
          </w:p>
        </w:tc>
        <w:tc>
          <w:tcPr>
            <w:tcW w:w="1022" w:type="pct"/>
            <w:vMerge w:val="continue"/>
            <w:vAlign w:val="center"/>
          </w:tcPr>
          <w:p w14:paraId="2732DA26">
            <w:pPr>
              <w:pStyle w:val="19"/>
              <w:spacing w:before="120" w:after="120"/>
              <w:rPr>
                <w:bCs/>
                <w:kern w:val="44"/>
                <w:sz w:val="24"/>
                <w:szCs w:val="32"/>
              </w:rPr>
            </w:pPr>
          </w:p>
        </w:tc>
      </w:tr>
      <w:tr w14:paraId="4CAC98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8" w:hRule="atLeast"/>
          <w:jc w:val="center"/>
        </w:trPr>
        <w:tc>
          <w:tcPr>
            <w:tcW w:w="393" w:type="pct"/>
            <w:vMerge w:val="continue"/>
            <w:vAlign w:val="center"/>
          </w:tcPr>
          <w:p w14:paraId="09B37628">
            <w:pPr>
              <w:pStyle w:val="19"/>
              <w:spacing w:before="120" w:after="120"/>
              <w:rPr>
                <w:bCs/>
                <w:kern w:val="44"/>
                <w:sz w:val="24"/>
                <w:szCs w:val="32"/>
              </w:rPr>
            </w:pPr>
          </w:p>
        </w:tc>
        <w:tc>
          <w:tcPr>
            <w:tcW w:w="257" w:type="pct"/>
            <w:vAlign w:val="center"/>
          </w:tcPr>
          <w:p w14:paraId="668C65CE">
            <w:pPr>
              <w:pStyle w:val="19"/>
              <w:spacing w:before="120" w:after="120"/>
              <w:rPr>
                <w:bCs/>
                <w:kern w:val="44"/>
                <w:sz w:val="24"/>
                <w:szCs w:val="32"/>
              </w:rPr>
            </w:pPr>
            <w:r>
              <w:rPr>
                <w:bCs/>
                <w:kern w:val="44"/>
                <w:sz w:val="24"/>
                <w:szCs w:val="32"/>
              </w:rPr>
              <w:t>运营期</w:t>
            </w:r>
          </w:p>
        </w:tc>
        <w:tc>
          <w:tcPr>
            <w:tcW w:w="669" w:type="pct"/>
            <w:vAlign w:val="center"/>
          </w:tcPr>
          <w:p w14:paraId="2489DEA8">
            <w:pPr>
              <w:pStyle w:val="19"/>
              <w:spacing w:before="120" w:after="120"/>
              <w:rPr>
                <w:bCs/>
                <w:kern w:val="44"/>
                <w:sz w:val="24"/>
                <w:szCs w:val="32"/>
              </w:rPr>
            </w:pPr>
            <w:r>
              <w:rPr>
                <w:rFonts w:hint="eastAsia"/>
                <w:sz w:val="24"/>
                <w:szCs w:val="21"/>
              </w:rPr>
              <w:t>运输车辆</w:t>
            </w:r>
          </w:p>
        </w:tc>
        <w:tc>
          <w:tcPr>
            <w:tcW w:w="751" w:type="pct"/>
            <w:vAlign w:val="center"/>
          </w:tcPr>
          <w:p w14:paraId="79DBCD23">
            <w:pPr>
              <w:pStyle w:val="19"/>
              <w:spacing w:before="120" w:after="120"/>
              <w:rPr>
                <w:bCs/>
                <w:kern w:val="44"/>
                <w:sz w:val="24"/>
                <w:szCs w:val="32"/>
              </w:rPr>
            </w:pPr>
            <w:r>
              <w:rPr>
                <w:rFonts w:hint="eastAsia"/>
                <w:sz w:val="24"/>
                <w:szCs w:val="21"/>
              </w:rPr>
              <w:t>扬尘和汽车尾气</w:t>
            </w:r>
          </w:p>
        </w:tc>
        <w:tc>
          <w:tcPr>
            <w:tcW w:w="1906" w:type="pct"/>
            <w:vAlign w:val="center"/>
          </w:tcPr>
          <w:p w14:paraId="7E1B5356">
            <w:pPr>
              <w:pStyle w:val="19"/>
              <w:spacing w:before="120" w:after="120"/>
              <w:rPr>
                <w:bCs/>
                <w:kern w:val="44"/>
                <w:sz w:val="24"/>
                <w:szCs w:val="32"/>
              </w:rPr>
            </w:pPr>
            <w:r>
              <w:rPr>
                <w:rFonts w:hint="eastAsia"/>
                <w:sz w:val="24"/>
                <w:szCs w:val="21"/>
              </w:rPr>
              <w:t>车辆</w:t>
            </w:r>
            <w:r>
              <w:rPr>
                <w:sz w:val="24"/>
                <w:szCs w:val="21"/>
              </w:rPr>
              <w:t>限速行驶</w:t>
            </w:r>
            <w:r>
              <w:rPr>
                <w:rFonts w:hint="eastAsia"/>
                <w:sz w:val="24"/>
                <w:szCs w:val="21"/>
              </w:rPr>
              <w:t>、厂区道路硬化，增加场区绿化</w:t>
            </w:r>
          </w:p>
        </w:tc>
        <w:tc>
          <w:tcPr>
            <w:tcW w:w="1022" w:type="pct"/>
            <w:vAlign w:val="center"/>
          </w:tcPr>
          <w:p w14:paraId="77EA6A1D">
            <w:pPr>
              <w:pStyle w:val="19"/>
              <w:spacing w:before="120" w:after="120"/>
              <w:rPr>
                <w:bCs/>
                <w:kern w:val="44"/>
                <w:sz w:val="24"/>
                <w:szCs w:val="32"/>
              </w:rPr>
            </w:pPr>
            <w:r>
              <w:rPr>
                <w:bCs/>
                <w:kern w:val="44"/>
                <w:sz w:val="24"/>
                <w:szCs w:val="32"/>
              </w:rPr>
              <w:t>《大气污染物综合排放标准》（GB16297-1996</w:t>
            </w:r>
            <w:r>
              <w:rPr>
                <w:rFonts w:hint="eastAsia"/>
                <w:bCs/>
                <w:kern w:val="44"/>
                <w:sz w:val="24"/>
                <w:szCs w:val="32"/>
              </w:rPr>
              <w:t>）</w:t>
            </w:r>
            <w:r>
              <w:rPr>
                <w:bCs/>
                <w:kern w:val="44"/>
                <w:sz w:val="24"/>
                <w:szCs w:val="32"/>
              </w:rPr>
              <w:t>中无组织排放监控浓度限值</w:t>
            </w:r>
          </w:p>
        </w:tc>
      </w:tr>
      <w:tr w14:paraId="79206E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3" w:type="pct"/>
            <w:vAlign w:val="center"/>
          </w:tcPr>
          <w:p w14:paraId="524E37EF">
            <w:pPr>
              <w:pStyle w:val="19"/>
              <w:spacing w:before="120" w:after="120"/>
              <w:rPr>
                <w:bCs/>
                <w:kern w:val="44"/>
                <w:sz w:val="24"/>
                <w:szCs w:val="32"/>
              </w:rPr>
            </w:pPr>
            <w:r>
              <w:rPr>
                <w:bCs/>
                <w:kern w:val="44"/>
                <w:sz w:val="24"/>
                <w:szCs w:val="32"/>
              </w:rPr>
              <w:t>地表水环境</w:t>
            </w:r>
          </w:p>
        </w:tc>
        <w:tc>
          <w:tcPr>
            <w:tcW w:w="257" w:type="pct"/>
            <w:vAlign w:val="center"/>
          </w:tcPr>
          <w:p w14:paraId="365BE859">
            <w:pPr>
              <w:pStyle w:val="19"/>
              <w:spacing w:before="120" w:after="120"/>
              <w:rPr>
                <w:bCs/>
                <w:kern w:val="44"/>
                <w:sz w:val="24"/>
                <w:szCs w:val="32"/>
              </w:rPr>
            </w:pPr>
            <w:r>
              <w:rPr>
                <w:bCs/>
                <w:kern w:val="44"/>
                <w:sz w:val="24"/>
                <w:szCs w:val="32"/>
              </w:rPr>
              <w:t>/</w:t>
            </w:r>
          </w:p>
        </w:tc>
        <w:tc>
          <w:tcPr>
            <w:tcW w:w="669" w:type="pct"/>
            <w:vAlign w:val="center"/>
          </w:tcPr>
          <w:p w14:paraId="1040EC79">
            <w:pPr>
              <w:pStyle w:val="19"/>
              <w:spacing w:before="120" w:after="120"/>
              <w:rPr>
                <w:bCs/>
                <w:kern w:val="44"/>
                <w:sz w:val="24"/>
                <w:szCs w:val="32"/>
              </w:rPr>
            </w:pPr>
            <w:r>
              <w:rPr>
                <w:bCs/>
                <w:kern w:val="44"/>
                <w:sz w:val="24"/>
                <w:szCs w:val="32"/>
              </w:rPr>
              <w:t>/</w:t>
            </w:r>
          </w:p>
        </w:tc>
        <w:tc>
          <w:tcPr>
            <w:tcW w:w="751" w:type="pct"/>
            <w:vAlign w:val="center"/>
          </w:tcPr>
          <w:p w14:paraId="09D6CE20">
            <w:pPr>
              <w:pStyle w:val="19"/>
              <w:spacing w:before="120" w:after="120"/>
              <w:rPr>
                <w:bCs/>
                <w:kern w:val="44"/>
                <w:sz w:val="24"/>
                <w:szCs w:val="32"/>
              </w:rPr>
            </w:pPr>
            <w:r>
              <w:rPr>
                <w:bCs/>
                <w:kern w:val="44"/>
                <w:sz w:val="24"/>
                <w:szCs w:val="32"/>
              </w:rPr>
              <w:t>/</w:t>
            </w:r>
          </w:p>
        </w:tc>
        <w:tc>
          <w:tcPr>
            <w:tcW w:w="1906" w:type="pct"/>
            <w:vAlign w:val="center"/>
          </w:tcPr>
          <w:p w14:paraId="7D0B97CF">
            <w:pPr>
              <w:pStyle w:val="19"/>
              <w:spacing w:before="120" w:after="120"/>
              <w:rPr>
                <w:bCs/>
                <w:kern w:val="44"/>
                <w:sz w:val="24"/>
                <w:szCs w:val="32"/>
              </w:rPr>
            </w:pPr>
            <w:r>
              <w:rPr>
                <w:bCs/>
                <w:kern w:val="44"/>
                <w:sz w:val="24"/>
                <w:szCs w:val="32"/>
              </w:rPr>
              <w:t>/</w:t>
            </w:r>
          </w:p>
        </w:tc>
        <w:tc>
          <w:tcPr>
            <w:tcW w:w="1022" w:type="pct"/>
            <w:vAlign w:val="center"/>
          </w:tcPr>
          <w:p w14:paraId="6E9D43A3">
            <w:pPr>
              <w:pStyle w:val="19"/>
              <w:spacing w:before="120" w:after="120"/>
              <w:rPr>
                <w:bCs/>
                <w:kern w:val="44"/>
                <w:sz w:val="24"/>
                <w:szCs w:val="32"/>
              </w:rPr>
            </w:pPr>
            <w:r>
              <w:rPr>
                <w:bCs/>
                <w:kern w:val="44"/>
                <w:sz w:val="24"/>
                <w:szCs w:val="32"/>
              </w:rPr>
              <w:t>/</w:t>
            </w:r>
          </w:p>
        </w:tc>
      </w:tr>
      <w:tr w14:paraId="065391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3" w:type="pct"/>
            <w:vMerge w:val="restart"/>
            <w:vAlign w:val="center"/>
          </w:tcPr>
          <w:p w14:paraId="3A0F93AE">
            <w:pPr>
              <w:pStyle w:val="19"/>
              <w:spacing w:before="120" w:after="120"/>
              <w:rPr>
                <w:bCs/>
                <w:kern w:val="44"/>
                <w:sz w:val="24"/>
                <w:szCs w:val="32"/>
              </w:rPr>
            </w:pPr>
            <w:r>
              <w:rPr>
                <w:bCs/>
                <w:kern w:val="44"/>
                <w:sz w:val="24"/>
                <w:szCs w:val="32"/>
              </w:rPr>
              <w:t>声环境</w:t>
            </w:r>
          </w:p>
        </w:tc>
        <w:tc>
          <w:tcPr>
            <w:tcW w:w="257" w:type="pct"/>
            <w:vAlign w:val="center"/>
          </w:tcPr>
          <w:p w14:paraId="70D55B2F">
            <w:pPr>
              <w:pStyle w:val="19"/>
              <w:spacing w:before="120" w:after="120"/>
              <w:rPr>
                <w:bCs/>
                <w:kern w:val="44"/>
                <w:sz w:val="24"/>
                <w:szCs w:val="32"/>
              </w:rPr>
            </w:pPr>
            <w:r>
              <w:rPr>
                <w:bCs/>
                <w:kern w:val="44"/>
                <w:sz w:val="24"/>
                <w:szCs w:val="32"/>
              </w:rPr>
              <w:t>施工期</w:t>
            </w:r>
          </w:p>
        </w:tc>
        <w:tc>
          <w:tcPr>
            <w:tcW w:w="669" w:type="pct"/>
            <w:vAlign w:val="center"/>
          </w:tcPr>
          <w:p w14:paraId="56F32AFB">
            <w:pPr>
              <w:pStyle w:val="19"/>
              <w:spacing w:before="120" w:after="120"/>
              <w:rPr>
                <w:bCs/>
                <w:kern w:val="44"/>
                <w:sz w:val="24"/>
                <w:szCs w:val="32"/>
              </w:rPr>
            </w:pPr>
            <w:r>
              <w:rPr>
                <w:bCs/>
                <w:kern w:val="44"/>
                <w:sz w:val="24"/>
                <w:szCs w:val="32"/>
              </w:rPr>
              <w:t>各种车辆和施工机械</w:t>
            </w:r>
          </w:p>
        </w:tc>
        <w:tc>
          <w:tcPr>
            <w:tcW w:w="751" w:type="pct"/>
            <w:vAlign w:val="center"/>
          </w:tcPr>
          <w:p w14:paraId="19F7D35D">
            <w:pPr>
              <w:pStyle w:val="19"/>
              <w:spacing w:before="120" w:after="120"/>
              <w:rPr>
                <w:bCs/>
                <w:kern w:val="44"/>
                <w:sz w:val="24"/>
                <w:szCs w:val="32"/>
              </w:rPr>
            </w:pPr>
            <w:r>
              <w:rPr>
                <w:bCs/>
                <w:kern w:val="44"/>
                <w:sz w:val="24"/>
                <w:szCs w:val="32"/>
              </w:rPr>
              <w:t>噪声</w:t>
            </w:r>
          </w:p>
        </w:tc>
        <w:tc>
          <w:tcPr>
            <w:tcW w:w="1906" w:type="pct"/>
            <w:vAlign w:val="center"/>
          </w:tcPr>
          <w:p w14:paraId="645CEA9D">
            <w:pPr>
              <w:pStyle w:val="19"/>
              <w:spacing w:before="120" w:after="120"/>
              <w:rPr>
                <w:bCs/>
                <w:kern w:val="44"/>
                <w:sz w:val="24"/>
                <w:szCs w:val="32"/>
              </w:rPr>
            </w:pPr>
            <w:r>
              <w:rPr>
                <w:bCs/>
                <w:kern w:val="44"/>
                <w:sz w:val="24"/>
                <w:szCs w:val="32"/>
              </w:rPr>
              <w:t>尽量选用先进的低噪声设备</w:t>
            </w:r>
            <w:r>
              <w:rPr>
                <w:rFonts w:hint="eastAsia"/>
                <w:bCs/>
                <w:kern w:val="44"/>
                <w:sz w:val="24"/>
                <w:szCs w:val="32"/>
              </w:rPr>
              <w:t>，</w:t>
            </w:r>
            <w:r>
              <w:rPr>
                <w:bCs/>
                <w:kern w:val="44"/>
                <w:sz w:val="24"/>
                <w:szCs w:val="32"/>
              </w:rPr>
              <w:t>在高噪声设备周围适当设置屏障以减轻噪声对周围环境的影响；减少施工噪声影响时间</w:t>
            </w:r>
            <w:r>
              <w:rPr>
                <w:rFonts w:hint="eastAsia"/>
                <w:bCs/>
                <w:kern w:val="44"/>
                <w:sz w:val="24"/>
                <w:szCs w:val="32"/>
              </w:rPr>
              <w:t>，</w:t>
            </w:r>
            <w:r>
              <w:rPr>
                <w:bCs/>
                <w:kern w:val="44"/>
                <w:sz w:val="24"/>
                <w:szCs w:val="32"/>
              </w:rPr>
              <w:t>避免夜间施工；加强对施工机械的维护保养</w:t>
            </w:r>
            <w:r>
              <w:rPr>
                <w:rFonts w:hint="eastAsia"/>
                <w:bCs/>
                <w:kern w:val="44"/>
                <w:sz w:val="24"/>
                <w:szCs w:val="32"/>
              </w:rPr>
              <w:t>，</w:t>
            </w:r>
            <w:r>
              <w:rPr>
                <w:bCs/>
                <w:kern w:val="44"/>
                <w:sz w:val="24"/>
                <w:szCs w:val="32"/>
              </w:rPr>
              <w:t>避免由于设备性能差而增强机械噪声的现象发生。</w:t>
            </w:r>
          </w:p>
        </w:tc>
        <w:tc>
          <w:tcPr>
            <w:tcW w:w="1022" w:type="pct"/>
            <w:vAlign w:val="center"/>
          </w:tcPr>
          <w:p w14:paraId="6F649434">
            <w:pPr>
              <w:pStyle w:val="19"/>
              <w:spacing w:before="120" w:after="120"/>
              <w:rPr>
                <w:bCs/>
                <w:kern w:val="44"/>
                <w:sz w:val="24"/>
                <w:szCs w:val="32"/>
              </w:rPr>
            </w:pPr>
            <w:r>
              <w:rPr>
                <w:bCs/>
                <w:kern w:val="44"/>
                <w:sz w:val="24"/>
                <w:szCs w:val="32"/>
              </w:rPr>
              <w:t>《建筑施工场界环境噪声排放标准》（GB12523－2011</w:t>
            </w:r>
            <w:r>
              <w:rPr>
                <w:rFonts w:hint="eastAsia"/>
                <w:bCs/>
                <w:kern w:val="44"/>
                <w:sz w:val="24"/>
                <w:szCs w:val="32"/>
              </w:rPr>
              <w:t>）</w:t>
            </w:r>
          </w:p>
        </w:tc>
      </w:tr>
      <w:tr w14:paraId="1CE0F1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393" w:type="pct"/>
            <w:vMerge w:val="continue"/>
            <w:vAlign w:val="center"/>
          </w:tcPr>
          <w:p w14:paraId="12D95168">
            <w:pPr>
              <w:pStyle w:val="19"/>
              <w:spacing w:before="120" w:after="120"/>
              <w:rPr>
                <w:bCs/>
                <w:kern w:val="44"/>
                <w:sz w:val="24"/>
                <w:szCs w:val="32"/>
              </w:rPr>
            </w:pPr>
          </w:p>
        </w:tc>
        <w:tc>
          <w:tcPr>
            <w:tcW w:w="257" w:type="pct"/>
            <w:vAlign w:val="center"/>
          </w:tcPr>
          <w:p w14:paraId="69391855">
            <w:pPr>
              <w:pStyle w:val="19"/>
              <w:spacing w:before="120" w:after="120"/>
              <w:rPr>
                <w:bCs/>
                <w:kern w:val="44"/>
                <w:sz w:val="24"/>
                <w:szCs w:val="32"/>
              </w:rPr>
            </w:pPr>
            <w:r>
              <w:rPr>
                <w:bCs/>
                <w:kern w:val="44"/>
                <w:sz w:val="24"/>
                <w:szCs w:val="32"/>
              </w:rPr>
              <w:t>运营期</w:t>
            </w:r>
          </w:p>
        </w:tc>
        <w:tc>
          <w:tcPr>
            <w:tcW w:w="669" w:type="pct"/>
            <w:vAlign w:val="center"/>
          </w:tcPr>
          <w:p w14:paraId="6588990E">
            <w:pPr>
              <w:pStyle w:val="19"/>
              <w:spacing w:before="120" w:after="120"/>
              <w:rPr>
                <w:bCs/>
                <w:kern w:val="44"/>
                <w:sz w:val="24"/>
                <w:szCs w:val="32"/>
              </w:rPr>
            </w:pPr>
            <w:r>
              <w:rPr>
                <w:bCs/>
                <w:kern w:val="44"/>
                <w:sz w:val="24"/>
                <w:szCs w:val="32"/>
              </w:rPr>
              <w:t>施工机械和车辆运输</w:t>
            </w:r>
          </w:p>
        </w:tc>
        <w:tc>
          <w:tcPr>
            <w:tcW w:w="751" w:type="pct"/>
            <w:vAlign w:val="center"/>
          </w:tcPr>
          <w:p w14:paraId="44A30B60">
            <w:pPr>
              <w:pStyle w:val="19"/>
              <w:spacing w:before="120" w:after="120"/>
              <w:rPr>
                <w:bCs/>
                <w:kern w:val="44"/>
                <w:sz w:val="24"/>
                <w:szCs w:val="32"/>
              </w:rPr>
            </w:pPr>
            <w:r>
              <w:rPr>
                <w:bCs/>
                <w:kern w:val="44"/>
                <w:sz w:val="24"/>
                <w:szCs w:val="32"/>
              </w:rPr>
              <w:t>噪声</w:t>
            </w:r>
          </w:p>
        </w:tc>
        <w:tc>
          <w:tcPr>
            <w:tcW w:w="1906" w:type="pct"/>
            <w:vAlign w:val="center"/>
          </w:tcPr>
          <w:p w14:paraId="7B9F7828">
            <w:pPr>
              <w:pStyle w:val="19"/>
              <w:spacing w:before="120" w:after="120"/>
              <w:rPr>
                <w:bCs/>
                <w:kern w:val="44"/>
                <w:sz w:val="24"/>
                <w:szCs w:val="32"/>
              </w:rPr>
            </w:pPr>
            <w:r>
              <w:rPr>
                <w:bCs/>
                <w:kern w:val="44"/>
                <w:sz w:val="24"/>
                <w:szCs w:val="32"/>
              </w:rPr>
              <w:t>加强维护管理</w:t>
            </w:r>
            <w:r>
              <w:rPr>
                <w:rFonts w:hint="eastAsia"/>
                <w:bCs/>
                <w:kern w:val="44"/>
                <w:sz w:val="24"/>
                <w:szCs w:val="32"/>
              </w:rPr>
              <w:t>，</w:t>
            </w:r>
            <w:r>
              <w:rPr>
                <w:bCs/>
                <w:kern w:val="44"/>
                <w:sz w:val="24"/>
                <w:szCs w:val="32"/>
              </w:rPr>
              <w:t>严禁超速、超负荷运行</w:t>
            </w:r>
            <w:r>
              <w:rPr>
                <w:rFonts w:hint="eastAsia"/>
                <w:bCs/>
                <w:kern w:val="44"/>
                <w:sz w:val="24"/>
                <w:szCs w:val="32"/>
              </w:rPr>
              <w:t>，</w:t>
            </w:r>
            <w:r>
              <w:rPr>
                <w:bCs/>
                <w:kern w:val="44"/>
                <w:sz w:val="24"/>
                <w:szCs w:val="32"/>
              </w:rPr>
              <w:t>使其处于良好运行工况</w:t>
            </w:r>
            <w:r>
              <w:rPr>
                <w:rFonts w:hint="eastAsia"/>
                <w:bCs/>
                <w:kern w:val="44"/>
                <w:sz w:val="24"/>
                <w:szCs w:val="32"/>
              </w:rPr>
              <w:t>，</w:t>
            </w:r>
            <w:r>
              <w:rPr>
                <w:bCs/>
                <w:kern w:val="44"/>
                <w:sz w:val="24"/>
                <w:szCs w:val="32"/>
              </w:rPr>
              <w:t>减小噪声的影响范围和程度</w:t>
            </w:r>
          </w:p>
        </w:tc>
        <w:tc>
          <w:tcPr>
            <w:tcW w:w="1022" w:type="pct"/>
            <w:vAlign w:val="center"/>
          </w:tcPr>
          <w:p w14:paraId="7DB844BC">
            <w:pPr>
              <w:pStyle w:val="19"/>
              <w:spacing w:before="120" w:after="120"/>
              <w:rPr>
                <w:bCs/>
                <w:kern w:val="44"/>
                <w:sz w:val="24"/>
                <w:szCs w:val="32"/>
              </w:rPr>
            </w:pPr>
            <w:r>
              <w:rPr>
                <w:bCs/>
                <w:kern w:val="44"/>
                <w:sz w:val="24"/>
                <w:szCs w:val="32"/>
              </w:rPr>
              <w:t>《工业企业厂界环境噪声排放标准》（GB12348</w:t>
            </w:r>
          </w:p>
          <w:p w14:paraId="17DC47EE">
            <w:pPr>
              <w:pStyle w:val="19"/>
              <w:spacing w:before="120" w:after="120"/>
              <w:rPr>
                <w:bCs/>
                <w:kern w:val="44"/>
                <w:sz w:val="24"/>
                <w:szCs w:val="32"/>
              </w:rPr>
            </w:pPr>
            <w:r>
              <w:rPr>
                <w:bCs/>
                <w:kern w:val="44"/>
                <w:sz w:val="24"/>
                <w:szCs w:val="32"/>
              </w:rPr>
              <w:t>-2008</w:t>
            </w:r>
            <w:r>
              <w:rPr>
                <w:rFonts w:hint="eastAsia"/>
                <w:bCs/>
                <w:kern w:val="44"/>
                <w:sz w:val="24"/>
                <w:szCs w:val="32"/>
              </w:rPr>
              <w:t>）</w:t>
            </w:r>
            <w:r>
              <w:rPr>
                <w:bCs/>
                <w:kern w:val="44"/>
                <w:sz w:val="24"/>
                <w:szCs w:val="32"/>
              </w:rPr>
              <w:t>3类标准</w:t>
            </w:r>
          </w:p>
        </w:tc>
      </w:tr>
      <w:tr w14:paraId="1A52B2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3" w:type="pct"/>
            <w:vAlign w:val="center"/>
          </w:tcPr>
          <w:p w14:paraId="1C56CF19">
            <w:pPr>
              <w:pStyle w:val="19"/>
              <w:spacing w:before="120" w:after="120"/>
              <w:rPr>
                <w:bCs/>
                <w:kern w:val="44"/>
                <w:sz w:val="24"/>
                <w:szCs w:val="32"/>
              </w:rPr>
            </w:pPr>
            <w:r>
              <w:rPr>
                <w:bCs/>
                <w:kern w:val="44"/>
                <w:sz w:val="24"/>
                <w:szCs w:val="32"/>
              </w:rPr>
              <w:t>电磁辐射</w:t>
            </w:r>
          </w:p>
        </w:tc>
        <w:tc>
          <w:tcPr>
            <w:tcW w:w="257" w:type="pct"/>
            <w:vAlign w:val="center"/>
          </w:tcPr>
          <w:p w14:paraId="6AD0D4C9">
            <w:pPr>
              <w:pStyle w:val="19"/>
              <w:spacing w:before="120" w:after="120"/>
              <w:rPr>
                <w:bCs/>
                <w:kern w:val="44"/>
                <w:sz w:val="24"/>
                <w:szCs w:val="32"/>
              </w:rPr>
            </w:pPr>
            <w:r>
              <w:rPr>
                <w:bCs/>
                <w:kern w:val="44"/>
                <w:sz w:val="24"/>
                <w:szCs w:val="32"/>
              </w:rPr>
              <w:t>/</w:t>
            </w:r>
          </w:p>
        </w:tc>
        <w:tc>
          <w:tcPr>
            <w:tcW w:w="669" w:type="pct"/>
            <w:vAlign w:val="center"/>
          </w:tcPr>
          <w:p w14:paraId="6ED6C8D2">
            <w:pPr>
              <w:pStyle w:val="19"/>
              <w:spacing w:before="120" w:after="120"/>
              <w:rPr>
                <w:bCs/>
                <w:kern w:val="44"/>
                <w:sz w:val="24"/>
                <w:szCs w:val="32"/>
              </w:rPr>
            </w:pPr>
            <w:r>
              <w:rPr>
                <w:bCs/>
                <w:kern w:val="44"/>
                <w:sz w:val="24"/>
                <w:szCs w:val="32"/>
              </w:rPr>
              <w:t>/</w:t>
            </w:r>
          </w:p>
        </w:tc>
        <w:tc>
          <w:tcPr>
            <w:tcW w:w="751" w:type="pct"/>
            <w:vAlign w:val="center"/>
          </w:tcPr>
          <w:p w14:paraId="56552F75">
            <w:pPr>
              <w:pStyle w:val="19"/>
              <w:spacing w:before="120" w:after="120"/>
              <w:rPr>
                <w:bCs/>
                <w:kern w:val="44"/>
                <w:sz w:val="24"/>
                <w:szCs w:val="32"/>
              </w:rPr>
            </w:pPr>
            <w:r>
              <w:rPr>
                <w:bCs/>
                <w:kern w:val="44"/>
                <w:sz w:val="24"/>
                <w:szCs w:val="32"/>
              </w:rPr>
              <w:t>/</w:t>
            </w:r>
          </w:p>
        </w:tc>
        <w:tc>
          <w:tcPr>
            <w:tcW w:w="1906" w:type="pct"/>
            <w:vAlign w:val="center"/>
          </w:tcPr>
          <w:p w14:paraId="4605616C">
            <w:pPr>
              <w:pStyle w:val="19"/>
              <w:spacing w:before="120" w:after="120"/>
              <w:rPr>
                <w:bCs/>
                <w:kern w:val="44"/>
                <w:sz w:val="24"/>
                <w:szCs w:val="32"/>
              </w:rPr>
            </w:pPr>
            <w:r>
              <w:rPr>
                <w:bCs/>
                <w:kern w:val="44"/>
                <w:sz w:val="24"/>
                <w:szCs w:val="32"/>
              </w:rPr>
              <w:t>/</w:t>
            </w:r>
          </w:p>
        </w:tc>
        <w:tc>
          <w:tcPr>
            <w:tcW w:w="1022" w:type="pct"/>
            <w:vAlign w:val="center"/>
          </w:tcPr>
          <w:p w14:paraId="5D9231DB">
            <w:pPr>
              <w:pStyle w:val="19"/>
              <w:spacing w:before="120" w:after="120"/>
              <w:rPr>
                <w:bCs/>
                <w:kern w:val="44"/>
                <w:sz w:val="24"/>
                <w:szCs w:val="32"/>
              </w:rPr>
            </w:pPr>
            <w:r>
              <w:rPr>
                <w:bCs/>
                <w:kern w:val="44"/>
                <w:sz w:val="24"/>
                <w:szCs w:val="32"/>
              </w:rPr>
              <w:t>/</w:t>
            </w:r>
          </w:p>
        </w:tc>
      </w:tr>
      <w:tr w14:paraId="097B89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3" w:type="pct"/>
            <w:vMerge w:val="restart"/>
            <w:vAlign w:val="center"/>
          </w:tcPr>
          <w:p w14:paraId="48703747">
            <w:pPr>
              <w:pStyle w:val="19"/>
              <w:spacing w:before="120" w:after="120"/>
              <w:rPr>
                <w:bCs/>
                <w:kern w:val="44"/>
                <w:sz w:val="24"/>
                <w:szCs w:val="32"/>
              </w:rPr>
            </w:pPr>
            <w:r>
              <w:rPr>
                <w:bCs/>
                <w:kern w:val="44"/>
                <w:sz w:val="24"/>
                <w:szCs w:val="32"/>
              </w:rPr>
              <w:t>固体废物</w:t>
            </w:r>
          </w:p>
        </w:tc>
        <w:tc>
          <w:tcPr>
            <w:tcW w:w="257" w:type="pct"/>
            <w:vMerge w:val="restart"/>
            <w:vAlign w:val="center"/>
          </w:tcPr>
          <w:p w14:paraId="270719E9">
            <w:pPr>
              <w:pStyle w:val="19"/>
              <w:spacing w:before="120" w:after="120"/>
              <w:rPr>
                <w:bCs/>
                <w:kern w:val="44"/>
                <w:sz w:val="24"/>
                <w:szCs w:val="32"/>
              </w:rPr>
            </w:pPr>
            <w:r>
              <w:rPr>
                <w:bCs/>
                <w:kern w:val="44"/>
                <w:sz w:val="24"/>
                <w:szCs w:val="32"/>
              </w:rPr>
              <w:t>施工期</w:t>
            </w:r>
          </w:p>
        </w:tc>
        <w:tc>
          <w:tcPr>
            <w:tcW w:w="669" w:type="pct"/>
            <w:vAlign w:val="center"/>
          </w:tcPr>
          <w:p w14:paraId="0A3C9D58">
            <w:pPr>
              <w:pStyle w:val="19"/>
              <w:spacing w:before="120" w:after="120"/>
              <w:rPr>
                <w:bCs/>
                <w:kern w:val="44"/>
                <w:sz w:val="24"/>
                <w:szCs w:val="32"/>
              </w:rPr>
            </w:pPr>
            <w:r>
              <w:rPr>
                <w:bCs/>
                <w:kern w:val="44"/>
                <w:sz w:val="24"/>
                <w:szCs w:val="32"/>
              </w:rPr>
              <w:t>施工作业</w:t>
            </w:r>
          </w:p>
        </w:tc>
        <w:tc>
          <w:tcPr>
            <w:tcW w:w="751" w:type="pct"/>
            <w:vAlign w:val="center"/>
          </w:tcPr>
          <w:p w14:paraId="754A8C24">
            <w:pPr>
              <w:pStyle w:val="19"/>
              <w:spacing w:before="120" w:after="120"/>
              <w:rPr>
                <w:sz w:val="24"/>
                <w:szCs w:val="21"/>
              </w:rPr>
            </w:pPr>
            <w:r>
              <w:rPr>
                <w:sz w:val="24"/>
                <w:szCs w:val="21"/>
              </w:rPr>
              <w:t>建筑垃圾</w:t>
            </w:r>
          </w:p>
        </w:tc>
        <w:tc>
          <w:tcPr>
            <w:tcW w:w="1906" w:type="pct"/>
            <w:vAlign w:val="center"/>
          </w:tcPr>
          <w:p w14:paraId="167D2C61">
            <w:pPr>
              <w:pStyle w:val="19"/>
              <w:spacing w:before="120" w:after="120"/>
              <w:rPr>
                <w:sz w:val="24"/>
                <w:szCs w:val="21"/>
              </w:rPr>
            </w:pPr>
            <w:r>
              <w:rPr>
                <w:rFonts w:hint="eastAsia"/>
                <w:sz w:val="24"/>
                <w:szCs w:val="21"/>
              </w:rPr>
              <w:t>建筑垃圾能回收利用予以回收利用，不能回收的要集中收集转运至建筑垃圾填埋场作消纳处理，不得随意堆放。</w:t>
            </w:r>
          </w:p>
        </w:tc>
        <w:tc>
          <w:tcPr>
            <w:tcW w:w="1022" w:type="pct"/>
            <w:vAlign w:val="center"/>
          </w:tcPr>
          <w:p w14:paraId="3DB965CB">
            <w:pPr>
              <w:pStyle w:val="19"/>
              <w:spacing w:before="120" w:after="120"/>
              <w:rPr>
                <w:bCs/>
                <w:kern w:val="44"/>
                <w:sz w:val="24"/>
                <w:szCs w:val="32"/>
              </w:rPr>
            </w:pPr>
            <w:r>
              <w:rPr>
                <w:bCs/>
                <w:kern w:val="44"/>
                <w:sz w:val="24"/>
                <w:szCs w:val="32"/>
              </w:rPr>
              <w:t>合理处置</w:t>
            </w:r>
          </w:p>
        </w:tc>
      </w:tr>
      <w:tr w14:paraId="2F9E1F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3" w:type="pct"/>
            <w:vMerge w:val="continue"/>
            <w:vAlign w:val="center"/>
          </w:tcPr>
          <w:p w14:paraId="6094BB66">
            <w:pPr>
              <w:pStyle w:val="19"/>
              <w:spacing w:before="120" w:after="120"/>
              <w:rPr>
                <w:bCs/>
                <w:kern w:val="44"/>
                <w:sz w:val="24"/>
                <w:szCs w:val="32"/>
              </w:rPr>
            </w:pPr>
          </w:p>
        </w:tc>
        <w:tc>
          <w:tcPr>
            <w:tcW w:w="257" w:type="pct"/>
            <w:vMerge w:val="continue"/>
            <w:vAlign w:val="center"/>
          </w:tcPr>
          <w:p w14:paraId="2515ABBF">
            <w:pPr>
              <w:pStyle w:val="19"/>
              <w:spacing w:before="120" w:after="120"/>
              <w:rPr>
                <w:bCs/>
                <w:kern w:val="44"/>
                <w:sz w:val="24"/>
                <w:szCs w:val="32"/>
              </w:rPr>
            </w:pPr>
          </w:p>
        </w:tc>
        <w:tc>
          <w:tcPr>
            <w:tcW w:w="669" w:type="pct"/>
            <w:vAlign w:val="center"/>
          </w:tcPr>
          <w:p w14:paraId="4E2B6494">
            <w:pPr>
              <w:pStyle w:val="19"/>
              <w:spacing w:before="120" w:after="120"/>
              <w:rPr>
                <w:bCs/>
                <w:kern w:val="44"/>
                <w:sz w:val="24"/>
                <w:szCs w:val="32"/>
              </w:rPr>
            </w:pPr>
            <w:r>
              <w:rPr>
                <w:bCs/>
                <w:kern w:val="44"/>
                <w:sz w:val="24"/>
                <w:szCs w:val="32"/>
              </w:rPr>
              <w:t>施工人员</w:t>
            </w:r>
          </w:p>
        </w:tc>
        <w:tc>
          <w:tcPr>
            <w:tcW w:w="751" w:type="pct"/>
            <w:vAlign w:val="center"/>
          </w:tcPr>
          <w:p w14:paraId="3858730D">
            <w:pPr>
              <w:pStyle w:val="19"/>
              <w:spacing w:before="120" w:after="120"/>
              <w:rPr>
                <w:bCs/>
                <w:kern w:val="44"/>
                <w:sz w:val="24"/>
                <w:szCs w:val="32"/>
              </w:rPr>
            </w:pPr>
            <w:r>
              <w:rPr>
                <w:bCs/>
                <w:kern w:val="44"/>
                <w:sz w:val="24"/>
                <w:szCs w:val="32"/>
              </w:rPr>
              <w:t>生活垃圾</w:t>
            </w:r>
          </w:p>
        </w:tc>
        <w:tc>
          <w:tcPr>
            <w:tcW w:w="1906" w:type="pct"/>
            <w:vAlign w:val="center"/>
          </w:tcPr>
          <w:p w14:paraId="446CCCEF">
            <w:pPr>
              <w:pStyle w:val="19"/>
              <w:spacing w:before="120" w:after="120"/>
              <w:rPr>
                <w:bCs/>
                <w:kern w:val="44"/>
                <w:sz w:val="24"/>
                <w:szCs w:val="32"/>
              </w:rPr>
            </w:pPr>
            <w:r>
              <w:rPr>
                <w:bCs/>
                <w:kern w:val="44"/>
                <w:sz w:val="24"/>
                <w:szCs w:val="32"/>
              </w:rPr>
              <w:t>施工人员在此生活期间产生的生活垃圾要集中定点收集</w:t>
            </w:r>
            <w:r>
              <w:rPr>
                <w:rFonts w:hint="eastAsia"/>
                <w:bCs/>
                <w:kern w:val="44"/>
                <w:sz w:val="24"/>
                <w:szCs w:val="32"/>
              </w:rPr>
              <w:t>，</w:t>
            </w:r>
            <w:r>
              <w:rPr>
                <w:bCs/>
                <w:kern w:val="44"/>
                <w:sz w:val="24"/>
                <w:szCs w:val="32"/>
              </w:rPr>
              <w:t>定期由环卫部门清运</w:t>
            </w:r>
            <w:r>
              <w:rPr>
                <w:rFonts w:hint="eastAsia"/>
                <w:bCs/>
                <w:kern w:val="44"/>
                <w:sz w:val="24"/>
                <w:szCs w:val="32"/>
              </w:rPr>
              <w:t>，</w:t>
            </w:r>
            <w:r>
              <w:rPr>
                <w:bCs/>
                <w:kern w:val="44"/>
                <w:sz w:val="24"/>
                <w:szCs w:val="32"/>
              </w:rPr>
              <w:t>不得任意堆放和丢弃。</w:t>
            </w:r>
          </w:p>
        </w:tc>
        <w:tc>
          <w:tcPr>
            <w:tcW w:w="1022" w:type="pct"/>
            <w:vAlign w:val="center"/>
          </w:tcPr>
          <w:p w14:paraId="7C07F52F">
            <w:pPr>
              <w:pStyle w:val="19"/>
              <w:spacing w:before="120" w:after="120"/>
              <w:rPr>
                <w:bCs/>
                <w:kern w:val="44"/>
                <w:sz w:val="24"/>
                <w:szCs w:val="32"/>
              </w:rPr>
            </w:pPr>
            <w:r>
              <w:rPr>
                <w:bCs/>
                <w:kern w:val="44"/>
                <w:sz w:val="24"/>
                <w:szCs w:val="32"/>
              </w:rPr>
              <w:t>合理处置</w:t>
            </w:r>
          </w:p>
        </w:tc>
      </w:tr>
      <w:tr w14:paraId="4D7ECD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4" w:hRule="atLeast"/>
          <w:jc w:val="center"/>
        </w:trPr>
        <w:tc>
          <w:tcPr>
            <w:tcW w:w="393" w:type="pct"/>
            <w:vMerge w:val="continue"/>
            <w:vAlign w:val="center"/>
          </w:tcPr>
          <w:p w14:paraId="070D8FAF">
            <w:pPr>
              <w:pStyle w:val="19"/>
              <w:spacing w:before="120" w:after="120"/>
              <w:rPr>
                <w:bCs/>
                <w:kern w:val="44"/>
                <w:sz w:val="24"/>
                <w:szCs w:val="32"/>
              </w:rPr>
            </w:pPr>
          </w:p>
        </w:tc>
        <w:tc>
          <w:tcPr>
            <w:tcW w:w="257" w:type="pct"/>
            <w:vMerge w:val="restart"/>
            <w:vAlign w:val="center"/>
          </w:tcPr>
          <w:p w14:paraId="03153995">
            <w:pPr>
              <w:pStyle w:val="19"/>
              <w:spacing w:before="120" w:after="120"/>
              <w:rPr>
                <w:bCs/>
                <w:kern w:val="44"/>
                <w:sz w:val="24"/>
                <w:szCs w:val="32"/>
              </w:rPr>
            </w:pPr>
            <w:r>
              <w:rPr>
                <w:bCs/>
                <w:kern w:val="44"/>
                <w:sz w:val="24"/>
                <w:szCs w:val="32"/>
              </w:rPr>
              <w:t>运营期</w:t>
            </w:r>
          </w:p>
        </w:tc>
        <w:tc>
          <w:tcPr>
            <w:tcW w:w="669" w:type="pct"/>
            <w:vAlign w:val="center"/>
          </w:tcPr>
          <w:p w14:paraId="15E9E2B3">
            <w:pPr>
              <w:pStyle w:val="19"/>
              <w:spacing w:before="120" w:after="120"/>
              <w:rPr>
                <w:bCs/>
                <w:kern w:val="44"/>
                <w:sz w:val="24"/>
                <w:szCs w:val="32"/>
              </w:rPr>
            </w:pPr>
            <w:r>
              <w:rPr>
                <w:rFonts w:hint="eastAsia"/>
                <w:bCs/>
                <w:kern w:val="44"/>
                <w:sz w:val="24"/>
                <w:szCs w:val="32"/>
              </w:rPr>
              <w:t>员工生活</w:t>
            </w:r>
          </w:p>
        </w:tc>
        <w:tc>
          <w:tcPr>
            <w:tcW w:w="751" w:type="pct"/>
            <w:vAlign w:val="center"/>
          </w:tcPr>
          <w:p w14:paraId="192177F3">
            <w:pPr>
              <w:pStyle w:val="19"/>
              <w:spacing w:before="120" w:after="120"/>
              <w:rPr>
                <w:bCs/>
                <w:kern w:val="44"/>
                <w:sz w:val="24"/>
                <w:szCs w:val="32"/>
              </w:rPr>
            </w:pPr>
            <w:r>
              <w:rPr>
                <w:sz w:val="24"/>
                <w:szCs w:val="21"/>
              </w:rPr>
              <w:t>生活垃圾</w:t>
            </w:r>
          </w:p>
        </w:tc>
        <w:tc>
          <w:tcPr>
            <w:tcW w:w="1906" w:type="pct"/>
            <w:vAlign w:val="center"/>
          </w:tcPr>
          <w:p w14:paraId="23E3350F">
            <w:pPr>
              <w:pStyle w:val="19"/>
              <w:spacing w:before="120" w:after="120"/>
              <w:rPr>
                <w:bCs/>
                <w:kern w:val="44"/>
                <w:sz w:val="24"/>
                <w:szCs w:val="32"/>
              </w:rPr>
            </w:pPr>
            <w:r>
              <w:rPr>
                <w:rFonts w:hint="eastAsia"/>
                <w:sz w:val="24"/>
                <w:szCs w:val="21"/>
              </w:rPr>
              <w:t>生活垃圾</w:t>
            </w:r>
            <w:r>
              <w:rPr>
                <w:sz w:val="24"/>
                <w:szCs w:val="21"/>
              </w:rPr>
              <w:t>由环卫部门统一收集并处置</w:t>
            </w:r>
            <w:r>
              <w:rPr>
                <w:rFonts w:hint="eastAsia"/>
                <w:sz w:val="24"/>
                <w:szCs w:val="21"/>
              </w:rPr>
              <w:t>。</w:t>
            </w:r>
          </w:p>
        </w:tc>
        <w:tc>
          <w:tcPr>
            <w:tcW w:w="1022" w:type="pct"/>
            <w:vMerge w:val="restart"/>
            <w:vAlign w:val="center"/>
          </w:tcPr>
          <w:p w14:paraId="5757CC9C">
            <w:pPr>
              <w:pStyle w:val="19"/>
              <w:spacing w:before="120" w:after="120"/>
              <w:rPr>
                <w:bCs/>
                <w:kern w:val="44"/>
                <w:sz w:val="24"/>
                <w:szCs w:val="32"/>
              </w:rPr>
            </w:pPr>
            <w:r>
              <w:rPr>
                <w:bCs/>
                <w:kern w:val="44"/>
                <w:sz w:val="24"/>
                <w:szCs w:val="32"/>
              </w:rPr>
              <w:t>合理处置</w:t>
            </w:r>
          </w:p>
        </w:tc>
      </w:tr>
      <w:tr w14:paraId="4A94FC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3" w:type="pct"/>
            <w:vMerge w:val="continue"/>
            <w:vAlign w:val="center"/>
          </w:tcPr>
          <w:p w14:paraId="7D32F5E0">
            <w:pPr>
              <w:pStyle w:val="19"/>
              <w:spacing w:before="120" w:after="120"/>
              <w:rPr>
                <w:bCs/>
                <w:kern w:val="44"/>
                <w:sz w:val="24"/>
                <w:szCs w:val="32"/>
              </w:rPr>
            </w:pPr>
          </w:p>
        </w:tc>
        <w:tc>
          <w:tcPr>
            <w:tcW w:w="257" w:type="pct"/>
            <w:vMerge w:val="continue"/>
            <w:vAlign w:val="center"/>
          </w:tcPr>
          <w:p w14:paraId="0A5451A2">
            <w:pPr>
              <w:pStyle w:val="19"/>
              <w:spacing w:before="120" w:after="120"/>
              <w:rPr>
                <w:bCs/>
                <w:kern w:val="44"/>
                <w:sz w:val="24"/>
                <w:szCs w:val="32"/>
              </w:rPr>
            </w:pPr>
          </w:p>
        </w:tc>
        <w:tc>
          <w:tcPr>
            <w:tcW w:w="669" w:type="pct"/>
            <w:vMerge w:val="restart"/>
            <w:vAlign w:val="center"/>
          </w:tcPr>
          <w:p w14:paraId="78AE23AD">
            <w:pPr>
              <w:pStyle w:val="19"/>
              <w:spacing w:before="120" w:after="120"/>
              <w:rPr>
                <w:bCs/>
                <w:kern w:val="44"/>
                <w:sz w:val="24"/>
                <w:szCs w:val="32"/>
              </w:rPr>
            </w:pPr>
            <w:r>
              <w:rPr>
                <w:rFonts w:hint="eastAsia"/>
                <w:bCs/>
                <w:kern w:val="44"/>
                <w:sz w:val="24"/>
                <w:szCs w:val="32"/>
              </w:rPr>
              <w:t>车辆维修</w:t>
            </w:r>
          </w:p>
        </w:tc>
        <w:tc>
          <w:tcPr>
            <w:tcW w:w="751" w:type="pct"/>
            <w:vAlign w:val="center"/>
          </w:tcPr>
          <w:p w14:paraId="7976CF08">
            <w:pPr>
              <w:pStyle w:val="19"/>
              <w:spacing w:before="120" w:after="120"/>
              <w:rPr>
                <w:bCs/>
                <w:kern w:val="44"/>
                <w:sz w:val="24"/>
                <w:szCs w:val="32"/>
              </w:rPr>
            </w:pPr>
            <w:r>
              <w:rPr>
                <w:rFonts w:hint="eastAsia"/>
                <w:sz w:val="24"/>
                <w:szCs w:val="21"/>
              </w:rPr>
              <w:t>车辆废弃零件</w:t>
            </w:r>
          </w:p>
        </w:tc>
        <w:tc>
          <w:tcPr>
            <w:tcW w:w="1906" w:type="pct"/>
            <w:vAlign w:val="center"/>
          </w:tcPr>
          <w:p w14:paraId="19855C2D">
            <w:pPr>
              <w:pStyle w:val="19"/>
              <w:spacing w:before="120" w:after="120"/>
              <w:rPr>
                <w:bCs/>
                <w:kern w:val="44"/>
                <w:sz w:val="24"/>
                <w:szCs w:val="32"/>
              </w:rPr>
            </w:pPr>
            <w:r>
              <w:rPr>
                <w:rFonts w:hint="eastAsia"/>
                <w:sz w:val="24"/>
                <w:szCs w:val="21"/>
              </w:rPr>
              <w:t>车辆废弃零件经收集后外售综合利用。</w:t>
            </w:r>
          </w:p>
        </w:tc>
        <w:tc>
          <w:tcPr>
            <w:tcW w:w="1022" w:type="pct"/>
            <w:vMerge w:val="continue"/>
            <w:vAlign w:val="center"/>
          </w:tcPr>
          <w:p w14:paraId="404C90AA">
            <w:pPr>
              <w:pStyle w:val="19"/>
              <w:spacing w:before="120" w:after="120"/>
              <w:rPr>
                <w:bCs/>
                <w:kern w:val="44"/>
                <w:sz w:val="24"/>
                <w:szCs w:val="32"/>
              </w:rPr>
            </w:pPr>
          </w:p>
        </w:tc>
      </w:tr>
      <w:tr w14:paraId="03D8F2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2" w:hRule="atLeast"/>
          <w:jc w:val="center"/>
        </w:trPr>
        <w:tc>
          <w:tcPr>
            <w:tcW w:w="393" w:type="pct"/>
            <w:vMerge w:val="continue"/>
            <w:vAlign w:val="center"/>
          </w:tcPr>
          <w:p w14:paraId="6200E92E">
            <w:pPr>
              <w:pStyle w:val="19"/>
              <w:spacing w:before="120" w:after="120"/>
              <w:rPr>
                <w:bCs/>
                <w:kern w:val="44"/>
                <w:sz w:val="24"/>
                <w:szCs w:val="32"/>
              </w:rPr>
            </w:pPr>
            <w:r>
              <w:rPr>
                <w:rFonts w:hint="eastAsia"/>
                <w:bCs/>
                <w:kern w:val="44"/>
                <w:sz w:val="24"/>
                <w:szCs w:val="32"/>
              </w:rPr>
              <w:t>、</w:t>
            </w:r>
          </w:p>
        </w:tc>
        <w:tc>
          <w:tcPr>
            <w:tcW w:w="257" w:type="pct"/>
            <w:vMerge w:val="continue"/>
            <w:vAlign w:val="center"/>
          </w:tcPr>
          <w:p w14:paraId="39EA1331">
            <w:pPr>
              <w:pStyle w:val="19"/>
              <w:spacing w:before="120" w:after="120"/>
              <w:rPr>
                <w:bCs/>
                <w:kern w:val="44"/>
                <w:sz w:val="24"/>
                <w:szCs w:val="32"/>
              </w:rPr>
            </w:pPr>
          </w:p>
        </w:tc>
        <w:tc>
          <w:tcPr>
            <w:tcW w:w="669" w:type="pct"/>
            <w:vMerge w:val="continue"/>
            <w:vAlign w:val="center"/>
          </w:tcPr>
          <w:p w14:paraId="35D784FC">
            <w:pPr>
              <w:pStyle w:val="19"/>
              <w:spacing w:before="120" w:after="120"/>
              <w:rPr>
                <w:bCs/>
                <w:kern w:val="44"/>
                <w:sz w:val="24"/>
                <w:szCs w:val="32"/>
              </w:rPr>
            </w:pPr>
          </w:p>
        </w:tc>
        <w:tc>
          <w:tcPr>
            <w:tcW w:w="751" w:type="pct"/>
            <w:vAlign w:val="center"/>
          </w:tcPr>
          <w:p w14:paraId="10518017">
            <w:pPr>
              <w:pStyle w:val="19"/>
              <w:spacing w:before="120" w:after="120"/>
              <w:rPr>
                <w:bCs/>
                <w:kern w:val="44"/>
                <w:sz w:val="24"/>
                <w:szCs w:val="32"/>
              </w:rPr>
            </w:pPr>
            <w:r>
              <w:rPr>
                <w:rFonts w:hint="eastAsia"/>
                <w:sz w:val="24"/>
                <w:szCs w:val="21"/>
              </w:rPr>
              <w:t>废机油、废手套、</w:t>
            </w:r>
            <w:r>
              <w:rPr>
                <w:rFonts w:hint="eastAsia"/>
                <w:lang w:val="en-US" w:eastAsia="zh-CN"/>
              </w:rPr>
              <w:t>废油桶、</w:t>
            </w:r>
            <w:r>
              <w:rPr>
                <w:rFonts w:hint="eastAsia"/>
                <w:sz w:val="24"/>
                <w:szCs w:val="21"/>
              </w:rPr>
              <w:t>含油废抹布</w:t>
            </w:r>
          </w:p>
        </w:tc>
        <w:tc>
          <w:tcPr>
            <w:tcW w:w="1906" w:type="pct"/>
            <w:vAlign w:val="center"/>
          </w:tcPr>
          <w:p w14:paraId="2E90C61F">
            <w:pPr>
              <w:pStyle w:val="19"/>
              <w:spacing w:before="120" w:after="120"/>
              <w:rPr>
                <w:bCs/>
                <w:kern w:val="44"/>
                <w:sz w:val="24"/>
                <w:szCs w:val="32"/>
              </w:rPr>
            </w:pPr>
            <w:r>
              <w:rPr>
                <w:rFonts w:hint="eastAsia"/>
                <w:sz w:val="24"/>
                <w:szCs w:val="21"/>
              </w:rPr>
              <w:t>废机油、废手套、含油废抹布需</w:t>
            </w:r>
            <w:r>
              <w:rPr>
                <w:sz w:val="24"/>
                <w:szCs w:val="21"/>
              </w:rPr>
              <w:t>经专门的收集桶收集后放置在危废暂存间中暂存</w:t>
            </w:r>
            <w:r>
              <w:rPr>
                <w:rFonts w:hint="eastAsia"/>
                <w:sz w:val="24"/>
                <w:szCs w:val="21"/>
              </w:rPr>
              <w:t>，</w:t>
            </w:r>
            <w:r>
              <w:rPr>
                <w:sz w:val="24"/>
                <w:szCs w:val="21"/>
              </w:rPr>
              <w:t>按危险废物管理有关规定送至有资质的单位进行处理。</w:t>
            </w:r>
          </w:p>
        </w:tc>
        <w:tc>
          <w:tcPr>
            <w:tcW w:w="1022" w:type="pct"/>
            <w:vMerge w:val="continue"/>
            <w:vAlign w:val="center"/>
          </w:tcPr>
          <w:p w14:paraId="6FE0B48A">
            <w:pPr>
              <w:pStyle w:val="19"/>
              <w:spacing w:before="120" w:after="120"/>
              <w:rPr>
                <w:bCs/>
                <w:kern w:val="44"/>
                <w:sz w:val="24"/>
                <w:szCs w:val="32"/>
              </w:rPr>
            </w:pPr>
          </w:p>
        </w:tc>
      </w:tr>
      <w:tr w14:paraId="45B959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650" w:type="pct"/>
            <w:gridSpan w:val="2"/>
            <w:vAlign w:val="center"/>
          </w:tcPr>
          <w:p w14:paraId="36D9F2CC">
            <w:pPr>
              <w:pStyle w:val="19"/>
              <w:spacing w:before="120" w:after="120"/>
              <w:rPr>
                <w:bCs/>
                <w:kern w:val="44"/>
                <w:sz w:val="24"/>
                <w:szCs w:val="32"/>
              </w:rPr>
            </w:pPr>
            <w:r>
              <w:rPr>
                <w:rFonts w:hint="eastAsia"/>
                <w:bCs/>
                <w:kern w:val="44"/>
                <w:sz w:val="24"/>
                <w:szCs w:val="32"/>
              </w:rPr>
              <w:t>土壤及地下水污染防治措施</w:t>
            </w:r>
          </w:p>
        </w:tc>
        <w:tc>
          <w:tcPr>
            <w:tcW w:w="4349" w:type="pct"/>
            <w:gridSpan w:val="4"/>
            <w:vAlign w:val="center"/>
          </w:tcPr>
          <w:p w14:paraId="788BD9F0">
            <w:pPr>
              <w:ind w:firstLine="480"/>
            </w:pPr>
            <w:r>
              <w:rPr>
                <w:rFonts w:hint="eastAsia"/>
              </w:rPr>
              <w:t>项目土壤及地下水污染防治坚持“注重源头控制、强化监测手段、污水集中处理、完善应急响应系统建设”为原则，以主动控制为宗旨，避免废水泄漏事故及防渗措施失效事故的发生，若发生事故，则采取应急响应处理办法，尽最快速度处理，严防污染物进入土壤与地下水，造成不良影响。项目运营期产生的废水主要是员工生活污水、洗车污水和消防废水，污染防治措施如下：</w:t>
            </w:r>
          </w:p>
          <w:p w14:paraId="4E6EE670">
            <w:pPr>
              <w:numPr>
                <w:ilvl w:val="0"/>
                <w:numId w:val="11"/>
              </w:numPr>
              <w:ind w:firstLine="480"/>
            </w:pPr>
            <w:r>
              <w:rPr>
                <w:rFonts w:hint="eastAsia"/>
              </w:rPr>
              <w:t>生活污水满足《污水综合排放标准》（GB8978-1996）三级标准及</w:t>
            </w:r>
            <w:r>
              <w:t>园区生活污水处理厂接管标准后</w:t>
            </w:r>
            <w:r>
              <w:rPr>
                <w:rFonts w:hint="eastAsia"/>
              </w:rPr>
              <w:t>，排入园区生活污水管网，不外排。</w:t>
            </w:r>
          </w:p>
          <w:p w14:paraId="5ED3C683">
            <w:pPr>
              <w:numPr>
                <w:ilvl w:val="0"/>
                <w:numId w:val="11"/>
              </w:numPr>
              <w:bidi w:val="0"/>
            </w:pPr>
            <w:r>
              <w:rPr>
                <w:rFonts w:hint="eastAsia"/>
              </w:rPr>
              <w:t>洗车污水经一体化处理设施处理</w:t>
            </w:r>
            <w:r>
              <w:rPr>
                <w:rFonts w:hint="eastAsia"/>
                <w:lang w:eastAsia="zh-CN"/>
              </w:rPr>
              <w:t>，</w:t>
            </w:r>
            <w:r>
              <w:rPr>
                <w:rFonts w:hint="eastAsia"/>
                <w:lang w:val="en-US" w:eastAsia="zh-CN"/>
              </w:rPr>
              <w:t>满足《城市污水再生利用 城市杂用水水质》（GB/T18920-2020）标准后，</w:t>
            </w:r>
            <w:r>
              <w:rPr>
                <w:rFonts w:hint="eastAsia"/>
              </w:rPr>
              <w:t>回用于洗车</w:t>
            </w:r>
            <w:r>
              <w:rPr>
                <w:rFonts w:hint="eastAsia"/>
                <w:lang w:eastAsia="zh-CN"/>
              </w:rPr>
              <w:t>，</w:t>
            </w:r>
            <w:r>
              <w:rPr>
                <w:rFonts w:hint="eastAsia"/>
              </w:rPr>
              <w:t>不外排。</w:t>
            </w:r>
          </w:p>
          <w:p w14:paraId="63F055F6">
            <w:pPr>
              <w:numPr>
                <w:ilvl w:val="0"/>
                <w:numId w:val="11"/>
              </w:numPr>
              <w:ind w:firstLine="480"/>
              <w:rPr>
                <w:bCs/>
                <w:kern w:val="44"/>
                <w:szCs w:val="32"/>
              </w:rPr>
            </w:pPr>
            <w:r>
              <w:rPr>
                <w:rFonts w:hint="eastAsia"/>
              </w:rPr>
              <w:t>消防废水产生后收集至事故水池，事故后将废水送至工业污水处理</w:t>
            </w:r>
            <w:r>
              <w:t>厂处理</w:t>
            </w:r>
            <w:r>
              <w:rPr>
                <w:rFonts w:hint="eastAsia"/>
              </w:rPr>
              <w:t>，不外排。</w:t>
            </w:r>
          </w:p>
          <w:p w14:paraId="48B56C4B">
            <w:pPr>
              <w:numPr>
                <w:ilvl w:val="0"/>
                <w:numId w:val="11"/>
              </w:numPr>
              <w:ind w:firstLine="480"/>
              <w:rPr>
                <w:bCs/>
                <w:kern w:val="44"/>
                <w:szCs w:val="32"/>
              </w:rPr>
            </w:pPr>
            <w:r>
              <w:rPr>
                <w:rFonts w:hint="eastAsia"/>
              </w:rPr>
              <w:t>厂区设置分区防渗。危化车辆停车区、候检区、维修车间、洗车车间、危废暂存间、消防水池、消防泵房、事故水池和初期雨水池、一体化污水处理设备存放处、场区道路等均按照《危险废物贮存污染控制标准》（GB18597—</w:t>
            </w:r>
            <w:r>
              <w:t>2023</w:t>
            </w:r>
            <w:r>
              <w:rPr>
                <w:rFonts w:hint="eastAsia"/>
              </w:rPr>
              <w:t>）相关要求进行重点防渗，地面采用至少2mm厚HDPE或其他人工材料进行防渗处理，渗透系数不大于1.0×10</w:t>
            </w:r>
            <w:r>
              <w:rPr>
                <w:rFonts w:hint="eastAsia"/>
                <w:vertAlign w:val="superscript"/>
              </w:rPr>
              <w:t>-10</w:t>
            </w:r>
            <w:r>
              <w:rPr>
                <w:rFonts w:hint="eastAsia"/>
              </w:rPr>
              <w:t>cm/s。辅助用房、管理用房进行一般防渗，没有特别的防渗要求，但应采用水泥硬化地面。参照指定的防渗等级和防渗方法设置防渗，一般不会有污染物泄漏至含水层，不会对地下水及土壤环境造成污染。</w:t>
            </w:r>
          </w:p>
        </w:tc>
      </w:tr>
      <w:tr w14:paraId="473B5A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44" w:hRule="atLeast"/>
          <w:jc w:val="center"/>
        </w:trPr>
        <w:tc>
          <w:tcPr>
            <w:tcW w:w="650" w:type="pct"/>
            <w:gridSpan w:val="2"/>
            <w:vAlign w:val="center"/>
          </w:tcPr>
          <w:p w14:paraId="21C17A17">
            <w:pPr>
              <w:pStyle w:val="19"/>
              <w:spacing w:before="120" w:after="120"/>
              <w:rPr>
                <w:bCs/>
                <w:kern w:val="44"/>
                <w:sz w:val="24"/>
                <w:szCs w:val="32"/>
              </w:rPr>
            </w:pPr>
            <w:r>
              <w:rPr>
                <w:rFonts w:hint="eastAsia"/>
                <w:bCs/>
                <w:kern w:val="44"/>
                <w:sz w:val="24"/>
                <w:szCs w:val="32"/>
              </w:rPr>
              <w:t>生态保护措施</w:t>
            </w:r>
          </w:p>
        </w:tc>
        <w:tc>
          <w:tcPr>
            <w:tcW w:w="4349" w:type="pct"/>
            <w:gridSpan w:val="4"/>
            <w:vAlign w:val="center"/>
          </w:tcPr>
          <w:p w14:paraId="4069C3CB">
            <w:pPr>
              <w:ind w:firstLine="480"/>
              <w:rPr>
                <w:szCs w:val="28"/>
              </w:rPr>
            </w:pPr>
            <w:r>
              <w:rPr>
                <w:rFonts w:hint="eastAsia"/>
              </w:rPr>
              <w:t>无</w:t>
            </w:r>
          </w:p>
        </w:tc>
      </w:tr>
      <w:tr w14:paraId="1DCCDF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4" w:hRule="atLeast"/>
          <w:jc w:val="center"/>
        </w:trPr>
        <w:tc>
          <w:tcPr>
            <w:tcW w:w="650" w:type="pct"/>
            <w:gridSpan w:val="2"/>
            <w:vAlign w:val="center"/>
          </w:tcPr>
          <w:p w14:paraId="02A2365A">
            <w:pPr>
              <w:pStyle w:val="19"/>
              <w:spacing w:before="120" w:after="120"/>
              <w:rPr>
                <w:bCs/>
                <w:kern w:val="44"/>
                <w:sz w:val="24"/>
                <w:szCs w:val="32"/>
              </w:rPr>
            </w:pPr>
            <w:r>
              <w:rPr>
                <w:rFonts w:hint="eastAsia"/>
                <w:bCs/>
                <w:kern w:val="44"/>
                <w:sz w:val="24"/>
                <w:szCs w:val="32"/>
              </w:rPr>
              <w:t>环境风险防范措施</w:t>
            </w:r>
          </w:p>
        </w:tc>
        <w:tc>
          <w:tcPr>
            <w:tcW w:w="4349" w:type="pct"/>
            <w:gridSpan w:val="4"/>
            <w:vAlign w:val="center"/>
          </w:tcPr>
          <w:p w14:paraId="7D1F9CE2">
            <w:pPr>
              <w:numPr>
                <w:ilvl w:val="0"/>
                <w:numId w:val="12"/>
              </w:numPr>
              <w:ind w:firstLine="480"/>
            </w:pPr>
            <w:r>
              <w:rPr>
                <w:rFonts w:hint="eastAsia"/>
              </w:rPr>
              <w:t>强化风险意识、加强安全管理，严格按操作规程操作。</w:t>
            </w:r>
          </w:p>
          <w:p w14:paraId="403841FC">
            <w:pPr>
              <w:numPr>
                <w:ilvl w:val="0"/>
                <w:numId w:val="12"/>
              </w:numPr>
              <w:ind w:firstLine="480"/>
            </w:pPr>
            <w:r>
              <w:rPr>
                <w:rFonts w:hint="eastAsia"/>
              </w:rPr>
              <w:t>严格执行《建筑设计防火规范》等相关要求，按有关安全规定配备适用、有效和足够的消防器材，以便能再起火之初迅速扑灭。</w:t>
            </w:r>
          </w:p>
          <w:p w14:paraId="17B63837">
            <w:pPr>
              <w:numPr>
                <w:ilvl w:val="0"/>
                <w:numId w:val="12"/>
              </w:numPr>
              <w:ind w:firstLine="480"/>
            </w:pPr>
            <w:r>
              <w:rPr>
                <w:rFonts w:hint="eastAsia"/>
              </w:rPr>
              <w:t>制定突发环境事件应急预案，建立巡查制度。停车场道路实行人、货流分开，划出专用车辆行驶路线、限速标志等并严格执行，配套建设应急救援设施、救援通道、应急疏散避难所等防护设施，避免风险事故的发生。</w:t>
            </w:r>
          </w:p>
          <w:p w14:paraId="49110945">
            <w:pPr>
              <w:numPr>
                <w:ilvl w:val="0"/>
                <w:numId w:val="12"/>
              </w:numPr>
              <w:ind w:firstLine="480"/>
              <w:rPr>
                <w:bCs/>
                <w:kern w:val="44"/>
                <w:szCs w:val="32"/>
              </w:rPr>
            </w:pPr>
            <w:r>
              <w:rPr>
                <w:rFonts w:hint="eastAsia"/>
              </w:rPr>
              <w:t>加强对危险废物的管理，采取“三防”措施。</w:t>
            </w:r>
          </w:p>
          <w:p w14:paraId="48E4CF2B">
            <w:pPr>
              <w:numPr>
                <w:ilvl w:val="0"/>
                <w:numId w:val="12"/>
              </w:numPr>
              <w:ind w:firstLine="480"/>
              <w:rPr>
                <w:bCs/>
                <w:kern w:val="44"/>
                <w:szCs w:val="32"/>
              </w:rPr>
            </w:pPr>
            <w:r>
              <w:rPr>
                <w:rFonts w:hint="eastAsia"/>
              </w:rPr>
              <w:t>设置污水处理区、初期雨水池和事故水池、消防水池和消防水泵房等，采用合理的方式处理污废水。</w:t>
            </w:r>
          </w:p>
        </w:tc>
      </w:tr>
      <w:tr w14:paraId="56264C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64" w:hRule="atLeast"/>
          <w:jc w:val="center"/>
        </w:trPr>
        <w:tc>
          <w:tcPr>
            <w:tcW w:w="650" w:type="pct"/>
            <w:gridSpan w:val="2"/>
            <w:vAlign w:val="center"/>
          </w:tcPr>
          <w:p w14:paraId="4FCFBF56">
            <w:pPr>
              <w:pStyle w:val="19"/>
              <w:spacing w:before="120" w:after="120"/>
              <w:rPr>
                <w:bCs/>
                <w:kern w:val="44"/>
                <w:sz w:val="24"/>
                <w:szCs w:val="32"/>
              </w:rPr>
            </w:pPr>
            <w:r>
              <w:rPr>
                <w:bCs/>
                <w:kern w:val="44"/>
                <w:sz w:val="24"/>
                <w:szCs w:val="32"/>
              </w:rPr>
              <w:t>其他环境管理要求</w:t>
            </w:r>
          </w:p>
        </w:tc>
        <w:tc>
          <w:tcPr>
            <w:tcW w:w="4349" w:type="pct"/>
            <w:gridSpan w:val="4"/>
            <w:vAlign w:val="center"/>
          </w:tcPr>
          <w:p w14:paraId="3480842E">
            <w:pPr>
              <w:numPr>
                <w:ilvl w:val="0"/>
                <w:numId w:val="13"/>
              </w:numPr>
              <w:ind w:firstLine="480"/>
            </w:pPr>
            <w:r>
              <w:rPr>
                <w:rFonts w:hint="eastAsia"/>
              </w:rPr>
              <w:t>建立日常环境管理制度和环境管理工作计划。</w:t>
            </w:r>
          </w:p>
          <w:p w14:paraId="05A90E7F">
            <w:pPr>
              <w:numPr>
                <w:ilvl w:val="0"/>
                <w:numId w:val="13"/>
              </w:numPr>
              <w:ind w:firstLine="480"/>
            </w:pPr>
            <w:r>
              <w:rPr>
                <w:rFonts w:hint="eastAsia"/>
              </w:rPr>
              <w:t>加强环保设施运行管理维护，建立环保设施运行台账，确保环保设施正常运行及污染物稳定达标排放。</w:t>
            </w:r>
          </w:p>
          <w:p w14:paraId="28569966">
            <w:pPr>
              <w:numPr>
                <w:ilvl w:val="0"/>
                <w:numId w:val="13"/>
              </w:numPr>
              <w:ind w:firstLine="480"/>
            </w:pPr>
            <w:r>
              <w:t>落实</w:t>
            </w:r>
            <w:r>
              <w:rPr>
                <w:rFonts w:hint="eastAsia"/>
              </w:rPr>
              <w:t>“</w:t>
            </w:r>
            <w:r>
              <w:t>三同时</w:t>
            </w:r>
            <w:r>
              <w:rPr>
                <w:rFonts w:hint="eastAsia"/>
              </w:rPr>
              <w:t>”</w:t>
            </w:r>
            <w:r>
              <w:t>制度</w:t>
            </w:r>
            <w:r>
              <w:rPr>
                <w:rFonts w:hint="eastAsia"/>
              </w:rPr>
              <w:t>，</w:t>
            </w:r>
            <w:r>
              <w:t>完成项目竣工验收</w:t>
            </w:r>
            <w:r>
              <w:rPr>
                <w:rFonts w:hint="eastAsia"/>
              </w:rPr>
              <w:t>。</w:t>
            </w:r>
          </w:p>
          <w:p w14:paraId="7B6EDF9C">
            <w:pPr>
              <w:numPr>
                <w:ilvl w:val="0"/>
                <w:numId w:val="13"/>
              </w:numPr>
              <w:ind w:firstLine="480"/>
              <w:rPr>
                <w:bCs/>
                <w:kern w:val="44"/>
                <w:szCs w:val="32"/>
              </w:rPr>
            </w:pPr>
            <w:r>
              <w:t>编制突发环境风险事故应急预案并按相关要求落实</w:t>
            </w:r>
            <w:r>
              <w:rPr>
                <w:rFonts w:hint="eastAsia"/>
              </w:rPr>
              <w:t>。</w:t>
            </w:r>
          </w:p>
          <w:p w14:paraId="39D4A8CB">
            <w:pPr>
              <w:bidi w:val="0"/>
              <w:rPr>
                <w:rFonts w:hint="eastAsia"/>
              </w:rPr>
            </w:pPr>
          </w:p>
          <w:p w14:paraId="1E99699F">
            <w:pPr>
              <w:bidi w:val="0"/>
              <w:rPr>
                <w:rFonts w:hint="eastAsia"/>
              </w:rPr>
            </w:pPr>
          </w:p>
          <w:p w14:paraId="1F5FF5F2">
            <w:pPr>
              <w:bidi w:val="0"/>
              <w:rPr>
                <w:rFonts w:hint="eastAsia"/>
              </w:rPr>
            </w:pPr>
          </w:p>
          <w:p w14:paraId="623FA96F">
            <w:pPr>
              <w:bidi w:val="0"/>
              <w:rPr>
                <w:rFonts w:hint="eastAsia"/>
              </w:rPr>
            </w:pPr>
          </w:p>
          <w:p w14:paraId="19D8E1B3">
            <w:pPr>
              <w:bidi w:val="0"/>
              <w:rPr>
                <w:rFonts w:hint="eastAsia"/>
              </w:rPr>
            </w:pPr>
          </w:p>
          <w:p w14:paraId="709BC1CF">
            <w:pPr>
              <w:bidi w:val="0"/>
              <w:rPr>
                <w:rFonts w:hint="eastAsia"/>
              </w:rPr>
            </w:pPr>
          </w:p>
          <w:p w14:paraId="6CB4045D">
            <w:pPr>
              <w:bidi w:val="0"/>
              <w:rPr>
                <w:rFonts w:hint="eastAsia"/>
              </w:rPr>
            </w:pPr>
          </w:p>
          <w:p w14:paraId="3F4287CE">
            <w:pPr>
              <w:bidi w:val="0"/>
              <w:rPr>
                <w:rFonts w:hint="eastAsia"/>
              </w:rPr>
            </w:pPr>
          </w:p>
          <w:p w14:paraId="69ADB489">
            <w:pPr>
              <w:bidi w:val="0"/>
              <w:rPr>
                <w:rFonts w:hint="eastAsia"/>
              </w:rPr>
            </w:pPr>
          </w:p>
          <w:p w14:paraId="017A25B0">
            <w:pPr>
              <w:bidi w:val="0"/>
              <w:rPr>
                <w:rFonts w:hint="eastAsia"/>
              </w:rPr>
            </w:pPr>
          </w:p>
          <w:p w14:paraId="65ECD0FA">
            <w:pPr>
              <w:bidi w:val="0"/>
              <w:rPr>
                <w:rFonts w:hint="eastAsia"/>
              </w:rPr>
            </w:pPr>
          </w:p>
          <w:p w14:paraId="4D2CF4D0">
            <w:pPr>
              <w:bidi w:val="0"/>
              <w:rPr>
                <w:rFonts w:hint="eastAsia"/>
              </w:rPr>
            </w:pPr>
          </w:p>
          <w:p w14:paraId="3016D92D">
            <w:pPr>
              <w:bidi w:val="0"/>
              <w:rPr>
                <w:rFonts w:hint="eastAsia"/>
              </w:rPr>
            </w:pPr>
          </w:p>
          <w:p w14:paraId="105FC5BA">
            <w:pPr>
              <w:bidi w:val="0"/>
              <w:rPr>
                <w:rFonts w:hint="eastAsia"/>
              </w:rPr>
            </w:pPr>
          </w:p>
          <w:p w14:paraId="70A15353">
            <w:pPr>
              <w:bidi w:val="0"/>
              <w:rPr>
                <w:rFonts w:hint="eastAsia"/>
              </w:rPr>
            </w:pPr>
          </w:p>
          <w:p w14:paraId="5AD6B8B2">
            <w:pPr>
              <w:bidi w:val="0"/>
              <w:rPr>
                <w:rFonts w:hint="eastAsia"/>
              </w:rPr>
            </w:pPr>
          </w:p>
          <w:p w14:paraId="52A805B7">
            <w:pPr>
              <w:bidi w:val="0"/>
              <w:rPr>
                <w:rFonts w:hint="eastAsia"/>
              </w:rPr>
            </w:pPr>
          </w:p>
          <w:p w14:paraId="17B681A6">
            <w:pPr>
              <w:bidi w:val="0"/>
              <w:rPr>
                <w:rFonts w:hint="eastAsia"/>
              </w:rPr>
            </w:pPr>
          </w:p>
          <w:p w14:paraId="72F112C0">
            <w:pPr>
              <w:bidi w:val="0"/>
              <w:rPr>
                <w:rFonts w:hint="eastAsia"/>
              </w:rPr>
            </w:pPr>
          </w:p>
          <w:p w14:paraId="01B78AD1">
            <w:pPr>
              <w:bidi w:val="0"/>
              <w:rPr>
                <w:rFonts w:hint="eastAsia"/>
              </w:rPr>
            </w:pPr>
          </w:p>
          <w:p w14:paraId="3409EC01">
            <w:pPr>
              <w:bidi w:val="0"/>
              <w:rPr>
                <w:rFonts w:hint="eastAsia"/>
              </w:rPr>
            </w:pPr>
          </w:p>
        </w:tc>
      </w:tr>
    </w:tbl>
    <w:p w14:paraId="225ACC89">
      <w:pPr>
        <w:pStyle w:val="2"/>
        <w:rPr>
          <w:rFonts w:ascii="黑体" w:hAnsi="黑体"/>
          <w:snapToGrid w:val="0"/>
          <w:color w:val="auto"/>
        </w:rPr>
      </w:pPr>
      <w:r>
        <w:rPr>
          <w:snapToGrid w:val="0"/>
          <w:color w:val="auto"/>
        </w:rPr>
        <w:br w:type="page"/>
      </w:r>
      <w:bookmarkStart w:id="148" w:name="_Toc31431"/>
      <w:bookmarkStart w:id="149" w:name="_Toc28367"/>
      <w:r>
        <w:rPr>
          <w:rFonts w:hint="eastAsia" w:ascii="黑体" w:hAnsi="黑体"/>
          <w:snapToGrid w:val="0"/>
          <w:color w:val="auto"/>
        </w:rPr>
        <w:t>六、结论</w:t>
      </w:r>
      <w:bookmarkEnd w:id="148"/>
      <w:bookmarkEnd w:id="149"/>
    </w:p>
    <w:tbl>
      <w:tblPr>
        <w:tblStyle w:val="1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16A1B7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25" w:hRule="atLeast"/>
          <w:jc w:val="center"/>
        </w:trPr>
        <w:tc>
          <w:tcPr>
            <w:tcW w:w="8865" w:type="dxa"/>
          </w:tcPr>
          <w:p w14:paraId="386D3EC7">
            <w:pPr>
              <w:ind w:firstLine="480"/>
              <w:jc w:val="both"/>
              <w:rPr>
                <w:rFonts w:ascii="宋体" w:cs="宋体"/>
              </w:rPr>
            </w:pPr>
            <w:r>
              <w:rPr>
                <w:rFonts w:hint="eastAsia"/>
              </w:rPr>
              <w:t>本项目为</w:t>
            </w:r>
            <w:r>
              <w:rPr>
                <w:rFonts w:hint="eastAsia"/>
                <w:szCs w:val="21"/>
              </w:rPr>
              <w:t>鄂托克经济开发区蒙西产业园危险化学品运输车辆专用停车场项目，</w:t>
            </w:r>
            <w:r>
              <w:rPr>
                <w:rFonts w:hint="eastAsia"/>
              </w:rPr>
              <w:t>建设内容为危险化学品车辆专用停车场以及辅助设施。辅助设施包括危险化学品车辆</w:t>
            </w:r>
            <w:r>
              <w:t>候检区</w:t>
            </w:r>
            <w:r>
              <w:rPr>
                <w:rFonts w:hint="eastAsia"/>
              </w:rPr>
              <w:t>、</w:t>
            </w:r>
            <w:r>
              <w:t>综合管理用房</w:t>
            </w:r>
            <w:r>
              <w:rPr>
                <w:rFonts w:hint="eastAsia"/>
              </w:rPr>
              <w:t>、</w:t>
            </w:r>
            <w:r>
              <w:t>辅助用房</w:t>
            </w:r>
            <w:r>
              <w:rPr>
                <w:rFonts w:hint="eastAsia"/>
              </w:rPr>
              <w:t>、</w:t>
            </w:r>
            <w:r>
              <w:t>维修车间</w:t>
            </w:r>
            <w:r>
              <w:rPr>
                <w:rFonts w:hint="eastAsia"/>
              </w:rPr>
              <w:t>、洗车车间、危废暂存间、消防</w:t>
            </w:r>
            <w:r>
              <w:t>水池</w:t>
            </w:r>
            <w:r>
              <w:rPr>
                <w:rFonts w:hint="eastAsia"/>
              </w:rPr>
              <w:t>、消防泵房、事故水池和初期雨水池、一体化</w:t>
            </w:r>
            <w:r>
              <w:t>污</w:t>
            </w:r>
            <w:r>
              <w:rPr>
                <w:rFonts w:hint="eastAsia"/>
              </w:rPr>
              <w:t>水处理设施等。项目位于</w:t>
            </w:r>
            <w:r>
              <w:rPr>
                <w:rFonts w:hint="eastAsia"/>
                <w:szCs w:val="21"/>
              </w:rPr>
              <w:t>鄂托克经济开发区蒙西产业园，</w:t>
            </w:r>
            <w:r>
              <w:rPr>
                <w:rFonts w:hint="eastAsia"/>
              </w:rPr>
              <w:t>符合国家产业政策，符合区域“三线一单”管控要求，符合相关环境保护规划，区域环境质量现状较好，可满足相应的环境功能区划要求，项目建设在采取有效的环境保护措施情况下，大气污染、水污染、噪声可实现达标排放，环境风险可控。</w:t>
            </w:r>
            <w:r>
              <w:t>从环境影响角度分析</w:t>
            </w:r>
            <w:r>
              <w:rPr>
                <w:rFonts w:hint="eastAsia"/>
              </w:rPr>
              <w:t>，</w:t>
            </w:r>
            <w:r>
              <w:t>本项目是可行的。</w:t>
            </w:r>
          </w:p>
        </w:tc>
      </w:tr>
    </w:tbl>
    <w:p w14:paraId="612198CE">
      <w:pPr>
        <w:ind w:firstLine="480"/>
        <w:rPr>
          <w:rFonts w:ascii="宋体"/>
        </w:rPr>
        <w:sectPr>
          <w:pgSz w:w="11906" w:h="16838"/>
          <w:pgMar w:top="1701" w:right="1531" w:bottom="1701" w:left="1531" w:header="851" w:footer="851" w:gutter="0"/>
          <w:cols w:space="720" w:num="1"/>
          <w:docGrid w:linePitch="312" w:charSpace="0"/>
        </w:sectPr>
      </w:pPr>
    </w:p>
    <w:p w14:paraId="7262C506">
      <w:pPr>
        <w:pStyle w:val="2"/>
        <w:jc w:val="left"/>
      </w:pPr>
      <w:bookmarkStart w:id="150" w:name="_Toc4665"/>
      <w:bookmarkStart w:id="151" w:name="_Toc26058"/>
      <w:r>
        <w:rPr>
          <w:rFonts w:hint="eastAsia"/>
        </w:rPr>
        <w:t>附表</w:t>
      </w:r>
      <w:bookmarkEnd w:id="150"/>
      <w:bookmarkEnd w:id="151"/>
    </w:p>
    <w:p w14:paraId="300ACC2C">
      <w:pPr>
        <w:ind w:firstLine="0" w:firstLineChars="0"/>
        <w:jc w:val="center"/>
        <w:rPr>
          <w:b/>
          <w:bCs/>
        </w:rPr>
      </w:pPr>
      <w:r>
        <w:rPr>
          <w:b/>
          <w:bCs/>
        </w:rPr>
        <w:t>建设项目污染物排放量汇总表</w:t>
      </w:r>
    </w:p>
    <w:tbl>
      <w:tblPr>
        <w:tblStyle w:val="15"/>
        <w:tblW w:w="4998"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68"/>
        <w:gridCol w:w="1703"/>
        <w:gridCol w:w="1633"/>
        <w:gridCol w:w="1218"/>
        <w:gridCol w:w="1633"/>
        <w:gridCol w:w="1496"/>
        <w:gridCol w:w="1693"/>
        <w:gridCol w:w="1887"/>
        <w:gridCol w:w="1056"/>
      </w:tblGrid>
      <w:tr w14:paraId="2ECAF1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433" w:type="pct"/>
            <w:tcBorders>
              <w:tl2br w:val="single" w:color="auto" w:sz="4" w:space="0"/>
            </w:tcBorders>
            <w:tcMar>
              <w:left w:w="28" w:type="dxa"/>
              <w:right w:w="28" w:type="dxa"/>
            </w:tcMar>
            <w:vAlign w:val="center"/>
          </w:tcPr>
          <w:p w14:paraId="2ECD6CF4">
            <w:pPr>
              <w:pStyle w:val="19"/>
              <w:spacing w:before="120" w:after="120"/>
              <w:jc w:val="right"/>
              <w:rPr>
                <w:bCs/>
                <w:kern w:val="44"/>
                <w:szCs w:val="30"/>
              </w:rPr>
            </w:pPr>
            <w:r>
              <w:rPr>
                <w:bCs/>
                <w:kern w:val="44"/>
                <w:szCs w:val="30"/>
              </w:rPr>
              <w:t>项目</w:t>
            </w:r>
          </w:p>
          <w:p w14:paraId="27E4560D">
            <w:pPr>
              <w:pStyle w:val="19"/>
              <w:spacing w:before="120" w:after="120"/>
              <w:jc w:val="left"/>
              <w:rPr>
                <w:bCs/>
                <w:kern w:val="44"/>
                <w:szCs w:val="30"/>
              </w:rPr>
            </w:pPr>
            <w:r>
              <w:rPr>
                <w:bCs/>
                <w:kern w:val="44"/>
                <w:szCs w:val="30"/>
              </w:rPr>
              <w:t>分类</w:t>
            </w:r>
          </w:p>
        </w:tc>
        <w:tc>
          <w:tcPr>
            <w:tcW w:w="631" w:type="pct"/>
            <w:tcMar>
              <w:left w:w="28" w:type="dxa"/>
              <w:right w:w="28" w:type="dxa"/>
            </w:tcMar>
            <w:vAlign w:val="center"/>
          </w:tcPr>
          <w:p w14:paraId="10B0771F">
            <w:pPr>
              <w:pStyle w:val="19"/>
              <w:spacing w:before="120" w:after="120"/>
              <w:rPr>
                <w:bCs/>
                <w:kern w:val="44"/>
                <w:szCs w:val="30"/>
              </w:rPr>
            </w:pPr>
            <w:r>
              <w:rPr>
                <w:bCs/>
                <w:kern w:val="44"/>
                <w:szCs w:val="30"/>
              </w:rPr>
              <w:t>污染物名称</w:t>
            </w:r>
          </w:p>
        </w:tc>
        <w:tc>
          <w:tcPr>
            <w:tcW w:w="605" w:type="pct"/>
            <w:tcMar>
              <w:left w:w="28" w:type="dxa"/>
              <w:right w:w="28" w:type="dxa"/>
            </w:tcMar>
            <w:vAlign w:val="center"/>
          </w:tcPr>
          <w:p w14:paraId="6D68BAD2">
            <w:pPr>
              <w:pStyle w:val="19"/>
              <w:spacing w:before="120" w:after="120"/>
              <w:rPr>
                <w:bCs/>
                <w:kern w:val="44"/>
                <w:szCs w:val="30"/>
              </w:rPr>
            </w:pPr>
            <w:r>
              <w:rPr>
                <w:bCs/>
                <w:kern w:val="44"/>
                <w:szCs w:val="30"/>
              </w:rPr>
              <w:t>现有工程</w:t>
            </w:r>
          </w:p>
          <w:p w14:paraId="54862D47">
            <w:pPr>
              <w:pStyle w:val="19"/>
              <w:spacing w:before="120" w:after="120"/>
              <w:rPr>
                <w:bCs/>
                <w:kern w:val="44"/>
                <w:szCs w:val="30"/>
              </w:rPr>
            </w:pPr>
            <w:r>
              <w:rPr>
                <w:bCs/>
                <w:kern w:val="44"/>
                <w:szCs w:val="30"/>
              </w:rPr>
              <w:t>排放量（固体废物产生量</w:t>
            </w:r>
            <w:r>
              <w:rPr>
                <w:rFonts w:hint="eastAsia"/>
                <w:bCs/>
                <w:kern w:val="44"/>
                <w:szCs w:val="30"/>
              </w:rPr>
              <w:t>）</w:t>
            </w:r>
            <w:r>
              <w:rPr>
                <w:bCs/>
                <w:kern w:val="44"/>
                <w:szCs w:val="30"/>
              </w:rPr>
              <w:fldChar w:fldCharType="begin"/>
            </w:r>
            <w:r>
              <w:rPr>
                <w:bCs/>
                <w:kern w:val="44"/>
                <w:szCs w:val="30"/>
              </w:rPr>
              <w:instrText xml:space="preserve"> = 1 \* GB3 \* MERGEFORMAT </w:instrText>
            </w:r>
            <w:r>
              <w:rPr>
                <w:bCs/>
                <w:kern w:val="44"/>
                <w:szCs w:val="30"/>
              </w:rPr>
              <w:fldChar w:fldCharType="separate"/>
            </w:r>
            <w:r>
              <w:rPr>
                <w:bCs/>
                <w:kern w:val="44"/>
                <w:szCs w:val="30"/>
              </w:rPr>
              <w:t>①</w:t>
            </w:r>
            <w:r>
              <w:rPr>
                <w:bCs/>
                <w:kern w:val="44"/>
                <w:szCs w:val="30"/>
              </w:rPr>
              <w:fldChar w:fldCharType="end"/>
            </w:r>
          </w:p>
        </w:tc>
        <w:tc>
          <w:tcPr>
            <w:tcW w:w="451" w:type="pct"/>
            <w:tcMar>
              <w:left w:w="28" w:type="dxa"/>
              <w:right w:w="28" w:type="dxa"/>
            </w:tcMar>
            <w:vAlign w:val="center"/>
          </w:tcPr>
          <w:p w14:paraId="17870BAA">
            <w:pPr>
              <w:pStyle w:val="19"/>
              <w:spacing w:before="120" w:after="120"/>
              <w:rPr>
                <w:bCs/>
                <w:kern w:val="44"/>
                <w:szCs w:val="30"/>
              </w:rPr>
            </w:pPr>
            <w:r>
              <w:rPr>
                <w:bCs/>
                <w:kern w:val="44"/>
                <w:szCs w:val="30"/>
              </w:rPr>
              <w:t>现有工程</w:t>
            </w:r>
          </w:p>
          <w:p w14:paraId="5F9683B3">
            <w:pPr>
              <w:pStyle w:val="19"/>
              <w:spacing w:before="120" w:after="120"/>
              <w:rPr>
                <w:bCs/>
                <w:kern w:val="44"/>
                <w:szCs w:val="30"/>
              </w:rPr>
            </w:pPr>
            <w:r>
              <w:rPr>
                <w:bCs/>
                <w:kern w:val="44"/>
                <w:szCs w:val="30"/>
              </w:rPr>
              <w:t>许可排放量</w:t>
            </w:r>
          </w:p>
          <w:p w14:paraId="3F3215A7">
            <w:pPr>
              <w:pStyle w:val="19"/>
              <w:spacing w:before="120" w:after="120"/>
              <w:rPr>
                <w:bCs/>
                <w:kern w:val="44"/>
                <w:szCs w:val="30"/>
              </w:rPr>
            </w:pPr>
            <w:r>
              <w:rPr>
                <w:bCs/>
                <w:kern w:val="44"/>
                <w:szCs w:val="30"/>
              </w:rPr>
              <w:fldChar w:fldCharType="begin"/>
            </w:r>
            <w:r>
              <w:rPr>
                <w:bCs/>
                <w:kern w:val="44"/>
                <w:szCs w:val="30"/>
              </w:rPr>
              <w:instrText xml:space="preserve"> = 2 \* GB3 \* MERGEFORMAT </w:instrText>
            </w:r>
            <w:r>
              <w:rPr>
                <w:bCs/>
                <w:kern w:val="44"/>
                <w:szCs w:val="30"/>
              </w:rPr>
              <w:fldChar w:fldCharType="separate"/>
            </w:r>
            <w:r>
              <w:rPr>
                <w:bCs/>
                <w:kern w:val="44"/>
                <w:szCs w:val="30"/>
              </w:rPr>
              <w:t>②</w:t>
            </w:r>
            <w:r>
              <w:rPr>
                <w:bCs/>
                <w:kern w:val="44"/>
                <w:szCs w:val="30"/>
              </w:rPr>
              <w:fldChar w:fldCharType="end"/>
            </w:r>
          </w:p>
        </w:tc>
        <w:tc>
          <w:tcPr>
            <w:tcW w:w="605" w:type="pct"/>
            <w:tcMar>
              <w:left w:w="28" w:type="dxa"/>
              <w:right w:w="28" w:type="dxa"/>
            </w:tcMar>
            <w:vAlign w:val="center"/>
          </w:tcPr>
          <w:p w14:paraId="34C58263">
            <w:pPr>
              <w:pStyle w:val="19"/>
              <w:spacing w:before="120" w:after="120"/>
              <w:rPr>
                <w:bCs/>
                <w:kern w:val="44"/>
                <w:szCs w:val="30"/>
              </w:rPr>
            </w:pPr>
            <w:r>
              <w:rPr>
                <w:bCs/>
                <w:kern w:val="44"/>
                <w:szCs w:val="30"/>
              </w:rPr>
              <w:t>在建工程</w:t>
            </w:r>
          </w:p>
          <w:p w14:paraId="3324BAA8">
            <w:pPr>
              <w:pStyle w:val="19"/>
              <w:spacing w:before="120" w:after="120"/>
              <w:rPr>
                <w:bCs/>
                <w:kern w:val="44"/>
                <w:szCs w:val="30"/>
              </w:rPr>
            </w:pPr>
            <w:r>
              <w:rPr>
                <w:bCs/>
                <w:kern w:val="44"/>
                <w:szCs w:val="30"/>
              </w:rPr>
              <w:t>排放量（固体废物产生量</w:t>
            </w:r>
            <w:r>
              <w:rPr>
                <w:rFonts w:hint="eastAsia"/>
                <w:bCs/>
                <w:kern w:val="44"/>
                <w:szCs w:val="30"/>
              </w:rPr>
              <w:t>）</w:t>
            </w:r>
            <w:r>
              <w:rPr>
                <w:bCs/>
                <w:kern w:val="44"/>
                <w:szCs w:val="30"/>
              </w:rPr>
              <w:fldChar w:fldCharType="begin"/>
            </w:r>
            <w:r>
              <w:rPr>
                <w:bCs/>
                <w:kern w:val="44"/>
                <w:szCs w:val="30"/>
              </w:rPr>
              <w:instrText xml:space="preserve"> = 3 \* GB3 \* MERGEFORMAT </w:instrText>
            </w:r>
            <w:r>
              <w:rPr>
                <w:bCs/>
                <w:kern w:val="44"/>
                <w:szCs w:val="30"/>
              </w:rPr>
              <w:fldChar w:fldCharType="separate"/>
            </w:r>
            <w:r>
              <w:rPr>
                <w:bCs/>
                <w:kern w:val="44"/>
                <w:szCs w:val="30"/>
              </w:rPr>
              <w:t>③</w:t>
            </w:r>
            <w:r>
              <w:rPr>
                <w:bCs/>
                <w:kern w:val="44"/>
                <w:szCs w:val="30"/>
              </w:rPr>
              <w:fldChar w:fldCharType="end"/>
            </w:r>
          </w:p>
        </w:tc>
        <w:tc>
          <w:tcPr>
            <w:tcW w:w="554" w:type="pct"/>
            <w:tcMar>
              <w:left w:w="28" w:type="dxa"/>
              <w:right w:w="28" w:type="dxa"/>
            </w:tcMar>
            <w:vAlign w:val="center"/>
          </w:tcPr>
          <w:p w14:paraId="24C1FA5F">
            <w:pPr>
              <w:pStyle w:val="19"/>
              <w:spacing w:before="120" w:after="120"/>
              <w:rPr>
                <w:bCs/>
                <w:kern w:val="44"/>
                <w:szCs w:val="30"/>
              </w:rPr>
            </w:pPr>
            <w:r>
              <w:rPr>
                <w:bCs/>
                <w:kern w:val="44"/>
                <w:szCs w:val="30"/>
              </w:rPr>
              <w:t>本项目</w:t>
            </w:r>
          </w:p>
          <w:p w14:paraId="5E0D2752">
            <w:pPr>
              <w:pStyle w:val="19"/>
              <w:spacing w:before="120" w:after="120"/>
              <w:rPr>
                <w:bCs/>
                <w:kern w:val="44"/>
                <w:szCs w:val="30"/>
              </w:rPr>
            </w:pPr>
            <w:r>
              <w:rPr>
                <w:bCs/>
                <w:kern w:val="44"/>
                <w:szCs w:val="30"/>
              </w:rPr>
              <w:t>排放量（固体废物产生量</w:t>
            </w:r>
            <w:r>
              <w:rPr>
                <w:rFonts w:hint="eastAsia"/>
                <w:bCs/>
                <w:kern w:val="44"/>
                <w:szCs w:val="30"/>
              </w:rPr>
              <w:t>）</w:t>
            </w:r>
            <w:r>
              <w:rPr>
                <w:bCs/>
                <w:kern w:val="44"/>
                <w:szCs w:val="30"/>
              </w:rPr>
              <w:fldChar w:fldCharType="begin"/>
            </w:r>
            <w:r>
              <w:rPr>
                <w:bCs/>
                <w:kern w:val="44"/>
                <w:szCs w:val="30"/>
              </w:rPr>
              <w:instrText xml:space="preserve"> = 4 \* GB3 \* MERGEFORMAT </w:instrText>
            </w:r>
            <w:r>
              <w:rPr>
                <w:bCs/>
                <w:kern w:val="44"/>
                <w:szCs w:val="30"/>
              </w:rPr>
              <w:fldChar w:fldCharType="separate"/>
            </w:r>
            <w:r>
              <w:rPr>
                <w:bCs/>
                <w:kern w:val="44"/>
                <w:szCs w:val="30"/>
              </w:rPr>
              <w:t>④</w:t>
            </w:r>
            <w:r>
              <w:rPr>
                <w:bCs/>
                <w:kern w:val="44"/>
                <w:szCs w:val="30"/>
              </w:rPr>
              <w:fldChar w:fldCharType="end"/>
            </w:r>
          </w:p>
        </w:tc>
        <w:tc>
          <w:tcPr>
            <w:tcW w:w="627" w:type="pct"/>
            <w:tcMar>
              <w:left w:w="28" w:type="dxa"/>
              <w:right w:w="28" w:type="dxa"/>
            </w:tcMar>
            <w:vAlign w:val="center"/>
          </w:tcPr>
          <w:p w14:paraId="28C25D00">
            <w:pPr>
              <w:pStyle w:val="19"/>
              <w:spacing w:before="120" w:after="120"/>
              <w:rPr>
                <w:bCs/>
                <w:kern w:val="44"/>
                <w:szCs w:val="30"/>
              </w:rPr>
            </w:pPr>
            <w:r>
              <w:rPr>
                <w:bCs/>
                <w:kern w:val="44"/>
                <w:szCs w:val="30"/>
              </w:rPr>
              <w:t>以新带老削减量</w:t>
            </w:r>
          </w:p>
          <w:p w14:paraId="459F946D">
            <w:pPr>
              <w:pStyle w:val="19"/>
              <w:spacing w:before="120" w:after="120"/>
              <w:rPr>
                <w:bCs/>
                <w:kern w:val="44"/>
                <w:szCs w:val="30"/>
              </w:rPr>
            </w:pPr>
            <w:r>
              <w:rPr>
                <w:bCs/>
                <w:kern w:val="44"/>
                <w:szCs w:val="30"/>
              </w:rPr>
              <w:t>（新建项目不填</w:t>
            </w:r>
            <w:r>
              <w:rPr>
                <w:rFonts w:hint="eastAsia"/>
                <w:bCs/>
                <w:kern w:val="44"/>
                <w:szCs w:val="30"/>
              </w:rPr>
              <w:t>）</w:t>
            </w:r>
            <w:r>
              <w:rPr>
                <w:bCs/>
                <w:kern w:val="44"/>
                <w:szCs w:val="30"/>
              </w:rPr>
              <w:fldChar w:fldCharType="begin"/>
            </w:r>
            <w:r>
              <w:rPr>
                <w:bCs/>
                <w:kern w:val="44"/>
                <w:szCs w:val="30"/>
              </w:rPr>
              <w:instrText xml:space="preserve"> = 5 \* GB3 \* MERGEFORMAT </w:instrText>
            </w:r>
            <w:r>
              <w:rPr>
                <w:bCs/>
                <w:kern w:val="44"/>
                <w:szCs w:val="30"/>
              </w:rPr>
              <w:fldChar w:fldCharType="separate"/>
            </w:r>
            <w:r>
              <w:rPr>
                <w:bCs/>
                <w:kern w:val="44"/>
                <w:szCs w:val="30"/>
              </w:rPr>
              <w:t>⑤</w:t>
            </w:r>
            <w:r>
              <w:rPr>
                <w:bCs/>
                <w:kern w:val="44"/>
                <w:szCs w:val="30"/>
              </w:rPr>
              <w:fldChar w:fldCharType="end"/>
            </w:r>
          </w:p>
        </w:tc>
        <w:tc>
          <w:tcPr>
            <w:tcW w:w="699" w:type="pct"/>
            <w:tcMar>
              <w:left w:w="28" w:type="dxa"/>
              <w:right w:w="28" w:type="dxa"/>
            </w:tcMar>
            <w:vAlign w:val="center"/>
          </w:tcPr>
          <w:p w14:paraId="0E67E604">
            <w:pPr>
              <w:pStyle w:val="19"/>
              <w:spacing w:before="120" w:after="120"/>
              <w:rPr>
                <w:bCs/>
                <w:kern w:val="44"/>
                <w:szCs w:val="30"/>
              </w:rPr>
            </w:pPr>
            <w:r>
              <w:rPr>
                <w:bCs/>
                <w:kern w:val="44"/>
                <w:szCs w:val="30"/>
              </w:rPr>
              <w:t>本项目建成后</w:t>
            </w:r>
          </w:p>
          <w:p w14:paraId="152722AA">
            <w:pPr>
              <w:pStyle w:val="19"/>
              <w:spacing w:before="120" w:after="120"/>
              <w:rPr>
                <w:bCs/>
                <w:kern w:val="44"/>
                <w:szCs w:val="30"/>
              </w:rPr>
            </w:pPr>
            <w:r>
              <w:rPr>
                <w:bCs/>
                <w:kern w:val="44"/>
                <w:szCs w:val="30"/>
              </w:rPr>
              <w:t>全厂排放量（固体废物产生量</w:t>
            </w:r>
            <w:r>
              <w:rPr>
                <w:rFonts w:hint="eastAsia"/>
                <w:bCs/>
                <w:kern w:val="44"/>
                <w:szCs w:val="30"/>
              </w:rPr>
              <w:t>）</w:t>
            </w:r>
            <w:r>
              <w:rPr>
                <w:bCs/>
                <w:kern w:val="44"/>
                <w:szCs w:val="30"/>
              </w:rPr>
              <w:fldChar w:fldCharType="begin"/>
            </w:r>
            <w:r>
              <w:rPr>
                <w:bCs/>
                <w:kern w:val="44"/>
                <w:szCs w:val="30"/>
              </w:rPr>
              <w:instrText xml:space="preserve"> = 6 \* GB3 \* MERGEFORMAT </w:instrText>
            </w:r>
            <w:r>
              <w:rPr>
                <w:bCs/>
                <w:kern w:val="44"/>
                <w:szCs w:val="30"/>
              </w:rPr>
              <w:fldChar w:fldCharType="separate"/>
            </w:r>
            <w:r>
              <w:rPr>
                <w:bCs/>
                <w:kern w:val="44"/>
                <w:szCs w:val="30"/>
              </w:rPr>
              <w:t>⑥</w:t>
            </w:r>
            <w:r>
              <w:rPr>
                <w:bCs/>
                <w:kern w:val="44"/>
                <w:szCs w:val="30"/>
              </w:rPr>
              <w:fldChar w:fldCharType="end"/>
            </w:r>
          </w:p>
        </w:tc>
        <w:tc>
          <w:tcPr>
            <w:tcW w:w="391" w:type="pct"/>
            <w:tcMar>
              <w:left w:w="28" w:type="dxa"/>
              <w:right w:w="28" w:type="dxa"/>
            </w:tcMar>
            <w:vAlign w:val="center"/>
          </w:tcPr>
          <w:p w14:paraId="369DC1B3">
            <w:pPr>
              <w:pStyle w:val="19"/>
              <w:spacing w:before="120" w:after="120"/>
              <w:rPr>
                <w:bCs/>
                <w:kern w:val="44"/>
                <w:szCs w:val="30"/>
              </w:rPr>
            </w:pPr>
            <w:r>
              <w:rPr>
                <w:bCs/>
                <w:kern w:val="44"/>
                <w:szCs w:val="30"/>
              </w:rPr>
              <w:t>变化量</w:t>
            </w:r>
          </w:p>
          <w:p w14:paraId="69F86780">
            <w:pPr>
              <w:pStyle w:val="19"/>
              <w:spacing w:before="120" w:after="120"/>
              <w:rPr>
                <w:bCs/>
                <w:kern w:val="44"/>
                <w:szCs w:val="30"/>
              </w:rPr>
            </w:pPr>
            <w:r>
              <w:rPr>
                <w:bCs/>
                <w:kern w:val="44"/>
                <w:szCs w:val="30"/>
              </w:rPr>
              <w:fldChar w:fldCharType="begin"/>
            </w:r>
            <w:r>
              <w:rPr>
                <w:bCs/>
                <w:kern w:val="44"/>
                <w:szCs w:val="30"/>
              </w:rPr>
              <w:instrText xml:space="preserve"> = 7 \* GB3 \* MERGEFORMAT </w:instrText>
            </w:r>
            <w:r>
              <w:rPr>
                <w:bCs/>
                <w:kern w:val="44"/>
                <w:szCs w:val="30"/>
              </w:rPr>
              <w:fldChar w:fldCharType="separate"/>
            </w:r>
            <w:r>
              <w:rPr>
                <w:bCs/>
                <w:kern w:val="44"/>
                <w:szCs w:val="30"/>
              </w:rPr>
              <w:t>⑦</w:t>
            </w:r>
            <w:r>
              <w:rPr>
                <w:bCs/>
                <w:kern w:val="44"/>
                <w:szCs w:val="30"/>
              </w:rPr>
              <w:fldChar w:fldCharType="end"/>
            </w:r>
          </w:p>
        </w:tc>
      </w:tr>
      <w:tr w14:paraId="182321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3" w:type="pct"/>
            <w:vAlign w:val="center"/>
          </w:tcPr>
          <w:p w14:paraId="32DE7C39">
            <w:pPr>
              <w:pStyle w:val="19"/>
              <w:spacing w:before="120" w:after="120"/>
              <w:rPr>
                <w:bCs/>
                <w:kern w:val="44"/>
                <w:szCs w:val="30"/>
              </w:rPr>
            </w:pPr>
            <w:r>
              <w:rPr>
                <w:bCs/>
                <w:kern w:val="44"/>
                <w:szCs w:val="30"/>
              </w:rPr>
              <w:t>废气</w:t>
            </w:r>
          </w:p>
        </w:tc>
        <w:tc>
          <w:tcPr>
            <w:tcW w:w="631" w:type="pct"/>
            <w:vAlign w:val="center"/>
          </w:tcPr>
          <w:p w14:paraId="71BB0FB9">
            <w:pPr>
              <w:pStyle w:val="19"/>
              <w:spacing w:before="120" w:after="120"/>
              <w:rPr>
                <w:bCs/>
                <w:kern w:val="44"/>
                <w:szCs w:val="30"/>
              </w:rPr>
            </w:pPr>
            <w:r>
              <w:rPr>
                <w:rFonts w:hint="eastAsia"/>
                <w:bCs/>
                <w:kern w:val="44"/>
                <w:szCs w:val="30"/>
              </w:rPr>
              <w:t>/</w:t>
            </w:r>
          </w:p>
        </w:tc>
        <w:tc>
          <w:tcPr>
            <w:tcW w:w="605" w:type="pct"/>
            <w:vAlign w:val="center"/>
          </w:tcPr>
          <w:p w14:paraId="300F26B5">
            <w:pPr>
              <w:pStyle w:val="19"/>
              <w:spacing w:before="120" w:after="120"/>
              <w:rPr>
                <w:bCs/>
                <w:kern w:val="44"/>
                <w:szCs w:val="30"/>
              </w:rPr>
            </w:pPr>
            <w:r>
              <w:rPr>
                <w:rFonts w:hint="eastAsia"/>
                <w:bCs/>
                <w:kern w:val="44"/>
                <w:szCs w:val="30"/>
              </w:rPr>
              <w:t>/</w:t>
            </w:r>
          </w:p>
        </w:tc>
        <w:tc>
          <w:tcPr>
            <w:tcW w:w="451" w:type="pct"/>
            <w:vAlign w:val="center"/>
          </w:tcPr>
          <w:p w14:paraId="7A1F2F5C">
            <w:pPr>
              <w:pStyle w:val="19"/>
              <w:spacing w:before="120" w:after="120"/>
              <w:rPr>
                <w:bCs/>
                <w:kern w:val="44"/>
                <w:szCs w:val="30"/>
              </w:rPr>
            </w:pPr>
            <w:r>
              <w:rPr>
                <w:rFonts w:hint="eastAsia"/>
                <w:bCs/>
                <w:kern w:val="44"/>
                <w:szCs w:val="30"/>
              </w:rPr>
              <w:t>/</w:t>
            </w:r>
          </w:p>
        </w:tc>
        <w:tc>
          <w:tcPr>
            <w:tcW w:w="605" w:type="pct"/>
            <w:vAlign w:val="center"/>
          </w:tcPr>
          <w:p w14:paraId="47F55EAA">
            <w:pPr>
              <w:pStyle w:val="19"/>
              <w:spacing w:before="120" w:after="120"/>
              <w:rPr>
                <w:bCs/>
                <w:kern w:val="44"/>
                <w:szCs w:val="30"/>
              </w:rPr>
            </w:pPr>
            <w:r>
              <w:rPr>
                <w:rFonts w:hint="eastAsia"/>
                <w:bCs/>
                <w:kern w:val="44"/>
                <w:szCs w:val="30"/>
              </w:rPr>
              <w:t>/</w:t>
            </w:r>
          </w:p>
        </w:tc>
        <w:tc>
          <w:tcPr>
            <w:tcW w:w="554" w:type="pct"/>
            <w:vAlign w:val="center"/>
          </w:tcPr>
          <w:p w14:paraId="63FB3C3C">
            <w:pPr>
              <w:pStyle w:val="19"/>
              <w:spacing w:before="120" w:after="120"/>
              <w:rPr>
                <w:bCs/>
                <w:kern w:val="44"/>
                <w:szCs w:val="30"/>
              </w:rPr>
            </w:pPr>
            <w:r>
              <w:rPr>
                <w:rFonts w:hint="eastAsia"/>
                <w:bCs/>
                <w:kern w:val="44"/>
                <w:szCs w:val="30"/>
              </w:rPr>
              <w:t>/</w:t>
            </w:r>
          </w:p>
        </w:tc>
        <w:tc>
          <w:tcPr>
            <w:tcW w:w="627" w:type="pct"/>
            <w:vAlign w:val="center"/>
          </w:tcPr>
          <w:p w14:paraId="1A5DE5D2">
            <w:pPr>
              <w:pStyle w:val="19"/>
              <w:spacing w:before="120" w:after="120"/>
              <w:rPr>
                <w:bCs/>
                <w:kern w:val="44"/>
                <w:szCs w:val="30"/>
              </w:rPr>
            </w:pPr>
            <w:r>
              <w:rPr>
                <w:rFonts w:hint="eastAsia"/>
                <w:bCs/>
                <w:kern w:val="44"/>
                <w:szCs w:val="30"/>
              </w:rPr>
              <w:t>/</w:t>
            </w:r>
          </w:p>
        </w:tc>
        <w:tc>
          <w:tcPr>
            <w:tcW w:w="699" w:type="pct"/>
            <w:vAlign w:val="center"/>
          </w:tcPr>
          <w:p w14:paraId="5B4A4A16">
            <w:pPr>
              <w:pStyle w:val="19"/>
              <w:spacing w:before="120" w:after="120"/>
              <w:rPr>
                <w:b/>
                <w:kern w:val="44"/>
                <w:szCs w:val="30"/>
              </w:rPr>
            </w:pPr>
            <w:r>
              <w:rPr>
                <w:rFonts w:hint="eastAsia"/>
                <w:bCs/>
                <w:kern w:val="44"/>
                <w:szCs w:val="30"/>
              </w:rPr>
              <w:t>/</w:t>
            </w:r>
          </w:p>
        </w:tc>
        <w:tc>
          <w:tcPr>
            <w:tcW w:w="391" w:type="pct"/>
            <w:vAlign w:val="center"/>
          </w:tcPr>
          <w:p w14:paraId="369477CC">
            <w:pPr>
              <w:pStyle w:val="19"/>
              <w:spacing w:before="120" w:after="120"/>
              <w:rPr>
                <w:bCs/>
                <w:kern w:val="44"/>
                <w:szCs w:val="30"/>
              </w:rPr>
            </w:pPr>
            <w:r>
              <w:rPr>
                <w:rFonts w:hint="eastAsia"/>
                <w:bCs/>
                <w:kern w:val="44"/>
                <w:szCs w:val="30"/>
              </w:rPr>
              <w:t>/</w:t>
            </w:r>
          </w:p>
        </w:tc>
      </w:tr>
      <w:tr w14:paraId="3EF55D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433" w:type="pct"/>
            <w:vMerge w:val="restart"/>
            <w:vAlign w:val="center"/>
          </w:tcPr>
          <w:p w14:paraId="1F3FF0F3">
            <w:pPr>
              <w:pStyle w:val="19"/>
              <w:spacing w:before="120" w:after="120"/>
              <w:rPr>
                <w:bCs/>
                <w:kern w:val="44"/>
                <w:szCs w:val="30"/>
              </w:rPr>
            </w:pPr>
            <w:r>
              <w:rPr>
                <w:bCs/>
                <w:kern w:val="44"/>
                <w:szCs w:val="30"/>
              </w:rPr>
              <w:t>废水</w:t>
            </w:r>
          </w:p>
        </w:tc>
        <w:tc>
          <w:tcPr>
            <w:tcW w:w="631" w:type="pct"/>
            <w:vAlign w:val="center"/>
          </w:tcPr>
          <w:p w14:paraId="77331434">
            <w:pPr>
              <w:pStyle w:val="19"/>
              <w:spacing w:before="120" w:after="120"/>
              <w:rPr>
                <w:bCs/>
                <w:kern w:val="44"/>
                <w:szCs w:val="30"/>
              </w:rPr>
            </w:pPr>
            <w:r>
              <w:rPr>
                <w:rFonts w:hint="eastAsia"/>
                <w:bCs/>
                <w:kern w:val="44"/>
                <w:szCs w:val="30"/>
              </w:rPr>
              <w:t>生活污水量</w:t>
            </w:r>
          </w:p>
        </w:tc>
        <w:tc>
          <w:tcPr>
            <w:tcW w:w="605" w:type="pct"/>
            <w:vAlign w:val="center"/>
          </w:tcPr>
          <w:p w14:paraId="64940761">
            <w:pPr>
              <w:pStyle w:val="19"/>
              <w:spacing w:before="120" w:after="120"/>
              <w:rPr>
                <w:bCs/>
                <w:kern w:val="44"/>
                <w:szCs w:val="30"/>
              </w:rPr>
            </w:pPr>
            <w:r>
              <w:rPr>
                <w:rFonts w:hint="eastAsia"/>
                <w:bCs/>
                <w:kern w:val="44"/>
                <w:szCs w:val="30"/>
              </w:rPr>
              <w:t>/</w:t>
            </w:r>
          </w:p>
        </w:tc>
        <w:tc>
          <w:tcPr>
            <w:tcW w:w="451" w:type="pct"/>
            <w:vAlign w:val="center"/>
          </w:tcPr>
          <w:p w14:paraId="2C5CA4D0">
            <w:pPr>
              <w:pStyle w:val="19"/>
              <w:spacing w:before="120" w:after="120"/>
              <w:rPr>
                <w:bCs/>
                <w:kern w:val="44"/>
                <w:szCs w:val="30"/>
              </w:rPr>
            </w:pPr>
            <w:r>
              <w:rPr>
                <w:rFonts w:hint="eastAsia"/>
                <w:bCs/>
                <w:kern w:val="44"/>
                <w:szCs w:val="30"/>
              </w:rPr>
              <w:t>/</w:t>
            </w:r>
          </w:p>
        </w:tc>
        <w:tc>
          <w:tcPr>
            <w:tcW w:w="605" w:type="pct"/>
            <w:vAlign w:val="center"/>
          </w:tcPr>
          <w:p w14:paraId="4EBDD488">
            <w:pPr>
              <w:pStyle w:val="19"/>
              <w:spacing w:before="120" w:after="120"/>
              <w:rPr>
                <w:bCs/>
                <w:kern w:val="44"/>
                <w:szCs w:val="30"/>
              </w:rPr>
            </w:pPr>
            <w:r>
              <w:rPr>
                <w:rFonts w:hint="eastAsia"/>
                <w:bCs/>
                <w:kern w:val="44"/>
                <w:szCs w:val="30"/>
              </w:rPr>
              <w:t>/</w:t>
            </w:r>
          </w:p>
        </w:tc>
        <w:tc>
          <w:tcPr>
            <w:tcW w:w="554" w:type="pct"/>
            <w:vAlign w:val="center"/>
          </w:tcPr>
          <w:p w14:paraId="0E32770C">
            <w:pPr>
              <w:pStyle w:val="19"/>
              <w:spacing w:before="120" w:after="120"/>
              <w:rPr>
                <w:bCs/>
                <w:kern w:val="44"/>
                <w:szCs w:val="30"/>
              </w:rPr>
            </w:pPr>
            <w:r>
              <w:rPr>
                <w:rFonts w:hint="eastAsia"/>
                <w:bCs/>
                <w:kern w:val="44"/>
                <w:szCs w:val="30"/>
              </w:rPr>
              <w:t>259.2t/a</w:t>
            </w:r>
          </w:p>
        </w:tc>
        <w:tc>
          <w:tcPr>
            <w:tcW w:w="627" w:type="pct"/>
            <w:vAlign w:val="center"/>
          </w:tcPr>
          <w:p w14:paraId="4CBE0C2D">
            <w:pPr>
              <w:pStyle w:val="19"/>
              <w:spacing w:before="120" w:after="120"/>
            </w:pPr>
            <w:r>
              <w:rPr>
                <w:rFonts w:hint="eastAsia"/>
              </w:rPr>
              <w:t>/</w:t>
            </w:r>
          </w:p>
        </w:tc>
        <w:tc>
          <w:tcPr>
            <w:tcW w:w="699" w:type="pct"/>
            <w:vAlign w:val="center"/>
          </w:tcPr>
          <w:p w14:paraId="47C79CF2">
            <w:pPr>
              <w:pStyle w:val="19"/>
              <w:spacing w:before="120" w:after="120"/>
              <w:rPr>
                <w:bCs/>
                <w:kern w:val="44"/>
                <w:szCs w:val="30"/>
              </w:rPr>
            </w:pPr>
            <w:r>
              <w:rPr>
                <w:rFonts w:hint="eastAsia"/>
                <w:bCs/>
                <w:kern w:val="44"/>
                <w:szCs w:val="30"/>
              </w:rPr>
              <w:t>259.2t/a</w:t>
            </w:r>
          </w:p>
        </w:tc>
        <w:tc>
          <w:tcPr>
            <w:tcW w:w="391" w:type="pct"/>
            <w:vAlign w:val="center"/>
          </w:tcPr>
          <w:p w14:paraId="677B6431">
            <w:pPr>
              <w:pStyle w:val="19"/>
              <w:spacing w:before="120" w:after="120"/>
              <w:rPr>
                <w:bCs/>
                <w:kern w:val="44"/>
                <w:szCs w:val="30"/>
              </w:rPr>
            </w:pPr>
            <w:r>
              <w:rPr>
                <w:rFonts w:hint="eastAsia"/>
                <w:bCs/>
                <w:kern w:val="44"/>
                <w:szCs w:val="30"/>
              </w:rPr>
              <w:t>+259.2t/a</w:t>
            </w:r>
          </w:p>
        </w:tc>
      </w:tr>
      <w:tr w14:paraId="057526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3" w:type="pct"/>
            <w:vMerge w:val="continue"/>
            <w:vAlign w:val="center"/>
          </w:tcPr>
          <w:p w14:paraId="2786F13A">
            <w:pPr>
              <w:pStyle w:val="19"/>
              <w:spacing w:before="120" w:after="120"/>
              <w:rPr>
                <w:bCs/>
                <w:kern w:val="44"/>
                <w:szCs w:val="30"/>
              </w:rPr>
            </w:pPr>
          </w:p>
        </w:tc>
        <w:tc>
          <w:tcPr>
            <w:tcW w:w="631" w:type="pct"/>
            <w:vAlign w:val="center"/>
          </w:tcPr>
          <w:p w14:paraId="4873B956">
            <w:pPr>
              <w:pStyle w:val="19"/>
              <w:spacing w:before="120" w:after="120"/>
              <w:rPr>
                <w:bCs/>
                <w:kern w:val="44"/>
                <w:szCs w:val="30"/>
              </w:rPr>
            </w:pPr>
            <w:r>
              <w:rPr>
                <w:bCs/>
                <w:kern w:val="44"/>
                <w:szCs w:val="30"/>
              </w:rPr>
              <w:t>COD</w:t>
            </w:r>
          </w:p>
        </w:tc>
        <w:tc>
          <w:tcPr>
            <w:tcW w:w="605" w:type="pct"/>
            <w:vAlign w:val="center"/>
          </w:tcPr>
          <w:p w14:paraId="74992D88">
            <w:pPr>
              <w:pStyle w:val="19"/>
              <w:spacing w:before="120" w:after="120"/>
              <w:rPr>
                <w:bCs/>
                <w:kern w:val="44"/>
                <w:szCs w:val="30"/>
              </w:rPr>
            </w:pPr>
            <w:r>
              <w:rPr>
                <w:rFonts w:hint="eastAsia"/>
                <w:bCs/>
                <w:kern w:val="44"/>
                <w:szCs w:val="30"/>
              </w:rPr>
              <w:t>/</w:t>
            </w:r>
          </w:p>
        </w:tc>
        <w:tc>
          <w:tcPr>
            <w:tcW w:w="451" w:type="pct"/>
            <w:vAlign w:val="center"/>
          </w:tcPr>
          <w:p w14:paraId="2DE14F20">
            <w:pPr>
              <w:pStyle w:val="19"/>
              <w:spacing w:before="120" w:after="120"/>
              <w:rPr>
                <w:bCs/>
                <w:kern w:val="44"/>
                <w:szCs w:val="30"/>
              </w:rPr>
            </w:pPr>
            <w:r>
              <w:rPr>
                <w:rFonts w:hint="eastAsia"/>
                <w:bCs/>
                <w:kern w:val="44"/>
                <w:szCs w:val="30"/>
              </w:rPr>
              <w:t>/</w:t>
            </w:r>
          </w:p>
        </w:tc>
        <w:tc>
          <w:tcPr>
            <w:tcW w:w="605" w:type="pct"/>
            <w:vAlign w:val="center"/>
          </w:tcPr>
          <w:p w14:paraId="5D242F67">
            <w:pPr>
              <w:pStyle w:val="19"/>
              <w:spacing w:before="120" w:after="120"/>
              <w:rPr>
                <w:bCs/>
                <w:kern w:val="44"/>
                <w:szCs w:val="30"/>
              </w:rPr>
            </w:pPr>
            <w:r>
              <w:rPr>
                <w:rFonts w:hint="eastAsia"/>
                <w:bCs/>
                <w:kern w:val="44"/>
                <w:szCs w:val="30"/>
              </w:rPr>
              <w:t>/</w:t>
            </w:r>
          </w:p>
        </w:tc>
        <w:tc>
          <w:tcPr>
            <w:tcW w:w="554" w:type="pct"/>
            <w:vAlign w:val="center"/>
          </w:tcPr>
          <w:p w14:paraId="0D0BA63C">
            <w:pPr>
              <w:pStyle w:val="19"/>
              <w:spacing w:before="120" w:after="120"/>
              <w:rPr>
                <w:bCs/>
                <w:kern w:val="44"/>
                <w:szCs w:val="30"/>
              </w:rPr>
            </w:pPr>
          </w:p>
        </w:tc>
        <w:tc>
          <w:tcPr>
            <w:tcW w:w="627" w:type="pct"/>
            <w:vAlign w:val="center"/>
          </w:tcPr>
          <w:p w14:paraId="2968477F">
            <w:pPr>
              <w:pStyle w:val="19"/>
              <w:spacing w:before="120" w:after="120"/>
            </w:pPr>
            <w:r>
              <w:rPr>
                <w:rFonts w:hint="eastAsia"/>
              </w:rPr>
              <w:t>/</w:t>
            </w:r>
          </w:p>
        </w:tc>
        <w:tc>
          <w:tcPr>
            <w:tcW w:w="699" w:type="pct"/>
            <w:vAlign w:val="center"/>
          </w:tcPr>
          <w:p w14:paraId="225FFAD2">
            <w:pPr>
              <w:pStyle w:val="19"/>
              <w:spacing w:before="120" w:after="120"/>
              <w:rPr>
                <w:bCs/>
                <w:kern w:val="44"/>
                <w:szCs w:val="30"/>
              </w:rPr>
            </w:pPr>
            <w:r>
              <w:rPr>
                <w:rFonts w:hint="eastAsia"/>
              </w:rPr>
              <w:t>0.12</w:t>
            </w:r>
            <w:r>
              <w:rPr>
                <w:rFonts w:hint="eastAsia"/>
                <w:bCs/>
                <w:kern w:val="44"/>
                <w:szCs w:val="30"/>
              </w:rPr>
              <w:t>t/a</w:t>
            </w:r>
          </w:p>
        </w:tc>
        <w:tc>
          <w:tcPr>
            <w:tcW w:w="391" w:type="pct"/>
            <w:vAlign w:val="center"/>
          </w:tcPr>
          <w:p w14:paraId="7C768D49">
            <w:pPr>
              <w:pStyle w:val="19"/>
              <w:spacing w:before="120" w:after="120"/>
              <w:rPr>
                <w:bCs/>
                <w:kern w:val="44"/>
                <w:szCs w:val="30"/>
              </w:rPr>
            </w:pPr>
            <w:r>
              <w:rPr>
                <w:rFonts w:hint="eastAsia"/>
              </w:rPr>
              <w:t>+0.12</w:t>
            </w:r>
            <w:r>
              <w:rPr>
                <w:rFonts w:hint="eastAsia"/>
                <w:bCs/>
                <w:kern w:val="44"/>
                <w:szCs w:val="30"/>
              </w:rPr>
              <w:t>t/a</w:t>
            </w:r>
          </w:p>
        </w:tc>
      </w:tr>
      <w:tr w14:paraId="2C6207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433" w:type="pct"/>
            <w:vMerge w:val="continue"/>
            <w:vAlign w:val="center"/>
          </w:tcPr>
          <w:p w14:paraId="2A30BBF2">
            <w:pPr>
              <w:pStyle w:val="19"/>
              <w:spacing w:before="120" w:after="120"/>
              <w:rPr>
                <w:bCs/>
                <w:kern w:val="44"/>
                <w:szCs w:val="30"/>
              </w:rPr>
            </w:pPr>
          </w:p>
        </w:tc>
        <w:tc>
          <w:tcPr>
            <w:tcW w:w="631" w:type="pct"/>
            <w:vAlign w:val="center"/>
          </w:tcPr>
          <w:p w14:paraId="5EC0FF88">
            <w:pPr>
              <w:pStyle w:val="19"/>
              <w:spacing w:before="120" w:after="120"/>
              <w:rPr>
                <w:bCs/>
                <w:kern w:val="44"/>
                <w:szCs w:val="30"/>
              </w:rPr>
            </w:pPr>
            <w:r>
              <w:rPr>
                <w:bCs/>
                <w:kern w:val="44"/>
                <w:szCs w:val="30"/>
              </w:rPr>
              <w:t>BOD</w:t>
            </w:r>
          </w:p>
        </w:tc>
        <w:tc>
          <w:tcPr>
            <w:tcW w:w="605" w:type="pct"/>
            <w:vAlign w:val="center"/>
          </w:tcPr>
          <w:p w14:paraId="5A993B73">
            <w:pPr>
              <w:pStyle w:val="19"/>
              <w:spacing w:before="120" w:after="120"/>
              <w:rPr>
                <w:bCs/>
                <w:kern w:val="44"/>
                <w:szCs w:val="30"/>
              </w:rPr>
            </w:pPr>
            <w:r>
              <w:rPr>
                <w:rFonts w:hint="eastAsia"/>
                <w:bCs/>
                <w:kern w:val="44"/>
                <w:szCs w:val="30"/>
              </w:rPr>
              <w:t>/</w:t>
            </w:r>
          </w:p>
        </w:tc>
        <w:tc>
          <w:tcPr>
            <w:tcW w:w="451" w:type="pct"/>
            <w:vAlign w:val="center"/>
          </w:tcPr>
          <w:p w14:paraId="6BE8AC4E">
            <w:pPr>
              <w:pStyle w:val="19"/>
              <w:spacing w:before="120" w:after="120"/>
              <w:rPr>
                <w:bCs/>
                <w:kern w:val="44"/>
                <w:szCs w:val="30"/>
              </w:rPr>
            </w:pPr>
            <w:r>
              <w:rPr>
                <w:rFonts w:hint="eastAsia"/>
                <w:bCs/>
                <w:kern w:val="44"/>
                <w:szCs w:val="30"/>
              </w:rPr>
              <w:t>/</w:t>
            </w:r>
          </w:p>
        </w:tc>
        <w:tc>
          <w:tcPr>
            <w:tcW w:w="605" w:type="pct"/>
            <w:vAlign w:val="center"/>
          </w:tcPr>
          <w:p w14:paraId="0CAC9A4A">
            <w:pPr>
              <w:pStyle w:val="19"/>
              <w:spacing w:before="120" w:after="120"/>
              <w:rPr>
                <w:bCs/>
                <w:kern w:val="44"/>
                <w:szCs w:val="30"/>
              </w:rPr>
            </w:pPr>
            <w:r>
              <w:rPr>
                <w:rFonts w:hint="eastAsia"/>
                <w:bCs/>
                <w:kern w:val="44"/>
                <w:szCs w:val="30"/>
              </w:rPr>
              <w:t>/</w:t>
            </w:r>
          </w:p>
        </w:tc>
        <w:tc>
          <w:tcPr>
            <w:tcW w:w="554" w:type="pct"/>
            <w:vAlign w:val="center"/>
          </w:tcPr>
          <w:p w14:paraId="40F6BF6F">
            <w:pPr>
              <w:pStyle w:val="19"/>
              <w:spacing w:before="120" w:after="120"/>
              <w:rPr>
                <w:bCs/>
                <w:kern w:val="44"/>
                <w:szCs w:val="30"/>
              </w:rPr>
            </w:pPr>
          </w:p>
        </w:tc>
        <w:tc>
          <w:tcPr>
            <w:tcW w:w="627" w:type="pct"/>
            <w:vAlign w:val="center"/>
          </w:tcPr>
          <w:p w14:paraId="6806A964">
            <w:pPr>
              <w:pStyle w:val="19"/>
              <w:spacing w:before="120" w:after="120"/>
            </w:pPr>
            <w:r>
              <w:rPr>
                <w:rFonts w:hint="eastAsia"/>
              </w:rPr>
              <w:t>/</w:t>
            </w:r>
          </w:p>
        </w:tc>
        <w:tc>
          <w:tcPr>
            <w:tcW w:w="699" w:type="pct"/>
            <w:vAlign w:val="center"/>
          </w:tcPr>
          <w:p w14:paraId="377541D3">
            <w:pPr>
              <w:pStyle w:val="19"/>
              <w:spacing w:before="120" w:after="120"/>
              <w:rPr>
                <w:bCs/>
                <w:kern w:val="44"/>
                <w:szCs w:val="30"/>
              </w:rPr>
            </w:pPr>
            <w:r>
              <w:rPr>
                <w:rFonts w:hint="eastAsia"/>
              </w:rPr>
              <w:t>0.07</w:t>
            </w:r>
            <w:r>
              <w:rPr>
                <w:rFonts w:hint="eastAsia"/>
                <w:bCs/>
                <w:kern w:val="44"/>
                <w:szCs w:val="30"/>
              </w:rPr>
              <w:t>t/a</w:t>
            </w:r>
          </w:p>
        </w:tc>
        <w:tc>
          <w:tcPr>
            <w:tcW w:w="391" w:type="pct"/>
            <w:vAlign w:val="center"/>
          </w:tcPr>
          <w:p w14:paraId="75EE7191">
            <w:pPr>
              <w:pStyle w:val="19"/>
              <w:spacing w:before="120" w:after="120"/>
              <w:rPr>
                <w:bCs/>
                <w:kern w:val="44"/>
                <w:szCs w:val="30"/>
              </w:rPr>
            </w:pPr>
            <w:r>
              <w:rPr>
                <w:rFonts w:hint="eastAsia"/>
              </w:rPr>
              <w:t>+0.07</w:t>
            </w:r>
            <w:r>
              <w:rPr>
                <w:rFonts w:hint="eastAsia"/>
                <w:bCs/>
                <w:kern w:val="44"/>
                <w:szCs w:val="30"/>
              </w:rPr>
              <w:t>t/a</w:t>
            </w:r>
          </w:p>
        </w:tc>
      </w:tr>
      <w:tr w14:paraId="74CFAC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433" w:type="pct"/>
            <w:vMerge w:val="continue"/>
            <w:vAlign w:val="center"/>
          </w:tcPr>
          <w:p w14:paraId="0EB0A245">
            <w:pPr>
              <w:pStyle w:val="19"/>
              <w:spacing w:before="120" w:after="120"/>
              <w:rPr>
                <w:bCs/>
                <w:kern w:val="44"/>
                <w:szCs w:val="30"/>
              </w:rPr>
            </w:pPr>
          </w:p>
        </w:tc>
        <w:tc>
          <w:tcPr>
            <w:tcW w:w="631" w:type="pct"/>
            <w:vAlign w:val="center"/>
          </w:tcPr>
          <w:p w14:paraId="4BCA7196">
            <w:pPr>
              <w:pStyle w:val="19"/>
              <w:spacing w:before="120" w:after="120"/>
              <w:rPr>
                <w:bCs/>
                <w:kern w:val="44"/>
                <w:szCs w:val="30"/>
              </w:rPr>
            </w:pPr>
            <w:r>
              <w:rPr>
                <w:bCs/>
                <w:kern w:val="44"/>
                <w:szCs w:val="30"/>
              </w:rPr>
              <w:t>SS</w:t>
            </w:r>
          </w:p>
        </w:tc>
        <w:tc>
          <w:tcPr>
            <w:tcW w:w="605" w:type="pct"/>
            <w:vAlign w:val="center"/>
          </w:tcPr>
          <w:p w14:paraId="25DFCBFB">
            <w:pPr>
              <w:pStyle w:val="19"/>
              <w:spacing w:before="120" w:after="120"/>
              <w:rPr>
                <w:bCs/>
                <w:kern w:val="44"/>
                <w:szCs w:val="30"/>
              </w:rPr>
            </w:pPr>
            <w:r>
              <w:rPr>
                <w:rFonts w:hint="eastAsia"/>
                <w:bCs/>
                <w:kern w:val="44"/>
                <w:szCs w:val="30"/>
              </w:rPr>
              <w:t>/</w:t>
            </w:r>
          </w:p>
        </w:tc>
        <w:tc>
          <w:tcPr>
            <w:tcW w:w="451" w:type="pct"/>
            <w:vAlign w:val="center"/>
          </w:tcPr>
          <w:p w14:paraId="560847F2">
            <w:pPr>
              <w:pStyle w:val="19"/>
              <w:spacing w:before="120" w:after="120"/>
              <w:rPr>
                <w:bCs/>
                <w:kern w:val="44"/>
                <w:szCs w:val="30"/>
              </w:rPr>
            </w:pPr>
            <w:r>
              <w:rPr>
                <w:rFonts w:hint="eastAsia"/>
                <w:bCs/>
                <w:kern w:val="44"/>
                <w:szCs w:val="30"/>
              </w:rPr>
              <w:t>/</w:t>
            </w:r>
          </w:p>
        </w:tc>
        <w:tc>
          <w:tcPr>
            <w:tcW w:w="605" w:type="pct"/>
            <w:vAlign w:val="center"/>
          </w:tcPr>
          <w:p w14:paraId="06D4660B">
            <w:pPr>
              <w:pStyle w:val="19"/>
              <w:spacing w:before="120" w:after="120"/>
              <w:rPr>
                <w:bCs/>
                <w:kern w:val="44"/>
                <w:szCs w:val="30"/>
              </w:rPr>
            </w:pPr>
            <w:r>
              <w:rPr>
                <w:rFonts w:hint="eastAsia"/>
                <w:bCs/>
                <w:kern w:val="44"/>
                <w:szCs w:val="30"/>
              </w:rPr>
              <w:t>/</w:t>
            </w:r>
          </w:p>
        </w:tc>
        <w:tc>
          <w:tcPr>
            <w:tcW w:w="554" w:type="pct"/>
            <w:vAlign w:val="center"/>
          </w:tcPr>
          <w:p w14:paraId="0FEAA989">
            <w:pPr>
              <w:pStyle w:val="19"/>
              <w:spacing w:before="120" w:after="120"/>
              <w:rPr>
                <w:bCs/>
                <w:kern w:val="44"/>
                <w:szCs w:val="30"/>
              </w:rPr>
            </w:pPr>
          </w:p>
        </w:tc>
        <w:tc>
          <w:tcPr>
            <w:tcW w:w="627" w:type="pct"/>
            <w:vAlign w:val="center"/>
          </w:tcPr>
          <w:p w14:paraId="76E23038">
            <w:pPr>
              <w:pStyle w:val="19"/>
              <w:spacing w:before="120" w:after="120"/>
            </w:pPr>
            <w:r>
              <w:rPr>
                <w:rFonts w:hint="eastAsia"/>
              </w:rPr>
              <w:t>/</w:t>
            </w:r>
          </w:p>
        </w:tc>
        <w:tc>
          <w:tcPr>
            <w:tcW w:w="699" w:type="pct"/>
            <w:vAlign w:val="center"/>
          </w:tcPr>
          <w:p w14:paraId="58F03BD7">
            <w:pPr>
              <w:pStyle w:val="19"/>
              <w:spacing w:before="120" w:after="120"/>
              <w:rPr>
                <w:bCs/>
                <w:kern w:val="44"/>
                <w:szCs w:val="30"/>
              </w:rPr>
            </w:pPr>
            <w:r>
              <w:rPr>
                <w:rFonts w:hint="eastAsia"/>
              </w:rPr>
              <w:t>0.08</w:t>
            </w:r>
            <w:r>
              <w:rPr>
                <w:rFonts w:hint="eastAsia"/>
                <w:bCs/>
                <w:kern w:val="44"/>
                <w:szCs w:val="30"/>
              </w:rPr>
              <w:t>t/a</w:t>
            </w:r>
          </w:p>
        </w:tc>
        <w:tc>
          <w:tcPr>
            <w:tcW w:w="391" w:type="pct"/>
            <w:vAlign w:val="center"/>
          </w:tcPr>
          <w:p w14:paraId="33098A5C">
            <w:pPr>
              <w:pStyle w:val="19"/>
              <w:spacing w:before="120" w:after="120"/>
              <w:rPr>
                <w:bCs/>
                <w:kern w:val="44"/>
                <w:szCs w:val="30"/>
              </w:rPr>
            </w:pPr>
            <w:r>
              <w:rPr>
                <w:rFonts w:hint="eastAsia"/>
              </w:rPr>
              <w:t>+0.08</w:t>
            </w:r>
            <w:r>
              <w:rPr>
                <w:rFonts w:hint="eastAsia"/>
                <w:bCs/>
                <w:kern w:val="44"/>
                <w:szCs w:val="30"/>
              </w:rPr>
              <w:t>t/a</w:t>
            </w:r>
          </w:p>
        </w:tc>
      </w:tr>
      <w:tr w14:paraId="2D2512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433" w:type="pct"/>
            <w:vMerge w:val="continue"/>
            <w:vAlign w:val="center"/>
          </w:tcPr>
          <w:p w14:paraId="1EDD5BE1">
            <w:pPr>
              <w:pStyle w:val="19"/>
              <w:spacing w:before="120" w:after="120"/>
              <w:rPr>
                <w:bCs/>
                <w:kern w:val="44"/>
                <w:szCs w:val="30"/>
              </w:rPr>
            </w:pPr>
          </w:p>
        </w:tc>
        <w:tc>
          <w:tcPr>
            <w:tcW w:w="631" w:type="pct"/>
            <w:vAlign w:val="center"/>
          </w:tcPr>
          <w:p w14:paraId="471110E8">
            <w:pPr>
              <w:pStyle w:val="19"/>
              <w:spacing w:before="120" w:after="120"/>
              <w:rPr>
                <w:bCs/>
                <w:kern w:val="44"/>
                <w:szCs w:val="30"/>
              </w:rPr>
            </w:pPr>
            <w:r>
              <w:rPr>
                <w:bCs/>
                <w:kern w:val="44"/>
                <w:szCs w:val="30"/>
              </w:rPr>
              <w:t>氨氮</w:t>
            </w:r>
          </w:p>
        </w:tc>
        <w:tc>
          <w:tcPr>
            <w:tcW w:w="605" w:type="pct"/>
            <w:vAlign w:val="center"/>
          </w:tcPr>
          <w:p w14:paraId="399DBE0F">
            <w:pPr>
              <w:pStyle w:val="19"/>
              <w:spacing w:before="120" w:after="120"/>
              <w:rPr>
                <w:bCs/>
                <w:kern w:val="44"/>
                <w:szCs w:val="30"/>
              </w:rPr>
            </w:pPr>
            <w:r>
              <w:rPr>
                <w:rFonts w:hint="eastAsia"/>
                <w:bCs/>
                <w:kern w:val="44"/>
                <w:szCs w:val="30"/>
              </w:rPr>
              <w:t>/</w:t>
            </w:r>
          </w:p>
        </w:tc>
        <w:tc>
          <w:tcPr>
            <w:tcW w:w="451" w:type="pct"/>
            <w:vAlign w:val="center"/>
          </w:tcPr>
          <w:p w14:paraId="0E4F1D6E">
            <w:pPr>
              <w:pStyle w:val="19"/>
              <w:spacing w:before="120" w:after="120"/>
              <w:rPr>
                <w:bCs/>
                <w:kern w:val="44"/>
                <w:szCs w:val="30"/>
              </w:rPr>
            </w:pPr>
            <w:r>
              <w:rPr>
                <w:rFonts w:hint="eastAsia"/>
                <w:bCs/>
                <w:kern w:val="44"/>
                <w:szCs w:val="30"/>
              </w:rPr>
              <w:t>/</w:t>
            </w:r>
          </w:p>
        </w:tc>
        <w:tc>
          <w:tcPr>
            <w:tcW w:w="605" w:type="pct"/>
            <w:vAlign w:val="center"/>
          </w:tcPr>
          <w:p w14:paraId="698CB7E6">
            <w:pPr>
              <w:pStyle w:val="19"/>
              <w:spacing w:before="120" w:after="120"/>
              <w:rPr>
                <w:bCs/>
                <w:kern w:val="44"/>
                <w:szCs w:val="30"/>
              </w:rPr>
            </w:pPr>
            <w:r>
              <w:rPr>
                <w:rFonts w:hint="eastAsia"/>
                <w:bCs/>
                <w:kern w:val="44"/>
                <w:szCs w:val="30"/>
              </w:rPr>
              <w:t>/</w:t>
            </w:r>
          </w:p>
        </w:tc>
        <w:tc>
          <w:tcPr>
            <w:tcW w:w="554" w:type="pct"/>
            <w:vAlign w:val="center"/>
          </w:tcPr>
          <w:p w14:paraId="5FD383E0">
            <w:pPr>
              <w:pStyle w:val="19"/>
              <w:spacing w:before="120" w:after="120"/>
              <w:rPr>
                <w:bCs/>
                <w:kern w:val="44"/>
                <w:szCs w:val="30"/>
              </w:rPr>
            </w:pPr>
          </w:p>
        </w:tc>
        <w:tc>
          <w:tcPr>
            <w:tcW w:w="627" w:type="pct"/>
            <w:vAlign w:val="center"/>
          </w:tcPr>
          <w:p w14:paraId="540E94E9">
            <w:pPr>
              <w:pStyle w:val="19"/>
              <w:spacing w:before="120" w:after="120"/>
            </w:pPr>
            <w:r>
              <w:rPr>
                <w:rFonts w:hint="eastAsia"/>
              </w:rPr>
              <w:t>/</w:t>
            </w:r>
          </w:p>
        </w:tc>
        <w:tc>
          <w:tcPr>
            <w:tcW w:w="699" w:type="pct"/>
            <w:vAlign w:val="center"/>
          </w:tcPr>
          <w:p w14:paraId="05F0F9B2">
            <w:pPr>
              <w:pStyle w:val="19"/>
              <w:spacing w:before="120" w:after="120"/>
              <w:rPr>
                <w:bCs/>
                <w:kern w:val="44"/>
                <w:szCs w:val="30"/>
              </w:rPr>
            </w:pPr>
            <w:r>
              <w:rPr>
                <w:rFonts w:hint="eastAsia"/>
              </w:rPr>
              <w:t>0.01</w:t>
            </w:r>
            <w:r>
              <w:rPr>
                <w:rFonts w:hint="eastAsia"/>
                <w:bCs/>
                <w:kern w:val="44"/>
                <w:szCs w:val="30"/>
              </w:rPr>
              <w:t>t/a</w:t>
            </w:r>
          </w:p>
        </w:tc>
        <w:tc>
          <w:tcPr>
            <w:tcW w:w="391" w:type="pct"/>
            <w:vAlign w:val="center"/>
          </w:tcPr>
          <w:p w14:paraId="3D407086">
            <w:pPr>
              <w:pStyle w:val="19"/>
              <w:spacing w:before="120" w:after="120"/>
              <w:rPr>
                <w:bCs/>
                <w:kern w:val="44"/>
                <w:szCs w:val="30"/>
              </w:rPr>
            </w:pPr>
            <w:r>
              <w:rPr>
                <w:rFonts w:hint="eastAsia"/>
              </w:rPr>
              <w:t>+0.01</w:t>
            </w:r>
            <w:r>
              <w:rPr>
                <w:rFonts w:hint="eastAsia"/>
                <w:bCs/>
                <w:kern w:val="44"/>
                <w:szCs w:val="30"/>
              </w:rPr>
              <w:t>t/a</w:t>
            </w:r>
          </w:p>
        </w:tc>
      </w:tr>
      <w:tr w14:paraId="1EB212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433" w:type="pct"/>
            <w:vMerge w:val="restart"/>
            <w:vAlign w:val="center"/>
          </w:tcPr>
          <w:p w14:paraId="5D9546EC">
            <w:pPr>
              <w:pStyle w:val="19"/>
              <w:spacing w:before="120" w:after="120"/>
              <w:rPr>
                <w:bCs/>
                <w:kern w:val="44"/>
                <w:szCs w:val="30"/>
              </w:rPr>
            </w:pPr>
            <w:r>
              <w:rPr>
                <w:bCs/>
                <w:kern w:val="44"/>
                <w:szCs w:val="30"/>
              </w:rPr>
              <w:t>一般工业固体废物</w:t>
            </w:r>
          </w:p>
        </w:tc>
        <w:tc>
          <w:tcPr>
            <w:tcW w:w="631" w:type="pct"/>
            <w:vAlign w:val="center"/>
          </w:tcPr>
          <w:p w14:paraId="20B6F6A5">
            <w:pPr>
              <w:pStyle w:val="19"/>
              <w:spacing w:before="120" w:after="120"/>
              <w:rPr>
                <w:bCs/>
                <w:kern w:val="44"/>
                <w:szCs w:val="30"/>
              </w:rPr>
            </w:pPr>
            <w:r>
              <w:rPr>
                <w:rFonts w:hint="eastAsia"/>
                <w:bCs/>
                <w:kern w:val="44"/>
                <w:szCs w:val="30"/>
              </w:rPr>
              <w:t>生活垃圾</w:t>
            </w:r>
          </w:p>
        </w:tc>
        <w:tc>
          <w:tcPr>
            <w:tcW w:w="605" w:type="pct"/>
            <w:vAlign w:val="center"/>
          </w:tcPr>
          <w:p w14:paraId="31C2D38E">
            <w:pPr>
              <w:pStyle w:val="19"/>
              <w:spacing w:before="120" w:after="120"/>
              <w:rPr>
                <w:bCs/>
                <w:kern w:val="44"/>
                <w:szCs w:val="30"/>
              </w:rPr>
            </w:pPr>
            <w:r>
              <w:rPr>
                <w:rFonts w:hint="eastAsia"/>
                <w:bCs/>
                <w:kern w:val="44"/>
                <w:szCs w:val="30"/>
              </w:rPr>
              <w:t>/</w:t>
            </w:r>
          </w:p>
        </w:tc>
        <w:tc>
          <w:tcPr>
            <w:tcW w:w="451" w:type="pct"/>
            <w:vAlign w:val="center"/>
          </w:tcPr>
          <w:p w14:paraId="0048F2DD">
            <w:pPr>
              <w:pStyle w:val="19"/>
              <w:spacing w:before="120" w:after="120"/>
              <w:rPr>
                <w:bCs/>
                <w:kern w:val="44"/>
                <w:szCs w:val="30"/>
              </w:rPr>
            </w:pPr>
            <w:r>
              <w:rPr>
                <w:rFonts w:hint="eastAsia"/>
                <w:bCs/>
                <w:kern w:val="44"/>
                <w:szCs w:val="30"/>
              </w:rPr>
              <w:t>/</w:t>
            </w:r>
          </w:p>
        </w:tc>
        <w:tc>
          <w:tcPr>
            <w:tcW w:w="605" w:type="pct"/>
            <w:vAlign w:val="center"/>
          </w:tcPr>
          <w:p w14:paraId="0422E683">
            <w:pPr>
              <w:pStyle w:val="19"/>
              <w:spacing w:before="120" w:after="120"/>
              <w:rPr>
                <w:bCs/>
                <w:kern w:val="44"/>
                <w:szCs w:val="30"/>
              </w:rPr>
            </w:pPr>
            <w:r>
              <w:rPr>
                <w:rFonts w:hint="eastAsia"/>
                <w:bCs/>
                <w:kern w:val="44"/>
                <w:szCs w:val="30"/>
              </w:rPr>
              <w:t>/</w:t>
            </w:r>
          </w:p>
        </w:tc>
        <w:tc>
          <w:tcPr>
            <w:tcW w:w="554" w:type="pct"/>
            <w:vAlign w:val="center"/>
          </w:tcPr>
          <w:p w14:paraId="02DDC93D">
            <w:pPr>
              <w:pStyle w:val="19"/>
              <w:spacing w:before="120" w:after="120"/>
              <w:rPr>
                <w:bCs/>
                <w:kern w:val="44"/>
                <w:szCs w:val="30"/>
              </w:rPr>
            </w:pPr>
            <w:r>
              <w:rPr>
                <w:rFonts w:hint="eastAsia"/>
                <w:bCs/>
                <w:kern w:val="44"/>
                <w:szCs w:val="30"/>
              </w:rPr>
              <w:t>3t/a</w:t>
            </w:r>
          </w:p>
        </w:tc>
        <w:tc>
          <w:tcPr>
            <w:tcW w:w="627" w:type="pct"/>
            <w:vAlign w:val="center"/>
          </w:tcPr>
          <w:p w14:paraId="5663436F">
            <w:pPr>
              <w:pStyle w:val="19"/>
              <w:spacing w:before="120" w:after="120"/>
            </w:pPr>
            <w:r>
              <w:rPr>
                <w:rFonts w:hint="eastAsia"/>
              </w:rPr>
              <w:t>/</w:t>
            </w:r>
          </w:p>
        </w:tc>
        <w:tc>
          <w:tcPr>
            <w:tcW w:w="699" w:type="pct"/>
            <w:vAlign w:val="center"/>
          </w:tcPr>
          <w:p w14:paraId="2F90CD0E">
            <w:pPr>
              <w:pStyle w:val="19"/>
              <w:spacing w:before="120" w:after="120"/>
              <w:rPr>
                <w:bCs/>
                <w:kern w:val="44"/>
                <w:szCs w:val="30"/>
              </w:rPr>
            </w:pPr>
            <w:r>
              <w:rPr>
                <w:rFonts w:hint="eastAsia"/>
                <w:bCs/>
                <w:kern w:val="44"/>
                <w:szCs w:val="30"/>
              </w:rPr>
              <w:t>3t/a</w:t>
            </w:r>
          </w:p>
        </w:tc>
        <w:tc>
          <w:tcPr>
            <w:tcW w:w="391" w:type="pct"/>
            <w:vAlign w:val="center"/>
          </w:tcPr>
          <w:p w14:paraId="6945AA4E">
            <w:pPr>
              <w:pStyle w:val="19"/>
              <w:spacing w:before="120" w:after="120"/>
              <w:rPr>
                <w:bCs/>
                <w:kern w:val="44"/>
                <w:szCs w:val="30"/>
              </w:rPr>
            </w:pPr>
            <w:r>
              <w:rPr>
                <w:rFonts w:hint="eastAsia"/>
                <w:bCs/>
                <w:kern w:val="44"/>
                <w:szCs w:val="30"/>
              </w:rPr>
              <w:t>+3t/a</w:t>
            </w:r>
          </w:p>
        </w:tc>
      </w:tr>
      <w:tr w14:paraId="29E2D8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433" w:type="pct"/>
            <w:vMerge w:val="continue"/>
            <w:vAlign w:val="center"/>
          </w:tcPr>
          <w:p w14:paraId="5DD7F04A">
            <w:pPr>
              <w:pStyle w:val="19"/>
              <w:spacing w:before="120" w:after="120"/>
              <w:rPr>
                <w:bCs/>
                <w:kern w:val="44"/>
                <w:szCs w:val="30"/>
              </w:rPr>
            </w:pPr>
          </w:p>
        </w:tc>
        <w:tc>
          <w:tcPr>
            <w:tcW w:w="631" w:type="pct"/>
            <w:vAlign w:val="center"/>
          </w:tcPr>
          <w:p w14:paraId="6D6CC5DE">
            <w:pPr>
              <w:pStyle w:val="19"/>
              <w:spacing w:before="120" w:after="120"/>
              <w:rPr>
                <w:bCs/>
                <w:kern w:val="44"/>
                <w:szCs w:val="30"/>
              </w:rPr>
            </w:pPr>
            <w:r>
              <w:rPr>
                <w:rFonts w:hint="eastAsia"/>
              </w:rPr>
              <w:t>车辆废弃零件</w:t>
            </w:r>
          </w:p>
        </w:tc>
        <w:tc>
          <w:tcPr>
            <w:tcW w:w="605" w:type="pct"/>
            <w:vAlign w:val="center"/>
          </w:tcPr>
          <w:p w14:paraId="6FC82802">
            <w:pPr>
              <w:pStyle w:val="19"/>
              <w:spacing w:before="120" w:after="120"/>
              <w:rPr>
                <w:bCs/>
                <w:kern w:val="44"/>
                <w:szCs w:val="30"/>
              </w:rPr>
            </w:pPr>
            <w:r>
              <w:rPr>
                <w:rFonts w:hint="eastAsia"/>
                <w:bCs/>
                <w:kern w:val="44"/>
                <w:szCs w:val="30"/>
              </w:rPr>
              <w:t>/</w:t>
            </w:r>
          </w:p>
        </w:tc>
        <w:tc>
          <w:tcPr>
            <w:tcW w:w="451" w:type="pct"/>
            <w:vAlign w:val="center"/>
          </w:tcPr>
          <w:p w14:paraId="27DD89C2">
            <w:pPr>
              <w:pStyle w:val="19"/>
              <w:spacing w:before="120" w:after="120"/>
              <w:rPr>
                <w:bCs/>
                <w:kern w:val="44"/>
                <w:szCs w:val="30"/>
              </w:rPr>
            </w:pPr>
            <w:r>
              <w:rPr>
                <w:rFonts w:hint="eastAsia"/>
                <w:bCs/>
                <w:kern w:val="44"/>
                <w:szCs w:val="30"/>
              </w:rPr>
              <w:t>/</w:t>
            </w:r>
          </w:p>
        </w:tc>
        <w:tc>
          <w:tcPr>
            <w:tcW w:w="605" w:type="pct"/>
            <w:vAlign w:val="center"/>
          </w:tcPr>
          <w:p w14:paraId="42DED817">
            <w:pPr>
              <w:pStyle w:val="19"/>
              <w:spacing w:before="120" w:after="120"/>
              <w:rPr>
                <w:bCs/>
                <w:kern w:val="44"/>
                <w:szCs w:val="30"/>
              </w:rPr>
            </w:pPr>
            <w:r>
              <w:rPr>
                <w:rFonts w:hint="eastAsia"/>
                <w:bCs/>
                <w:kern w:val="44"/>
                <w:szCs w:val="30"/>
              </w:rPr>
              <w:t>/</w:t>
            </w:r>
          </w:p>
        </w:tc>
        <w:tc>
          <w:tcPr>
            <w:tcW w:w="554" w:type="pct"/>
            <w:vAlign w:val="center"/>
          </w:tcPr>
          <w:p w14:paraId="0906170B">
            <w:pPr>
              <w:pStyle w:val="19"/>
              <w:spacing w:before="120" w:after="120"/>
              <w:rPr>
                <w:bCs/>
                <w:kern w:val="44"/>
                <w:szCs w:val="30"/>
              </w:rPr>
            </w:pPr>
            <w:r>
              <w:rPr>
                <w:rFonts w:hint="eastAsia"/>
                <w:bCs/>
                <w:kern w:val="44"/>
                <w:szCs w:val="30"/>
              </w:rPr>
              <w:t>15t/a</w:t>
            </w:r>
          </w:p>
        </w:tc>
        <w:tc>
          <w:tcPr>
            <w:tcW w:w="627" w:type="pct"/>
            <w:vAlign w:val="center"/>
          </w:tcPr>
          <w:p w14:paraId="28AFE3AF">
            <w:pPr>
              <w:pStyle w:val="19"/>
              <w:spacing w:before="120" w:after="120"/>
            </w:pPr>
            <w:r>
              <w:rPr>
                <w:rFonts w:hint="eastAsia"/>
              </w:rPr>
              <w:t>/</w:t>
            </w:r>
          </w:p>
        </w:tc>
        <w:tc>
          <w:tcPr>
            <w:tcW w:w="699" w:type="pct"/>
            <w:vAlign w:val="center"/>
          </w:tcPr>
          <w:p w14:paraId="1E2E0566">
            <w:pPr>
              <w:pStyle w:val="19"/>
              <w:spacing w:before="120" w:after="120"/>
              <w:rPr>
                <w:bCs/>
                <w:kern w:val="44"/>
                <w:szCs w:val="30"/>
              </w:rPr>
            </w:pPr>
            <w:r>
              <w:rPr>
                <w:rFonts w:hint="eastAsia"/>
                <w:bCs/>
                <w:kern w:val="44"/>
                <w:szCs w:val="30"/>
              </w:rPr>
              <w:t>15t/a</w:t>
            </w:r>
          </w:p>
        </w:tc>
        <w:tc>
          <w:tcPr>
            <w:tcW w:w="391" w:type="pct"/>
            <w:vAlign w:val="center"/>
          </w:tcPr>
          <w:p w14:paraId="3B982ED6">
            <w:pPr>
              <w:pStyle w:val="19"/>
              <w:spacing w:before="120" w:after="120"/>
              <w:rPr>
                <w:bCs/>
                <w:kern w:val="44"/>
                <w:szCs w:val="30"/>
              </w:rPr>
            </w:pPr>
            <w:r>
              <w:rPr>
                <w:rFonts w:hint="eastAsia"/>
                <w:bCs/>
                <w:kern w:val="44"/>
                <w:szCs w:val="30"/>
              </w:rPr>
              <w:t>+15t/a</w:t>
            </w:r>
          </w:p>
        </w:tc>
      </w:tr>
      <w:tr w14:paraId="3285A5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433" w:type="pct"/>
            <w:vMerge w:val="restart"/>
            <w:vAlign w:val="center"/>
          </w:tcPr>
          <w:p w14:paraId="6E68A05A">
            <w:pPr>
              <w:pStyle w:val="19"/>
              <w:spacing w:before="120" w:after="120"/>
              <w:rPr>
                <w:bCs/>
                <w:kern w:val="44"/>
                <w:szCs w:val="30"/>
              </w:rPr>
            </w:pPr>
            <w:r>
              <w:rPr>
                <w:bCs/>
                <w:kern w:val="44"/>
                <w:szCs w:val="30"/>
              </w:rPr>
              <w:t>危险废物</w:t>
            </w:r>
          </w:p>
        </w:tc>
        <w:tc>
          <w:tcPr>
            <w:tcW w:w="631" w:type="pct"/>
            <w:vAlign w:val="center"/>
          </w:tcPr>
          <w:p w14:paraId="6AF5686E">
            <w:pPr>
              <w:pStyle w:val="19"/>
              <w:spacing w:before="120" w:after="120"/>
              <w:rPr>
                <w:bCs/>
                <w:kern w:val="44"/>
                <w:szCs w:val="30"/>
              </w:rPr>
            </w:pPr>
            <w:r>
              <w:rPr>
                <w:rFonts w:hint="eastAsia"/>
              </w:rPr>
              <w:t>废机油</w:t>
            </w:r>
          </w:p>
        </w:tc>
        <w:tc>
          <w:tcPr>
            <w:tcW w:w="605" w:type="pct"/>
            <w:vAlign w:val="center"/>
          </w:tcPr>
          <w:p w14:paraId="50318519">
            <w:pPr>
              <w:pStyle w:val="19"/>
              <w:spacing w:before="120" w:after="120"/>
              <w:rPr>
                <w:bCs/>
                <w:kern w:val="44"/>
                <w:szCs w:val="30"/>
              </w:rPr>
            </w:pPr>
            <w:r>
              <w:rPr>
                <w:rFonts w:hint="eastAsia"/>
                <w:bCs/>
                <w:kern w:val="44"/>
                <w:szCs w:val="30"/>
              </w:rPr>
              <w:t>/</w:t>
            </w:r>
          </w:p>
        </w:tc>
        <w:tc>
          <w:tcPr>
            <w:tcW w:w="451" w:type="pct"/>
            <w:vAlign w:val="center"/>
          </w:tcPr>
          <w:p w14:paraId="1007B8FB">
            <w:pPr>
              <w:pStyle w:val="19"/>
              <w:spacing w:before="120" w:after="120"/>
              <w:rPr>
                <w:bCs/>
                <w:kern w:val="44"/>
                <w:szCs w:val="30"/>
              </w:rPr>
            </w:pPr>
            <w:r>
              <w:rPr>
                <w:rFonts w:hint="eastAsia"/>
                <w:bCs/>
                <w:kern w:val="44"/>
                <w:szCs w:val="30"/>
              </w:rPr>
              <w:t>/</w:t>
            </w:r>
          </w:p>
        </w:tc>
        <w:tc>
          <w:tcPr>
            <w:tcW w:w="605" w:type="pct"/>
            <w:vAlign w:val="center"/>
          </w:tcPr>
          <w:p w14:paraId="465CF6DB">
            <w:pPr>
              <w:pStyle w:val="19"/>
              <w:spacing w:before="120" w:after="120"/>
              <w:rPr>
                <w:bCs/>
                <w:kern w:val="44"/>
                <w:szCs w:val="30"/>
              </w:rPr>
            </w:pPr>
            <w:r>
              <w:rPr>
                <w:rFonts w:hint="eastAsia"/>
                <w:bCs/>
                <w:kern w:val="44"/>
                <w:szCs w:val="30"/>
              </w:rPr>
              <w:t>/</w:t>
            </w:r>
          </w:p>
        </w:tc>
        <w:tc>
          <w:tcPr>
            <w:tcW w:w="554" w:type="pct"/>
            <w:vAlign w:val="center"/>
          </w:tcPr>
          <w:p w14:paraId="0A72798D">
            <w:pPr>
              <w:pStyle w:val="19"/>
              <w:spacing w:before="120" w:after="120"/>
              <w:rPr>
                <w:bCs/>
                <w:kern w:val="44"/>
                <w:szCs w:val="30"/>
              </w:rPr>
            </w:pPr>
            <w:r>
              <w:rPr>
                <w:rFonts w:hint="eastAsia"/>
                <w:bCs/>
                <w:kern w:val="44"/>
                <w:szCs w:val="30"/>
              </w:rPr>
              <w:t>0.05t/a</w:t>
            </w:r>
          </w:p>
        </w:tc>
        <w:tc>
          <w:tcPr>
            <w:tcW w:w="627" w:type="pct"/>
            <w:vAlign w:val="center"/>
          </w:tcPr>
          <w:p w14:paraId="7CB3F84E">
            <w:pPr>
              <w:pStyle w:val="19"/>
              <w:spacing w:before="120" w:after="120"/>
            </w:pPr>
            <w:r>
              <w:rPr>
                <w:rFonts w:hint="eastAsia"/>
              </w:rPr>
              <w:t>/</w:t>
            </w:r>
          </w:p>
        </w:tc>
        <w:tc>
          <w:tcPr>
            <w:tcW w:w="699" w:type="pct"/>
            <w:vAlign w:val="center"/>
          </w:tcPr>
          <w:p w14:paraId="19FE37D2">
            <w:pPr>
              <w:pStyle w:val="19"/>
              <w:spacing w:before="120" w:after="120"/>
              <w:rPr>
                <w:bCs/>
                <w:kern w:val="44"/>
                <w:szCs w:val="30"/>
              </w:rPr>
            </w:pPr>
            <w:r>
              <w:rPr>
                <w:rFonts w:hint="eastAsia"/>
                <w:bCs/>
                <w:kern w:val="44"/>
                <w:szCs w:val="30"/>
              </w:rPr>
              <w:t>0.05t/a</w:t>
            </w:r>
          </w:p>
        </w:tc>
        <w:tc>
          <w:tcPr>
            <w:tcW w:w="391" w:type="pct"/>
            <w:vAlign w:val="center"/>
          </w:tcPr>
          <w:p w14:paraId="2C68F9B4">
            <w:pPr>
              <w:pStyle w:val="19"/>
              <w:spacing w:before="120" w:after="120"/>
              <w:rPr>
                <w:bCs/>
                <w:kern w:val="44"/>
                <w:szCs w:val="30"/>
              </w:rPr>
            </w:pPr>
            <w:r>
              <w:rPr>
                <w:rFonts w:hint="eastAsia"/>
                <w:bCs/>
                <w:kern w:val="44"/>
                <w:szCs w:val="30"/>
              </w:rPr>
              <w:t>+0.05t/a</w:t>
            </w:r>
          </w:p>
        </w:tc>
      </w:tr>
      <w:tr w14:paraId="673F14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433" w:type="pct"/>
            <w:vMerge w:val="continue"/>
            <w:vAlign w:val="center"/>
          </w:tcPr>
          <w:p w14:paraId="3FC6D927">
            <w:pPr>
              <w:pStyle w:val="19"/>
              <w:spacing w:before="120" w:after="120"/>
              <w:rPr>
                <w:bCs/>
                <w:kern w:val="44"/>
                <w:szCs w:val="30"/>
              </w:rPr>
            </w:pPr>
          </w:p>
        </w:tc>
        <w:tc>
          <w:tcPr>
            <w:tcW w:w="631" w:type="pct"/>
            <w:vAlign w:val="center"/>
          </w:tcPr>
          <w:p w14:paraId="6D2EF9F8">
            <w:pPr>
              <w:pStyle w:val="19"/>
              <w:spacing w:before="120" w:after="120"/>
              <w:rPr>
                <w:bCs/>
                <w:kern w:val="44"/>
                <w:szCs w:val="30"/>
              </w:rPr>
            </w:pPr>
            <w:r>
              <w:rPr>
                <w:rFonts w:hint="eastAsia"/>
              </w:rPr>
              <w:t>废手套</w:t>
            </w:r>
          </w:p>
        </w:tc>
        <w:tc>
          <w:tcPr>
            <w:tcW w:w="605" w:type="pct"/>
            <w:vAlign w:val="center"/>
          </w:tcPr>
          <w:p w14:paraId="1BF286DF">
            <w:pPr>
              <w:pStyle w:val="19"/>
              <w:spacing w:before="120" w:after="120"/>
              <w:rPr>
                <w:bCs/>
                <w:kern w:val="44"/>
                <w:szCs w:val="30"/>
              </w:rPr>
            </w:pPr>
            <w:r>
              <w:rPr>
                <w:rFonts w:hint="eastAsia"/>
                <w:bCs/>
                <w:kern w:val="44"/>
                <w:szCs w:val="30"/>
              </w:rPr>
              <w:t>/</w:t>
            </w:r>
          </w:p>
        </w:tc>
        <w:tc>
          <w:tcPr>
            <w:tcW w:w="451" w:type="pct"/>
            <w:vAlign w:val="center"/>
          </w:tcPr>
          <w:p w14:paraId="02F51B19">
            <w:pPr>
              <w:pStyle w:val="19"/>
              <w:spacing w:before="120" w:after="120"/>
              <w:rPr>
                <w:bCs/>
                <w:kern w:val="44"/>
                <w:szCs w:val="30"/>
              </w:rPr>
            </w:pPr>
            <w:r>
              <w:rPr>
                <w:rFonts w:hint="eastAsia"/>
                <w:bCs/>
                <w:kern w:val="44"/>
                <w:szCs w:val="30"/>
              </w:rPr>
              <w:t>/</w:t>
            </w:r>
          </w:p>
        </w:tc>
        <w:tc>
          <w:tcPr>
            <w:tcW w:w="605" w:type="pct"/>
            <w:vAlign w:val="center"/>
          </w:tcPr>
          <w:p w14:paraId="249DA110">
            <w:pPr>
              <w:pStyle w:val="19"/>
              <w:spacing w:before="120" w:after="120"/>
              <w:rPr>
                <w:bCs/>
                <w:kern w:val="44"/>
                <w:szCs w:val="30"/>
              </w:rPr>
            </w:pPr>
            <w:r>
              <w:rPr>
                <w:rFonts w:hint="eastAsia"/>
                <w:bCs/>
                <w:kern w:val="44"/>
                <w:szCs w:val="30"/>
              </w:rPr>
              <w:t>/</w:t>
            </w:r>
          </w:p>
        </w:tc>
        <w:tc>
          <w:tcPr>
            <w:tcW w:w="554" w:type="pct"/>
            <w:vAlign w:val="center"/>
          </w:tcPr>
          <w:p w14:paraId="5747691D">
            <w:pPr>
              <w:pStyle w:val="19"/>
              <w:spacing w:before="120" w:after="120"/>
            </w:pPr>
            <w:r>
              <w:rPr>
                <w:rFonts w:hint="eastAsia"/>
              </w:rPr>
              <w:t>0.03</w:t>
            </w:r>
            <w:r>
              <w:rPr>
                <w:rFonts w:hint="eastAsia"/>
                <w:bCs/>
                <w:kern w:val="44"/>
                <w:szCs w:val="30"/>
              </w:rPr>
              <w:t>t/a</w:t>
            </w:r>
          </w:p>
        </w:tc>
        <w:tc>
          <w:tcPr>
            <w:tcW w:w="627" w:type="pct"/>
            <w:vAlign w:val="center"/>
          </w:tcPr>
          <w:p w14:paraId="28A18565">
            <w:pPr>
              <w:pStyle w:val="19"/>
              <w:spacing w:before="120" w:after="120"/>
            </w:pPr>
            <w:r>
              <w:rPr>
                <w:rFonts w:hint="eastAsia"/>
              </w:rPr>
              <w:t>/</w:t>
            </w:r>
          </w:p>
        </w:tc>
        <w:tc>
          <w:tcPr>
            <w:tcW w:w="699" w:type="pct"/>
            <w:vAlign w:val="center"/>
          </w:tcPr>
          <w:p w14:paraId="031CAD85">
            <w:pPr>
              <w:pStyle w:val="19"/>
              <w:spacing w:before="120" w:after="120"/>
            </w:pPr>
            <w:r>
              <w:rPr>
                <w:rFonts w:hint="eastAsia"/>
              </w:rPr>
              <w:t>0.03</w:t>
            </w:r>
            <w:r>
              <w:rPr>
                <w:rFonts w:hint="eastAsia"/>
                <w:bCs/>
                <w:kern w:val="44"/>
                <w:szCs w:val="30"/>
              </w:rPr>
              <w:t>t/a</w:t>
            </w:r>
          </w:p>
        </w:tc>
        <w:tc>
          <w:tcPr>
            <w:tcW w:w="391" w:type="pct"/>
            <w:vAlign w:val="center"/>
          </w:tcPr>
          <w:p w14:paraId="7451CE27">
            <w:pPr>
              <w:pStyle w:val="19"/>
              <w:spacing w:before="120" w:after="120"/>
            </w:pPr>
            <w:r>
              <w:rPr>
                <w:rFonts w:hint="eastAsia"/>
              </w:rPr>
              <w:t>+0.03</w:t>
            </w:r>
            <w:r>
              <w:rPr>
                <w:rFonts w:hint="eastAsia"/>
                <w:bCs/>
                <w:kern w:val="44"/>
                <w:szCs w:val="30"/>
              </w:rPr>
              <w:t>t/a</w:t>
            </w:r>
          </w:p>
        </w:tc>
      </w:tr>
      <w:tr w14:paraId="058640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433" w:type="pct"/>
            <w:vMerge w:val="continue"/>
            <w:vAlign w:val="center"/>
          </w:tcPr>
          <w:p w14:paraId="085F7655">
            <w:pPr>
              <w:pStyle w:val="19"/>
              <w:spacing w:before="120" w:after="120"/>
              <w:rPr>
                <w:bCs/>
                <w:kern w:val="44"/>
                <w:szCs w:val="30"/>
              </w:rPr>
            </w:pPr>
          </w:p>
        </w:tc>
        <w:tc>
          <w:tcPr>
            <w:tcW w:w="631" w:type="pct"/>
            <w:vAlign w:val="center"/>
          </w:tcPr>
          <w:p w14:paraId="03454D60">
            <w:pPr>
              <w:pStyle w:val="19"/>
              <w:spacing w:before="120" w:after="120"/>
              <w:rPr>
                <w:bCs/>
                <w:kern w:val="44"/>
                <w:szCs w:val="30"/>
              </w:rPr>
            </w:pPr>
            <w:r>
              <w:rPr>
                <w:rFonts w:hint="eastAsia"/>
              </w:rPr>
              <w:t>含油废抹布</w:t>
            </w:r>
          </w:p>
        </w:tc>
        <w:tc>
          <w:tcPr>
            <w:tcW w:w="605" w:type="pct"/>
            <w:vAlign w:val="center"/>
          </w:tcPr>
          <w:p w14:paraId="0FC606DF">
            <w:pPr>
              <w:pStyle w:val="19"/>
              <w:spacing w:before="120" w:after="120"/>
              <w:rPr>
                <w:bCs/>
                <w:kern w:val="44"/>
                <w:szCs w:val="30"/>
              </w:rPr>
            </w:pPr>
            <w:r>
              <w:rPr>
                <w:rFonts w:hint="eastAsia"/>
                <w:bCs/>
                <w:kern w:val="44"/>
                <w:szCs w:val="30"/>
              </w:rPr>
              <w:t>/</w:t>
            </w:r>
          </w:p>
        </w:tc>
        <w:tc>
          <w:tcPr>
            <w:tcW w:w="451" w:type="pct"/>
            <w:vAlign w:val="center"/>
          </w:tcPr>
          <w:p w14:paraId="53CE438E">
            <w:pPr>
              <w:pStyle w:val="19"/>
              <w:spacing w:before="120" w:after="120"/>
              <w:rPr>
                <w:bCs/>
                <w:kern w:val="44"/>
                <w:szCs w:val="30"/>
              </w:rPr>
            </w:pPr>
            <w:r>
              <w:rPr>
                <w:rFonts w:hint="eastAsia"/>
                <w:bCs/>
                <w:kern w:val="44"/>
                <w:szCs w:val="30"/>
              </w:rPr>
              <w:t>/</w:t>
            </w:r>
          </w:p>
        </w:tc>
        <w:tc>
          <w:tcPr>
            <w:tcW w:w="605" w:type="pct"/>
            <w:vAlign w:val="center"/>
          </w:tcPr>
          <w:p w14:paraId="5E9A9E4D">
            <w:pPr>
              <w:pStyle w:val="19"/>
              <w:spacing w:before="120" w:after="120"/>
              <w:rPr>
                <w:bCs/>
                <w:kern w:val="44"/>
                <w:szCs w:val="30"/>
              </w:rPr>
            </w:pPr>
            <w:r>
              <w:rPr>
                <w:rFonts w:hint="eastAsia"/>
                <w:bCs/>
                <w:kern w:val="44"/>
                <w:szCs w:val="30"/>
              </w:rPr>
              <w:t>/</w:t>
            </w:r>
          </w:p>
        </w:tc>
        <w:tc>
          <w:tcPr>
            <w:tcW w:w="554" w:type="pct"/>
            <w:vAlign w:val="center"/>
          </w:tcPr>
          <w:p w14:paraId="4A3621A4">
            <w:pPr>
              <w:pStyle w:val="19"/>
              <w:spacing w:before="120" w:after="120"/>
            </w:pPr>
            <w:r>
              <w:rPr>
                <w:rFonts w:hint="eastAsia"/>
              </w:rPr>
              <w:t>0.5</w:t>
            </w:r>
            <w:r>
              <w:rPr>
                <w:rFonts w:hint="eastAsia"/>
                <w:bCs/>
                <w:kern w:val="44"/>
                <w:szCs w:val="30"/>
              </w:rPr>
              <w:t>t/a</w:t>
            </w:r>
          </w:p>
        </w:tc>
        <w:tc>
          <w:tcPr>
            <w:tcW w:w="627" w:type="pct"/>
            <w:vAlign w:val="center"/>
          </w:tcPr>
          <w:p w14:paraId="7090B73B">
            <w:pPr>
              <w:pStyle w:val="19"/>
              <w:spacing w:before="120" w:after="120"/>
            </w:pPr>
            <w:r>
              <w:rPr>
                <w:rFonts w:hint="eastAsia"/>
              </w:rPr>
              <w:t>/</w:t>
            </w:r>
          </w:p>
        </w:tc>
        <w:tc>
          <w:tcPr>
            <w:tcW w:w="699" w:type="pct"/>
            <w:vAlign w:val="center"/>
          </w:tcPr>
          <w:p w14:paraId="12DB63F7">
            <w:pPr>
              <w:pStyle w:val="19"/>
              <w:spacing w:before="120" w:after="120"/>
            </w:pPr>
            <w:r>
              <w:rPr>
                <w:rFonts w:hint="eastAsia"/>
              </w:rPr>
              <w:t>0.5</w:t>
            </w:r>
            <w:r>
              <w:rPr>
                <w:rFonts w:hint="eastAsia"/>
                <w:bCs/>
                <w:kern w:val="44"/>
                <w:szCs w:val="30"/>
              </w:rPr>
              <w:t>t/a</w:t>
            </w:r>
          </w:p>
        </w:tc>
        <w:tc>
          <w:tcPr>
            <w:tcW w:w="391" w:type="pct"/>
            <w:vAlign w:val="center"/>
          </w:tcPr>
          <w:p w14:paraId="1D05A866">
            <w:pPr>
              <w:pStyle w:val="19"/>
              <w:spacing w:before="120" w:after="120"/>
            </w:pPr>
            <w:r>
              <w:rPr>
                <w:rFonts w:hint="eastAsia"/>
              </w:rPr>
              <w:t>+0.5</w:t>
            </w:r>
            <w:r>
              <w:rPr>
                <w:rFonts w:hint="eastAsia"/>
                <w:bCs/>
                <w:kern w:val="44"/>
                <w:szCs w:val="30"/>
              </w:rPr>
              <w:t>t/a</w:t>
            </w:r>
          </w:p>
        </w:tc>
      </w:tr>
      <w:tr w14:paraId="551E84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433" w:type="pct"/>
            <w:vMerge w:val="continue"/>
            <w:vAlign w:val="center"/>
          </w:tcPr>
          <w:p w14:paraId="20E2C79D">
            <w:pPr>
              <w:pStyle w:val="19"/>
              <w:spacing w:before="120" w:after="120"/>
              <w:rPr>
                <w:bCs/>
                <w:kern w:val="44"/>
                <w:szCs w:val="30"/>
              </w:rPr>
            </w:pPr>
          </w:p>
        </w:tc>
        <w:tc>
          <w:tcPr>
            <w:tcW w:w="631" w:type="pct"/>
            <w:vAlign w:val="center"/>
          </w:tcPr>
          <w:p w14:paraId="0216FF13">
            <w:pPr>
              <w:pStyle w:val="19"/>
              <w:spacing w:before="120" w:after="120"/>
              <w:rPr>
                <w:rFonts w:hint="eastAsia" w:eastAsia="宋体"/>
                <w:lang w:val="en-US" w:eastAsia="zh-CN"/>
              </w:rPr>
            </w:pPr>
            <w:r>
              <w:rPr>
                <w:rFonts w:hint="eastAsia"/>
                <w:lang w:val="en-US" w:eastAsia="zh-CN"/>
              </w:rPr>
              <w:t>废油桶</w:t>
            </w:r>
          </w:p>
        </w:tc>
        <w:tc>
          <w:tcPr>
            <w:tcW w:w="1633" w:type="dxa"/>
            <w:vAlign w:val="center"/>
          </w:tcPr>
          <w:p w14:paraId="51DF6A42">
            <w:pPr>
              <w:pStyle w:val="19"/>
              <w:spacing w:before="120" w:after="120"/>
              <w:ind w:right="0" w:rightChars="0" w:firstLine="0" w:firstLineChars="0"/>
              <w:rPr>
                <w:rFonts w:hint="eastAsia"/>
                <w:bCs/>
                <w:kern w:val="44"/>
                <w:szCs w:val="30"/>
              </w:rPr>
            </w:pPr>
            <w:r>
              <w:rPr>
                <w:rFonts w:hint="eastAsia"/>
                <w:bCs/>
                <w:kern w:val="44"/>
                <w:szCs w:val="30"/>
              </w:rPr>
              <w:t>/</w:t>
            </w:r>
          </w:p>
        </w:tc>
        <w:tc>
          <w:tcPr>
            <w:tcW w:w="1218" w:type="dxa"/>
            <w:vAlign w:val="center"/>
          </w:tcPr>
          <w:p w14:paraId="5699C4B5">
            <w:pPr>
              <w:pStyle w:val="19"/>
              <w:spacing w:before="120" w:after="120"/>
              <w:ind w:right="0" w:rightChars="0" w:firstLine="0" w:firstLineChars="0"/>
              <w:rPr>
                <w:rFonts w:hint="eastAsia"/>
                <w:bCs/>
                <w:kern w:val="44"/>
                <w:szCs w:val="30"/>
              </w:rPr>
            </w:pPr>
            <w:r>
              <w:rPr>
                <w:rFonts w:hint="eastAsia"/>
                <w:bCs/>
                <w:kern w:val="44"/>
                <w:szCs w:val="30"/>
              </w:rPr>
              <w:t>/</w:t>
            </w:r>
          </w:p>
        </w:tc>
        <w:tc>
          <w:tcPr>
            <w:tcW w:w="1633" w:type="dxa"/>
            <w:vAlign w:val="center"/>
          </w:tcPr>
          <w:p w14:paraId="3B648F58">
            <w:pPr>
              <w:pStyle w:val="19"/>
              <w:spacing w:before="120" w:after="120"/>
              <w:ind w:right="0" w:rightChars="0" w:firstLine="0" w:firstLineChars="0"/>
              <w:rPr>
                <w:rFonts w:hint="eastAsia"/>
                <w:bCs/>
                <w:kern w:val="44"/>
                <w:szCs w:val="30"/>
              </w:rPr>
            </w:pPr>
            <w:r>
              <w:rPr>
                <w:rFonts w:hint="eastAsia"/>
                <w:bCs/>
                <w:kern w:val="44"/>
                <w:szCs w:val="30"/>
              </w:rPr>
              <w:t>/</w:t>
            </w:r>
          </w:p>
        </w:tc>
        <w:tc>
          <w:tcPr>
            <w:tcW w:w="554" w:type="pct"/>
            <w:vAlign w:val="center"/>
          </w:tcPr>
          <w:p w14:paraId="61696496">
            <w:pPr>
              <w:pStyle w:val="19"/>
              <w:spacing w:before="120" w:after="120"/>
              <w:rPr>
                <w:rFonts w:hint="default" w:eastAsia="宋体"/>
                <w:lang w:val="en-US" w:eastAsia="zh-CN"/>
              </w:rPr>
            </w:pPr>
            <w:r>
              <w:rPr>
                <w:rFonts w:hint="eastAsia"/>
                <w:lang w:val="en-US" w:eastAsia="zh-CN"/>
              </w:rPr>
              <w:t>8个/年</w:t>
            </w:r>
          </w:p>
        </w:tc>
        <w:tc>
          <w:tcPr>
            <w:tcW w:w="627" w:type="pct"/>
            <w:vAlign w:val="center"/>
          </w:tcPr>
          <w:p w14:paraId="022E543F">
            <w:pPr>
              <w:pStyle w:val="19"/>
              <w:spacing w:before="120" w:after="120"/>
              <w:rPr>
                <w:rFonts w:hint="eastAsia"/>
              </w:rPr>
            </w:pPr>
            <w:r>
              <w:rPr>
                <w:rFonts w:hint="eastAsia"/>
              </w:rPr>
              <w:t>/</w:t>
            </w:r>
          </w:p>
        </w:tc>
        <w:tc>
          <w:tcPr>
            <w:tcW w:w="699" w:type="pct"/>
            <w:vAlign w:val="center"/>
          </w:tcPr>
          <w:p w14:paraId="59A93A44">
            <w:pPr>
              <w:pStyle w:val="19"/>
              <w:spacing w:before="120" w:after="120"/>
              <w:rPr>
                <w:rFonts w:hint="eastAsia"/>
              </w:rPr>
            </w:pPr>
            <w:r>
              <w:rPr>
                <w:rFonts w:hint="eastAsia"/>
                <w:lang w:val="en-US" w:eastAsia="zh-CN"/>
              </w:rPr>
              <w:t>8个/年</w:t>
            </w:r>
          </w:p>
        </w:tc>
        <w:tc>
          <w:tcPr>
            <w:tcW w:w="391" w:type="pct"/>
            <w:vAlign w:val="center"/>
          </w:tcPr>
          <w:p w14:paraId="263FD5D4">
            <w:pPr>
              <w:pStyle w:val="19"/>
              <w:spacing w:before="120" w:after="120"/>
              <w:rPr>
                <w:rFonts w:hint="eastAsia"/>
              </w:rPr>
            </w:pPr>
            <w:r>
              <w:rPr>
                <w:rFonts w:hint="eastAsia"/>
                <w:lang w:val="en-US" w:eastAsia="zh-CN"/>
              </w:rPr>
              <w:t>+8个/年</w:t>
            </w:r>
          </w:p>
        </w:tc>
      </w:tr>
    </w:tbl>
    <w:p w14:paraId="2CD56A38">
      <w:pPr>
        <w:pStyle w:val="24"/>
        <w:spacing w:before="192" w:beforeLines="80" w:after="24"/>
        <w:ind w:firstLine="396"/>
        <w:jc w:val="left"/>
        <w:rPr>
          <w:rFonts w:hAnsi="宋体"/>
          <w:snapToGrid w:val="0"/>
          <w:spacing w:val="-6"/>
          <w:kern w:val="21"/>
          <w:szCs w:val="21"/>
        </w:rPr>
        <w:sectPr>
          <w:footerReference r:id="rId12" w:type="default"/>
          <w:pgSz w:w="16838" w:h="11906" w:orient="landscape"/>
          <w:pgMar w:top="1531" w:right="1701" w:bottom="1531" w:left="1701" w:header="851" w:footer="851" w:gutter="0"/>
          <w:cols w:space="720" w:num="1"/>
          <w:docGrid w:linePitch="312" w:charSpace="0"/>
        </w:sectPr>
      </w:pPr>
    </w:p>
    <w:p w14:paraId="5EECF7CD">
      <w:pPr>
        <w:ind w:firstLine="480"/>
      </w:pPr>
    </w:p>
    <w:p w14:paraId="7F972DF4">
      <w:pPr>
        <w:ind w:firstLine="480"/>
      </w:pPr>
    </w:p>
    <w:p w14:paraId="0F6E05DC">
      <w:pPr>
        <w:ind w:firstLine="480"/>
      </w:pPr>
    </w:p>
    <w:p w14:paraId="791F2F5A">
      <w:pPr>
        <w:ind w:firstLine="480"/>
      </w:pPr>
    </w:p>
    <w:p w14:paraId="63C00C6A">
      <w:pPr>
        <w:spacing w:line="240" w:lineRule="auto"/>
        <w:ind w:firstLine="0" w:firstLineChars="0"/>
        <w:jc w:val="center"/>
      </w:pPr>
      <w:bookmarkStart w:id="152" w:name="_Toc9272"/>
      <w:r>
        <w:rPr>
          <w:rFonts w:hint="eastAsia" w:ascii="方正小标宋_GBK" w:eastAsia="方正小标宋_GBK"/>
          <w:bCs/>
          <w:sz w:val="52"/>
          <w:szCs w:val="52"/>
        </w:rPr>
        <w:t>鄂托克经济开发区蒙西产业园危险化学品运输车辆专用停车场项目</w:t>
      </w:r>
    </w:p>
    <w:bookmarkEnd w:id="152"/>
    <w:p w14:paraId="4235EBC5">
      <w:pPr>
        <w:ind w:firstLine="480"/>
      </w:pPr>
    </w:p>
    <w:p w14:paraId="4771E458">
      <w:pPr>
        <w:adjustRightInd w:val="0"/>
        <w:snapToGrid w:val="0"/>
        <w:spacing w:line="240" w:lineRule="auto"/>
        <w:ind w:firstLine="0" w:firstLineChars="0"/>
        <w:jc w:val="center"/>
        <w:outlineLvl w:val="0"/>
        <w:rPr>
          <w:rFonts w:ascii="方正小标宋_GBK" w:eastAsia="方正小标宋_GBK"/>
          <w:bCs/>
          <w:sz w:val="72"/>
          <w:szCs w:val="72"/>
        </w:rPr>
      </w:pPr>
      <w:bookmarkStart w:id="153" w:name="_Toc22973"/>
      <w:bookmarkStart w:id="154" w:name="_Toc29761"/>
      <w:r>
        <w:rPr>
          <w:rFonts w:hint="eastAsia" w:ascii="方正小标宋_GBK" w:eastAsia="方正小标宋_GBK"/>
          <w:bCs/>
          <w:sz w:val="72"/>
          <w:szCs w:val="72"/>
        </w:rPr>
        <w:t>环境风险专项评价</w:t>
      </w:r>
      <w:bookmarkEnd w:id="153"/>
      <w:bookmarkEnd w:id="154"/>
    </w:p>
    <w:p w14:paraId="5B1EB0D7">
      <w:pPr>
        <w:ind w:firstLine="480"/>
      </w:pPr>
    </w:p>
    <w:p w14:paraId="27743F18">
      <w:pPr>
        <w:ind w:firstLine="480"/>
      </w:pPr>
    </w:p>
    <w:p w14:paraId="64EA7A98">
      <w:pPr>
        <w:ind w:firstLine="480"/>
      </w:pPr>
    </w:p>
    <w:p w14:paraId="02104DE2">
      <w:pPr>
        <w:ind w:firstLine="480"/>
      </w:pPr>
    </w:p>
    <w:p w14:paraId="040FA8D6">
      <w:pPr>
        <w:ind w:firstLine="480"/>
      </w:pPr>
    </w:p>
    <w:p w14:paraId="2F62CCDF">
      <w:pPr>
        <w:ind w:firstLine="480"/>
      </w:pPr>
    </w:p>
    <w:p w14:paraId="5835728F">
      <w:pPr>
        <w:ind w:firstLine="480"/>
      </w:pPr>
    </w:p>
    <w:p w14:paraId="234A9634">
      <w:pPr>
        <w:ind w:firstLine="480"/>
      </w:pPr>
    </w:p>
    <w:p w14:paraId="052B5FB2">
      <w:pPr>
        <w:ind w:firstLine="480"/>
      </w:pPr>
    </w:p>
    <w:p w14:paraId="07C47E2E">
      <w:pPr>
        <w:ind w:firstLine="480"/>
      </w:pPr>
    </w:p>
    <w:p w14:paraId="033920AA">
      <w:pPr>
        <w:ind w:firstLine="480"/>
      </w:pPr>
    </w:p>
    <w:p w14:paraId="318BF719">
      <w:pPr>
        <w:ind w:firstLine="480"/>
      </w:pPr>
    </w:p>
    <w:p w14:paraId="4591AAC7">
      <w:pPr>
        <w:ind w:firstLine="0" w:firstLineChars="0"/>
        <w:jc w:val="center"/>
        <w:rPr>
          <w:sz w:val="36"/>
          <w:szCs w:val="36"/>
        </w:rPr>
      </w:pPr>
      <w:r>
        <w:rPr>
          <w:rFonts w:hint="eastAsia"/>
          <w:sz w:val="36"/>
          <w:szCs w:val="36"/>
        </w:rPr>
        <w:t>内蒙古鄂尔多斯鄂托克经济开发区管理委员会</w:t>
      </w:r>
    </w:p>
    <w:p w14:paraId="254D5C9E">
      <w:pPr>
        <w:ind w:firstLine="0" w:firstLineChars="0"/>
        <w:jc w:val="center"/>
        <w:rPr>
          <w:sz w:val="36"/>
          <w:szCs w:val="36"/>
        </w:rPr>
      </w:pPr>
    </w:p>
    <w:p w14:paraId="306F80B0">
      <w:pPr>
        <w:ind w:firstLine="0" w:firstLineChars="0"/>
        <w:jc w:val="center"/>
        <w:rPr>
          <w:sz w:val="36"/>
          <w:szCs w:val="36"/>
        </w:rPr>
        <w:sectPr>
          <w:footerReference r:id="rId13" w:type="default"/>
          <w:pgSz w:w="11906" w:h="16838"/>
          <w:pgMar w:top="1701" w:right="1531" w:bottom="1701" w:left="1531" w:header="851" w:footer="851" w:gutter="0"/>
          <w:cols w:space="720" w:num="1"/>
          <w:docGrid w:linePitch="312" w:charSpace="0"/>
        </w:sectPr>
      </w:pPr>
      <w:r>
        <w:rPr>
          <w:sz w:val="36"/>
          <w:szCs w:val="36"/>
        </w:rPr>
        <w:t>二零二</w:t>
      </w:r>
      <w:r>
        <w:rPr>
          <w:rFonts w:hint="eastAsia"/>
          <w:sz w:val="36"/>
          <w:szCs w:val="36"/>
        </w:rPr>
        <w:t>四</w:t>
      </w:r>
      <w:r>
        <w:rPr>
          <w:sz w:val="36"/>
          <w:szCs w:val="36"/>
        </w:rPr>
        <w:t>年</w:t>
      </w:r>
      <w:r>
        <w:rPr>
          <w:rFonts w:hint="eastAsia"/>
          <w:sz w:val="36"/>
          <w:szCs w:val="36"/>
        </w:rPr>
        <w:t>一</w:t>
      </w:r>
      <w:r>
        <w:rPr>
          <w:sz w:val="36"/>
          <w:szCs w:val="36"/>
        </w:rPr>
        <w:t>月</w:t>
      </w:r>
    </w:p>
    <w:p w14:paraId="3CB78FF3">
      <w:pPr>
        <w:ind w:firstLine="0" w:firstLineChars="0"/>
        <w:jc w:val="center"/>
        <w:rPr>
          <w:sz w:val="36"/>
          <w:szCs w:val="36"/>
        </w:rPr>
      </w:pPr>
      <w:r>
        <w:rPr>
          <w:rFonts w:hint="eastAsia"/>
          <w:sz w:val="36"/>
          <w:szCs w:val="36"/>
        </w:rPr>
        <w:t>目  录</w:t>
      </w:r>
    </w:p>
    <w:p w14:paraId="64AFFD67">
      <w:pPr>
        <w:pStyle w:val="12"/>
        <w:tabs>
          <w:tab w:val="right" w:leader="dot" w:pos="8844"/>
        </w:tabs>
      </w:pPr>
      <w:r>
        <w:rPr>
          <w:sz w:val="36"/>
          <w:szCs w:val="36"/>
        </w:rPr>
        <w:fldChar w:fldCharType="begin"/>
      </w:r>
      <w:r>
        <w:rPr>
          <w:sz w:val="36"/>
          <w:szCs w:val="36"/>
        </w:rPr>
        <w:instrText xml:space="preserve">TOC \o "1-2" \h \u </w:instrText>
      </w:r>
      <w:r>
        <w:rPr>
          <w:sz w:val="36"/>
          <w:szCs w:val="36"/>
        </w:rPr>
        <w:fldChar w:fldCharType="separate"/>
      </w:r>
      <w:r>
        <w:fldChar w:fldCharType="begin"/>
      </w:r>
      <w:r>
        <w:instrText xml:space="preserve"> HYPERLINK \l "_Toc8088" </w:instrText>
      </w:r>
      <w:r>
        <w:fldChar w:fldCharType="separate"/>
      </w:r>
      <w:r>
        <w:rPr>
          <w:rFonts w:hint="eastAsia"/>
        </w:rPr>
        <w:t>一、 总论</w:t>
      </w:r>
      <w:r>
        <w:tab/>
      </w:r>
      <w:r>
        <w:fldChar w:fldCharType="begin"/>
      </w:r>
      <w:r>
        <w:instrText xml:space="preserve"> PAGEREF _Toc8088 \h </w:instrText>
      </w:r>
      <w:r>
        <w:fldChar w:fldCharType="separate"/>
      </w:r>
      <w:r>
        <w:t>- 1 -</w:t>
      </w:r>
      <w:r>
        <w:fldChar w:fldCharType="end"/>
      </w:r>
      <w:r>
        <w:fldChar w:fldCharType="end"/>
      </w:r>
    </w:p>
    <w:p w14:paraId="310AA835">
      <w:pPr>
        <w:pStyle w:val="13"/>
        <w:tabs>
          <w:tab w:val="right" w:leader="dot" w:pos="8844"/>
        </w:tabs>
        <w:ind w:left="480" w:firstLine="480"/>
      </w:pPr>
      <w:r>
        <w:fldChar w:fldCharType="begin"/>
      </w:r>
      <w:r>
        <w:instrText xml:space="preserve"> HYPERLINK \l "_Toc26372" </w:instrText>
      </w:r>
      <w:r>
        <w:fldChar w:fldCharType="separate"/>
      </w:r>
      <w:r>
        <w:rPr>
          <w:rFonts w:hint="eastAsia"/>
        </w:rPr>
        <w:t>1.1评价目的</w:t>
      </w:r>
      <w:r>
        <w:tab/>
      </w:r>
      <w:r>
        <w:fldChar w:fldCharType="begin"/>
      </w:r>
      <w:r>
        <w:instrText xml:space="preserve"> PAGEREF _Toc26372 \h </w:instrText>
      </w:r>
      <w:r>
        <w:fldChar w:fldCharType="separate"/>
      </w:r>
      <w:r>
        <w:t>- 1 -</w:t>
      </w:r>
      <w:r>
        <w:fldChar w:fldCharType="end"/>
      </w:r>
      <w:r>
        <w:fldChar w:fldCharType="end"/>
      </w:r>
    </w:p>
    <w:p w14:paraId="1BDD0BFB">
      <w:pPr>
        <w:pStyle w:val="13"/>
        <w:tabs>
          <w:tab w:val="right" w:leader="dot" w:pos="8844"/>
        </w:tabs>
        <w:ind w:left="480" w:firstLine="480"/>
      </w:pPr>
      <w:r>
        <w:fldChar w:fldCharType="begin"/>
      </w:r>
      <w:r>
        <w:instrText xml:space="preserve"> HYPERLINK \l "_Toc15157" </w:instrText>
      </w:r>
      <w:r>
        <w:fldChar w:fldCharType="separate"/>
      </w:r>
      <w:r>
        <w:rPr>
          <w:rFonts w:hint="eastAsia"/>
        </w:rPr>
        <w:t>1.2评价原则</w:t>
      </w:r>
      <w:r>
        <w:tab/>
      </w:r>
      <w:r>
        <w:fldChar w:fldCharType="begin"/>
      </w:r>
      <w:r>
        <w:instrText xml:space="preserve"> PAGEREF _Toc15157 \h </w:instrText>
      </w:r>
      <w:r>
        <w:fldChar w:fldCharType="separate"/>
      </w:r>
      <w:r>
        <w:t>- 1 -</w:t>
      </w:r>
      <w:r>
        <w:fldChar w:fldCharType="end"/>
      </w:r>
      <w:r>
        <w:fldChar w:fldCharType="end"/>
      </w:r>
    </w:p>
    <w:p w14:paraId="51AA01DB">
      <w:pPr>
        <w:pStyle w:val="13"/>
        <w:tabs>
          <w:tab w:val="right" w:leader="dot" w:pos="8844"/>
        </w:tabs>
        <w:ind w:left="480" w:firstLine="480"/>
      </w:pPr>
      <w:r>
        <w:fldChar w:fldCharType="begin"/>
      </w:r>
      <w:r>
        <w:instrText xml:space="preserve"> HYPERLINK \l "_Toc7926" </w:instrText>
      </w:r>
      <w:r>
        <w:fldChar w:fldCharType="separate"/>
      </w:r>
      <w:r>
        <w:rPr>
          <w:rFonts w:hint="eastAsia"/>
        </w:rPr>
        <w:t>1.3评价工作程序</w:t>
      </w:r>
      <w:r>
        <w:tab/>
      </w:r>
      <w:r>
        <w:fldChar w:fldCharType="begin"/>
      </w:r>
      <w:r>
        <w:instrText xml:space="preserve"> PAGEREF _Toc7926 \h </w:instrText>
      </w:r>
      <w:r>
        <w:fldChar w:fldCharType="separate"/>
      </w:r>
      <w:r>
        <w:t>- 1 -</w:t>
      </w:r>
      <w:r>
        <w:fldChar w:fldCharType="end"/>
      </w:r>
      <w:r>
        <w:fldChar w:fldCharType="end"/>
      </w:r>
    </w:p>
    <w:p w14:paraId="24BB233E">
      <w:pPr>
        <w:pStyle w:val="12"/>
        <w:tabs>
          <w:tab w:val="right" w:leader="dot" w:pos="8844"/>
        </w:tabs>
        <w:ind w:firstLine="480"/>
      </w:pPr>
      <w:r>
        <w:fldChar w:fldCharType="begin"/>
      </w:r>
      <w:r>
        <w:instrText xml:space="preserve"> HYPERLINK \l "_Toc29607" </w:instrText>
      </w:r>
      <w:r>
        <w:fldChar w:fldCharType="separate"/>
      </w:r>
      <w:r>
        <w:rPr>
          <w:rFonts w:hint="eastAsia"/>
        </w:rPr>
        <w:t>二、 建设项目基本情况</w:t>
      </w:r>
      <w:r>
        <w:tab/>
      </w:r>
      <w:r>
        <w:fldChar w:fldCharType="begin"/>
      </w:r>
      <w:r>
        <w:instrText xml:space="preserve"> PAGEREF _Toc29607 \h </w:instrText>
      </w:r>
      <w:r>
        <w:fldChar w:fldCharType="separate"/>
      </w:r>
      <w:r>
        <w:t>- 2 -</w:t>
      </w:r>
      <w:r>
        <w:fldChar w:fldCharType="end"/>
      </w:r>
      <w:r>
        <w:fldChar w:fldCharType="end"/>
      </w:r>
    </w:p>
    <w:p w14:paraId="0E15E7A4">
      <w:pPr>
        <w:pStyle w:val="13"/>
        <w:tabs>
          <w:tab w:val="right" w:leader="dot" w:pos="8844"/>
        </w:tabs>
        <w:ind w:left="480" w:firstLine="480"/>
      </w:pPr>
      <w:r>
        <w:fldChar w:fldCharType="begin"/>
      </w:r>
      <w:r>
        <w:instrText xml:space="preserve"> HYPERLINK \l "_Toc21220" </w:instrText>
      </w:r>
      <w:r>
        <w:fldChar w:fldCharType="separate"/>
      </w:r>
      <w:r>
        <w:rPr>
          <w:rFonts w:hint="eastAsia"/>
        </w:rPr>
        <w:t>2.1建设项目基本情况</w:t>
      </w:r>
      <w:r>
        <w:tab/>
      </w:r>
      <w:r>
        <w:fldChar w:fldCharType="begin"/>
      </w:r>
      <w:r>
        <w:instrText xml:space="preserve"> PAGEREF _Toc21220 \h </w:instrText>
      </w:r>
      <w:r>
        <w:fldChar w:fldCharType="separate"/>
      </w:r>
      <w:r>
        <w:t>- 2 -</w:t>
      </w:r>
      <w:r>
        <w:fldChar w:fldCharType="end"/>
      </w:r>
      <w:r>
        <w:fldChar w:fldCharType="end"/>
      </w:r>
    </w:p>
    <w:p w14:paraId="0479ACC1">
      <w:pPr>
        <w:pStyle w:val="13"/>
        <w:tabs>
          <w:tab w:val="right" w:leader="dot" w:pos="8844"/>
        </w:tabs>
        <w:ind w:left="480" w:firstLine="480"/>
      </w:pPr>
      <w:r>
        <w:fldChar w:fldCharType="begin"/>
      </w:r>
      <w:r>
        <w:instrText xml:space="preserve"> HYPERLINK \l "_Toc17840" </w:instrText>
      </w:r>
      <w:r>
        <w:fldChar w:fldCharType="separate"/>
      </w:r>
      <w:r>
        <w:rPr>
          <w:rFonts w:hint="eastAsia"/>
        </w:rPr>
        <w:t>2.2危险化学品信息</w:t>
      </w:r>
      <w:r>
        <w:tab/>
      </w:r>
      <w:r>
        <w:fldChar w:fldCharType="begin"/>
      </w:r>
      <w:r>
        <w:instrText xml:space="preserve"> PAGEREF _Toc17840 \h </w:instrText>
      </w:r>
      <w:r>
        <w:fldChar w:fldCharType="separate"/>
      </w:r>
      <w:r>
        <w:t>- 2 -</w:t>
      </w:r>
      <w:r>
        <w:fldChar w:fldCharType="end"/>
      </w:r>
      <w:r>
        <w:fldChar w:fldCharType="end"/>
      </w:r>
    </w:p>
    <w:p w14:paraId="71524895">
      <w:pPr>
        <w:pStyle w:val="12"/>
        <w:tabs>
          <w:tab w:val="right" w:leader="dot" w:pos="8844"/>
        </w:tabs>
        <w:ind w:firstLine="480"/>
      </w:pPr>
      <w:r>
        <w:fldChar w:fldCharType="begin"/>
      </w:r>
      <w:r>
        <w:instrText xml:space="preserve"> HYPERLINK \l "_Toc629" </w:instrText>
      </w:r>
      <w:r>
        <w:fldChar w:fldCharType="separate"/>
      </w:r>
      <w:r>
        <w:rPr>
          <w:rFonts w:hint="eastAsia"/>
        </w:rPr>
        <w:t>三、 分析判定相关情况</w:t>
      </w:r>
      <w:r>
        <w:tab/>
      </w:r>
      <w:r>
        <w:fldChar w:fldCharType="begin"/>
      </w:r>
      <w:r>
        <w:instrText xml:space="preserve"> PAGEREF _Toc629 \h </w:instrText>
      </w:r>
      <w:r>
        <w:fldChar w:fldCharType="separate"/>
      </w:r>
      <w:r>
        <w:t>- 7 -</w:t>
      </w:r>
      <w:r>
        <w:fldChar w:fldCharType="end"/>
      </w:r>
      <w:r>
        <w:fldChar w:fldCharType="end"/>
      </w:r>
    </w:p>
    <w:p w14:paraId="15F59CDC">
      <w:pPr>
        <w:pStyle w:val="13"/>
        <w:tabs>
          <w:tab w:val="right" w:leader="dot" w:pos="8844"/>
        </w:tabs>
        <w:ind w:left="480" w:firstLine="480"/>
      </w:pPr>
      <w:r>
        <w:fldChar w:fldCharType="begin"/>
      </w:r>
      <w:r>
        <w:instrText xml:space="preserve"> HYPERLINK \l "_Toc30872" </w:instrText>
      </w:r>
      <w:r>
        <w:fldChar w:fldCharType="separate"/>
      </w:r>
      <w:r>
        <w:rPr>
          <w:rFonts w:hint="eastAsia"/>
        </w:rPr>
        <w:t>3.1危险物质数量和分布情况</w:t>
      </w:r>
      <w:r>
        <w:tab/>
      </w:r>
      <w:r>
        <w:fldChar w:fldCharType="begin"/>
      </w:r>
      <w:r>
        <w:instrText xml:space="preserve"> PAGEREF _Toc30872 \h </w:instrText>
      </w:r>
      <w:r>
        <w:fldChar w:fldCharType="separate"/>
      </w:r>
      <w:r>
        <w:t>- 7 -</w:t>
      </w:r>
      <w:r>
        <w:fldChar w:fldCharType="end"/>
      </w:r>
      <w:r>
        <w:fldChar w:fldCharType="end"/>
      </w:r>
    </w:p>
    <w:p w14:paraId="38BCE9B9">
      <w:pPr>
        <w:pStyle w:val="13"/>
        <w:tabs>
          <w:tab w:val="right" w:leader="dot" w:pos="8844"/>
        </w:tabs>
        <w:ind w:left="480" w:firstLine="480"/>
      </w:pPr>
      <w:r>
        <w:fldChar w:fldCharType="begin"/>
      </w:r>
      <w:r>
        <w:instrText xml:space="preserve"> HYPERLINK \l "_Toc3340" </w:instrText>
      </w:r>
      <w:r>
        <w:fldChar w:fldCharType="separate"/>
      </w:r>
      <w:r>
        <w:rPr>
          <w:rFonts w:hint="eastAsia"/>
        </w:rPr>
        <w:t>3.2风险潜势初判</w:t>
      </w:r>
      <w:r>
        <w:tab/>
      </w:r>
      <w:r>
        <w:fldChar w:fldCharType="begin"/>
      </w:r>
      <w:r>
        <w:instrText xml:space="preserve"> PAGEREF _Toc3340 \h </w:instrText>
      </w:r>
      <w:r>
        <w:fldChar w:fldCharType="separate"/>
      </w:r>
      <w:r>
        <w:t>- 8 -</w:t>
      </w:r>
      <w:r>
        <w:fldChar w:fldCharType="end"/>
      </w:r>
      <w:r>
        <w:fldChar w:fldCharType="end"/>
      </w:r>
    </w:p>
    <w:p w14:paraId="07932859">
      <w:pPr>
        <w:pStyle w:val="13"/>
        <w:tabs>
          <w:tab w:val="right" w:leader="dot" w:pos="8844"/>
        </w:tabs>
        <w:ind w:left="480" w:firstLine="480"/>
      </w:pPr>
      <w:r>
        <w:fldChar w:fldCharType="begin"/>
      </w:r>
      <w:r>
        <w:instrText xml:space="preserve"> HYPERLINK \l "_Toc13962" </w:instrText>
      </w:r>
      <w:r>
        <w:fldChar w:fldCharType="separate"/>
      </w:r>
      <w:r>
        <w:rPr>
          <w:rFonts w:hint="eastAsia"/>
        </w:rPr>
        <w:t>3.3评价等级判定</w:t>
      </w:r>
      <w:r>
        <w:tab/>
      </w:r>
      <w:r>
        <w:fldChar w:fldCharType="begin"/>
      </w:r>
      <w:r>
        <w:instrText xml:space="preserve"> PAGEREF _Toc13962 \h </w:instrText>
      </w:r>
      <w:r>
        <w:fldChar w:fldCharType="separate"/>
      </w:r>
      <w:r>
        <w:t>- 16 -</w:t>
      </w:r>
      <w:r>
        <w:fldChar w:fldCharType="end"/>
      </w:r>
      <w:r>
        <w:fldChar w:fldCharType="end"/>
      </w:r>
    </w:p>
    <w:p w14:paraId="444AA7D6">
      <w:pPr>
        <w:pStyle w:val="13"/>
        <w:tabs>
          <w:tab w:val="right" w:leader="dot" w:pos="8844"/>
        </w:tabs>
        <w:ind w:left="480" w:firstLine="480"/>
      </w:pPr>
      <w:r>
        <w:fldChar w:fldCharType="begin"/>
      </w:r>
      <w:r>
        <w:instrText xml:space="preserve"> HYPERLINK \l "_Toc25391" </w:instrText>
      </w:r>
      <w:r>
        <w:fldChar w:fldCharType="separate"/>
      </w:r>
      <w:r>
        <w:rPr>
          <w:rFonts w:hint="eastAsia"/>
        </w:rPr>
        <w:t>3.4评价内容</w:t>
      </w:r>
      <w:r>
        <w:tab/>
      </w:r>
      <w:r>
        <w:fldChar w:fldCharType="begin"/>
      </w:r>
      <w:r>
        <w:instrText xml:space="preserve"> PAGEREF _Toc25391 \h </w:instrText>
      </w:r>
      <w:r>
        <w:fldChar w:fldCharType="separate"/>
      </w:r>
      <w:r>
        <w:t>- 16 -</w:t>
      </w:r>
      <w:r>
        <w:fldChar w:fldCharType="end"/>
      </w:r>
      <w:r>
        <w:fldChar w:fldCharType="end"/>
      </w:r>
    </w:p>
    <w:p w14:paraId="42223C5E">
      <w:pPr>
        <w:pStyle w:val="12"/>
        <w:tabs>
          <w:tab w:val="right" w:leader="dot" w:pos="8844"/>
        </w:tabs>
        <w:ind w:firstLine="480"/>
      </w:pPr>
      <w:r>
        <w:fldChar w:fldCharType="begin"/>
      </w:r>
      <w:r>
        <w:instrText xml:space="preserve"> HYPERLINK \l "_Toc2264" </w:instrText>
      </w:r>
      <w:r>
        <w:fldChar w:fldCharType="separate"/>
      </w:r>
      <w:r>
        <w:rPr>
          <w:rFonts w:hint="eastAsia"/>
        </w:rPr>
        <w:t xml:space="preserve">四、 </w:t>
      </w:r>
      <w:r>
        <w:t>环境敏感目标概况</w:t>
      </w:r>
      <w:r>
        <w:tab/>
      </w:r>
      <w:r>
        <w:fldChar w:fldCharType="begin"/>
      </w:r>
      <w:r>
        <w:instrText xml:space="preserve"> PAGEREF _Toc2264 \h </w:instrText>
      </w:r>
      <w:r>
        <w:fldChar w:fldCharType="separate"/>
      </w:r>
      <w:r>
        <w:t>- 18 -</w:t>
      </w:r>
      <w:r>
        <w:fldChar w:fldCharType="end"/>
      </w:r>
      <w:r>
        <w:fldChar w:fldCharType="end"/>
      </w:r>
    </w:p>
    <w:p w14:paraId="65FAB1A6">
      <w:pPr>
        <w:pStyle w:val="12"/>
        <w:tabs>
          <w:tab w:val="right" w:leader="dot" w:pos="8844"/>
        </w:tabs>
        <w:ind w:firstLine="480"/>
      </w:pPr>
      <w:r>
        <w:fldChar w:fldCharType="begin"/>
      </w:r>
      <w:r>
        <w:instrText xml:space="preserve"> HYPERLINK \l "_Toc24640" </w:instrText>
      </w:r>
      <w:r>
        <w:fldChar w:fldCharType="separate"/>
      </w:r>
      <w:r>
        <w:rPr>
          <w:rFonts w:hint="eastAsia"/>
        </w:rPr>
        <w:t xml:space="preserve">五、 </w:t>
      </w:r>
      <w:r>
        <w:t>环境风险识别</w:t>
      </w:r>
      <w:r>
        <w:tab/>
      </w:r>
      <w:r>
        <w:fldChar w:fldCharType="begin"/>
      </w:r>
      <w:r>
        <w:instrText xml:space="preserve"> PAGEREF _Toc24640 \h </w:instrText>
      </w:r>
      <w:r>
        <w:fldChar w:fldCharType="separate"/>
      </w:r>
      <w:r>
        <w:t>- 19 -</w:t>
      </w:r>
      <w:r>
        <w:fldChar w:fldCharType="end"/>
      </w:r>
      <w:r>
        <w:fldChar w:fldCharType="end"/>
      </w:r>
    </w:p>
    <w:p w14:paraId="720BCF04">
      <w:pPr>
        <w:pStyle w:val="13"/>
        <w:tabs>
          <w:tab w:val="right" w:leader="dot" w:pos="8844"/>
        </w:tabs>
        <w:ind w:left="480" w:firstLine="480"/>
      </w:pPr>
      <w:r>
        <w:fldChar w:fldCharType="begin"/>
      </w:r>
      <w:r>
        <w:instrText xml:space="preserve"> HYPERLINK \l "_Toc30487" </w:instrText>
      </w:r>
      <w:r>
        <w:fldChar w:fldCharType="separate"/>
      </w:r>
      <w:r>
        <w:rPr>
          <w:rFonts w:hint="eastAsia"/>
        </w:rPr>
        <w:t>5.1物质风险识别</w:t>
      </w:r>
      <w:r>
        <w:tab/>
      </w:r>
      <w:r>
        <w:fldChar w:fldCharType="begin"/>
      </w:r>
      <w:r>
        <w:instrText xml:space="preserve"> PAGEREF _Toc30487 \h </w:instrText>
      </w:r>
      <w:r>
        <w:fldChar w:fldCharType="separate"/>
      </w:r>
      <w:r>
        <w:t>- 19 -</w:t>
      </w:r>
      <w:r>
        <w:fldChar w:fldCharType="end"/>
      </w:r>
      <w:r>
        <w:fldChar w:fldCharType="end"/>
      </w:r>
    </w:p>
    <w:p w14:paraId="5249966E">
      <w:pPr>
        <w:pStyle w:val="13"/>
        <w:tabs>
          <w:tab w:val="right" w:leader="dot" w:pos="8844"/>
        </w:tabs>
        <w:ind w:left="480" w:firstLine="480"/>
      </w:pPr>
      <w:r>
        <w:fldChar w:fldCharType="begin"/>
      </w:r>
      <w:r>
        <w:instrText xml:space="preserve"> HYPERLINK \l "_Toc17118" </w:instrText>
      </w:r>
      <w:r>
        <w:fldChar w:fldCharType="separate"/>
      </w:r>
      <w:r>
        <w:rPr>
          <w:rFonts w:hint="eastAsia"/>
        </w:rPr>
        <w:t>5.2</w:t>
      </w:r>
      <w:r>
        <w:t>生产系统危险性识别</w:t>
      </w:r>
      <w:r>
        <w:tab/>
      </w:r>
      <w:r>
        <w:fldChar w:fldCharType="begin"/>
      </w:r>
      <w:r>
        <w:instrText xml:space="preserve"> PAGEREF _Toc17118 \h </w:instrText>
      </w:r>
      <w:r>
        <w:fldChar w:fldCharType="separate"/>
      </w:r>
      <w:r>
        <w:t>- 21 -</w:t>
      </w:r>
      <w:r>
        <w:fldChar w:fldCharType="end"/>
      </w:r>
      <w:r>
        <w:fldChar w:fldCharType="end"/>
      </w:r>
    </w:p>
    <w:p w14:paraId="4134C663">
      <w:pPr>
        <w:pStyle w:val="13"/>
        <w:tabs>
          <w:tab w:val="right" w:leader="dot" w:pos="8844"/>
        </w:tabs>
        <w:ind w:left="480" w:firstLine="480"/>
      </w:pPr>
      <w:r>
        <w:fldChar w:fldCharType="begin"/>
      </w:r>
      <w:r>
        <w:instrText xml:space="preserve"> HYPERLINK \l "_Toc28722" </w:instrText>
      </w:r>
      <w:r>
        <w:fldChar w:fldCharType="separate"/>
      </w:r>
      <w:r>
        <w:rPr>
          <w:rFonts w:hint="eastAsia"/>
        </w:rPr>
        <w:t>5.3环境风险类型及危害分析</w:t>
      </w:r>
      <w:r>
        <w:tab/>
      </w:r>
      <w:r>
        <w:fldChar w:fldCharType="begin"/>
      </w:r>
      <w:r>
        <w:instrText xml:space="preserve"> PAGEREF _Toc28722 \h </w:instrText>
      </w:r>
      <w:r>
        <w:fldChar w:fldCharType="separate"/>
      </w:r>
      <w:r>
        <w:t>- 22 -</w:t>
      </w:r>
      <w:r>
        <w:fldChar w:fldCharType="end"/>
      </w:r>
      <w:r>
        <w:fldChar w:fldCharType="end"/>
      </w:r>
    </w:p>
    <w:p w14:paraId="64AE9296">
      <w:pPr>
        <w:pStyle w:val="12"/>
        <w:tabs>
          <w:tab w:val="right" w:leader="dot" w:pos="8844"/>
        </w:tabs>
        <w:ind w:firstLine="480"/>
      </w:pPr>
      <w:r>
        <w:fldChar w:fldCharType="begin"/>
      </w:r>
      <w:r>
        <w:instrText xml:space="preserve"> HYPERLINK \l "_Toc6060" </w:instrText>
      </w:r>
      <w:r>
        <w:fldChar w:fldCharType="separate"/>
      </w:r>
      <w:r>
        <w:rPr>
          <w:rFonts w:hint="eastAsia"/>
        </w:rPr>
        <w:t xml:space="preserve">六、 </w:t>
      </w:r>
      <w:r>
        <w:t>环境风险分析</w:t>
      </w:r>
      <w:r>
        <w:tab/>
      </w:r>
      <w:r>
        <w:fldChar w:fldCharType="begin"/>
      </w:r>
      <w:r>
        <w:instrText xml:space="preserve"> PAGEREF _Toc6060 \h </w:instrText>
      </w:r>
      <w:r>
        <w:fldChar w:fldCharType="separate"/>
      </w:r>
      <w:r>
        <w:t>- 24 -</w:t>
      </w:r>
      <w:r>
        <w:fldChar w:fldCharType="end"/>
      </w:r>
      <w:r>
        <w:fldChar w:fldCharType="end"/>
      </w:r>
    </w:p>
    <w:p w14:paraId="0C621026">
      <w:pPr>
        <w:pStyle w:val="13"/>
        <w:tabs>
          <w:tab w:val="right" w:leader="dot" w:pos="8844"/>
        </w:tabs>
        <w:ind w:left="480" w:firstLine="480"/>
      </w:pPr>
      <w:r>
        <w:fldChar w:fldCharType="begin"/>
      </w:r>
      <w:r>
        <w:instrText xml:space="preserve"> HYPERLINK \l "_Toc11924" </w:instrText>
      </w:r>
      <w:r>
        <w:fldChar w:fldCharType="separate"/>
      </w:r>
      <w:r>
        <w:rPr>
          <w:rFonts w:hint="eastAsia"/>
        </w:rPr>
        <w:t>6.1危险化学品</w:t>
      </w:r>
      <w:r>
        <w:t>泄漏事件</w:t>
      </w:r>
      <w:r>
        <w:tab/>
      </w:r>
      <w:r>
        <w:fldChar w:fldCharType="begin"/>
      </w:r>
      <w:r>
        <w:instrText xml:space="preserve"> PAGEREF _Toc11924 \h </w:instrText>
      </w:r>
      <w:r>
        <w:fldChar w:fldCharType="separate"/>
      </w:r>
      <w:r>
        <w:t>- 24 -</w:t>
      </w:r>
      <w:r>
        <w:fldChar w:fldCharType="end"/>
      </w:r>
      <w:r>
        <w:fldChar w:fldCharType="end"/>
      </w:r>
    </w:p>
    <w:p w14:paraId="4D93420A">
      <w:pPr>
        <w:pStyle w:val="13"/>
        <w:tabs>
          <w:tab w:val="right" w:leader="dot" w:pos="8844"/>
        </w:tabs>
        <w:ind w:left="480" w:firstLine="480"/>
      </w:pPr>
      <w:r>
        <w:fldChar w:fldCharType="begin"/>
      </w:r>
      <w:r>
        <w:instrText xml:space="preserve"> HYPERLINK \l "_Toc11975" </w:instrText>
      </w:r>
      <w:r>
        <w:fldChar w:fldCharType="separate"/>
      </w:r>
      <w:r>
        <w:rPr>
          <w:rFonts w:hint="eastAsia"/>
        </w:rPr>
        <w:t>6.2</w:t>
      </w:r>
      <w:r>
        <w:t>火灾、爆炸引发的次生环境事件</w:t>
      </w:r>
      <w:r>
        <w:tab/>
      </w:r>
      <w:r>
        <w:fldChar w:fldCharType="begin"/>
      </w:r>
      <w:r>
        <w:instrText xml:space="preserve"> PAGEREF _Toc11975 \h </w:instrText>
      </w:r>
      <w:r>
        <w:fldChar w:fldCharType="separate"/>
      </w:r>
      <w:r>
        <w:t>- 26 -</w:t>
      </w:r>
      <w:r>
        <w:fldChar w:fldCharType="end"/>
      </w:r>
      <w:r>
        <w:fldChar w:fldCharType="end"/>
      </w:r>
    </w:p>
    <w:p w14:paraId="77B4D5AA">
      <w:pPr>
        <w:pStyle w:val="12"/>
        <w:tabs>
          <w:tab w:val="right" w:leader="dot" w:pos="8844"/>
        </w:tabs>
        <w:ind w:firstLine="480"/>
      </w:pPr>
      <w:r>
        <w:fldChar w:fldCharType="begin"/>
      </w:r>
      <w:r>
        <w:instrText xml:space="preserve"> HYPERLINK \l "_Toc22679" </w:instrText>
      </w:r>
      <w:r>
        <w:fldChar w:fldCharType="separate"/>
      </w:r>
      <w:r>
        <w:rPr>
          <w:rFonts w:hint="eastAsia"/>
        </w:rPr>
        <w:t xml:space="preserve">七、 </w:t>
      </w:r>
      <w:r>
        <w:t>环境风险防范措施及应急要求</w:t>
      </w:r>
      <w:r>
        <w:tab/>
      </w:r>
      <w:r>
        <w:fldChar w:fldCharType="begin"/>
      </w:r>
      <w:r>
        <w:instrText xml:space="preserve"> PAGEREF _Toc22679 \h </w:instrText>
      </w:r>
      <w:r>
        <w:fldChar w:fldCharType="separate"/>
      </w:r>
      <w:r>
        <w:t>- 28 -</w:t>
      </w:r>
      <w:r>
        <w:fldChar w:fldCharType="end"/>
      </w:r>
      <w:r>
        <w:fldChar w:fldCharType="end"/>
      </w:r>
    </w:p>
    <w:p w14:paraId="2F8582AA">
      <w:pPr>
        <w:pStyle w:val="13"/>
        <w:tabs>
          <w:tab w:val="right" w:leader="dot" w:pos="8844"/>
        </w:tabs>
        <w:ind w:left="480" w:firstLine="480"/>
      </w:pPr>
      <w:r>
        <w:fldChar w:fldCharType="begin"/>
      </w:r>
      <w:r>
        <w:instrText xml:space="preserve"> HYPERLINK \l "_Toc12377" </w:instrText>
      </w:r>
      <w:r>
        <w:fldChar w:fldCharType="separate"/>
      </w:r>
      <w:r>
        <w:rPr>
          <w:rFonts w:hint="eastAsia"/>
        </w:rPr>
        <w:t>7.1停车场组织机构设置</w:t>
      </w:r>
      <w:r>
        <w:tab/>
      </w:r>
      <w:r>
        <w:fldChar w:fldCharType="begin"/>
      </w:r>
      <w:r>
        <w:instrText xml:space="preserve"> PAGEREF _Toc12377 \h </w:instrText>
      </w:r>
      <w:r>
        <w:fldChar w:fldCharType="separate"/>
      </w:r>
      <w:r>
        <w:t>- 28 -</w:t>
      </w:r>
      <w:r>
        <w:fldChar w:fldCharType="end"/>
      </w:r>
      <w:r>
        <w:fldChar w:fldCharType="end"/>
      </w:r>
    </w:p>
    <w:p w14:paraId="07396BB5">
      <w:pPr>
        <w:pStyle w:val="13"/>
        <w:tabs>
          <w:tab w:val="right" w:leader="dot" w:pos="8844"/>
        </w:tabs>
        <w:ind w:left="480" w:firstLine="480"/>
      </w:pPr>
      <w:r>
        <w:fldChar w:fldCharType="begin"/>
      </w:r>
      <w:r>
        <w:instrText xml:space="preserve"> HYPERLINK \l "_Toc27698" </w:instrText>
      </w:r>
      <w:r>
        <w:fldChar w:fldCharType="separate"/>
      </w:r>
      <w:r>
        <w:rPr>
          <w:rFonts w:hint="eastAsia"/>
        </w:rPr>
        <w:t>7.2停车场选址、总图布置和建筑安全防范措施</w:t>
      </w:r>
      <w:r>
        <w:tab/>
      </w:r>
      <w:r>
        <w:fldChar w:fldCharType="begin"/>
      </w:r>
      <w:r>
        <w:instrText xml:space="preserve"> PAGEREF _Toc27698 \h </w:instrText>
      </w:r>
      <w:r>
        <w:fldChar w:fldCharType="separate"/>
      </w:r>
      <w:r>
        <w:t>- 28 -</w:t>
      </w:r>
      <w:r>
        <w:fldChar w:fldCharType="end"/>
      </w:r>
      <w:r>
        <w:fldChar w:fldCharType="end"/>
      </w:r>
    </w:p>
    <w:p w14:paraId="47573E8E">
      <w:pPr>
        <w:pStyle w:val="13"/>
        <w:tabs>
          <w:tab w:val="right" w:leader="dot" w:pos="8844"/>
        </w:tabs>
        <w:ind w:left="480" w:firstLine="480"/>
      </w:pPr>
      <w:r>
        <w:fldChar w:fldCharType="begin"/>
      </w:r>
      <w:r>
        <w:instrText xml:space="preserve"> HYPERLINK \l "_Toc26430" </w:instrText>
      </w:r>
      <w:r>
        <w:fldChar w:fldCharType="separate"/>
      </w:r>
      <w:r>
        <w:rPr>
          <w:rFonts w:hint="eastAsia"/>
        </w:rPr>
        <w:t>7.3运输过程风险防范措施</w:t>
      </w:r>
      <w:r>
        <w:tab/>
      </w:r>
      <w:r>
        <w:fldChar w:fldCharType="begin"/>
      </w:r>
      <w:r>
        <w:instrText xml:space="preserve"> PAGEREF _Toc26430 \h </w:instrText>
      </w:r>
      <w:r>
        <w:fldChar w:fldCharType="separate"/>
      </w:r>
      <w:r>
        <w:t>- 29 -</w:t>
      </w:r>
      <w:r>
        <w:fldChar w:fldCharType="end"/>
      </w:r>
      <w:r>
        <w:fldChar w:fldCharType="end"/>
      </w:r>
    </w:p>
    <w:p w14:paraId="082766CA">
      <w:pPr>
        <w:pStyle w:val="13"/>
        <w:tabs>
          <w:tab w:val="right" w:leader="dot" w:pos="8844"/>
        </w:tabs>
        <w:ind w:left="480" w:firstLine="480"/>
      </w:pPr>
      <w:r>
        <w:fldChar w:fldCharType="begin"/>
      </w:r>
      <w:r>
        <w:instrText xml:space="preserve"> HYPERLINK \l "_Toc17024" </w:instrText>
      </w:r>
      <w:r>
        <w:fldChar w:fldCharType="separate"/>
      </w:r>
      <w:r>
        <w:rPr>
          <w:rFonts w:hint="eastAsia"/>
        </w:rPr>
        <w:t>7.4危化品泄漏事故的防范措施</w:t>
      </w:r>
      <w:r>
        <w:tab/>
      </w:r>
      <w:r>
        <w:fldChar w:fldCharType="begin"/>
      </w:r>
      <w:r>
        <w:instrText xml:space="preserve"> PAGEREF _Toc17024 \h </w:instrText>
      </w:r>
      <w:r>
        <w:fldChar w:fldCharType="separate"/>
      </w:r>
      <w:r>
        <w:t>- 29 -</w:t>
      </w:r>
      <w:r>
        <w:fldChar w:fldCharType="end"/>
      </w:r>
      <w:r>
        <w:fldChar w:fldCharType="end"/>
      </w:r>
    </w:p>
    <w:p w14:paraId="361285B1">
      <w:pPr>
        <w:pStyle w:val="13"/>
        <w:tabs>
          <w:tab w:val="right" w:leader="dot" w:pos="8844"/>
        </w:tabs>
        <w:ind w:left="480" w:firstLine="480"/>
      </w:pPr>
      <w:r>
        <w:fldChar w:fldCharType="begin"/>
      </w:r>
      <w:r>
        <w:instrText xml:space="preserve"> HYPERLINK \l "_Toc757" </w:instrText>
      </w:r>
      <w:r>
        <w:fldChar w:fldCharType="separate"/>
      </w:r>
      <w:r>
        <w:rPr>
          <w:rFonts w:hint="eastAsia"/>
        </w:rPr>
        <w:t>7.5火灾和爆炸事故的防范措施</w:t>
      </w:r>
      <w:r>
        <w:tab/>
      </w:r>
      <w:r>
        <w:fldChar w:fldCharType="begin"/>
      </w:r>
      <w:r>
        <w:instrText xml:space="preserve"> PAGEREF _Toc757 \h </w:instrText>
      </w:r>
      <w:r>
        <w:fldChar w:fldCharType="separate"/>
      </w:r>
      <w:r>
        <w:t>- 30 -</w:t>
      </w:r>
      <w:r>
        <w:fldChar w:fldCharType="end"/>
      </w:r>
      <w:r>
        <w:fldChar w:fldCharType="end"/>
      </w:r>
    </w:p>
    <w:p w14:paraId="2CECDB2A">
      <w:pPr>
        <w:pStyle w:val="13"/>
        <w:tabs>
          <w:tab w:val="right" w:leader="dot" w:pos="8844"/>
        </w:tabs>
        <w:ind w:left="480" w:firstLine="480"/>
      </w:pPr>
      <w:r>
        <w:fldChar w:fldCharType="begin"/>
      </w:r>
      <w:r>
        <w:instrText xml:space="preserve"> HYPERLINK \l "_Toc25752" </w:instrText>
      </w:r>
      <w:r>
        <w:fldChar w:fldCharType="separate"/>
      </w:r>
      <w:r>
        <w:rPr>
          <w:rFonts w:hint="eastAsia"/>
        </w:rPr>
        <w:t>7.6废水事故排放防范及应急措施</w:t>
      </w:r>
      <w:r>
        <w:tab/>
      </w:r>
      <w:r>
        <w:fldChar w:fldCharType="begin"/>
      </w:r>
      <w:r>
        <w:instrText xml:space="preserve"> PAGEREF _Toc25752 \h </w:instrText>
      </w:r>
      <w:r>
        <w:fldChar w:fldCharType="separate"/>
      </w:r>
      <w:r>
        <w:t>- 31 -</w:t>
      </w:r>
      <w:r>
        <w:fldChar w:fldCharType="end"/>
      </w:r>
      <w:r>
        <w:fldChar w:fldCharType="end"/>
      </w:r>
    </w:p>
    <w:p w14:paraId="65595445">
      <w:pPr>
        <w:pStyle w:val="13"/>
        <w:tabs>
          <w:tab w:val="right" w:leader="dot" w:pos="8844"/>
        </w:tabs>
        <w:ind w:left="480" w:firstLine="480"/>
      </w:pPr>
      <w:r>
        <w:fldChar w:fldCharType="begin"/>
      </w:r>
      <w:r>
        <w:instrText xml:space="preserve"> HYPERLINK \l "_Toc18847" </w:instrText>
      </w:r>
      <w:r>
        <w:fldChar w:fldCharType="separate"/>
      </w:r>
      <w:r>
        <w:rPr>
          <w:rFonts w:hint="eastAsia"/>
        </w:rPr>
        <w:t>7.7环境风险应急预案建议</w:t>
      </w:r>
      <w:r>
        <w:tab/>
      </w:r>
      <w:r>
        <w:fldChar w:fldCharType="begin"/>
      </w:r>
      <w:r>
        <w:instrText xml:space="preserve"> PAGEREF _Toc18847 \h </w:instrText>
      </w:r>
      <w:r>
        <w:fldChar w:fldCharType="separate"/>
      </w:r>
      <w:r>
        <w:t>- 32 -</w:t>
      </w:r>
      <w:r>
        <w:fldChar w:fldCharType="end"/>
      </w:r>
      <w:r>
        <w:fldChar w:fldCharType="end"/>
      </w:r>
    </w:p>
    <w:p w14:paraId="4F66A4F8">
      <w:pPr>
        <w:pStyle w:val="12"/>
        <w:tabs>
          <w:tab w:val="right" w:leader="dot" w:pos="8844"/>
        </w:tabs>
        <w:ind w:firstLine="480"/>
      </w:pPr>
      <w:r>
        <w:fldChar w:fldCharType="begin"/>
      </w:r>
      <w:r>
        <w:instrText xml:space="preserve"> HYPERLINK \l "_Toc25576" </w:instrText>
      </w:r>
      <w:r>
        <w:fldChar w:fldCharType="separate"/>
      </w:r>
      <w:r>
        <w:rPr>
          <w:rFonts w:hint="eastAsia"/>
        </w:rPr>
        <w:t xml:space="preserve">八、 </w:t>
      </w:r>
      <w:r>
        <w:t>分析结论</w:t>
      </w:r>
      <w:r>
        <w:tab/>
      </w:r>
      <w:r>
        <w:fldChar w:fldCharType="begin"/>
      </w:r>
      <w:r>
        <w:instrText xml:space="preserve"> PAGEREF _Toc25576 \h </w:instrText>
      </w:r>
      <w:r>
        <w:fldChar w:fldCharType="separate"/>
      </w:r>
      <w:r>
        <w:t>- 34 -</w:t>
      </w:r>
      <w:r>
        <w:fldChar w:fldCharType="end"/>
      </w:r>
      <w:r>
        <w:fldChar w:fldCharType="end"/>
      </w:r>
    </w:p>
    <w:p w14:paraId="13E60BCC">
      <w:pPr>
        <w:pStyle w:val="12"/>
        <w:tabs>
          <w:tab w:val="right" w:leader="dot" w:pos="8844"/>
        </w:tabs>
        <w:ind w:firstLine="480"/>
      </w:pPr>
      <w:r>
        <w:fldChar w:fldCharType="begin"/>
      </w:r>
      <w:r>
        <w:instrText xml:space="preserve"> HYPERLINK \l "_Toc17246" </w:instrText>
      </w:r>
      <w:r>
        <w:fldChar w:fldCharType="separate"/>
      </w:r>
      <w:r>
        <w:rPr>
          <w:rFonts w:hint="eastAsia"/>
        </w:rPr>
        <w:t>九、附图与附件</w:t>
      </w:r>
      <w:r>
        <w:tab/>
      </w:r>
      <w:r>
        <w:fldChar w:fldCharType="begin"/>
      </w:r>
      <w:r>
        <w:instrText xml:space="preserve"> PAGEREF _Toc17246 \h </w:instrText>
      </w:r>
      <w:r>
        <w:fldChar w:fldCharType="separate"/>
      </w:r>
      <w:r>
        <w:t>- 35 -</w:t>
      </w:r>
      <w:r>
        <w:fldChar w:fldCharType="end"/>
      </w:r>
      <w:r>
        <w:fldChar w:fldCharType="end"/>
      </w:r>
    </w:p>
    <w:p w14:paraId="50B2B2BB">
      <w:pPr>
        <w:pStyle w:val="13"/>
        <w:tabs>
          <w:tab w:val="right" w:leader="dot" w:pos="8844"/>
        </w:tabs>
        <w:ind w:left="480" w:firstLine="480"/>
      </w:pPr>
      <w:r>
        <w:fldChar w:fldCharType="begin"/>
      </w:r>
      <w:r>
        <w:instrText xml:space="preserve"> HYPERLINK \l "_Toc15034" </w:instrText>
      </w:r>
      <w:r>
        <w:fldChar w:fldCharType="separate"/>
      </w:r>
      <w:r>
        <w:rPr>
          <w:rFonts w:hint="eastAsia"/>
        </w:rPr>
        <w:t>附件一  项目委托书</w:t>
      </w:r>
      <w:r>
        <w:tab/>
      </w:r>
      <w:r>
        <w:fldChar w:fldCharType="begin"/>
      </w:r>
      <w:r>
        <w:instrText xml:space="preserve"> PAGEREF _Toc15034 \h </w:instrText>
      </w:r>
      <w:r>
        <w:fldChar w:fldCharType="separate"/>
      </w:r>
      <w:r>
        <w:t>- 35 -</w:t>
      </w:r>
      <w:r>
        <w:fldChar w:fldCharType="end"/>
      </w:r>
      <w:r>
        <w:fldChar w:fldCharType="end"/>
      </w:r>
    </w:p>
    <w:p w14:paraId="1FD021F8">
      <w:pPr>
        <w:pStyle w:val="13"/>
        <w:tabs>
          <w:tab w:val="right" w:leader="dot" w:pos="8844"/>
        </w:tabs>
        <w:ind w:left="480" w:firstLine="480"/>
      </w:pPr>
      <w:r>
        <w:fldChar w:fldCharType="begin"/>
      </w:r>
      <w:r>
        <w:instrText xml:space="preserve"> HYPERLINK \l "_Toc29020" </w:instrText>
      </w:r>
      <w:r>
        <w:fldChar w:fldCharType="separate"/>
      </w:r>
      <w:r>
        <w:rPr>
          <w:rFonts w:hint="eastAsia"/>
        </w:rPr>
        <w:t>附件二  项目建议书的批复</w:t>
      </w:r>
      <w:r>
        <w:tab/>
      </w:r>
      <w:r>
        <w:fldChar w:fldCharType="begin"/>
      </w:r>
      <w:r>
        <w:instrText xml:space="preserve"> PAGEREF _Toc29020 \h </w:instrText>
      </w:r>
      <w:r>
        <w:fldChar w:fldCharType="separate"/>
      </w:r>
      <w:r>
        <w:t>- 36 -</w:t>
      </w:r>
      <w:r>
        <w:fldChar w:fldCharType="end"/>
      </w:r>
      <w:r>
        <w:fldChar w:fldCharType="end"/>
      </w:r>
    </w:p>
    <w:p w14:paraId="2EBD74A3">
      <w:pPr>
        <w:pStyle w:val="13"/>
        <w:tabs>
          <w:tab w:val="right" w:leader="dot" w:pos="8844"/>
        </w:tabs>
        <w:ind w:left="480" w:firstLine="480"/>
      </w:pPr>
      <w:r>
        <w:fldChar w:fldCharType="begin"/>
      </w:r>
      <w:r>
        <w:instrText xml:space="preserve"> HYPERLINK \l "_Toc7561" </w:instrText>
      </w:r>
      <w:r>
        <w:fldChar w:fldCharType="separate"/>
      </w:r>
      <w:r>
        <w:rPr>
          <w:rFonts w:hint="eastAsia"/>
        </w:rPr>
        <w:t>附件三  可行性研究报告的批复</w:t>
      </w:r>
      <w:r>
        <w:tab/>
      </w:r>
      <w:r>
        <w:fldChar w:fldCharType="begin"/>
      </w:r>
      <w:r>
        <w:instrText xml:space="preserve"> PAGEREF _Toc7561 \h </w:instrText>
      </w:r>
      <w:r>
        <w:fldChar w:fldCharType="separate"/>
      </w:r>
      <w:r>
        <w:t>- 38 -</w:t>
      </w:r>
      <w:r>
        <w:fldChar w:fldCharType="end"/>
      </w:r>
      <w:r>
        <w:fldChar w:fldCharType="end"/>
      </w:r>
    </w:p>
    <w:p w14:paraId="5CD17A5E">
      <w:pPr>
        <w:pStyle w:val="13"/>
        <w:tabs>
          <w:tab w:val="right" w:leader="dot" w:pos="8844"/>
        </w:tabs>
        <w:ind w:left="480" w:firstLine="480"/>
      </w:pPr>
      <w:r>
        <w:fldChar w:fldCharType="begin"/>
      </w:r>
      <w:r>
        <w:instrText xml:space="preserve"> HYPERLINK \l "_Toc30259" </w:instrText>
      </w:r>
      <w:r>
        <w:fldChar w:fldCharType="separate"/>
      </w:r>
      <w:r>
        <w:rPr>
          <w:rFonts w:hint="eastAsia"/>
        </w:rPr>
        <w:t>附件四  项目初步设计的批复</w:t>
      </w:r>
      <w:r>
        <w:tab/>
      </w:r>
      <w:r>
        <w:fldChar w:fldCharType="begin"/>
      </w:r>
      <w:r>
        <w:instrText xml:space="preserve"> PAGEREF _Toc30259 \h </w:instrText>
      </w:r>
      <w:r>
        <w:fldChar w:fldCharType="separate"/>
      </w:r>
      <w:r>
        <w:t>- 40 -</w:t>
      </w:r>
      <w:r>
        <w:fldChar w:fldCharType="end"/>
      </w:r>
      <w:r>
        <w:fldChar w:fldCharType="end"/>
      </w:r>
    </w:p>
    <w:p w14:paraId="17F33CC8">
      <w:pPr>
        <w:pStyle w:val="13"/>
        <w:tabs>
          <w:tab w:val="right" w:leader="dot" w:pos="8844"/>
        </w:tabs>
        <w:ind w:left="480" w:firstLine="480"/>
      </w:pPr>
      <w:r>
        <w:fldChar w:fldCharType="begin"/>
      </w:r>
      <w:r>
        <w:instrText xml:space="preserve"> HYPERLINK \l "_Toc11343" </w:instrText>
      </w:r>
      <w:r>
        <w:fldChar w:fldCharType="separate"/>
      </w:r>
      <w:r>
        <w:rPr>
          <w:rFonts w:hint="eastAsia"/>
        </w:rPr>
        <w:t>附件五  同意项目开展前期工作的函</w:t>
      </w:r>
      <w:r>
        <w:tab/>
      </w:r>
      <w:r>
        <w:fldChar w:fldCharType="begin"/>
      </w:r>
      <w:r>
        <w:instrText xml:space="preserve"> PAGEREF _Toc11343 \h </w:instrText>
      </w:r>
      <w:r>
        <w:fldChar w:fldCharType="separate"/>
      </w:r>
      <w:r>
        <w:t>- 42 -</w:t>
      </w:r>
      <w:r>
        <w:fldChar w:fldCharType="end"/>
      </w:r>
      <w:r>
        <w:fldChar w:fldCharType="end"/>
      </w:r>
    </w:p>
    <w:p w14:paraId="3144FBAE">
      <w:pPr>
        <w:pStyle w:val="13"/>
        <w:tabs>
          <w:tab w:val="right" w:leader="dot" w:pos="8844"/>
        </w:tabs>
        <w:ind w:left="480" w:firstLine="480"/>
      </w:pPr>
      <w:r>
        <w:fldChar w:fldCharType="begin"/>
      </w:r>
      <w:r>
        <w:instrText xml:space="preserve"> HYPERLINK \l "_Toc671" </w:instrText>
      </w:r>
      <w:r>
        <w:fldChar w:fldCharType="separate"/>
      </w:r>
      <w:r>
        <w:rPr>
          <w:rFonts w:hint="eastAsia"/>
        </w:rPr>
        <w:t>附件六  关于项目规划意见的函</w:t>
      </w:r>
      <w:r>
        <w:tab/>
      </w:r>
      <w:r>
        <w:fldChar w:fldCharType="begin"/>
      </w:r>
      <w:r>
        <w:instrText xml:space="preserve"> PAGEREF _Toc671 \h </w:instrText>
      </w:r>
      <w:r>
        <w:fldChar w:fldCharType="separate"/>
      </w:r>
      <w:r>
        <w:t>- 44 -</w:t>
      </w:r>
      <w:r>
        <w:fldChar w:fldCharType="end"/>
      </w:r>
      <w:r>
        <w:fldChar w:fldCharType="end"/>
      </w:r>
    </w:p>
    <w:p w14:paraId="663254F3">
      <w:pPr>
        <w:pStyle w:val="13"/>
        <w:tabs>
          <w:tab w:val="right" w:leader="dot" w:pos="8844"/>
        </w:tabs>
        <w:ind w:left="480" w:firstLine="480"/>
      </w:pPr>
      <w:r>
        <w:fldChar w:fldCharType="begin"/>
      </w:r>
      <w:r>
        <w:instrText xml:space="preserve"> HYPERLINK \l "_Toc10997" </w:instrText>
      </w:r>
      <w:r>
        <w:fldChar w:fldCharType="separate"/>
      </w:r>
      <w:r>
        <w:rPr>
          <w:rFonts w:hint="eastAsia"/>
        </w:rPr>
        <w:t>附件七  蒙西产业园环境影响区域评估意见</w:t>
      </w:r>
      <w:r>
        <w:tab/>
      </w:r>
      <w:r>
        <w:fldChar w:fldCharType="begin"/>
      </w:r>
      <w:r>
        <w:instrText xml:space="preserve"> PAGEREF _Toc10997 \h </w:instrText>
      </w:r>
      <w:r>
        <w:fldChar w:fldCharType="separate"/>
      </w:r>
      <w:r>
        <w:t>- 45 -</w:t>
      </w:r>
      <w:r>
        <w:fldChar w:fldCharType="end"/>
      </w:r>
      <w:r>
        <w:fldChar w:fldCharType="end"/>
      </w:r>
    </w:p>
    <w:p w14:paraId="4648CCF9">
      <w:pPr>
        <w:pStyle w:val="13"/>
        <w:tabs>
          <w:tab w:val="right" w:leader="dot" w:pos="8844"/>
        </w:tabs>
        <w:ind w:left="480" w:firstLine="480"/>
      </w:pPr>
      <w:r>
        <w:fldChar w:fldCharType="begin"/>
      </w:r>
      <w:r>
        <w:instrText xml:space="preserve"> HYPERLINK \l "_Toc12436" </w:instrText>
      </w:r>
      <w:r>
        <w:fldChar w:fldCharType="separate"/>
      </w:r>
      <w:r>
        <w:rPr>
          <w:rFonts w:hint="eastAsia"/>
        </w:rPr>
        <w:t xml:space="preserve">附图一  </w:t>
      </w:r>
      <w:r>
        <w:t>项目地理位置图</w:t>
      </w:r>
      <w:r>
        <w:tab/>
      </w:r>
      <w:r>
        <w:fldChar w:fldCharType="begin"/>
      </w:r>
      <w:r>
        <w:instrText xml:space="preserve"> PAGEREF _Toc12436 \h </w:instrText>
      </w:r>
      <w:r>
        <w:fldChar w:fldCharType="separate"/>
      </w:r>
      <w:r>
        <w:t>- 47 -</w:t>
      </w:r>
      <w:r>
        <w:fldChar w:fldCharType="end"/>
      </w:r>
      <w:r>
        <w:fldChar w:fldCharType="end"/>
      </w:r>
    </w:p>
    <w:p w14:paraId="65ABD797">
      <w:pPr>
        <w:pStyle w:val="13"/>
        <w:tabs>
          <w:tab w:val="right" w:leader="dot" w:pos="8844"/>
        </w:tabs>
        <w:ind w:left="480" w:firstLine="480"/>
      </w:pPr>
      <w:r>
        <w:fldChar w:fldCharType="begin"/>
      </w:r>
      <w:r>
        <w:instrText xml:space="preserve"> HYPERLINK \l "_Toc25222" </w:instrText>
      </w:r>
      <w:r>
        <w:fldChar w:fldCharType="separate"/>
      </w:r>
      <w:r>
        <w:rPr>
          <w:rFonts w:hint="eastAsia"/>
        </w:rPr>
        <w:t>附图二  项目四邻情况</w:t>
      </w:r>
      <w:r>
        <w:tab/>
      </w:r>
      <w:r>
        <w:fldChar w:fldCharType="begin"/>
      </w:r>
      <w:r>
        <w:instrText xml:space="preserve"> PAGEREF _Toc25222 \h </w:instrText>
      </w:r>
      <w:r>
        <w:fldChar w:fldCharType="separate"/>
      </w:r>
      <w:r>
        <w:t>- 48 -</w:t>
      </w:r>
      <w:r>
        <w:fldChar w:fldCharType="end"/>
      </w:r>
      <w:r>
        <w:fldChar w:fldCharType="end"/>
      </w:r>
    </w:p>
    <w:p w14:paraId="2E0DA73B">
      <w:pPr>
        <w:pStyle w:val="13"/>
        <w:tabs>
          <w:tab w:val="right" w:leader="dot" w:pos="8844"/>
        </w:tabs>
        <w:ind w:left="480" w:firstLine="480"/>
      </w:pPr>
      <w:r>
        <w:fldChar w:fldCharType="begin"/>
      </w:r>
      <w:r>
        <w:instrText xml:space="preserve"> HYPERLINK \l "_Toc2097" </w:instrText>
      </w:r>
      <w:r>
        <w:fldChar w:fldCharType="separate"/>
      </w:r>
      <w:r>
        <w:rPr>
          <w:rFonts w:hint="eastAsia"/>
        </w:rPr>
        <w:t>附图三  拟建场址及周边现状</w:t>
      </w:r>
      <w:r>
        <w:tab/>
      </w:r>
      <w:r>
        <w:fldChar w:fldCharType="begin"/>
      </w:r>
      <w:r>
        <w:instrText xml:space="preserve"> PAGEREF _Toc2097 \h </w:instrText>
      </w:r>
      <w:r>
        <w:fldChar w:fldCharType="separate"/>
      </w:r>
      <w:r>
        <w:t>- 49 -</w:t>
      </w:r>
      <w:r>
        <w:fldChar w:fldCharType="end"/>
      </w:r>
      <w:r>
        <w:fldChar w:fldCharType="end"/>
      </w:r>
    </w:p>
    <w:p w14:paraId="36507A4A">
      <w:pPr>
        <w:pStyle w:val="13"/>
        <w:tabs>
          <w:tab w:val="right" w:leader="dot" w:pos="8844"/>
        </w:tabs>
        <w:ind w:left="480" w:firstLine="480"/>
      </w:pPr>
      <w:r>
        <w:fldChar w:fldCharType="begin"/>
      </w:r>
      <w:r>
        <w:instrText xml:space="preserve"> HYPERLINK \l "_Toc6369" </w:instrText>
      </w:r>
      <w:r>
        <w:fldChar w:fldCharType="separate"/>
      </w:r>
      <w:r>
        <w:rPr>
          <w:rFonts w:hint="eastAsia"/>
        </w:rPr>
        <w:t>附图四  平面布置图</w:t>
      </w:r>
      <w:r>
        <w:tab/>
      </w:r>
      <w:r>
        <w:fldChar w:fldCharType="begin"/>
      </w:r>
      <w:r>
        <w:instrText xml:space="preserve"> PAGEREF _Toc6369 \h </w:instrText>
      </w:r>
      <w:r>
        <w:fldChar w:fldCharType="separate"/>
      </w:r>
      <w:r>
        <w:t>- 50 -</w:t>
      </w:r>
      <w:r>
        <w:fldChar w:fldCharType="end"/>
      </w:r>
      <w:r>
        <w:fldChar w:fldCharType="end"/>
      </w:r>
    </w:p>
    <w:p w14:paraId="7263C908">
      <w:pPr>
        <w:pStyle w:val="13"/>
        <w:tabs>
          <w:tab w:val="right" w:leader="dot" w:pos="8844"/>
        </w:tabs>
        <w:ind w:left="480" w:firstLine="480"/>
      </w:pPr>
      <w:r>
        <w:fldChar w:fldCharType="begin"/>
      </w:r>
      <w:r>
        <w:instrText xml:space="preserve"> HYPERLINK \l "_Toc1321" </w:instrText>
      </w:r>
      <w:r>
        <w:fldChar w:fldCharType="separate"/>
      </w:r>
      <w:r>
        <w:rPr>
          <w:rFonts w:hint="eastAsia"/>
        </w:rPr>
        <w:t>附图五 场区分区防渗图</w:t>
      </w:r>
      <w:r>
        <w:tab/>
      </w:r>
      <w:r>
        <w:fldChar w:fldCharType="begin"/>
      </w:r>
      <w:r>
        <w:instrText xml:space="preserve"> PAGEREF _Toc1321 \h </w:instrText>
      </w:r>
      <w:r>
        <w:fldChar w:fldCharType="separate"/>
      </w:r>
      <w:r>
        <w:t>- 51 -</w:t>
      </w:r>
      <w:r>
        <w:fldChar w:fldCharType="end"/>
      </w:r>
      <w:r>
        <w:fldChar w:fldCharType="end"/>
      </w:r>
    </w:p>
    <w:p w14:paraId="328D319F">
      <w:pPr>
        <w:pStyle w:val="13"/>
        <w:tabs>
          <w:tab w:val="right" w:leader="dot" w:pos="8844"/>
        </w:tabs>
        <w:ind w:left="480" w:firstLine="480"/>
      </w:pPr>
      <w:r>
        <w:fldChar w:fldCharType="begin"/>
      </w:r>
      <w:r>
        <w:instrText xml:space="preserve"> HYPERLINK \l "_Toc15092" </w:instrText>
      </w:r>
      <w:r>
        <w:fldChar w:fldCharType="separate"/>
      </w:r>
      <w:r>
        <w:rPr>
          <w:rFonts w:hint="eastAsia"/>
        </w:rPr>
        <w:t xml:space="preserve">附图六  </w:t>
      </w:r>
      <w:r>
        <w:t>污染源监测计划点位布设图</w:t>
      </w:r>
      <w:r>
        <w:tab/>
      </w:r>
      <w:r>
        <w:fldChar w:fldCharType="begin"/>
      </w:r>
      <w:r>
        <w:instrText xml:space="preserve"> PAGEREF _Toc15092 \h </w:instrText>
      </w:r>
      <w:r>
        <w:fldChar w:fldCharType="separate"/>
      </w:r>
      <w:r>
        <w:t>- 52 -</w:t>
      </w:r>
      <w:r>
        <w:fldChar w:fldCharType="end"/>
      </w:r>
      <w:r>
        <w:fldChar w:fldCharType="end"/>
      </w:r>
    </w:p>
    <w:p w14:paraId="672DE5E4">
      <w:pPr>
        <w:ind w:firstLine="0" w:firstLineChars="0"/>
        <w:jc w:val="center"/>
        <w:rPr>
          <w:sz w:val="36"/>
          <w:szCs w:val="36"/>
        </w:rPr>
      </w:pPr>
      <w:r>
        <w:rPr>
          <w:szCs w:val="36"/>
        </w:rPr>
        <w:fldChar w:fldCharType="end"/>
      </w:r>
    </w:p>
    <w:p w14:paraId="01E77C38">
      <w:pPr>
        <w:ind w:firstLine="0" w:firstLineChars="0"/>
        <w:jc w:val="center"/>
        <w:rPr>
          <w:sz w:val="36"/>
          <w:szCs w:val="36"/>
        </w:rPr>
        <w:sectPr>
          <w:pgSz w:w="11906" w:h="16838"/>
          <w:pgMar w:top="1701" w:right="1531" w:bottom="1701" w:left="1531" w:header="851" w:footer="851" w:gutter="0"/>
          <w:cols w:space="720" w:num="1"/>
          <w:docGrid w:linePitch="312" w:charSpace="0"/>
        </w:sectPr>
      </w:pPr>
    </w:p>
    <w:p w14:paraId="1A2D613D">
      <w:pPr>
        <w:pStyle w:val="2"/>
        <w:numPr>
          <w:ilvl w:val="0"/>
          <w:numId w:val="14"/>
        </w:numPr>
        <w:jc w:val="left"/>
      </w:pPr>
      <w:bookmarkStart w:id="155" w:name="_Toc8088"/>
      <w:bookmarkStart w:id="156" w:name="_Toc16859"/>
      <w:r>
        <w:rPr>
          <w:rFonts w:hint="eastAsia"/>
        </w:rPr>
        <w:t>总论</w:t>
      </w:r>
      <w:bookmarkEnd w:id="155"/>
      <w:bookmarkEnd w:id="156"/>
    </w:p>
    <w:p w14:paraId="02202EFD">
      <w:pPr>
        <w:pStyle w:val="3"/>
        <w:ind w:firstLine="480"/>
      </w:pPr>
      <w:bookmarkStart w:id="157" w:name="_Toc16610"/>
      <w:bookmarkStart w:id="158" w:name="_Toc26372"/>
      <w:r>
        <w:rPr>
          <w:rFonts w:hint="eastAsia"/>
        </w:rPr>
        <w:t>1.1评价目的</w:t>
      </w:r>
      <w:bookmarkEnd w:id="157"/>
      <w:bookmarkEnd w:id="158"/>
    </w:p>
    <w:p w14:paraId="6A7FACF7">
      <w:pPr>
        <w:ind w:firstLine="480"/>
      </w:pPr>
      <w:r>
        <w:rPr>
          <w:rFonts w:hint="eastAsia"/>
        </w:rPr>
        <w:t>环境风险评价的目的是分析和预测工程建设存在的潜在危险和有害因素，提出项目施工和运营期间可能发生的突发性事件或事故（一般不包括人为破坏及自然灾害），例如引起有毒有害和易燃易爆等物质泄漏，所造成的人身安全与环境影响和损害程度，提出合理可行的防范、应急与减缓措施，以使项目事故率、损失环境影响达到可接受水平。</w:t>
      </w:r>
    </w:p>
    <w:p w14:paraId="1CB9F541">
      <w:pPr>
        <w:pStyle w:val="3"/>
        <w:ind w:firstLine="480"/>
      </w:pPr>
      <w:bookmarkStart w:id="159" w:name="_Toc15157"/>
      <w:bookmarkStart w:id="160" w:name="_Toc27003"/>
      <w:r>
        <w:rPr>
          <w:rFonts w:hint="eastAsia"/>
        </w:rPr>
        <w:t>1.2评价原则</w:t>
      </w:r>
      <w:bookmarkEnd w:id="159"/>
      <w:bookmarkEnd w:id="160"/>
    </w:p>
    <w:p w14:paraId="661457A4">
      <w:pPr>
        <w:ind w:firstLine="480"/>
      </w:pPr>
      <w:r>
        <w:rPr>
          <w:rFonts w:hint="eastAsia"/>
        </w:rPr>
        <w:t>环境风险评价是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14:paraId="013D65ED">
      <w:pPr>
        <w:pStyle w:val="3"/>
        <w:ind w:firstLine="480"/>
      </w:pPr>
      <w:bookmarkStart w:id="161" w:name="_Toc10003"/>
      <w:bookmarkStart w:id="162" w:name="_Toc7926"/>
      <w:r>
        <w:rPr>
          <w:rFonts w:hint="eastAsia"/>
        </w:rPr>
        <w:t>1.3评价工作程序</w:t>
      </w:r>
      <w:bookmarkEnd w:id="161"/>
      <w:bookmarkEnd w:id="162"/>
    </w:p>
    <w:p w14:paraId="499002CA">
      <w:pPr>
        <w:ind w:firstLine="480"/>
      </w:pPr>
      <w:r>
        <w:rPr>
          <w:rFonts w:hint="eastAsia"/>
        </w:rPr>
        <w:t>环境风险评价工作程序主要包括环境调查、环境风险潜势初判、环境风险识别、事故情形分析等等，具体内容见下图。</w:t>
      </w:r>
    </w:p>
    <w:p w14:paraId="1939E116">
      <w:pPr>
        <w:pStyle w:val="19"/>
        <w:spacing w:before="120" w:after="120"/>
      </w:pPr>
      <w:r>
        <w:drawing>
          <wp:inline distT="0" distB="0" distL="114300" distR="114300">
            <wp:extent cx="3531235" cy="3735070"/>
            <wp:effectExtent l="0" t="0" r="12065" b="1778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0" cstate="print"/>
                    <a:stretch>
                      <a:fillRect/>
                    </a:stretch>
                  </pic:blipFill>
                  <pic:spPr>
                    <a:xfrm>
                      <a:off x="0" y="0"/>
                      <a:ext cx="3531235" cy="3735070"/>
                    </a:xfrm>
                    <a:prstGeom prst="rect">
                      <a:avLst/>
                    </a:prstGeom>
                    <a:noFill/>
                    <a:ln>
                      <a:noFill/>
                    </a:ln>
                  </pic:spPr>
                </pic:pic>
              </a:graphicData>
            </a:graphic>
          </wp:inline>
        </w:drawing>
      </w:r>
    </w:p>
    <w:p w14:paraId="177E5A61">
      <w:pPr>
        <w:pStyle w:val="19"/>
        <w:spacing w:before="120" w:after="120"/>
      </w:pPr>
      <w:r>
        <w:rPr>
          <w:rFonts w:hint="eastAsia"/>
          <w:b/>
          <w:bCs/>
        </w:rPr>
        <w:t>图1.3-1  环境风险评价工作程序图</w:t>
      </w:r>
    </w:p>
    <w:p w14:paraId="466851C6">
      <w:pPr>
        <w:pStyle w:val="2"/>
        <w:numPr>
          <w:ilvl w:val="0"/>
          <w:numId w:val="14"/>
        </w:numPr>
        <w:jc w:val="left"/>
      </w:pPr>
      <w:bookmarkStart w:id="163" w:name="_Toc29607"/>
      <w:bookmarkStart w:id="164" w:name="_Toc3798"/>
      <w:r>
        <w:rPr>
          <w:rFonts w:hint="eastAsia"/>
        </w:rPr>
        <w:t>建设项目基本情况</w:t>
      </w:r>
      <w:bookmarkEnd w:id="163"/>
      <w:bookmarkEnd w:id="164"/>
    </w:p>
    <w:p w14:paraId="0D461AAB">
      <w:pPr>
        <w:pStyle w:val="3"/>
        <w:ind w:firstLine="480"/>
      </w:pPr>
      <w:bookmarkStart w:id="165" w:name="_Toc21220"/>
      <w:bookmarkStart w:id="166" w:name="_Toc25054"/>
      <w:r>
        <w:rPr>
          <w:rFonts w:hint="eastAsia"/>
        </w:rPr>
        <w:t>2.1建设项目基本情况</w:t>
      </w:r>
      <w:bookmarkEnd w:id="165"/>
      <w:bookmarkEnd w:id="166"/>
    </w:p>
    <w:p w14:paraId="4B9D5F4D">
      <w:pPr>
        <w:ind w:firstLine="480"/>
      </w:pPr>
      <w:r>
        <w:rPr>
          <w:rFonts w:hint="eastAsia"/>
        </w:rPr>
        <w:t>本项目为鄂托克经济开发区蒙西产业园危险化学品运输车辆专用停车场项目，建设内容为危险化学品车辆专用停车场以及辅助设施，辅助设施包括危险化学品车辆</w:t>
      </w:r>
      <w:r>
        <w:t>候检区</w:t>
      </w:r>
      <w:r>
        <w:rPr>
          <w:rFonts w:hint="eastAsia"/>
        </w:rPr>
        <w:t>、</w:t>
      </w:r>
      <w:r>
        <w:t>综合管理用房</w:t>
      </w:r>
      <w:r>
        <w:rPr>
          <w:rFonts w:hint="eastAsia"/>
        </w:rPr>
        <w:t>、</w:t>
      </w:r>
      <w:r>
        <w:t>辅助用房</w:t>
      </w:r>
      <w:r>
        <w:rPr>
          <w:rFonts w:hint="eastAsia"/>
        </w:rPr>
        <w:t>、</w:t>
      </w:r>
      <w:r>
        <w:t>维修车间</w:t>
      </w:r>
      <w:r>
        <w:rPr>
          <w:rFonts w:hint="eastAsia"/>
        </w:rPr>
        <w:t>、洗车车间、危废暂存间、消防</w:t>
      </w:r>
      <w:r>
        <w:t>水池</w:t>
      </w:r>
      <w:r>
        <w:rPr>
          <w:rFonts w:hint="eastAsia"/>
        </w:rPr>
        <w:t>、消防泵房、事故水池和初期雨水池、一体化</w:t>
      </w:r>
      <w:r>
        <w:t>污</w:t>
      </w:r>
      <w:r>
        <w:rPr>
          <w:rFonts w:hint="eastAsia"/>
        </w:rPr>
        <w:t>水处理设施等。</w:t>
      </w:r>
    </w:p>
    <w:p w14:paraId="6638CEC2">
      <w:pPr>
        <w:pStyle w:val="3"/>
        <w:ind w:firstLine="480"/>
      </w:pPr>
      <w:bookmarkStart w:id="167" w:name="_Toc17840"/>
      <w:bookmarkStart w:id="168" w:name="_Toc17921"/>
      <w:r>
        <w:rPr>
          <w:rFonts w:hint="eastAsia"/>
        </w:rPr>
        <w:t>2.2危险化学品信息</w:t>
      </w:r>
      <w:bookmarkEnd w:id="167"/>
      <w:bookmarkEnd w:id="168"/>
    </w:p>
    <w:p w14:paraId="417C9569">
      <w:pPr>
        <w:ind w:firstLine="480"/>
      </w:pPr>
      <w:r>
        <w:rPr>
          <w:rFonts w:hint="eastAsia"/>
        </w:rPr>
        <w:t>本项目危险化学品车辆专用停车场共设置停车位80个，其中</w:t>
      </w:r>
      <w:r>
        <w:t>重载车辆停车位</w:t>
      </w:r>
      <w:r>
        <w:rPr>
          <w:rFonts w:hint="eastAsia"/>
        </w:rPr>
        <w:t>10个，</w:t>
      </w:r>
      <w:r>
        <w:t>空车停车位</w:t>
      </w:r>
      <w:r>
        <w:rPr>
          <w:rFonts w:hint="eastAsia"/>
        </w:rPr>
        <w:t>70个。</w:t>
      </w:r>
      <w:r>
        <w:t>根据园区危化品运输车辆实际停放需求</w:t>
      </w:r>
      <w:r>
        <w:rPr>
          <w:rFonts w:hint="eastAsia"/>
        </w:rPr>
        <w:t>和</w:t>
      </w:r>
      <w:r>
        <w:t>园区各化工企业危险品运输物料的</w:t>
      </w:r>
      <w:r>
        <w:rPr>
          <w:rFonts w:hint="eastAsia"/>
        </w:rPr>
        <w:t>调查结果，</w:t>
      </w:r>
      <w:r>
        <w:t>重载车辆</w:t>
      </w:r>
      <w:r>
        <w:rPr>
          <w:rFonts w:hint="eastAsia"/>
        </w:rPr>
        <w:t>停车位主要运输车危化品类别及特性见下表。</w:t>
      </w:r>
    </w:p>
    <w:p w14:paraId="767DCA42">
      <w:pPr>
        <w:pStyle w:val="19"/>
        <w:spacing w:before="120" w:after="120"/>
      </w:pPr>
      <w:r>
        <w:rPr>
          <w:rFonts w:hint="eastAsia"/>
          <w:b/>
          <w:bCs/>
        </w:rPr>
        <w:t>表2.2-1  危险化学品信息表</w:t>
      </w:r>
    </w:p>
    <w:tbl>
      <w:tblPr>
        <w:tblStyle w:val="16"/>
        <w:tblW w:w="485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5"/>
        <w:gridCol w:w="1538"/>
        <w:gridCol w:w="1199"/>
        <w:gridCol w:w="3839"/>
        <w:gridCol w:w="1754"/>
      </w:tblGrid>
      <w:tr w14:paraId="2ED98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69" w:type="pct"/>
            <w:vAlign w:val="center"/>
          </w:tcPr>
          <w:p w14:paraId="0E3962C3">
            <w:pPr>
              <w:pStyle w:val="19"/>
              <w:spacing w:before="120" w:after="120"/>
            </w:pPr>
            <w:r>
              <w:rPr>
                <w:rFonts w:hint="eastAsia"/>
              </w:rPr>
              <w:t>序号</w:t>
            </w:r>
          </w:p>
        </w:tc>
        <w:tc>
          <w:tcPr>
            <w:tcW w:w="873" w:type="pct"/>
            <w:vAlign w:val="center"/>
          </w:tcPr>
          <w:p w14:paraId="08664A4A">
            <w:pPr>
              <w:pStyle w:val="19"/>
              <w:spacing w:before="120" w:after="120"/>
            </w:pPr>
            <w:r>
              <w:rPr>
                <w:rFonts w:hint="eastAsia"/>
              </w:rPr>
              <w:t>名称</w:t>
            </w:r>
          </w:p>
        </w:tc>
        <w:tc>
          <w:tcPr>
            <w:tcW w:w="681" w:type="pct"/>
            <w:vAlign w:val="center"/>
          </w:tcPr>
          <w:p w14:paraId="77D41452">
            <w:pPr>
              <w:pStyle w:val="19"/>
              <w:spacing w:before="120" w:after="120"/>
            </w:pPr>
            <w:r>
              <w:rPr>
                <w:rFonts w:hint="eastAsia"/>
              </w:rPr>
              <w:t>CAS号</w:t>
            </w:r>
          </w:p>
        </w:tc>
        <w:tc>
          <w:tcPr>
            <w:tcW w:w="2179" w:type="pct"/>
            <w:vAlign w:val="center"/>
          </w:tcPr>
          <w:p w14:paraId="06CF4444">
            <w:pPr>
              <w:pStyle w:val="19"/>
              <w:spacing w:before="120" w:after="120"/>
            </w:pPr>
            <w:r>
              <w:rPr>
                <w:rFonts w:hint="eastAsia"/>
              </w:rPr>
              <w:t>危险性类别</w:t>
            </w:r>
          </w:p>
        </w:tc>
        <w:tc>
          <w:tcPr>
            <w:tcW w:w="996" w:type="pct"/>
            <w:vAlign w:val="center"/>
          </w:tcPr>
          <w:p w14:paraId="0C67BF32">
            <w:pPr>
              <w:pStyle w:val="19"/>
              <w:spacing w:before="120" w:after="120"/>
            </w:pPr>
            <w:r>
              <w:rPr>
                <w:rFonts w:hint="eastAsia"/>
              </w:rPr>
              <w:t>备注</w:t>
            </w:r>
          </w:p>
        </w:tc>
      </w:tr>
      <w:tr w14:paraId="62DE9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269" w:type="pct"/>
            <w:vAlign w:val="center"/>
          </w:tcPr>
          <w:p w14:paraId="4F96C836">
            <w:pPr>
              <w:pStyle w:val="19"/>
              <w:spacing w:beforeLines="0" w:afterLines="0"/>
            </w:pPr>
            <w:r>
              <w:rPr>
                <w:rFonts w:hint="eastAsia"/>
              </w:rPr>
              <w:t>1</w:t>
            </w:r>
          </w:p>
        </w:tc>
        <w:tc>
          <w:tcPr>
            <w:tcW w:w="873" w:type="pct"/>
            <w:vAlign w:val="center"/>
          </w:tcPr>
          <w:p w14:paraId="70C1BBE2">
            <w:pPr>
              <w:pStyle w:val="19"/>
              <w:spacing w:beforeLines="0" w:afterLines="0"/>
            </w:pPr>
            <w:r>
              <w:rPr>
                <w:rFonts w:hint="eastAsia"/>
              </w:rPr>
              <w:t>甲醇</w:t>
            </w:r>
          </w:p>
        </w:tc>
        <w:tc>
          <w:tcPr>
            <w:tcW w:w="681" w:type="pct"/>
            <w:vAlign w:val="center"/>
          </w:tcPr>
          <w:p w14:paraId="178D8ABC">
            <w:pPr>
              <w:pStyle w:val="19"/>
              <w:spacing w:beforeLines="0" w:afterLines="0"/>
            </w:pPr>
            <w:r>
              <w:rPr>
                <w:rFonts w:hint="eastAsia"/>
              </w:rPr>
              <w:t>67-56-1</w:t>
            </w:r>
          </w:p>
        </w:tc>
        <w:tc>
          <w:tcPr>
            <w:tcW w:w="2179" w:type="pct"/>
            <w:vAlign w:val="center"/>
          </w:tcPr>
          <w:p w14:paraId="7EA14A47">
            <w:pPr>
              <w:pStyle w:val="19"/>
              <w:spacing w:beforeLines="0" w:afterLines="0"/>
              <w:jc w:val="left"/>
            </w:pPr>
            <w:r>
              <w:rPr>
                <w:rFonts w:hint="eastAsia"/>
              </w:rPr>
              <w:t>易燃液体，类别2</w:t>
            </w:r>
          </w:p>
          <w:p w14:paraId="666DFB4C">
            <w:pPr>
              <w:pStyle w:val="19"/>
              <w:spacing w:beforeLines="0" w:afterLines="0"/>
              <w:jc w:val="left"/>
            </w:pPr>
            <w:r>
              <w:rPr>
                <w:rFonts w:hint="eastAsia"/>
              </w:rPr>
              <w:t>急性毒性-经口，类别3*</w:t>
            </w:r>
          </w:p>
          <w:p w14:paraId="01DA1664">
            <w:pPr>
              <w:pStyle w:val="19"/>
              <w:spacing w:beforeLines="0" w:afterLines="0"/>
              <w:jc w:val="left"/>
            </w:pPr>
            <w:r>
              <w:rPr>
                <w:rFonts w:hint="eastAsia"/>
              </w:rPr>
              <w:t>急性毒性-经皮，类别3*</w:t>
            </w:r>
          </w:p>
          <w:p w14:paraId="76B0399B">
            <w:pPr>
              <w:pStyle w:val="19"/>
              <w:spacing w:beforeLines="0" w:afterLines="0"/>
              <w:jc w:val="left"/>
            </w:pPr>
            <w:r>
              <w:rPr>
                <w:rFonts w:hint="eastAsia"/>
              </w:rPr>
              <w:t>急性毒性-吸入，类别3*</w:t>
            </w:r>
          </w:p>
          <w:p w14:paraId="662DAC25">
            <w:pPr>
              <w:pStyle w:val="19"/>
              <w:spacing w:beforeLines="0" w:afterLines="0"/>
              <w:jc w:val="left"/>
            </w:pPr>
            <w:r>
              <w:rPr>
                <w:rFonts w:hint="eastAsia"/>
              </w:rPr>
              <w:t>特异性靶器官毒性-一次接触，类别1</w:t>
            </w:r>
          </w:p>
        </w:tc>
        <w:tc>
          <w:tcPr>
            <w:tcW w:w="996" w:type="pct"/>
            <w:vAlign w:val="center"/>
          </w:tcPr>
          <w:p w14:paraId="3C589970">
            <w:pPr>
              <w:pStyle w:val="19"/>
              <w:spacing w:beforeLines="0" w:afterLines="0"/>
              <w:jc w:val="left"/>
            </w:pPr>
            <w:r>
              <w:rPr>
                <w:rFonts w:hint="eastAsia"/>
              </w:rPr>
              <w:t>物理危险、健康危害</w:t>
            </w:r>
          </w:p>
        </w:tc>
      </w:tr>
      <w:tr w14:paraId="4BA19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4CC2AC3C">
            <w:pPr>
              <w:pStyle w:val="19"/>
              <w:spacing w:beforeLines="0" w:afterLines="0"/>
            </w:pPr>
            <w:r>
              <w:rPr>
                <w:rFonts w:hint="eastAsia"/>
              </w:rPr>
              <w:t>2</w:t>
            </w:r>
          </w:p>
        </w:tc>
        <w:tc>
          <w:tcPr>
            <w:tcW w:w="873" w:type="pct"/>
            <w:vAlign w:val="center"/>
          </w:tcPr>
          <w:p w14:paraId="2C2658E9">
            <w:pPr>
              <w:pStyle w:val="19"/>
              <w:spacing w:beforeLines="0" w:afterLines="0"/>
            </w:pPr>
            <w:r>
              <w:rPr>
                <w:rFonts w:hint="eastAsia"/>
              </w:rPr>
              <w:t>氨水</w:t>
            </w:r>
          </w:p>
        </w:tc>
        <w:tc>
          <w:tcPr>
            <w:tcW w:w="681" w:type="pct"/>
            <w:vAlign w:val="center"/>
          </w:tcPr>
          <w:p w14:paraId="48E00952">
            <w:pPr>
              <w:pStyle w:val="19"/>
              <w:spacing w:beforeLines="0" w:afterLines="0"/>
            </w:pPr>
            <w:r>
              <w:rPr>
                <w:rFonts w:hint="eastAsia"/>
              </w:rPr>
              <w:t>1336-21-6</w:t>
            </w:r>
          </w:p>
        </w:tc>
        <w:tc>
          <w:tcPr>
            <w:tcW w:w="2179" w:type="pct"/>
            <w:vAlign w:val="center"/>
          </w:tcPr>
          <w:p w14:paraId="79687749">
            <w:pPr>
              <w:pStyle w:val="19"/>
              <w:spacing w:beforeLines="0" w:afterLines="0"/>
              <w:jc w:val="left"/>
            </w:pPr>
            <w:r>
              <w:rPr>
                <w:rFonts w:hint="eastAsia"/>
              </w:rPr>
              <w:t>皮肤腐蚀/刺激，类别1B</w:t>
            </w:r>
          </w:p>
          <w:p w14:paraId="62234BC9">
            <w:pPr>
              <w:pStyle w:val="19"/>
              <w:spacing w:beforeLines="0" w:afterLines="0"/>
              <w:jc w:val="left"/>
            </w:pPr>
            <w:r>
              <w:rPr>
                <w:rFonts w:hint="eastAsia"/>
              </w:rPr>
              <w:t>严重眼损伤/眼刺激，类别1</w:t>
            </w:r>
          </w:p>
          <w:p w14:paraId="53E07F7F">
            <w:pPr>
              <w:pStyle w:val="19"/>
              <w:spacing w:beforeLines="0" w:afterLines="0"/>
              <w:jc w:val="left"/>
            </w:pPr>
            <w:r>
              <w:rPr>
                <w:rFonts w:hint="eastAsia"/>
              </w:rPr>
              <w:t>特异性靶器官毒性-一次接触，类别3（呼吸道刺激）</w:t>
            </w:r>
          </w:p>
          <w:p w14:paraId="282001E7">
            <w:pPr>
              <w:pStyle w:val="19"/>
              <w:spacing w:beforeLines="0" w:afterLines="0"/>
              <w:jc w:val="left"/>
            </w:pPr>
            <w:r>
              <w:rPr>
                <w:rFonts w:hint="eastAsia"/>
              </w:rPr>
              <w:t>危害水生环境-急性危害，类别1</w:t>
            </w:r>
          </w:p>
        </w:tc>
        <w:tc>
          <w:tcPr>
            <w:tcW w:w="996" w:type="pct"/>
            <w:vAlign w:val="center"/>
          </w:tcPr>
          <w:p w14:paraId="7C352719">
            <w:pPr>
              <w:pStyle w:val="19"/>
              <w:spacing w:beforeLines="0" w:afterLines="0"/>
              <w:jc w:val="left"/>
            </w:pPr>
            <w:r>
              <w:rPr>
                <w:rFonts w:hint="eastAsia"/>
              </w:rPr>
              <w:t>健康危害、环境危害</w:t>
            </w:r>
          </w:p>
        </w:tc>
      </w:tr>
      <w:tr w14:paraId="5A66A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7A8FF32D">
            <w:pPr>
              <w:pStyle w:val="19"/>
              <w:spacing w:before="120" w:after="120"/>
            </w:pPr>
            <w:r>
              <w:rPr>
                <w:rFonts w:hint="eastAsia"/>
              </w:rPr>
              <w:t>3</w:t>
            </w:r>
          </w:p>
        </w:tc>
        <w:tc>
          <w:tcPr>
            <w:tcW w:w="873" w:type="pct"/>
            <w:vAlign w:val="center"/>
          </w:tcPr>
          <w:p w14:paraId="6E9A66CF">
            <w:pPr>
              <w:pStyle w:val="19"/>
              <w:spacing w:before="120" w:after="120"/>
            </w:pPr>
            <w:r>
              <w:rPr>
                <w:rFonts w:hint="eastAsia"/>
              </w:rPr>
              <w:t>乙醛</w:t>
            </w:r>
          </w:p>
        </w:tc>
        <w:tc>
          <w:tcPr>
            <w:tcW w:w="681" w:type="pct"/>
            <w:vAlign w:val="center"/>
          </w:tcPr>
          <w:p w14:paraId="4DC2CBCE">
            <w:pPr>
              <w:pStyle w:val="19"/>
              <w:spacing w:before="120" w:after="120"/>
            </w:pPr>
            <w:r>
              <w:rPr>
                <w:rFonts w:hint="eastAsia"/>
              </w:rPr>
              <w:t>75-07-0</w:t>
            </w:r>
          </w:p>
        </w:tc>
        <w:tc>
          <w:tcPr>
            <w:tcW w:w="2179" w:type="pct"/>
            <w:vAlign w:val="center"/>
          </w:tcPr>
          <w:p w14:paraId="56066831">
            <w:pPr>
              <w:pStyle w:val="19"/>
              <w:spacing w:beforeLines="0" w:afterLines="0"/>
              <w:jc w:val="left"/>
            </w:pPr>
            <w:r>
              <w:rPr>
                <w:rFonts w:hint="eastAsia"/>
              </w:rPr>
              <w:t>易燃液体，类别1</w:t>
            </w:r>
          </w:p>
          <w:p w14:paraId="33DBA559">
            <w:pPr>
              <w:pStyle w:val="19"/>
              <w:spacing w:beforeLines="0" w:afterLines="0"/>
              <w:jc w:val="left"/>
            </w:pPr>
            <w:r>
              <w:rPr>
                <w:rFonts w:hint="eastAsia"/>
              </w:rPr>
              <w:t>严重眼损伤/眼刺激，类别2</w:t>
            </w:r>
          </w:p>
          <w:p w14:paraId="49AE82F2">
            <w:pPr>
              <w:pStyle w:val="19"/>
              <w:spacing w:beforeLines="0" w:afterLines="0"/>
              <w:jc w:val="left"/>
            </w:pPr>
            <w:r>
              <w:rPr>
                <w:rFonts w:hint="eastAsia"/>
              </w:rPr>
              <w:t>致癌性，类别2</w:t>
            </w:r>
          </w:p>
          <w:p w14:paraId="5DFCCCB2">
            <w:pPr>
              <w:pStyle w:val="19"/>
              <w:spacing w:beforeLines="0" w:afterLines="0"/>
              <w:jc w:val="left"/>
            </w:pPr>
            <w:r>
              <w:rPr>
                <w:rFonts w:hint="eastAsia"/>
              </w:rPr>
              <w:t>特异性靶器官毒性-一次接触，类别3（呼吸道刺激）</w:t>
            </w:r>
          </w:p>
        </w:tc>
        <w:tc>
          <w:tcPr>
            <w:tcW w:w="996" w:type="pct"/>
            <w:vAlign w:val="center"/>
          </w:tcPr>
          <w:p w14:paraId="12A8A30D">
            <w:pPr>
              <w:pStyle w:val="19"/>
              <w:spacing w:beforeLines="0" w:afterLines="0"/>
            </w:pPr>
            <w:r>
              <w:rPr>
                <w:rFonts w:hint="eastAsia"/>
              </w:rPr>
              <w:t>物理危险、健康危害</w:t>
            </w:r>
          </w:p>
        </w:tc>
      </w:tr>
      <w:tr w14:paraId="6C3E3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484D7ACE">
            <w:pPr>
              <w:pStyle w:val="19"/>
              <w:spacing w:before="120" w:after="120"/>
            </w:pPr>
            <w:r>
              <w:rPr>
                <w:rFonts w:hint="eastAsia"/>
              </w:rPr>
              <w:t>4</w:t>
            </w:r>
          </w:p>
        </w:tc>
        <w:tc>
          <w:tcPr>
            <w:tcW w:w="873" w:type="pct"/>
            <w:vAlign w:val="center"/>
          </w:tcPr>
          <w:p w14:paraId="3C378AB3">
            <w:pPr>
              <w:pStyle w:val="19"/>
              <w:spacing w:before="120" w:after="120"/>
            </w:pPr>
            <w:r>
              <w:rPr>
                <w:rFonts w:hint="eastAsia"/>
              </w:rPr>
              <w:t>盐酸</w:t>
            </w:r>
          </w:p>
        </w:tc>
        <w:tc>
          <w:tcPr>
            <w:tcW w:w="681" w:type="pct"/>
            <w:vAlign w:val="center"/>
          </w:tcPr>
          <w:p w14:paraId="6C88FB7D">
            <w:pPr>
              <w:pStyle w:val="19"/>
              <w:spacing w:before="120" w:after="120"/>
            </w:pPr>
            <w:r>
              <w:rPr>
                <w:rFonts w:hint="eastAsia"/>
              </w:rPr>
              <w:t>7647-01-0</w:t>
            </w:r>
          </w:p>
        </w:tc>
        <w:tc>
          <w:tcPr>
            <w:tcW w:w="2179" w:type="pct"/>
            <w:vAlign w:val="center"/>
          </w:tcPr>
          <w:p w14:paraId="58F9E9D3">
            <w:pPr>
              <w:pStyle w:val="19"/>
              <w:spacing w:beforeLines="0" w:afterLines="0"/>
              <w:jc w:val="left"/>
            </w:pPr>
            <w:r>
              <w:rPr>
                <w:rFonts w:hint="eastAsia"/>
              </w:rPr>
              <w:t>皮肤腐蚀/刺激，类别1B</w:t>
            </w:r>
          </w:p>
          <w:p w14:paraId="26B9FEC8">
            <w:pPr>
              <w:pStyle w:val="19"/>
              <w:spacing w:beforeLines="0" w:afterLines="0"/>
              <w:jc w:val="left"/>
            </w:pPr>
            <w:r>
              <w:rPr>
                <w:rFonts w:hint="eastAsia"/>
              </w:rPr>
              <w:t>严重眼损伤/眼刺激，类别1</w:t>
            </w:r>
          </w:p>
          <w:p w14:paraId="5670C5AA">
            <w:pPr>
              <w:pStyle w:val="19"/>
              <w:spacing w:beforeLines="0" w:afterLines="0"/>
              <w:jc w:val="left"/>
            </w:pPr>
            <w:r>
              <w:rPr>
                <w:rFonts w:hint="eastAsia"/>
              </w:rPr>
              <w:t>特异性靶器官毒性-一次接触，类别3（呼吸道刺激）</w:t>
            </w:r>
          </w:p>
          <w:p w14:paraId="441572B3">
            <w:pPr>
              <w:pStyle w:val="19"/>
              <w:spacing w:beforeLines="0" w:afterLines="0"/>
              <w:jc w:val="left"/>
            </w:pPr>
            <w:r>
              <w:rPr>
                <w:rFonts w:hint="eastAsia"/>
              </w:rPr>
              <w:t>危害水生环境-急性危害，类别2</w:t>
            </w:r>
          </w:p>
        </w:tc>
        <w:tc>
          <w:tcPr>
            <w:tcW w:w="996" w:type="pct"/>
            <w:vAlign w:val="center"/>
          </w:tcPr>
          <w:p w14:paraId="7A8B2FE6">
            <w:pPr>
              <w:pStyle w:val="19"/>
              <w:spacing w:beforeLines="0" w:afterLines="0"/>
            </w:pPr>
            <w:r>
              <w:rPr>
                <w:rFonts w:hint="eastAsia"/>
              </w:rPr>
              <w:t>健康危害、环境危害</w:t>
            </w:r>
          </w:p>
        </w:tc>
      </w:tr>
      <w:tr w14:paraId="013E1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6679E85F">
            <w:pPr>
              <w:pStyle w:val="19"/>
              <w:spacing w:before="120" w:after="120"/>
            </w:pPr>
            <w:r>
              <w:rPr>
                <w:rFonts w:hint="eastAsia"/>
              </w:rPr>
              <w:t>5</w:t>
            </w:r>
          </w:p>
        </w:tc>
        <w:tc>
          <w:tcPr>
            <w:tcW w:w="873" w:type="pct"/>
            <w:vAlign w:val="center"/>
          </w:tcPr>
          <w:p w14:paraId="48FA3194">
            <w:pPr>
              <w:pStyle w:val="19"/>
              <w:spacing w:before="120" w:after="120"/>
            </w:pPr>
            <w:r>
              <w:rPr>
                <w:rFonts w:hint="eastAsia"/>
              </w:rPr>
              <w:t>乙酸</w:t>
            </w:r>
          </w:p>
        </w:tc>
        <w:tc>
          <w:tcPr>
            <w:tcW w:w="681" w:type="pct"/>
            <w:vAlign w:val="center"/>
          </w:tcPr>
          <w:p w14:paraId="2E2F308C">
            <w:pPr>
              <w:pStyle w:val="19"/>
              <w:spacing w:before="120" w:after="120"/>
            </w:pPr>
            <w:r>
              <w:rPr>
                <w:rFonts w:hint="eastAsia"/>
              </w:rPr>
              <w:t>64-19-7</w:t>
            </w:r>
          </w:p>
        </w:tc>
        <w:tc>
          <w:tcPr>
            <w:tcW w:w="2179" w:type="pct"/>
            <w:vAlign w:val="center"/>
          </w:tcPr>
          <w:p w14:paraId="4F64A6B3">
            <w:pPr>
              <w:pStyle w:val="19"/>
              <w:spacing w:beforeLines="0" w:afterLines="0"/>
              <w:jc w:val="left"/>
            </w:pPr>
            <w:r>
              <w:rPr>
                <w:rFonts w:hint="eastAsia"/>
              </w:rPr>
              <w:t>易燃液体，类别3</w:t>
            </w:r>
          </w:p>
          <w:p w14:paraId="18976962">
            <w:pPr>
              <w:pStyle w:val="19"/>
              <w:spacing w:beforeLines="0" w:afterLines="0"/>
              <w:jc w:val="left"/>
            </w:pPr>
            <w:r>
              <w:rPr>
                <w:rFonts w:hint="eastAsia"/>
              </w:rPr>
              <w:t>皮肤腐蚀/刺激，类别1A</w:t>
            </w:r>
          </w:p>
          <w:p w14:paraId="760E8EB1">
            <w:pPr>
              <w:pStyle w:val="19"/>
              <w:spacing w:beforeLines="0" w:afterLines="0"/>
              <w:jc w:val="left"/>
            </w:pPr>
            <w:r>
              <w:rPr>
                <w:rFonts w:hint="eastAsia"/>
              </w:rPr>
              <w:t>严重眼损伤/眼刺激，类别1</w:t>
            </w:r>
          </w:p>
        </w:tc>
        <w:tc>
          <w:tcPr>
            <w:tcW w:w="996" w:type="pct"/>
            <w:vAlign w:val="center"/>
          </w:tcPr>
          <w:p w14:paraId="62BC6E07">
            <w:pPr>
              <w:pStyle w:val="19"/>
              <w:spacing w:beforeLines="0" w:afterLines="0"/>
            </w:pPr>
            <w:r>
              <w:rPr>
                <w:rFonts w:hint="eastAsia"/>
              </w:rPr>
              <w:t>物理危险、健康危害</w:t>
            </w:r>
          </w:p>
        </w:tc>
      </w:tr>
      <w:tr w14:paraId="686410A8">
        <w:tblPrEx>
          <w:tblCellMar>
            <w:top w:w="0" w:type="dxa"/>
            <w:left w:w="108" w:type="dxa"/>
            <w:bottom w:w="0" w:type="dxa"/>
            <w:right w:w="108" w:type="dxa"/>
          </w:tblCellMar>
        </w:tblPrEx>
        <w:tc>
          <w:tcPr>
            <w:tcW w:w="269" w:type="pct"/>
            <w:vAlign w:val="center"/>
          </w:tcPr>
          <w:p w14:paraId="1CC46E77">
            <w:pPr>
              <w:pStyle w:val="19"/>
              <w:spacing w:before="120" w:after="120"/>
            </w:pPr>
            <w:r>
              <w:rPr>
                <w:rFonts w:hint="eastAsia"/>
              </w:rPr>
              <w:t>6</w:t>
            </w:r>
          </w:p>
        </w:tc>
        <w:tc>
          <w:tcPr>
            <w:tcW w:w="873" w:type="pct"/>
            <w:vAlign w:val="center"/>
          </w:tcPr>
          <w:p w14:paraId="377B13E9">
            <w:pPr>
              <w:pStyle w:val="19"/>
              <w:spacing w:before="120" w:after="120"/>
            </w:pPr>
            <w:r>
              <w:t>硝酸</w:t>
            </w:r>
          </w:p>
        </w:tc>
        <w:tc>
          <w:tcPr>
            <w:tcW w:w="681" w:type="pct"/>
            <w:vAlign w:val="center"/>
          </w:tcPr>
          <w:p w14:paraId="6BD07D5B">
            <w:pPr>
              <w:pStyle w:val="19"/>
              <w:spacing w:before="120" w:after="120"/>
            </w:pPr>
            <w:r>
              <w:rPr>
                <w:rFonts w:hint="eastAsia"/>
              </w:rPr>
              <w:t>7697-37-2</w:t>
            </w:r>
          </w:p>
        </w:tc>
        <w:tc>
          <w:tcPr>
            <w:tcW w:w="2179" w:type="pct"/>
            <w:vAlign w:val="center"/>
          </w:tcPr>
          <w:p w14:paraId="008F65B5">
            <w:pPr>
              <w:pStyle w:val="19"/>
              <w:spacing w:beforeLines="0" w:afterLines="0"/>
              <w:jc w:val="left"/>
            </w:pPr>
            <w:r>
              <w:rPr>
                <w:rFonts w:hint="eastAsia"/>
              </w:rPr>
              <w:t>氧化性液体，类别3</w:t>
            </w:r>
          </w:p>
          <w:p w14:paraId="0815CE90">
            <w:pPr>
              <w:pStyle w:val="19"/>
              <w:spacing w:beforeLines="0" w:afterLines="0"/>
              <w:jc w:val="left"/>
            </w:pPr>
            <w:r>
              <w:rPr>
                <w:rFonts w:hint="eastAsia"/>
              </w:rPr>
              <w:t>皮肤腐蚀/刺激，类别1A</w:t>
            </w:r>
          </w:p>
          <w:p w14:paraId="3B4670CC">
            <w:pPr>
              <w:pStyle w:val="19"/>
              <w:spacing w:beforeLines="0" w:afterLines="0"/>
              <w:jc w:val="left"/>
            </w:pPr>
            <w:r>
              <w:rPr>
                <w:rFonts w:hint="eastAsia"/>
              </w:rPr>
              <w:t>严重眼损伤/眼刺激，类别1</w:t>
            </w:r>
          </w:p>
        </w:tc>
        <w:tc>
          <w:tcPr>
            <w:tcW w:w="996" w:type="pct"/>
            <w:vAlign w:val="center"/>
          </w:tcPr>
          <w:p w14:paraId="51EE1491">
            <w:pPr>
              <w:pStyle w:val="19"/>
              <w:spacing w:beforeLines="0" w:afterLines="0"/>
            </w:pPr>
            <w:r>
              <w:rPr>
                <w:rFonts w:hint="eastAsia"/>
              </w:rPr>
              <w:t>物理危险、健康危害</w:t>
            </w:r>
          </w:p>
        </w:tc>
      </w:tr>
      <w:tr w14:paraId="07A28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07BEBCFD">
            <w:pPr>
              <w:pStyle w:val="19"/>
              <w:spacing w:before="120" w:after="120"/>
            </w:pPr>
            <w:r>
              <w:rPr>
                <w:rFonts w:hint="eastAsia"/>
              </w:rPr>
              <w:t>7</w:t>
            </w:r>
          </w:p>
        </w:tc>
        <w:tc>
          <w:tcPr>
            <w:tcW w:w="873" w:type="pct"/>
            <w:vAlign w:val="center"/>
          </w:tcPr>
          <w:p w14:paraId="06897BF9">
            <w:pPr>
              <w:pStyle w:val="19"/>
              <w:spacing w:before="120" w:after="120"/>
            </w:pPr>
            <w:r>
              <w:rPr>
                <w:rFonts w:hint="eastAsia"/>
              </w:rPr>
              <w:t>硫酸</w:t>
            </w:r>
          </w:p>
        </w:tc>
        <w:tc>
          <w:tcPr>
            <w:tcW w:w="681" w:type="pct"/>
            <w:vAlign w:val="center"/>
          </w:tcPr>
          <w:p w14:paraId="038AF199">
            <w:pPr>
              <w:pStyle w:val="19"/>
              <w:spacing w:before="120" w:after="120"/>
            </w:pPr>
            <w:r>
              <w:rPr>
                <w:rFonts w:hint="eastAsia"/>
              </w:rPr>
              <w:t>7664-93-9</w:t>
            </w:r>
          </w:p>
        </w:tc>
        <w:tc>
          <w:tcPr>
            <w:tcW w:w="2179" w:type="pct"/>
            <w:vAlign w:val="center"/>
          </w:tcPr>
          <w:p w14:paraId="183E91B8">
            <w:pPr>
              <w:pStyle w:val="19"/>
              <w:spacing w:beforeLines="0" w:afterLines="0"/>
              <w:jc w:val="left"/>
            </w:pPr>
            <w:r>
              <w:rPr>
                <w:rFonts w:hint="eastAsia"/>
              </w:rPr>
              <w:t>皮肤腐蚀/刺激，类别1A</w:t>
            </w:r>
          </w:p>
          <w:p w14:paraId="585806E5">
            <w:pPr>
              <w:pStyle w:val="19"/>
              <w:spacing w:beforeLines="0" w:afterLines="0"/>
              <w:jc w:val="left"/>
            </w:pPr>
            <w:r>
              <w:rPr>
                <w:rFonts w:hint="eastAsia"/>
              </w:rPr>
              <w:t>严重眼损伤/眼刺激，类别1</w:t>
            </w:r>
          </w:p>
        </w:tc>
        <w:tc>
          <w:tcPr>
            <w:tcW w:w="996" w:type="pct"/>
            <w:vAlign w:val="center"/>
          </w:tcPr>
          <w:p w14:paraId="738A4FE1">
            <w:pPr>
              <w:pStyle w:val="19"/>
              <w:spacing w:beforeLines="0" w:afterLines="0"/>
            </w:pPr>
            <w:r>
              <w:rPr>
                <w:rFonts w:hint="eastAsia"/>
              </w:rPr>
              <w:t>健康危害</w:t>
            </w:r>
          </w:p>
        </w:tc>
      </w:tr>
      <w:tr w14:paraId="4219F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5A65D051">
            <w:pPr>
              <w:pStyle w:val="19"/>
              <w:spacing w:before="120" w:after="120"/>
            </w:pPr>
            <w:r>
              <w:rPr>
                <w:rFonts w:hint="eastAsia"/>
              </w:rPr>
              <w:t>8</w:t>
            </w:r>
          </w:p>
        </w:tc>
        <w:tc>
          <w:tcPr>
            <w:tcW w:w="873" w:type="pct"/>
            <w:vAlign w:val="center"/>
          </w:tcPr>
          <w:p w14:paraId="41D3FC76">
            <w:pPr>
              <w:pStyle w:val="19"/>
              <w:spacing w:before="120" w:after="120"/>
            </w:pPr>
            <w:r>
              <w:rPr>
                <w:rFonts w:hint="eastAsia"/>
              </w:rPr>
              <w:t>醋酸甲酯</w:t>
            </w:r>
          </w:p>
        </w:tc>
        <w:tc>
          <w:tcPr>
            <w:tcW w:w="681" w:type="pct"/>
            <w:vAlign w:val="center"/>
          </w:tcPr>
          <w:p w14:paraId="5E75F880">
            <w:pPr>
              <w:pStyle w:val="19"/>
              <w:spacing w:before="120" w:after="120"/>
            </w:pPr>
            <w:r>
              <w:rPr>
                <w:rFonts w:hint="eastAsia"/>
              </w:rPr>
              <w:t>79-20-9</w:t>
            </w:r>
          </w:p>
        </w:tc>
        <w:tc>
          <w:tcPr>
            <w:tcW w:w="2179" w:type="pct"/>
            <w:vAlign w:val="center"/>
          </w:tcPr>
          <w:p w14:paraId="682376D5">
            <w:pPr>
              <w:pStyle w:val="19"/>
              <w:spacing w:beforeLines="0" w:afterLines="0"/>
              <w:jc w:val="left"/>
            </w:pPr>
            <w:r>
              <w:rPr>
                <w:rFonts w:hint="eastAsia"/>
              </w:rPr>
              <w:t>易燃液体，类别2</w:t>
            </w:r>
          </w:p>
          <w:p w14:paraId="4948C844">
            <w:pPr>
              <w:pStyle w:val="19"/>
              <w:spacing w:beforeLines="0" w:afterLines="0"/>
              <w:jc w:val="left"/>
            </w:pPr>
            <w:r>
              <w:rPr>
                <w:rFonts w:hint="eastAsia"/>
              </w:rPr>
              <w:t>严重眼损伤/眼刺激，类别2</w:t>
            </w:r>
          </w:p>
          <w:p w14:paraId="56D169FE">
            <w:pPr>
              <w:pStyle w:val="19"/>
              <w:spacing w:beforeLines="0" w:afterLines="0"/>
              <w:jc w:val="left"/>
            </w:pPr>
            <w:r>
              <w:rPr>
                <w:rFonts w:hint="eastAsia"/>
              </w:rPr>
              <w:t>特异性靶器官毒性-一次接触，类别3（麻醉效应）</w:t>
            </w:r>
          </w:p>
        </w:tc>
        <w:tc>
          <w:tcPr>
            <w:tcW w:w="996" w:type="pct"/>
            <w:vAlign w:val="center"/>
          </w:tcPr>
          <w:p w14:paraId="469EC21F">
            <w:pPr>
              <w:pStyle w:val="19"/>
              <w:spacing w:beforeLines="0" w:afterLines="0"/>
            </w:pPr>
            <w:r>
              <w:rPr>
                <w:rFonts w:hint="eastAsia"/>
              </w:rPr>
              <w:t>物理危险、健康危害</w:t>
            </w:r>
          </w:p>
        </w:tc>
      </w:tr>
      <w:tr w14:paraId="5C1FC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6E5AC616">
            <w:pPr>
              <w:pStyle w:val="19"/>
              <w:spacing w:before="120" w:after="120"/>
            </w:pPr>
            <w:r>
              <w:rPr>
                <w:rFonts w:hint="eastAsia"/>
              </w:rPr>
              <w:t>9</w:t>
            </w:r>
          </w:p>
        </w:tc>
        <w:tc>
          <w:tcPr>
            <w:tcW w:w="873" w:type="pct"/>
            <w:vAlign w:val="center"/>
          </w:tcPr>
          <w:p w14:paraId="43E64D9D">
            <w:pPr>
              <w:pStyle w:val="19"/>
              <w:spacing w:before="120" w:after="120"/>
            </w:pPr>
            <w:r>
              <w:rPr>
                <w:rFonts w:hint="eastAsia"/>
              </w:rPr>
              <w:t>醋酸乙烯酯</w:t>
            </w:r>
          </w:p>
        </w:tc>
        <w:tc>
          <w:tcPr>
            <w:tcW w:w="681" w:type="pct"/>
            <w:vAlign w:val="center"/>
          </w:tcPr>
          <w:p w14:paraId="1AA8C31B">
            <w:pPr>
              <w:pStyle w:val="19"/>
              <w:spacing w:before="120" w:after="120"/>
            </w:pPr>
            <w:r>
              <w:rPr>
                <w:rFonts w:hint="eastAsia"/>
              </w:rPr>
              <w:t>108-05-4</w:t>
            </w:r>
          </w:p>
        </w:tc>
        <w:tc>
          <w:tcPr>
            <w:tcW w:w="2179" w:type="pct"/>
            <w:vAlign w:val="center"/>
          </w:tcPr>
          <w:p w14:paraId="633A7273">
            <w:pPr>
              <w:pStyle w:val="19"/>
              <w:spacing w:beforeLines="0" w:afterLines="0"/>
              <w:jc w:val="left"/>
            </w:pPr>
            <w:r>
              <w:rPr>
                <w:rFonts w:hint="eastAsia"/>
              </w:rPr>
              <w:t>易燃液体，类别2</w:t>
            </w:r>
          </w:p>
          <w:p w14:paraId="59F41489">
            <w:pPr>
              <w:pStyle w:val="19"/>
              <w:spacing w:beforeLines="0" w:afterLines="0"/>
              <w:jc w:val="left"/>
            </w:pPr>
            <w:r>
              <w:rPr>
                <w:rFonts w:hint="eastAsia"/>
              </w:rPr>
              <w:t>致癌性，类别2</w:t>
            </w:r>
          </w:p>
          <w:p w14:paraId="717240EA">
            <w:pPr>
              <w:pStyle w:val="19"/>
              <w:spacing w:beforeLines="0" w:afterLines="0"/>
              <w:jc w:val="left"/>
            </w:pPr>
            <w:r>
              <w:rPr>
                <w:rFonts w:hint="eastAsia"/>
              </w:rPr>
              <w:t>特异性靶器官毒性-一次接触，类别3（呼吸道刺激）</w:t>
            </w:r>
          </w:p>
          <w:p w14:paraId="121106D4">
            <w:pPr>
              <w:pStyle w:val="19"/>
              <w:spacing w:beforeLines="0" w:afterLines="0"/>
              <w:jc w:val="left"/>
            </w:pPr>
            <w:r>
              <w:rPr>
                <w:rFonts w:hint="eastAsia"/>
              </w:rPr>
              <w:t>危害水生环境-长期危害，类别3</w:t>
            </w:r>
          </w:p>
        </w:tc>
        <w:tc>
          <w:tcPr>
            <w:tcW w:w="996" w:type="pct"/>
            <w:vAlign w:val="center"/>
          </w:tcPr>
          <w:p w14:paraId="0DDFA6CB">
            <w:pPr>
              <w:pStyle w:val="19"/>
              <w:spacing w:beforeLines="0" w:afterLines="0"/>
            </w:pPr>
            <w:r>
              <w:rPr>
                <w:rFonts w:hint="eastAsia"/>
              </w:rPr>
              <w:t>物理危险、健康危害、环境危害</w:t>
            </w:r>
          </w:p>
        </w:tc>
      </w:tr>
      <w:tr w14:paraId="20C76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6CEBA40A">
            <w:pPr>
              <w:pStyle w:val="19"/>
              <w:spacing w:before="120" w:after="120"/>
            </w:pPr>
            <w:r>
              <w:rPr>
                <w:rFonts w:hint="eastAsia"/>
              </w:rPr>
              <w:t>10</w:t>
            </w:r>
          </w:p>
        </w:tc>
        <w:tc>
          <w:tcPr>
            <w:tcW w:w="873" w:type="pct"/>
            <w:vAlign w:val="center"/>
          </w:tcPr>
          <w:p w14:paraId="29E6937A">
            <w:pPr>
              <w:pStyle w:val="19"/>
              <w:spacing w:before="120" w:after="120"/>
            </w:pPr>
            <w:r>
              <w:rPr>
                <w:rFonts w:hint="eastAsia"/>
              </w:rPr>
              <w:t>硫化钠</w:t>
            </w:r>
          </w:p>
        </w:tc>
        <w:tc>
          <w:tcPr>
            <w:tcW w:w="681" w:type="pct"/>
            <w:vAlign w:val="center"/>
          </w:tcPr>
          <w:p w14:paraId="0DED9ACD">
            <w:pPr>
              <w:pStyle w:val="19"/>
              <w:spacing w:before="120" w:after="120"/>
            </w:pPr>
            <w:r>
              <w:rPr>
                <w:rFonts w:hint="eastAsia"/>
              </w:rPr>
              <w:t>1313-82-2</w:t>
            </w:r>
          </w:p>
        </w:tc>
        <w:tc>
          <w:tcPr>
            <w:tcW w:w="2179" w:type="pct"/>
            <w:vAlign w:val="center"/>
          </w:tcPr>
          <w:p w14:paraId="72B012DE">
            <w:pPr>
              <w:pStyle w:val="19"/>
              <w:spacing w:beforeLines="0" w:afterLines="0"/>
              <w:jc w:val="left"/>
            </w:pPr>
            <w:r>
              <w:rPr>
                <w:rFonts w:hint="eastAsia"/>
              </w:rPr>
              <w:t>自热物质和混合物，类别1</w:t>
            </w:r>
          </w:p>
          <w:p w14:paraId="711F54E4">
            <w:pPr>
              <w:pStyle w:val="19"/>
              <w:spacing w:beforeLines="0" w:afterLines="0"/>
              <w:jc w:val="left"/>
            </w:pPr>
            <w:r>
              <w:rPr>
                <w:rFonts w:hint="eastAsia"/>
              </w:rPr>
              <w:t>急性毒性-经皮，类别3*</w:t>
            </w:r>
          </w:p>
          <w:p w14:paraId="5F63F1B1">
            <w:pPr>
              <w:pStyle w:val="19"/>
              <w:spacing w:beforeLines="0" w:afterLines="0"/>
              <w:jc w:val="left"/>
            </w:pPr>
            <w:r>
              <w:rPr>
                <w:rFonts w:hint="eastAsia"/>
              </w:rPr>
              <w:t>皮肤腐蚀/刺激，类别1B</w:t>
            </w:r>
          </w:p>
          <w:p w14:paraId="7743A9D2">
            <w:pPr>
              <w:pStyle w:val="19"/>
              <w:spacing w:beforeLines="0" w:afterLines="0"/>
              <w:jc w:val="left"/>
            </w:pPr>
            <w:r>
              <w:rPr>
                <w:rFonts w:hint="eastAsia"/>
              </w:rPr>
              <w:t>严重眼损伤/眼刺激，类别1</w:t>
            </w:r>
          </w:p>
          <w:p w14:paraId="29242CFE">
            <w:pPr>
              <w:pStyle w:val="19"/>
              <w:spacing w:beforeLines="0" w:afterLines="0"/>
              <w:jc w:val="left"/>
            </w:pPr>
            <w:r>
              <w:rPr>
                <w:rFonts w:hint="eastAsia"/>
              </w:rPr>
              <w:t>危害水生环境-急性危害，类别1</w:t>
            </w:r>
          </w:p>
        </w:tc>
        <w:tc>
          <w:tcPr>
            <w:tcW w:w="996" w:type="pct"/>
            <w:vAlign w:val="center"/>
          </w:tcPr>
          <w:p w14:paraId="3BC72024">
            <w:pPr>
              <w:pStyle w:val="19"/>
              <w:spacing w:beforeLines="0" w:afterLines="0"/>
            </w:pPr>
            <w:r>
              <w:rPr>
                <w:rFonts w:hint="eastAsia"/>
              </w:rPr>
              <w:t>物理危险、健康危害、环境危害</w:t>
            </w:r>
          </w:p>
        </w:tc>
      </w:tr>
      <w:tr w14:paraId="5E98A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7B7D7346">
            <w:pPr>
              <w:pStyle w:val="19"/>
              <w:spacing w:before="120" w:after="120"/>
            </w:pPr>
            <w:r>
              <w:rPr>
                <w:rFonts w:hint="eastAsia"/>
              </w:rPr>
              <w:t>11</w:t>
            </w:r>
          </w:p>
        </w:tc>
        <w:tc>
          <w:tcPr>
            <w:tcW w:w="873" w:type="pct"/>
            <w:vAlign w:val="center"/>
          </w:tcPr>
          <w:p w14:paraId="0612CADE">
            <w:pPr>
              <w:pStyle w:val="19"/>
              <w:spacing w:before="120" w:after="120"/>
            </w:pPr>
            <w:r>
              <w:rPr>
                <w:rFonts w:hint="eastAsia"/>
              </w:rPr>
              <w:t>苯</w:t>
            </w:r>
          </w:p>
        </w:tc>
        <w:tc>
          <w:tcPr>
            <w:tcW w:w="681" w:type="pct"/>
            <w:vAlign w:val="center"/>
          </w:tcPr>
          <w:p w14:paraId="61797024">
            <w:pPr>
              <w:pStyle w:val="19"/>
              <w:spacing w:before="120" w:after="120"/>
            </w:pPr>
            <w:r>
              <w:rPr>
                <w:rFonts w:hint="eastAsia"/>
              </w:rPr>
              <w:t>71-43-2</w:t>
            </w:r>
          </w:p>
        </w:tc>
        <w:tc>
          <w:tcPr>
            <w:tcW w:w="2179" w:type="pct"/>
            <w:vAlign w:val="center"/>
          </w:tcPr>
          <w:p w14:paraId="62EC0588">
            <w:pPr>
              <w:pStyle w:val="19"/>
              <w:spacing w:beforeLines="0" w:afterLines="0"/>
              <w:jc w:val="left"/>
            </w:pPr>
            <w:r>
              <w:rPr>
                <w:rFonts w:hint="eastAsia"/>
              </w:rPr>
              <w:t>易燃液体，类别2</w:t>
            </w:r>
          </w:p>
          <w:p w14:paraId="70FE7526">
            <w:pPr>
              <w:pStyle w:val="19"/>
              <w:spacing w:beforeLines="0" w:afterLines="0"/>
              <w:jc w:val="left"/>
            </w:pPr>
            <w:r>
              <w:rPr>
                <w:rFonts w:hint="eastAsia"/>
              </w:rPr>
              <w:t>皮肤腐蚀/刺激，类别2</w:t>
            </w:r>
          </w:p>
          <w:p w14:paraId="2BBF38B3">
            <w:pPr>
              <w:pStyle w:val="19"/>
              <w:spacing w:beforeLines="0" w:afterLines="0"/>
              <w:jc w:val="left"/>
            </w:pPr>
            <w:r>
              <w:rPr>
                <w:rFonts w:hint="eastAsia"/>
              </w:rPr>
              <w:t>严重眼损伤/眼刺激，类别2</w:t>
            </w:r>
          </w:p>
          <w:p w14:paraId="2F9CF836">
            <w:pPr>
              <w:pStyle w:val="19"/>
              <w:spacing w:beforeLines="0" w:afterLines="0"/>
              <w:jc w:val="left"/>
            </w:pPr>
            <w:r>
              <w:rPr>
                <w:rFonts w:hint="eastAsia"/>
              </w:rPr>
              <w:t>生殖细胞致突变性，类别1B</w:t>
            </w:r>
          </w:p>
          <w:p w14:paraId="715103B2">
            <w:pPr>
              <w:pStyle w:val="19"/>
              <w:spacing w:beforeLines="0" w:afterLines="0"/>
              <w:jc w:val="left"/>
            </w:pPr>
            <w:r>
              <w:rPr>
                <w:rFonts w:hint="eastAsia"/>
              </w:rPr>
              <w:t>致癌性，类别1A</w:t>
            </w:r>
          </w:p>
          <w:p w14:paraId="236B1316">
            <w:pPr>
              <w:pStyle w:val="19"/>
              <w:spacing w:beforeLines="0" w:afterLines="0"/>
              <w:jc w:val="left"/>
            </w:pPr>
            <w:r>
              <w:rPr>
                <w:rFonts w:hint="eastAsia"/>
              </w:rPr>
              <w:t>特异性靶器官毒性-反复接触，类别1</w:t>
            </w:r>
          </w:p>
          <w:p w14:paraId="6033DE6E">
            <w:pPr>
              <w:pStyle w:val="19"/>
              <w:spacing w:beforeLines="0" w:afterLines="0"/>
              <w:jc w:val="left"/>
            </w:pPr>
            <w:r>
              <w:rPr>
                <w:rFonts w:hint="eastAsia"/>
              </w:rPr>
              <w:t>吸入危害，类别1</w:t>
            </w:r>
          </w:p>
          <w:p w14:paraId="45FAAFC7">
            <w:pPr>
              <w:pStyle w:val="19"/>
              <w:spacing w:beforeLines="0" w:afterLines="0"/>
              <w:jc w:val="left"/>
            </w:pPr>
            <w:r>
              <w:rPr>
                <w:rFonts w:hint="eastAsia"/>
              </w:rPr>
              <w:t>危害水生环境-急性危害，类别2</w:t>
            </w:r>
          </w:p>
          <w:p w14:paraId="2804AF60">
            <w:pPr>
              <w:pStyle w:val="19"/>
              <w:spacing w:beforeLines="0" w:afterLines="0"/>
              <w:jc w:val="left"/>
            </w:pPr>
            <w:r>
              <w:rPr>
                <w:rFonts w:hint="eastAsia"/>
              </w:rPr>
              <w:t>危害水生环境-长期危害，类别3</w:t>
            </w:r>
          </w:p>
        </w:tc>
        <w:tc>
          <w:tcPr>
            <w:tcW w:w="996" w:type="pct"/>
            <w:vAlign w:val="center"/>
          </w:tcPr>
          <w:p w14:paraId="3B9F116D">
            <w:pPr>
              <w:pStyle w:val="19"/>
              <w:spacing w:beforeLines="0" w:afterLines="0"/>
            </w:pPr>
            <w:r>
              <w:rPr>
                <w:rFonts w:hint="eastAsia"/>
              </w:rPr>
              <w:t>物理危险、健康危害、环境危害</w:t>
            </w:r>
          </w:p>
        </w:tc>
      </w:tr>
      <w:tr w14:paraId="224B2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7BDA2774">
            <w:pPr>
              <w:pStyle w:val="19"/>
              <w:spacing w:before="120" w:after="120"/>
            </w:pPr>
            <w:r>
              <w:rPr>
                <w:rFonts w:hint="eastAsia"/>
              </w:rPr>
              <w:t>12</w:t>
            </w:r>
          </w:p>
        </w:tc>
        <w:tc>
          <w:tcPr>
            <w:tcW w:w="873" w:type="pct"/>
            <w:vAlign w:val="center"/>
          </w:tcPr>
          <w:p w14:paraId="43184D94">
            <w:pPr>
              <w:pStyle w:val="19"/>
              <w:spacing w:before="120" w:after="120"/>
            </w:pPr>
            <w:r>
              <w:rPr>
                <w:rFonts w:hint="eastAsia"/>
              </w:rPr>
              <w:t>甲苯</w:t>
            </w:r>
          </w:p>
        </w:tc>
        <w:tc>
          <w:tcPr>
            <w:tcW w:w="681" w:type="pct"/>
            <w:vAlign w:val="center"/>
          </w:tcPr>
          <w:p w14:paraId="1ACB1FFB">
            <w:pPr>
              <w:pStyle w:val="19"/>
              <w:spacing w:before="120" w:after="120"/>
            </w:pPr>
            <w:r>
              <w:rPr>
                <w:rFonts w:hint="eastAsia"/>
              </w:rPr>
              <w:t>108-88-3</w:t>
            </w:r>
          </w:p>
        </w:tc>
        <w:tc>
          <w:tcPr>
            <w:tcW w:w="2179" w:type="pct"/>
            <w:vAlign w:val="center"/>
          </w:tcPr>
          <w:p w14:paraId="779C7B29">
            <w:pPr>
              <w:pStyle w:val="19"/>
              <w:spacing w:beforeLines="0" w:afterLines="0"/>
              <w:jc w:val="left"/>
            </w:pPr>
            <w:r>
              <w:rPr>
                <w:rFonts w:hint="eastAsia"/>
              </w:rPr>
              <w:t>易燃液体，类别2</w:t>
            </w:r>
          </w:p>
          <w:p w14:paraId="1E2A4369">
            <w:pPr>
              <w:pStyle w:val="19"/>
              <w:spacing w:beforeLines="0" w:afterLines="0"/>
              <w:jc w:val="left"/>
            </w:pPr>
            <w:r>
              <w:rPr>
                <w:rFonts w:hint="eastAsia"/>
              </w:rPr>
              <w:t>皮肤腐蚀/刺激，类别2</w:t>
            </w:r>
          </w:p>
          <w:p w14:paraId="71EF2802">
            <w:pPr>
              <w:pStyle w:val="19"/>
              <w:spacing w:beforeLines="0" w:afterLines="0"/>
              <w:jc w:val="left"/>
            </w:pPr>
            <w:r>
              <w:rPr>
                <w:rFonts w:hint="eastAsia"/>
              </w:rPr>
              <w:t>生殖毒性，类别2</w:t>
            </w:r>
          </w:p>
          <w:p w14:paraId="6520285D">
            <w:pPr>
              <w:pStyle w:val="19"/>
              <w:spacing w:beforeLines="0" w:afterLines="0"/>
              <w:jc w:val="left"/>
            </w:pPr>
            <w:r>
              <w:rPr>
                <w:rFonts w:hint="eastAsia"/>
              </w:rPr>
              <w:t>特异性靶器官毒性-一次接触，类别3（麻醉效应）</w:t>
            </w:r>
          </w:p>
          <w:p w14:paraId="5F23BA77">
            <w:pPr>
              <w:pStyle w:val="19"/>
              <w:spacing w:beforeLines="0" w:afterLines="0"/>
              <w:jc w:val="left"/>
            </w:pPr>
            <w:r>
              <w:rPr>
                <w:rFonts w:hint="eastAsia"/>
              </w:rPr>
              <w:t>特异性靶器官毒性-反复接触，类别2*</w:t>
            </w:r>
          </w:p>
          <w:p w14:paraId="4825D5DC">
            <w:pPr>
              <w:pStyle w:val="19"/>
              <w:spacing w:beforeLines="0" w:afterLines="0"/>
              <w:jc w:val="left"/>
            </w:pPr>
            <w:r>
              <w:rPr>
                <w:rFonts w:hint="eastAsia"/>
              </w:rPr>
              <w:t>吸入危害，类别1</w:t>
            </w:r>
          </w:p>
          <w:p w14:paraId="1CFFC78F">
            <w:pPr>
              <w:pStyle w:val="19"/>
              <w:spacing w:beforeLines="0" w:afterLines="0"/>
              <w:jc w:val="left"/>
            </w:pPr>
            <w:r>
              <w:rPr>
                <w:rFonts w:hint="eastAsia"/>
              </w:rPr>
              <w:t>危害水生环境-急性危害，类别2</w:t>
            </w:r>
          </w:p>
          <w:p w14:paraId="772C2AB4">
            <w:pPr>
              <w:pStyle w:val="19"/>
              <w:spacing w:beforeLines="0" w:afterLines="0"/>
              <w:jc w:val="left"/>
            </w:pPr>
            <w:r>
              <w:rPr>
                <w:rFonts w:hint="eastAsia"/>
              </w:rPr>
              <w:t>危害水生环境-长期危害，类别3</w:t>
            </w:r>
          </w:p>
        </w:tc>
        <w:tc>
          <w:tcPr>
            <w:tcW w:w="996" w:type="pct"/>
            <w:vAlign w:val="center"/>
          </w:tcPr>
          <w:p w14:paraId="199EC05E">
            <w:pPr>
              <w:pStyle w:val="19"/>
              <w:spacing w:beforeLines="0" w:afterLines="0"/>
            </w:pPr>
            <w:r>
              <w:rPr>
                <w:rFonts w:hint="eastAsia"/>
              </w:rPr>
              <w:t>物理危险、健康危害、环境危害</w:t>
            </w:r>
          </w:p>
        </w:tc>
      </w:tr>
      <w:tr w14:paraId="3FC2C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25DB5BC4">
            <w:pPr>
              <w:pStyle w:val="19"/>
              <w:spacing w:before="120" w:after="120"/>
            </w:pPr>
            <w:r>
              <w:rPr>
                <w:rFonts w:hint="eastAsia"/>
              </w:rPr>
              <w:t>13</w:t>
            </w:r>
          </w:p>
        </w:tc>
        <w:tc>
          <w:tcPr>
            <w:tcW w:w="873" w:type="pct"/>
            <w:vAlign w:val="center"/>
          </w:tcPr>
          <w:p w14:paraId="4F7A18D3">
            <w:pPr>
              <w:pStyle w:val="19"/>
              <w:spacing w:before="120" w:after="120"/>
            </w:pPr>
            <w:r>
              <w:rPr>
                <w:rFonts w:hint="eastAsia"/>
              </w:rPr>
              <w:t>邻二甲苯</w:t>
            </w:r>
          </w:p>
        </w:tc>
        <w:tc>
          <w:tcPr>
            <w:tcW w:w="681" w:type="pct"/>
            <w:vAlign w:val="center"/>
          </w:tcPr>
          <w:p w14:paraId="6C2A37DC">
            <w:pPr>
              <w:pStyle w:val="19"/>
              <w:spacing w:before="120" w:after="120"/>
            </w:pPr>
            <w:r>
              <w:rPr>
                <w:rFonts w:hint="eastAsia"/>
              </w:rPr>
              <w:t>95-47-6</w:t>
            </w:r>
          </w:p>
        </w:tc>
        <w:tc>
          <w:tcPr>
            <w:tcW w:w="2179" w:type="pct"/>
            <w:vAlign w:val="center"/>
          </w:tcPr>
          <w:p w14:paraId="67C7F272">
            <w:pPr>
              <w:pStyle w:val="19"/>
              <w:spacing w:beforeLines="0" w:afterLines="0"/>
              <w:jc w:val="left"/>
            </w:pPr>
            <w:r>
              <w:rPr>
                <w:rFonts w:hint="eastAsia"/>
              </w:rPr>
              <w:t>易燃液体，类别3</w:t>
            </w:r>
          </w:p>
          <w:p w14:paraId="0B0020D8">
            <w:pPr>
              <w:pStyle w:val="19"/>
              <w:spacing w:beforeLines="0" w:afterLines="0"/>
              <w:jc w:val="left"/>
            </w:pPr>
            <w:r>
              <w:rPr>
                <w:rFonts w:hint="eastAsia"/>
              </w:rPr>
              <w:t>皮肤腐蚀/刺激，类别2</w:t>
            </w:r>
          </w:p>
          <w:p w14:paraId="3416D6F3">
            <w:pPr>
              <w:pStyle w:val="19"/>
              <w:spacing w:beforeLines="0" w:afterLines="0"/>
              <w:jc w:val="left"/>
            </w:pPr>
            <w:r>
              <w:rPr>
                <w:rFonts w:hint="eastAsia"/>
              </w:rPr>
              <w:t>危害水生环境-急性危害，类别2</w:t>
            </w:r>
          </w:p>
        </w:tc>
        <w:tc>
          <w:tcPr>
            <w:tcW w:w="996" w:type="pct"/>
            <w:vAlign w:val="center"/>
          </w:tcPr>
          <w:p w14:paraId="47729525">
            <w:pPr>
              <w:pStyle w:val="19"/>
              <w:spacing w:beforeLines="0" w:afterLines="0"/>
            </w:pPr>
            <w:r>
              <w:rPr>
                <w:rFonts w:hint="eastAsia"/>
              </w:rPr>
              <w:t>物理危险、健康危害、环境危害</w:t>
            </w:r>
          </w:p>
        </w:tc>
      </w:tr>
      <w:tr w14:paraId="61E36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1C98E49B">
            <w:pPr>
              <w:pStyle w:val="19"/>
              <w:spacing w:before="120" w:after="120"/>
            </w:pPr>
            <w:r>
              <w:rPr>
                <w:rFonts w:hint="eastAsia"/>
              </w:rPr>
              <w:t>14</w:t>
            </w:r>
          </w:p>
        </w:tc>
        <w:tc>
          <w:tcPr>
            <w:tcW w:w="873" w:type="pct"/>
            <w:vAlign w:val="center"/>
          </w:tcPr>
          <w:p w14:paraId="21A9CF04">
            <w:pPr>
              <w:pStyle w:val="19"/>
              <w:spacing w:before="120" w:after="120"/>
            </w:pPr>
            <w:r>
              <w:rPr>
                <w:rFonts w:hint="eastAsia"/>
              </w:rPr>
              <w:t>粗苯</w:t>
            </w:r>
          </w:p>
        </w:tc>
        <w:tc>
          <w:tcPr>
            <w:tcW w:w="681" w:type="pct"/>
            <w:vAlign w:val="center"/>
          </w:tcPr>
          <w:p w14:paraId="2FBF1417">
            <w:pPr>
              <w:pStyle w:val="19"/>
              <w:spacing w:before="120" w:after="120"/>
            </w:pPr>
            <w:r>
              <w:rPr>
                <w:rFonts w:hint="eastAsia"/>
              </w:rPr>
              <w:t>/</w:t>
            </w:r>
          </w:p>
        </w:tc>
        <w:tc>
          <w:tcPr>
            <w:tcW w:w="2179" w:type="pct"/>
            <w:vAlign w:val="center"/>
          </w:tcPr>
          <w:p w14:paraId="7CAAA84B">
            <w:pPr>
              <w:pStyle w:val="19"/>
              <w:spacing w:beforeLines="0" w:afterLines="0"/>
              <w:jc w:val="left"/>
            </w:pPr>
            <w:r>
              <w:rPr>
                <w:rFonts w:hint="eastAsia"/>
              </w:rPr>
              <w:t>易燃液体，类别2</w:t>
            </w:r>
          </w:p>
          <w:p w14:paraId="34848F02">
            <w:pPr>
              <w:pStyle w:val="19"/>
              <w:spacing w:beforeLines="0" w:afterLines="0"/>
              <w:jc w:val="left"/>
            </w:pPr>
            <w:r>
              <w:rPr>
                <w:rFonts w:hint="eastAsia"/>
              </w:rPr>
              <w:t>皮肤腐蚀/刺激，类别2</w:t>
            </w:r>
          </w:p>
          <w:p w14:paraId="01745ADD">
            <w:pPr>
              <w:pStyle w:val="19"/>
              <w:spacing w:beforeLines="0" w:afterLines="0"/>
              <w:jc w:val="left"/>
            </w:pPr>
            <w:r>
              <w:rPr>
                <w:rFonts w:hint="eastAsia"/>
              </w:rPr>
              <w:t>严重眼损伤/眼刺激，类别2</w:t>
            </w:r>
          </w:p>
          <w:p w14:paraId="7EB2E9D9">
            <w:pPr>
              <w:pStyle w:val="19"/>
              <w:spacing w:beforeLines="0" w:afterLines="0"/>
              <w:jc w:val="left"/>
            </w:pPr>
            <w:r>
              <w:rPr>
                <w:rFonts w:hint="eastAsia"/>
              </w:rPr>
              <w:t>生殖细胞致突变性，类别1B</w:t>
            </w:r>
          </w:p>
          <w:p w14:paraId="67AC2262">
            <w:pPr>
              <w:pStyle w:val="19"/>
              <w:spacing w:beforeLines="0" w:afterLines="0"/>
              <w:jc w:val="left"/>
            </w:pPr>
            <w:r>
              <w:rPr>
                <w:rFonts w:hint="eastAsia"/>
              </w:rPr>
              <w:t>致癌性，类别1A</w:t>
            </w:r>
          </w:p>
          <w:p w14:paraId="5C860579">
            <w:pPr>
              <w:pStyle w:val="19"/>
              <w:spacing w:beforeLines="0" w:afterLines="0"/>
              <w:jc w:val="left"/>
            </w:pPr>
            <w:r>
              <w:rPr>
                <w:rFonts w:hint="eastAsia"/>
              </w:rPr>
              <w:t>特异性靶器官毒性-反复接触，类别1</w:t>
            </w:r>
          </w:p>
          <w:p w14:paraId="310AAAC1">
            <w:pPr>
              <w:pStyle w:val="19"/>
              <w:spacing w:beforeLines="0" w:afterLines="0"/>
              <w:jc w:val="left"/>
            </w:pPr>
            <w:r>
              <w:rPr>
                <w:rFonts w:hint="eastAsia"/>
              </w:rPr>
              <w:t>吸入危害，类别1</w:t>
            </w:r>
          </w:p>
          <w:p w14:paraId="23BD962F">
            <w:pPr>
              <w:pStyle w:val="19"/>
              <w:spacing w:beforeLines="0" w:afterLines="0"/>
              <w:jc w:val="left"/>
            </w:pPr>
            <w:r>
              <w:rPr>
                <w:rFonts w:hint="eastAsia"/>
              </w:rPr>
              <w:t>危害水生环境-急性危害，类别2</w:t>
            </w:r>
          </w:p>
          <w:p w14:paraId="553BF2B9">
            <w:pPr>
              <w:pStyle w:val="19"/>
              <w:spacing w:beforeLines="0" w:afterLines="0"/>
              <w:jc w:val="left"/>
            </w:pPr>
            <w:r>
              <w:rPr>
                <w:rFonts w:hint="eastAsia"/>
              </w:rPr>
              <w:t>危害水生环境-长期危害，类别3</w:t>
            </w:r>
          </w:p>
        </w:tc>
        <w:tc>
          <w:tcPr>
            <w:tcW w:w="996" w:type="pct"/>
            <w:vAlign w:val="center"/>
          </w:tcPr>
          <w:p w14:paraId="279D79F4">
            <w:pPr>
              <w:pStyle w:val="19"/>
              <w:spacing w:beforeLines="0" w:afterLines="0"/>
            </w:pPr>
            <w:r>
              <w:rPr>
                <w:rFonts w:hint="eastAsia"/>
              </w:rPr>
              <w:t>物理危险、健康危害、环境危害</w:t>
            </w:r>
          </w:p>
        </w:tc>
      </w:tr>
      <w:tr w14:paraId="3EB81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27CB6DAE">
            <w:pPr>
              <w:pStyle w:val="19"/>
              <w:spacing w:before="120" w:after="120"/>
            </w:pPr>
            <w:r>
              <w:rPr>
                <w:rFonts w:hint="eastAsia"/>
              </w:rPr>
              <w:t>15</w:t>
            </w:r>
          </w:p>
        </w:tc>
        <w:tc>
          <w:tcPr>
            <w:tcW w:w="873" w:type="pct"/>
            <w:vAlign w:val="center"/>
          </w:tcPr>
          <w:p w14:paraId="66ADAD41">
            <w:pPr>
              <w:pStyle w:val="19"/>
              <w:spacing w:before="120" w:after="120"/>
            </w:pPr>
            <w:r>
              <w:rPr>
                <w:rFonts w:hint="eastAsia"/>
              </w:rPr>
              <w:t>亚硝酸钠</w:t>
            </w:r>
          </w:p>
        </w:tc>
        <w:tc>
          <w:tcPr>
            <w:tcW w:w="681" w:type="pct"/>
            <w:vAlign w:val="center"/>
          </w:tcPr>
          <w:p w14:paraId="611B4A99">
            <w:pPr>
              <w:pStyle w:val="19"/>
              <w:spacing w:before="120" w:after="120"/>
            </w:pPr>
            <w:r>
              <w:rPr>
                <w:rFonts w:hint="eastAsia"/>
              </w:rPr>
              <w:t>7632-00-0</w:t>
            </w:r>
          </w:p>
        </w:tc>
        <w:tc>
          <w:tcPr>
            <w:tcW w:w="2179" w:type="pct"/>
            <w:vAlign w:val="center"/>
          </w:tcPr>
          <w:p w14:paraId="65D19C0F">
            <w:pPr>
              <w:pStyle w:val="19"/>
              <w:spacing w:beforeLines="0" w:afterLines="0"/>
              <w:jc w:val="left"/>
            </w:pPr>
            <w:r>
              <w:rPr>
                <w:rFonts w:hint="eastAsia"/>
              </w:rPr>
              <w:t>氧化性固体，类别3</w:t>
            </w:r>
          </w:p>
          <w:p w14:paraId="48FA57EB">
            <w:pPr>
              <w:pStyle w:val="19"/>
              <w:spacing w:beforeLines="0" w:afterLines="0"/>
              <w:jc w:val="left"/>
            </w:pPr>
            <w:r>
              <w:rPr>
                <w:rFonts w:hint="eastAsia"/>
              </w:rPr>
              <w:t>急性毒性-经口，类别3*</w:t>
            </w:r>
          </w:p>
          <w:p w14:paraId="1CBEC467">
            <w:pPr>
              <w:pStyle w:val="19"/>
              <w:spacing w:beforeLines="0" w:afterLines="0"/>
              <w:jc w:val="left"/>
            </w:pPr>
            <w:r>
              <w:rPr>
                <w:rFonts w:hint="eastAsia"/>
              </w:rPr>
              <w:t>危害水生环境-急性危害，类别1</w:t>
            </w:r>
          </w:p>
        </w:tc>
        <w:tc>
          <w:tcPr>
            <w:tcW w:w="996" w:type="pct"/>
            <w:vAlign w:val="center"/>
          </w:tcPr>
          <w:p w14:paraId="26D0A2E6">
            <w:pPr>
              <w:pStyle w:val="19"/>
              <w:spacing w:beforeLines="0" w:afterLines="0"/>
            </w:pPr>
            <w:r>
              <w:rPr>
                <w:rFonts w:hint="eastAsia"/>
              </w:rPr>
              <w:t>物理危险、健康危害、环境危害</w:t>
            </w:r>
          </w:p>
        </w:tc>
      </w:tr>
      <w:tr w14:paraId="311B6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269" w:type="pct"/>
            <w:vAlign w:val="center"/>
          </w:tcPr>
          <w:p w14:paraId="302B0A52">
            <w:pPr>
              <w:pStyle w:val="19"/>
              <w:spacing w:before="120" w:after="120"/>
            </w:pPr>
            <w:r>
              <w:rPr>
                <w:rFonts w:hint="eastAsia"/>
              </w:rPr>
              <w:t>16</w:t>
            </w:r>
          </w:p>
        </w:tc>
        <w:tc>
          <w:tcPr>
            <w:tcW w:w="873" w:type="pct"/>
            <w:vAlign w:val="center"/>
          </w:tcPr>
          <w:p w14:paraId="46438C90">
            <w:pPr>
              <w:pStyle w:val="19"/>
              <w:spacing w:before="120" w:after="120"/>
            </w:pPr>
            <w:r>
              <w:t>亚硫酸氢钠</w:t>
            </w:r>
          </w:p>
        </w:tc>
        <w:tc>
          <w:tcPr>
            <w:tcW w:w="681" w:type="pct"/>
            <w:vAlign w:val="center"/>
          </w:tcPr>
          <w:p w14:paraId="5E59E38D">
            <w:pPr>
              <w:pStyle w:val="19"/>
              <w:spacing w:before="120" w:after="120"/>
            </w:pPr>
            <w:r>
              <w:rPr>
                <w:rFonts w:hint="eastAsia"/>
              </w:rPr>
              <w:t>7631-90-5</w:t>
            </w:r>
          </w:p>
        </w:tc>
        <w:tc>
          <w:tcPr>
            <w:tcW w:w="2179" w:type="pct"/>
            <w:vAlign w:val="center"/>
          </w:tcPr>
          <w:p w14:paraId="54ABBF4E">
            <w:pPr>
              <w:pStyle w:val="19"/>
              <w:spacing w:beforeLines="0" w:afterLines="0"/>
              <w:jc w:val="left"/>
            </w:pPr>
            <w:r>
              <w:rPr>
                <w:rFonts w:hint="eastAsia"/>
              </w:rPr>
              <w:t>皮肤腐蚀/刺激，类别2</w:t>
            </w:r>
          </w:p>
          <w:p w14:paraId="49E4DCC9">
            <w:pPr>
              <w:pStyle w:val="19"/>
              <w:spacing w:beforeLines="0" w:afterLines="0"/>
              <w:jc w:val="left"/>
            </w:pPr>
            <w:r>
              <w:rPr>
                <w:rFonts w:hint="eastAsia"/>
              </w:rPr>
              <w:t>严重眼损伤/眼刺激，类别2</w:t>
            </w:r>
          </w:p>
        </w:tc>
        <w:tc>
          <w:tcPr>
            <w:tcW w:w="996" w:type="pct"/>
            <w:vAlign w:val="center"/>
          </w:tcPr>
          <w:p w14:paraId="075A3CD4">
            <w:pPr>
              <w:pStyle w:val="19"/>
              <w:spacing w:beforeLines="0" w:afterLines="0"/>
            </w:pPr>
            <w:r>
              <w:rPr>
                <w:rFonts w:hint="eastAsia"/>
              </w:rPr>
              <w:t>健康危害</w:t>
            </w:r>
          </w:p>
        </w:tc>
      </w:tr>
      <w:tr w14:paraId="3DD0E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0CDC0240">
            <w:pPr>
              <w:pStyle w:val="19"/>
              <w:spacing w:beforeLines="0" w:afterLines="0"/>
            </w:pPr>
            <w:r>
              <w:rPr>
                <w:rFonts w:hint="eastAsia"/>
              </w:rPr>
              <w:t>17</w:t>
            </w:r>
          </w:p>
        </w:tc>
        <w:tc>
          <w:tcPr>
            <w:tcW w:w="873" w:type="pct"/>
            <w:vAlign w:val="center"/>
          </w:tcPr>
          <w:p w14:paraId="64634408">
            <w:pPr>
              <w:pStyle w:val="19"/>
              <w:spacing w:beforeLines="0" w:afterLines="0"/>
            </w:pPr>
            <w:r>
              <w:rPr>
                <w:rFonts w:hint="eastAsia"/>
              </w:rPr>
              <w:t>连二亚硫酸钠</w:t>
            </w:r>
          </w:p>
        </w:tc>
        <w:tc>
          <w:tcPr>
            <w:tcW w:w="681" w:type="pct"/>
            <w:vAlign w:val="center"/>
          </w:tcPr>
          <w:p w14:paraId="6D5BC43B">
            <w:pPr>
              <w:pStyle w:val="19"/>
              <w:spacing w:beforeLines="0" w:afterLines="0"/>
            </w:pPr>
            <w:r>
              <w:rPr>
                <w:rFonts w:hint="eastAsia"/>
              </w:rPr>
              <w:t>7775-14-6</w:t>
            </w:r>
          </w:p>
        </w:tc>
        <w:tc>
          <w:tcPr>
            <w:tcW w:w="2179" w:type="pct"/>
            <w:vAlign w:val="center"/>
          </w:tcPr>
          <w:p w14:paraId="272B9080">
            <w:pPr>
              <w:pStyle w:val="19"/>
              <w:spacing w:beforeLines="0" w:afterLines="0"/>
              <w:jc w:val="left"/>
            </w:pPr>
            <w:r>
              <w:rPr>
                <w:rFonts w:hint="eastAsia"/>
              </w:rPr>
              <w:t>自热物质和混合物，类别1</w:t>
            </w:r>
          </w:p>
        </w:tc>
        <w:tc>
          <w:tcPr>
            <w:tcW w:w="996" w:type="pct"/>
            <w:vAlign w:val="center"/>
          </w:tcPr>
          <w:p w14:paraId="0DB44A85">
            <w:pPr>
              <w:pStyle w:val="19"/>
              <w:spacing w:beforeLines="0" w:afterLines="0"/>
            </w:pPr>
            <w:r>
              <w:rPr>
                <w:rFonts w:hint="eastAsia"/>
              </w:rPr>
              <w:t>物理危险</w:t>
            </w:r>
          </w:p>
        </w:tc>
      </w:tr>
      <w:tr w14:paraId="1C4FAAB2">
        <w:tblPrEx>
          <w:tblCellMar>
            <w:top w:w="0" w:type="dxa"/>
            <w:left w:w="108" w:type="dxa"/>
            <w:bottom w:w="0" w:type="dxa"/>
            <w:right w:w="108" w:type="dxa"/>
          </w:tblCellMar>
        </w:tblPrEx>
        <w:trPr>
          <w:trHeight w:val="500" w:hRule="atLeast"/>
        </w:trPr>
        <w:tc>
          <w:tcPr>
            <w:tcW w:w="269" w:type="pct"/>
            <w:vAlign w:val="center"/>
          </w:tcPr>
          <w:p w14:paraId="587D1821">
            <w:pPr>
              <w:pStyle w:val="19"/>
              <w:spacing w:before="120" w:after="120"/>
            </w:pPr>
            <w:r>
              <w:rPr>
                <w:rFonts w:hint="eastAsia"/>
              </w:rPr>
              <w:t>18</w:t>
            </w:r>
          </w:p>
        </w:tc>
        <w:tc>
          <w:tcPr>
            <w:tcW w:w="873" w:type="pct"/>
            <w:vAlign w:val="center"/>
          </w:tcPr>
          <w:p w14:paraId="7F87A189">
            <w:pPr>
              <w:pStyle w:val="19"/>
              <w:spacing w:before="120" w:after="120"/>
            </w:pPr>
            <w:r>
              <w:t>氢氧化钠</w:t>
            </w:r>
          </w:p>
        </w:tc>
        <w:tc>
          <w:tcPr>
            <w:tcW w:w="681" w:type="pct"/>
            <w:vAlign w:val="center"/>
          </w:tcPr>
          <w:p w14:paraId="259719A9">
            <w:pPr>
              <w:pStyle w:val="19"/>
              <w:spacing w:before="120" w:after="120"/>
            </w:pPr>
            <w:r>
              <w:rPr>
                <w:rFonts w:hint="eastAsia"/>
              </w:rPr>
              <w:t>1310-73-2</w:t>
            </w:r>
          </w:p>
        </w:tc>
        <w:tc>
          <w:tcPr>
            <w:tcW w:w="2179" w:type="pct"/>
            <w:vAlign w:val="center"/>
          </w:tcPr>
          <w:p w14:paraId="07D1ACAA">
            <w:pPr>
              <w:pStyle w:val="19"/>
              <w:spacing w:beforeLines="0" w:afterLines="0"/>
              <w:jc w:val="left"/>
            </w:pPr>
            <w:r>
              <w:rPr>
                <w:rFonts w:hint="eastAsia"/>
              </w:rPr>
              <w:t>皮肤腐蚀/刺激，类别1A</w:t>
            </w:r>
          </w:p>
          <w:p w14:paraId="2965CB57">
            <w:pPr>
              <w:pStyle w:val="19"/>
              <w:spacing w:beforeLines="0" w:afterLines="0"/>
              <w:jc w:val="left"/>
            </w:pPr>
            <w:r>
              <w:rPr>
                <w:rFonts w:hint="eastAsia"/>
              </w:rPr>
              <w:t>严重眼损伤/眼刺激，类别1</w:t>
            </w:r>
          </w:p>
        </w:tc>
        <w:tc>
          <w:tcPr>
            <w:tcW w:w="996" w:type="pct"/>
            <w:vAlign w:val="center"/>
          </w:tcPr>
          <w:p w14:paraId="3F167DB8">
            <w:pPr>
              <w:pStyle w:val="19"/>
              <w:spacing w:beforeLines="0" w:afterLines="0"/>
            </w:pPr>
            <w:r>
              <w:rPr>
                <w:rFonts w:hint="eastAsia"/>
              </w:rPr>
              <w:t>健康危害</w:t>
            </w:r>
          </w:p>
        </w:tc>
      </w:tr>
      <w:tr w14:paraId="7D336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269" w:type="pct"/>
            <w:vAlign w:val="center"/>
          </w:tcPr>
          <w:p w14:paraId="5E82B5DB">
            <w:pPr>
              <w:pStyle w:val="19"/>
              <w:spacing w:before="120" w:after="120"/>
            </w:pPr>
            <w:r>
              <w:rPr>
                <w:rFonts w:hint="eastAsia"/>
              </w:rPr>
              <w:t>19</w:t>
            </w:r>
          </w:p>
        </w:tc>
        <w:tc>
          <w:tcPr>
            <w:tcW w:w="873" w:type="pct"/>
            <w:vAlign w:val="center"/>
          </w:tcPr>
          <w:p w14:paraId="3FBF90EF">
            <w:pPr>
              <w:pStyle w:val="19"/>
              <w:spacing w:before="120" w:after="120"/>
            </w:pPr>
            <w:r>
              <w:t>氢氧化钠</w:t>
            </w:r>
            <w:r>
              <w:rPr>
                <w:rFonts w:hint="eastAsia"/>
              </w:rPr>
              <w:t>溶液</w:t>
            </w:r>
          </w:p>
        </w:tc>
        <w:tc>
          <w:tcPr>
            <w:tcW w:w="681" w:type="pct"/>
            <w:vAlign w:val="center"/>
          </w:tcPr>
          <w:p w14:paraId="6534B038">
            <w:pPr>
              <w:pStyle w:val="19"/>
              <w:spacing w:before="120" w:after="120"/>
            </w:pPr>
            <w:r>
              <w:rPr>
                <w:rFonts w:hint="eastAsia"/>
              </w:rPr>
              <w:t>1310-73-2</w:t>
            </w:r>
          </w:p>
        </w:tc>
        <w:tc>
          <w:tcPr>
            <w:tcW w:w="2179" w:type="pct"/>
            <w:vAlign w:val="center"/>
          </w:tcPr>
          <w:p w14:paraId="380CAB5E">
            <w:pPr>
              <w:pStyle w:val="19"/>
              <w:spacing w:beforeLines="0" w:afterLines="0"/>
              <w:jc w:val="left"/>
            </w:pPr>
            <w:r>
              <w:rPr>
                <w:rFonts w:hint="eastAsia"/>
              </w:rPr>
              <w:t>皮肤腐蚀/刺激，类别1A</w:t>
            </w:r>
          </w:p>
          <w:p w14:paraId="18A11796">
            <w:pPr>
              <w:pStyle w:val="19"/>
              <w:spacing w:beforeLines="0" w:afterLines="0"/>
              <w:jc w:val="left"/>
            </w:pPr>
            <w:r>
              <w:rPr>
                <w:rFonts w:hint="eastAsia"/>
              </w:rPr>
              <w:t>严重眼损伤/眼刺激，类别1</w:t>
            </w:r>
          </w:p>
        </w:tc>
        <w:tc>
          <w:tcPr>
            <w:tcW w:w="996" w:type="pct"/>
            <w:vAlign w:val="center"/>
          </w:tcPr>
          <w:p w14:paraId="3F054F07">
            <w:pPr>
              <w:pStyle w:val="19"/>
              <w:spacing w:beforeLines="0" w:afterLines="0"/>
            </w:pPr>
            <w:r>
              <w:rPr>
                <w:rFonts w:hint="eastAsia"/>
              </w:rPr>
              <w:t>健康危害</w:t>
            </w:r>
          </w:p>
        </w:tc>
      </w:tr>
      <w:tr w14:paraId="47538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786BE939">
            <w:pPr>
              <w:pStyle w:val="19"/>
              <w:spacing w:before="120" w:after="120"/>
            </w:pPr>
            <w:r>
              <w:rPr>
                <w:rFonts w:hint="eastAsia"/>
              </w:rPr>
              <w:t>20</w:t>
            </w:r>
          </w:p>
        </w:tc>
        <w:tc>
          <w:tcPr>
            <w:tcW w:w="873" w:type="pct"/>
            <w:vAlign w:val="center"/>
          </w:tcPr>
          <w:p w14:paraId="58C4262F">
            <w:pPr>
              <w:pStyle w:val="19"/>
              <w:spacing w:before="120" w:after="120"/>
            </w:pPr>
            <w:r>
              <w:rPr>
                <w:rFonts w:hint="eastAsia"/>
              </w:rPr>
              <w:t>液氯</w:t>
            </w:r>
          </w:p>
        </w:tc>
        <w:tc>
          <w:tcPr>
            <w:tcW w:w="681" w:type="pct"/>
            <w:vAlign w:val="center"/>
          </w:tcPr>
          <w:p w14:paraId="4F41F7A8">
            <w:pPr>
              <w:pStyle w:val="19"/>
              <w:spacing w:before="120" w:after="120"/>
            </w:pPr>
            <w:r>
              <w:rPr>
                <w:rFonts w:hint="eastAsia"/>
              </w:rPr>
              <w:t>7782-50-5</w:t>
            </w:r>
          </w:p>
        </w:tc>
        <w:tc>
          <w:tcPr>
            <w:tcW w:w="2179" w:type="pct"/>
            <w:vAlign w:val="center"/>
          </w:tcPr>
          <w:p w14:paraId="21573500">
            <w:pPr>
              <w:pStyle w:val="19"/>
              <w:spacing w:beforeLines="0" w:afterLines="0"/>
              <w:jc w:val="left"/>
            </w:pPr>
            <w:r>
              <w:rPr>
                <w:rFonts w:hint="eastAsia"/>
              </w:rPr>
              <w:t>加压气体</w:t>
            </w:r>
          </w:p>
          <w:p w14:paraId="65FF535F">
            <w:pPr>
              <w:pStyle w:val="19"/>
              <w:spacing w:beforeLines="0" w:afterLines="0"/>
              <w:jc w:val="left"/>
            </w:pPr>
            <w:r>
              <w:rPr>
                <w:rFonts w:hint="eastAsia"/>
              </w:rPr>
              <w:t>急性毒性-吸入，类别2</w:t>
            </w:r>
          </w:p>
          <w:p w14:paraId="32CDC2AA">
            <w:pPr>
              <w:pStyle w:val="19"/>
              <w:spacing w:beforeLines="0" w:afterLines="0"/>
              <w:jc w:val="left"/>
            </w:pPr>
            <w:r>
              <w:rPr>
                <w:rFonts w:hint="eastAsia"/>
              </w:rPr>
              <w:t>皮肤腐蚀/刺激，类别2</w:t>
            </w:r>
          </w:p>
          <w:p w14:paraId="442D086F">
            <w:pPr>
              <w:pStyle w:val="19"/>
              <w:spacing w:beforeLines="0" w:afterLines="0"/>
              <w:jc w:val="left"/>
            </w:pPr>
            <w:r>
              <w:rPr>
                <w:rFonts w:hint="eastAsia"/>
              </w:rPr>
              <w:t>严重眼损伤/眼刺激，类别2</w:t>
            </w:r>
          </w:p>
          <w:p w14:paraId="18C68A2A">
            <w:pPr>
              <w:pStyle w:val="19"/>
              <w:spacing w:beforeLines="0" w:afterLines="0"/>
              <w:jc w:val="left"/>
            </w:pPr>
            <w:r>
              <w:rPr>
                <w:rFonts w:hint="eastAsia"/>
              </w:rPr>
              <w:t>特异性靶器官毒性-一次接触，类别3</w:t>
            </w:r>
          </w:p>
          <w:p w14:paraId="185A7C78">
            <w:pPr>
              <w:pStyle w:val="19"/>
              <w:spacing w:beforeLines="0" w:afterLines="0"/>
              <w:jc w:val="left"/>
            </w:pPr>
            <w:r>
              <w:rPr>
                <w:rFonts w:hint="eastAsia"/>
              </w:rPr>
              <w:t>（呼吸道刺激）</w:t>
            </w:r>
          </w:p>
          <w:p w14:paraId="3D4B2E0C">
            <w:pPr>
              <w:pStyle w:val="19"/>
              <w:spacing w:beforeLines="0" w:afterLines="0"/>
              <w:jc w:val="left"/>
            </w:pPr>
            <w:r>
              <w:rPr>
                <w:rFonts w:hint="eastAsia"/>
              </w:rPr>
              <w:t>危害水生环境-急性危害，类别1</w:t>
            </w:r>
          </w:p>
        </w:tc>
        <w:tc>
          <w:tcPr>
            <w:tcW w:w="996" w:type="pct"/>
            <w:vAlign w:val="center"/>
          </w:tcPr>
          <w:p w14:paraId="04DC2386">
            <w:pPr>
              <w:pStyle w:val="19"/>
              <w:spacing w:beforeLines="0" w:afterLines="0"/>
              <w:jc w:val="left"/>
            </w:pPr>
            <w:r>
              <w:rPr>
                <w:rFonts w:hint="eastAsia"/>
              </w:rPr>
              <w:t>剧毒，物理危险、健康危害、环境危害</w:t>
            </w:r>
          </w:p>
        </w:tc>
      </w:tr>
      <w:tr w14:paraId="5CDCA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269" w:type="pct"/>
            <w:vAlign w:val="center"/>
          </w:tcPr>
          <w:p w14:paraId="68C0D6A7">
            <w:pPr>
              <w:pStyle w:val="19"/>
              <w:spacing w:beforeLines="0" w:afterLines="0"/>
            </w:pPr>
            <w:r>
              <w:rPr>
                <w:rFonts w:hint="eastAsia"/>
              </w:rPr>
              <w:t>21</w:t>
            </w:r>
          </w:p>
        </w:tc>
        <w:tc>
          <w:tcPr>
            <w:tcW w:w="873" w:type="pct"/>
            <w:vAlign w:val="center"/>
          </w:tcPr>
          <w:p w14:paraId="53F57F67">
            <w:pPr>
              <w:pStyle w:val="19"/>
              <w:spacing w:beforeLines="0" w:afterLines="0"/>
            </w:pPr>
            <w:r>
              <w:rPr>
                <w:rFonts w:hint="eastAsia"/>
              </w:rPr>
              <w:t>液氩</w:t>
            </w:r>
          </w:p>
        </w:tc>
        <w:tc>
          <w:tcPr>
            <w:tcW w:w="681" w:type="pct"/>
            <w:vAlign w:val="center"/>
          </w:tcPr>
          <w:p w14:paraId="12C0AFD3">
            <w:pPr>
              <w:pStyle w:val="19"/>
              <w:spacing w:beforeLines="0" w:afterLines="0"/>
            </w:pPr>
            <w:r>
              <w:rPr>
                <w:rFonts w:hint="eastAsia"/>
              </w:rPr>
              <w:t>7440-37-1</w:t>
            </w:r>
          </w:p>
        </w:tc>
        <w:tc>
          <w:tcPr>
            <w:tcW w:w="2179" w:type="pct"/>
            <w:vAlign w:val="center"/>
          </w:tcPr>
          <w:p w14:paraId="79FAB6B2">
            <w:pPr>
              <w:pStyle w:val="19"/>
              <w:spacing w:beforeLines="0" w:afterLines="0"/>
              <w:jc w:val="left"/>
            </w:pPr>
            <w:r>
              <w:rPr>
                <w:rFonts w:hint="eastAsia"/>
              </w:rPr>
              <w:t>加压气体</w:t>
            </w:r>
          </w:p>
        </w:tc>
        <w:tc>
          <w:tcPr>
            <w:tcW w:w="996" w:type="pct"/>
            <w:vAlign w:val="center"/>
          </w:tcPr>
          <w:p w14:paraId="25758B7D">
            <w:pPr>
              <w:pStyle w:val="19"/>
              <w:spacing w:beforeLines="0" w:afterLines="0"/>
            </w:pPr>
            <w:r>
              <w:rPr>
                <w:rFonts w:hint="eastAsia"/>
              </w:rPr>
              <w:t>物理危险</w:t>
            </w:r>
          </w:p>
        </w:tc>
      </w:tr>
      <w:tr w14:paraId="57722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28D9AEBC">
            <w:pPr>
              <w:pStyle w:val="19"/>
              <w:spacing w:beforeLines="0" w:afterLines="0"/>
            </w:pPr>
            <w:r>
              <w:rPr>
                <w:rFonts w:hint="eastAsia"/>
              </w:rPr>
              <w:t>22</w:t>
            </w:r>
          </w:p>
        </w:tc>
        <w:tc>
          <w:tcPr>
            <w:tcW w:w="873" w:type="pct"/>
            <w:vAlign w:val="center"/>
          </w:tcPr>
          <w:p w14:paraId="1FEA31CA">
            <w:pPr>
              <w:pStyle w:val="19"/>
              <w:spacing w:beforeLines="0" w:afterLines="0"/>
            </w:pPr>
            <w:r>
              <w:rPr>
                <w:rFonts w:hint="eastAsia"/>
              </w:rPr>
              <w:t>液氮</w:t>
            </w:r>
          </w:p>
        </w:tc>
        <w:tc>
          <w:tcPr>
            <w:tcW w:w="681" w:type="pct"/>
            <w:vAlign w:val="center"/>
          </w:tcPr>
          <w:p w14:paraId="31A1E603">
            <w:pPr>
              <w:pStyle w:val="19"/>
              <w:spacing w:beforeLines="0" w:afterLines="0"/>
            </w:pPr>
            <w:r>
              <w:rPr>
                <w:rFonts w:hint="eastAsia"/>
              </w:rPr>
              <w:t>7727-37-9</w:t>
            </w:r>
          </w:p>
        </w:tc>
        <w:tc>
          <w:tcPr>
            <w:tcW w:w="2179" w:type="pct"/>
            <w:vAlign w:val="center"/>
          </w:tcPr>
          <w:p w14:paraId="7B7FD4EA">
            <w:pPr>
              <w:pStyle w:val="19"/>
              <w:spacing w:beforeLines="0" w:afterLines="0"/>
              <w:jc w:val="left"/>
            </w:pPr>
            <w:r>
              <w:rPr>
                <w:rFonts w:hint="eastAsia"/>
              </w:rPr>
              <w:t>加压气体</w:t>
            </w:r>
          </w:p>
        </w:tc>
        <w:tc>
          <w:tcPr>
            <w:tcW w:w="996" w:type="pct"/>
            <w:vAlign w:val="center"/>
          </w:tcPr>
          <w:p w14:paraId="53F58E3B">
            <w:pPr>
              <w:pStyle w:val="19"/>
              <w:spacing w:beforeLines="0" w:afterLines="0"/>
            </w:pPr>
            <w:r>
              <w:rPr>
                <w:rFonts w:hint="eastAsia"/>
              </w:rPr>
              <w:t>物理危险</w:t>
            </w:r>
          </w:p>
        </w:tc>
      </w:tr>
      <w:tr w14:paraId="1B996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269" w:type="pct"/>
            <w:vAlign w:val="center"/>
          </w:tcPr>
          <w:p w14:paraId="4B68EDFC">
            <w:pPr>
              <w:pStyle w:val="19"/>
              <w:spacing w:before="120" w:after="120"/>
            </w:pPr>
            <w:r>
              <w:rPr>
                <w:rFonts w:hint="eastAsia"/>
              </w:rPr>
              <w:t>23</w:t>
            </w:r>
          </w:p>
        </w:tc>
        <w:tc>
          <w:tcPr>
            <w:tcW w:w="873" w:type="pct"/>
            <w:vAlign w:val="center"/>
          </w:tcPr>
          <w:p w14:paraId="19019524">
            <w:pPr>
              <w:pStyle w:val="19"/>
              <w:spacing w:before="120" w:after="120"/>
            </w:pPr>
            <w:r>
              <w:rPr>
                <w:rFonts w:hint="eastAsia"/>
              </w:rPr>
              <w:t>液氧</w:t>
            </w:r>
          </w:p>
        </w:tc>
        <w:tc>
          <w:tcPr>
            <w:tcW w:w="681" w:type="pct"/>
            <w:vAlign w:val="center"/>
          </w:tcPr>
          <w:p w14:paraId="06A19E3C">
            <w:pPr>
              <w:pStyle w:val="19"/>
              <w:spacing w:before="120" w:after="120"/>
            </w:pPr>
            <w:r>
              <w:t>7782-44-7</w:t>
            </w:r>
          </w:p>
        </w:tc>
        <w:tc>
          <w:tcPr>
            <w:tcW w:w="2179" w:type="pct"/>
            <w:vAlign w:val="center"/>
          </w:tcPr>
          <w:p w14:paraId="3B814F64">
            <w:pPr>
              <w:pStyle w:val="19"/>
              <w:spacing w:beforeLines="0" w:afterLines="0"/>
              <w:jc w:val="left"/>
            </w:pPr>
            <w:r>
              <w:rPr>
                <w:rFonts w:hint="eastAsia"/>
              </w:rPr>
              <w:t>氧化性气体，类别1</w:t>
            </w:r>
          </w:p>
          <w:p w14:paraId="0F8DD912">
            <w:pPr>
              <w:pStyle w:val="19"/>
              <w:spacing w:beforeLines="0" w:afterLines="0"/>
              <w:jc w:val="left"/>
            </w:pPr>
            <w:r>
              <w:rPr>
                <w:rFonts w:hint="eastAsia"/>
              </w:rPr>
              <w:t>加压气体</w:t>
            </w:r>
          </w:p>
        </w:tc>
        <w:tc>
          <w:tcPr>
            <w:tcW w:w="996" w:type="pct"/>
            <w:vAlign w:val="center"/>
          </w:tcPr>
          <w:p w14:paraId="205FA841">
            <w:pPr>
              <w:pStyle w:val="19"/>
              <w:spacing w:beforeLines="0" w:afterLines="0"/>
            </w:pPr>
            <w:r>
              <w:rPr>
                <w:rFonts w:hint="eastAsia"/>
              </w:rPr>
              <w:t>物理危险</w:t>
            </w:r>
          </w:p>
        </w:tc>
      </w:tr>
      <w:tr w14:paraId="007D9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76C7E103">
            <w:pPr>
              <w:pStyle w:val="19"/>
              <w:spacing w:before="120" w:after="120"/>
            </w:pPr>
            <w:r>
              <w:rPr>
                <w:rFonts w:hint="eastAsia"/>
              </w:rPr>
              <w:t>24</w:t>
            </w:r>
          </w:p>
        </w:tc>
        <w:tc>
          <w:tcPr>
            <w:tcW w:w="873" w:type="pct"/>
            <w:vAlign w:val="center"/>
          </w:tcPr>
          <w:p w14:paraId="61DB3A2F">
            <w:pPr>
              <w:pStyle w:val="19"/>
              <w:spacing w:before="120" w:after="120"/>
            </w:pPr>
            <w:r>
              <w:rPr>
                <w:rFonts w:hint="eastAsia"/>
              </w:rPr>
              <w:t>液体工业萘</w:t>
            </w:r>
          </w:p>
        </w:tc>
        <w:tc>
          <w:tcPr>
            <w:tcW w:w="681" w:type="pct"/>
            <w:vAlign w:val="center"/>
          </w:tcPr>
          <w:p w14:paraId="2E08F87A">
            <w:pPr>
              <w:pStyle w:val="19"/>
              <w:spacing w:before="120" w:after="120"/>
            </w:pPr>
            <w:r>
              <w:rPr>
                <w:rFonts w:hint="eastAsia"/>
              </w:rPr>
              <w:t>91-20-3</w:t>
            </w:r>
          </w:p>
        </w:tc>
        <w:tc>
          <w:tcPr>
            <w:tcW w:w="2179" w:type="pct"/>
            <w:vAlign w:val="center"/>
          </w:tcPr>
          <w:p w14:paraId="3CDBAEE8">
            <w:pPr>
              <w:pStyle w:val="19"/>
              <w:spacing w:beforeLines="0" w:afterLines="0"/>
              <w:jc w:val="left"/>
            </w:pPr>
            <w:r>
              <w:rPr>
                <w:rFonts w:hint="eastAsia"/>
              </w:rPr>
              <w:t>易燃固体，类别2</w:t>
            </w:r>
          </w:p>
          <w:p w14:paraId="4207D1F3">
            <w:pPr>
              <w:pStyle w:val="19"/>
              <w:spacing w:beforeLines="0" w:afterLines="0"/>
              <w:jc w:val="left"/>
            </w:pPr>
            <w:r>
              <w:rPr>
                <w:rFonts w:hint="eastAsia"/>
              </w:rPr>
              <w:t>致癌性，类别2</w:t>
            </w:r>
          </w:p>
          <w:p w14:paraId="16D9C0DA">
            <w:pPr>
              <w:pStyle w:val="19"/>
              <w:spacing w:beforeLines="0" w:afterLines="0"/>
              <w:jc w:val="left"/>
            </w:pPr>
            <w:r>
              <w:rPr>
                <w:rFonts w:hint="eastAsia"/>
              </w:rPr>
              <w:t>危害水生环境-急性危害，类别1</w:t>
            </w:r>
          </w:p>
          <w:p w14:paraId="674AB80B">
            <w:pPr>
              <w:pStyle w:val="19"/>
              <w:spacing w:beforeLines="0" w:afterLines="0"/>
              <w:jc w:val="left"/>
            </w:pPr>
            <w:r>
              <w:rPr>
                <w:rFonts w:hint="eastAsia"/>
              </w:rPr>
              <w:t>危害水生环境-长期危害，类别1</w:t>
            </w:r>
          </w:p>
        </w:tc>
        <w:tc>
          <w:tcPr>
            <w:tcW w:w="996" w:type="pct"/>
            <w:vAlign w:val="center"/>
          </w:tcPr>
          <w:p w14:paraId="5EB2E7BF">
            <w:pPr>
              <w:pStyle w:val="19"/>
              <w:spacing w:beforeLines="0" w:afterLines="0"/>
            </w:pPr>
            <w:r>
              <w:rPr>
                <w:rFonts w:hint="eastAsia"/>
              </w:rPr>
              <w:t>物理危险、健康危害、环境危害</w:t>
            </w:r>
          </w:p>
        </w:tc>
      </w:tr>
      <w:tr w14:paraId="52846F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269" w:type="pct"/>
            <w:vAlign w:val="center"/>
          </w:tcPr>
          <w:p w14:paraId="0C196BD0">
            <w:pPr>
              <w:pStyle w:val="19"/>
              <w:spacing w:before="120" w:after="120"/>
            </w:pPr>
            <w:r>
              <w:rPr>
                <w:rFonts w:hint="eastAsia"/>
              </w:rPr>
              <w:t>25</w:t>
            </w:r>
          </w:p>
        </w:tc>
        <w:tc>
          <w:tcPr>
            <w:tcW w:w="873" w:type="pct"/>
            <w:vAlign w:val="center"/>
          </w:tcPr>
          <w:p w14:paraId="627558DF">
            <w:pPr>
              <w:pStyle w:val="19"/>
              <w:spacing w:before="120" w:after="120"/>
            </w:pPr>
            <w:r>
              <w:rPr>
                <w:rFonts w:hint="eastAsia"/>
              </w:rPr>
              <w:t>液体二氧化碳</w:t>
            </w:r>
          </w:p>
        </w:tc>
        <w:tc>
          <w:tcPr>
            <w:tcW w:w="681" w:type="pct"/>
            <w:vAlign w:val="center"/>
          </w:tcPr>
          <w:p w14:paraId="7F9BE9D2">
            <w:pPr>
              <w:pStyle w:val="19"/>
              <w:spacing w:before="120" w:after="120"/>
            </w:pPr>
            <w:r>
              <w:rPr>
                <w:rFonts w:hint="eastAsia"/>
              </w:rPr>
              <w:t>124-38-9</w:t>
            </w:r>
          </w:p>
        </w:tc>
        <w:tc>
          <w:tcPr>
            <w:tcW w:w="2179" w:type="pct"/>
            <w:vAlign w:val="center"/>
          </w:tcPr>
          <w:p w14:paraId="54ED61CE">
            <w:pPr>
              <w:pStyle w:val="19"/>
              <w:spacing w:beforeLines="0" w:afterLines="0"/>
              <w:jc w:val="left"/>
            </w:pPr>
            <w:r>
              <w:rPr>
                <w:rFonts w:hint="eastAsia"/>
              </w:rPr>
              <w:t>加压气体</w:t>
            </w:r>
          </w:p>
          <w:p w14:paraId="39DA5F5C">
            <w:pPr>
              <w:pStyle w:val="19"/>
              <w:spacing w:beforeLines="0" w:afterLines="0"/>
              <w:jc w:val="left"/>
            </w:pPr>
            <w:r>
              <w:rPr>
                <w:rFonts w:hint="eastAsia"/>
              </w:rPr>
              <w:t>特异性靶器官毒性-一次接触，类别3</w:t>
            </w:r>
          </w:p>
          <w:p w14:paraId="283CC5E1">
            <w:pPr>
              <w:pStyle w:val="19"/>
              <w:spacing w:beforeLines="0" w:afterLines="0"/>
              <w:jc w:val="left"/>
            </w:pPr>
            <w:r>
              <w:rPr>
                <w:rFonts w:hint="eastAsia"/>
              </w:rPr>
              <w:t>（麻醉效应）</w:t>
            </w:r>
          </w:p>
        </w:tc>
        <w:tc>
          <w:tcPr>
            <w:tcW w:w="996" w:type="pct"/>
            <w:vAlign w:val="center"/>
          </w:tcPr>
          <w:p w14:paraId="051FF1F3">
            <w:pPr>
              <w:pStyle w:val="19"/>
              <w:spacing w:beforeLines="0" w:afterLines="0"/>
            </w:pPr>
            <w:r>
              <w:rPr>
                <w:rFonts w:hint="eastAsia"/>
              </w:rPr>
              <w:t>物理危险、健康危害</w:t>
            </w:r>
          </w:p>
        </w:tc>
      </w:tr>
      <w:tr w14:paraId="449CB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5447640D">
            <w:pPr>
              <w:pStyle w:val="19"/>
              <w:spacing w:before="120" w:after="120"/>
            </w:pPr>
            <w:r>
              <w:rPr>
                <w:rFonts w:hint="eastAsia"/>
              </w:rPr>
              <w:t>26</w:t>
            </w:r>
          </w:p>
        </w:tc>
        <w:tc>
          <w:tcPr>
            <w:tcW w:w="873" w:type="pct"/>
            <w:vAlign w:val="center"/>
          </w:tcPr>
          <w:p w14:paraId="1628EE66">
            <w:pPr>
              <w:pStyle w:val="19"/>
              <w:spacing w:before="120" w:after="120"/>
            </w:pPr>
            <w:r>
              <w:t>水合肼</w:t>
            </w:r>
          </w:p>
        </w:tc>
        <w:tc>
          <w:tcPr>
            <w:tcW w:w="681" w:type="pct"/>
            <w:vAlign w:val="center"/>
          </w:tcPr>
          <w:p w14:paraId="52D6F862">
            <w:pPr>
              <w:pStyle w:val="19"/>
              <w:spacing w:before="120" w:after="120"/>
            </w:pPr>
            <w:r>
              <w:rPr>
                <w:rFonts w:hint="eastAsia"/>
              </w:rPr>
              <w:t>10217-52-4</w:t>
            </w:r>
          </w:p>
        </w:tc>
        <w:tc>
          <w:tcPr>
            <w:tcW w:w="2179" w:type="pct"/>
            <w:vAlign w:val="center"/>
          </w:tcPr>
          <w:p w14:paraId="6E280336">
            <w:pPr>
              <w:pStyle w:val="19"/>
              <w:spacing w:beforeLines="0" w:afterLines="0"/>
              <w:jc w:val="left"/>
            </w:pPr>
            <w:r>
              <w:rPr>
                <w:rFonts w:hint="eastAsia"/>
              </w:rPr>
              <w:t>急性毒性-经口，类别3*</w:t>
            </w:r>
          </w:p>
          <w:p w14:paraId="002EACB0">
            <w:pPr>
              <w:pStyle w:val="19"/>
              <w:spacing w:beforeLines="0" w:afterLines="0"/>
              <w:jc w:val="left"/>
            </w:pPr>
            <w:r>
              <w:rPr>
                <w:rFonts w:hint="eastAsia"/>
              </w:rPr>
              <w:t>急性毒性-经皮，类别3*</w:t>
            </w:r>
          </w:p>
          <w:p w14:paraId="10EFAC85">
            <w:pPr>
              <w:pStyle w:val="19"/>
              <w:spacing w:beforeLines="0" w:afterLines="0"/>
              <w:jc w:val="left"/>
            </w:pPr>
            <w:r>
              <w:rPr>
                <w:rFonts w:hint="eastAsia"/>
              </w:rPr>
              <w:t>急性毒性-吸入，类别3*</w:t>
            </w:r>
          </w:p>
          <w:p w14:paraId="7C8E422E">
            <w:pPr>
              <w:pStyle w:val="19"/>
              <w:spacing w:beforeLines="0" w:afterLines="0"/>
              <w:jc w:val="left"/>
            </w:pPr>
            <w:r>
              <w:rPr>
                <w:rFonts w:hint="eastAsia"/>
              </w:rPr>
              <w:t>皮肤腐蚀/刺激，类别1B</w:t>
            </w:r>
          </w:p>
          <w:p w14:paraId="254E97D8">
            <w:pPr>
              <w:pStyle w:val="19"/>
              <w:spacing w:beforeLines="0" w:afterLines="0"/>
              <w:jc w:val="left"/>
            </w:pPr>
            <w:r>
              <w:rPr>
                <w:rFonts w:hint="eastAsia"/>
              </w:rPr>
              <w:t>严重眼损伤/眼刺激，类别1</w:t>
            </w:r>
          </w:p>
          <w:p w14:paraId="65EC7FC0">
            <w:pPr>
              <w:pStyle w:val="19"/>
              <w:spacing w:beforeLines="0" w:afterLines="0"/>
              <w:jc w:val="left"/>
            </w:pPr>
            <w:r>
              <w:rPr>
                <w:rFonts w:hint="eastAsia"/>
              </w:rPr>
              <w:t>皮肤致敏物，类别1</w:t>
            </w:r>
          </w:p>
          <w:p w14:paraId="096DE8D0">
            <w:pPr>
              <w:pStyle w:val="19"/>
              <w:spacing w:beforeLines="0" w:afterLines="0"/>
              <w:jc w:val="left"/>
            </w:pPr>
            <w:r>
              <w:rPr>
                <w:rFonts w:hint="eastAsia"/>
              </w:rPr>
              <w:t>致癌性，类别2</w:t>
            </w:r>
          </w:p>
          <w:p w14:paraId="3A058948">
            <w:pPr>
              <w:pStyle w:val="19"/>
              <w:spacing w:beforeLines="0" w:afterLines="0"/>
              <w:jc w:val="left"/>
            </w:pPr>
            <w:r>
              <w:rPr>
                <w:rFonts w:hint="eastAsia"/>
              </w:rPr>
              <w:t>危害水生环境-急性危害，类别1</w:t>
            </w:r>
          </w:p>
          <w:p w14:paraId="19C58D74">
            <w:pPr>
              <w:pStyle w:val="19"/>
              <w:spacing w:beforeLines="0" w:afterLines="0"/>
              <w:jc w:val="left"/>
            </w:pPr>
            <w:r>
              <w:rPr>
                <w:rFonts w:hint="eastAsia"/>
              </w:rPr>
              <w:t>危害水生环境-长期危害，类别1</w:t>
            </w:r>
          </w:p>
        </w:tc>
        <w:tc>
          <w:tcPr>
            <w:tcW w:w="996" w:type="pct"/>
            <w:vAlign w:val="center"/>
          </w:tcPr>
          <w:p w14:paraId="3C038021">
            <w:pPr>
              <w:pStyle w:val="19"/>
              <w:spacing w:beforeLines="0" w:afterLines="0"/>
            </w:pPr>
            <w:r>
              <w:rPr>
                <w:rFonts w:hint="eastAsia"/>
              </w:rPr>
              <w:t>健康危害、环境危害</w:t>
            </w:r>
          </w:p>
        </w:tc>
      </w:tr>
      <w:tr w14:paraId="4116CEFF">
        <w:tblPrEx>
          <w:tblCellMar>
            <w:top w:w="0" w:type="dxa"/>
            <w:left w:w="108" w:type="dxa"/>
            <w:bottom w:w="0" w:type="dxa"/>
            <w:right w:w="108" w:type="dxa"/>
          </w:tblCellMar>
        </w:tblPrEx>
        <w:trPr>
          <w:trHeight w:val="500" w:hRule="atLeast"/>
        </w:trPr>
        <w:tc>
          <w:tcPr>
            <w:tcW w:w="269" w:type="pct"/>
            <w:vAlign w:val="center"/>
          </w:tcPr>
          <w:p w14:paraId="6CBF5204">
            <w:pPr>
              <w:pStyle w:val="19"/>
              <w:spacing w:beforeLines="0" w:afterLines="0"/>
            </w:pPr>
            <w:r>
              <w:rPr>
                <w:rFonts w:hint="eastAsia"/>
              </w:rPr>
              <w:t>27</w:t>
            </w:r>
          </w:p>
        </w:tc>
        <w:tc>
          <w:tcPr>
            <w:tcW w:w="873" w:type="pct"/>
            <w:vAlign w:val="center"/>
          </w:tcPr>
          <w:p w14:paraId="14C3DCEC">
            <w:pPr>
              <w:pStyle w:val="19"/>
              <w:spacing w:beforeLines="0" w:afterLines="0"/>
            </w:pPr>
            <w:r>
              <w:rPr>
                <w:rFonts w:hint="eastAsia"/>
              </w:rPr>
              <w:t>电石</w:t>
            </w:r>
          </w:p>
        </w:tc>
        <w:tc>
          <w:tcPr>
            <w:tcW w:w="681" w:type="pct"/>
            <w:vAlign w:val="center"/>
          </w:tcPr>
          <w:p w14:paraId="7EB2DFC3">
            <w:pPr>
              <w:pStyle w:val="19"/>
              <w:spacing w:beforeLines="0" w:afterLines="0"/>
            </w:pPr>
            <w:r>
              <w:rPr>
                <w:rFonts w:hint="eastAsia"/>
              </w:rPr>
              <w:t>75-20-7</w:t>
            </w:r>
          </w:p>
        </w:tc>
        <w:tc>
          <w:tcPr>
            <w:tcW w:w="2179" w:type="pct"/>
            <w:vAlign w:val="center"/>
          </w:tcPr>
          <w:p w14:paraId="208C0C5F">
            <w:pPr>
              <w:pStyle w:val="19"/>
              <w:spacing w:beforeLines="0" w:afterLines="0"/>
            </w:pPr>
            <w:r>
              <w:rPr>
                <w:rFonts w:hint="eastAsia"/>
              </w:rPr>
              <w:t>遇水放出易燃气体的物质和混合物，类别1</w:t>
            </w:r>
          </w:p>
        </w:tc>
        <w:tc>
          <w:tcPr>
            <w:tcW w:w="996" w:type="pct"/>
            <w:vAlign w:val="center"/>
          </w:tcPr>
          <w:p w14:paraId="29BAA650">
            <w:pPr>
              <w:pStyle w:val="19"/>
              <w:spacing w:beforeLines="0" w:afterLines="0"/>
            </w:pPr>
            <w:r>
              <w:rPr>
                <w:rFonts w:hint="eastAsia"/>
              </w:rPr>
              <w:t>物理危险</w:t>
            </w:r>
          </w:p>
        </w:tc>
      </w:tr>
      <w:tr w14:paraId="6B7C3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14:paraId="589A112B">
            <w:pPr>
              <w:pStyle w:val="19"/>
              <w:spacing w:before="120" w:after="120"/>
            </w:pPr>
            <w:r>
              <w:rPr>
                <w:rFonts w:hint="eastAsia"/>
              </w:rPr>
              <w:t>28</w:t>
            </w:r>
          </w:p>
        </w:tc>
        <w:tc>
          <w:tcPr>
            <w:tcW w:w="873" w:type="pct"/>
            <w:vAlign w:val="center"/>
          </w:tcPr>
          <w:p w14:paraId="7B51B08B">
            <w:pPr>
              <w:pStyle w:val="19"/>
              <w:spacing w:before="120" w:after="120"/>
            </w:pPr>
            <w:r>
              <w:rPr>
                <w:rFonts w:hint="eastAsia"/>
              </w:rPr>
              <w:t>焦油</w:t>
            </w:r>
          </w:p>
        </w:tc>
        <w:tc>
          <w:tcPr>
            <w:tcW w:w="681" w:type="pct"/>
            <w:vAlign w:val="center"/>
          </w:tcPr>
          <w:p w14:paraId="25CD62FF">
            <w:pPr>
              <w:pStyle w:val="19"/>
              <w:spacing w:before="120" w:after="120"/>
            </w:pPr>
            <w:r>
              <w:rPr>
                <w:rFonts w:hint="eastAsia"/>
              </w:rPr>
              <w:t>8007-45-2</w:t>
            </w:r>
          </w:p>
        </w:tc>
        <w:tc>
          <w:tcPr>
            <w:tcW w:w="2179" w:type="pct"/>
            <w:vAlign w:val="center"/>
          </w:tcPr>
          <w:p w14:paraId="29D1F46D">
            <w:pPr>
              <w:pStyle w:val="19"/>
              <w:spacing w:beforeLines="0" w:afterLines="0"/>
              <w:jc w:val="left"/>
            </w:pPr>
            <w:r>
              <w:rPr>
                <w:rFonts w:hint="eastAsia"/>
              </w:rPr>
              <w:t>易燃液体，类别2</w:t>
            </w:r>
          </w:p>
          <w:p w14:paraId="0B24674C">
            <w:pPr>
              <w:pStyle w:val="19"/>
              <w:spacing w:beforeLines="0" w:afterLines="0"/>
              <w:jc w:val="left"/>
            </w:pPr>
            <w:r>
              <w:rPr>
                <w:rFonts w:hint="eastAsia"/>
              </w:rPr>
              <w:t>致癌性，类别1A</w:t>
            </w:r>
          </w:p>
          <w:p w14:paraId="62E6903C">
            <w:pPr>
              <w:pStyle w:val="19"/>
              <w:spacing w:beforeLines="0" w:afterLines="0"/>
              <w:jc w:val="left"/>
            </w:pPr>
            <w:r>
              <w:rPr>
                <w:rFonts w:hint="eastAsia"/>
              </w:rPr>
              <w:t>危害水生环境-急性危害，类别2</w:t>
            </w:r>
          </w:p>
          <w:p w14:paraId="72C4489A">
            <w:pPr>
              <w:pStyle w:val="19"/>
              <w:spacing w:beforeLines="0" w:afterLines="0"/>
              <w:jc w:val="left"/>
            </w:pPr>
            <w:r>
              <w:rPr>
                <w:rFonts w:hint="eastAsia"/>
              </w:rPr>
              <w:t>危害水生环境-长期危害，类别2</w:t>
            </w:r>
          </w:p>
        </w:tc>
        <w:tc>
          <w:tcPr>
            <w:tcW w:w="996" w:type="pct"/>
            <w:vAlign w:val="center"/>
          </w:tcPr>
          <w:p w14:paraId="7953CF40">
            <w:pPr>
              <w:pStyle w:val="19"/>
              <w:spacing w:beforeLines="0" w:afterLines="0"/>
            </w:pPr>
            <w:r>
              <w:rPr>
                <w:rFonts w:hint="eastAsia"/>
              </w:rPr>
              <w:t>物理危险、健康危害、环境危害</w:t>
            </w:r>
          </w:p>
        </w:tc>
      </w:tr>
      <w:tr w14:paraId="2712E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269" w:type="pct"/>
            <w:vAlign w:val="center"/>
          </w:tcPr>
          <w:p w14:paraId="3A87EE57">
            <w:pPr>
              <w:pStyle w:val="19"/>
              <w:spacing w:before="120" w:after="120"/>
            </w:pPr>
            <w:r>
              <w:rPr>
                <w:rFonts w:hint="eastAsia"/>
              </w:rPr>
              <w:t>29</w:t>
            </w:r>
          </w:p>
        </w:tc>
        <w:tc>
          <w:tcPr>
            <w:tcW w:w="873" w:type="pct"/>
            <w:vAlign w:val="center"/>
          </w:tcPr>
          <w:p w14:paraId="3038B82A">
            <w:pPr>
              <w:pStyle w:val="19"/>
              <w:spacing w:before="120" w:after="120"/>
            </w:pPr>
            <w:r>
              <w:t>苯胺</w:t>
            </w:r>
          </w:p>
        </w:tc>
        <w:tc>
          <w:tcPr>
            <w:tcW w:w="681" w:type="pct"/>
            <w:vAlign w:val="center"/>
          </w:tcPr>
          <w:p w14:paraId="75F2C804">
            <w:pPr>
              <w:pStyle w:val="19"/>
              <w:spacing w:before="120" w:after="120"/>
            </w:pPr>
            <w:r>
              <w:rPr>
                <w:rFonts w:hint="eastAsia"/>
              </w:rPr>
              <w:t>62-53-3</w:t>
            </w:r>
          </w:p>
        </w:tc>
        <w:tc>
          <w:tcPr>
            <w:tcW w:w="2179" w:type="pct"/>
            <w:vAlign w:val="center"/>
          </w:tcPr>
          <w:p w14:paraId="462817EF">
            <w:pPr>
              <w:pStyle w:val="19"/>
              <w:spacing w:beforeLines="0" w:afterLines="0"/>
              <w:jc w:val="left"/>
            </w:pPr>
            <w:r>
              <w:rPr>
                <w:rFonts w:hint="eastAsia"/>
              </w:rPr>
              <w:t>急性毒性-经口，类别3*</w:t>
            </w:r>
          </w:p>
          <w:p w14:paraId="26B4DF08">
            <w:pPr>
              <w:pStyle w:val="19"/>
              <w:spacing w:beforeLines="0" w:afterLines="0"/>
              <w:jc w:val="left"/>
            </w:pPr>
            <w:r>
              <w:rPr>
                <w:rFonts w:hint="eastAsia"/>
              </w:rPr>
              <w:t>急性毒性-经皮，类别3*</w:t>
            </w:r>
          </w:p>
          <w:p w14:paraId="1BE8DA21">
            <w:pPr>
              <w:pStyle w:val="19"/>
              <w:spacing w:beforeLines="0" w:afterLines="0"/>
              <w:jc w:val="left"/>
            </w:pPr>
            <w:r>
              <w:rPr>
                <w:rFonts w:hint="eastAsia"/>
              </w:rPr>
              <w:t>急性毒性-吸入，类别3*</w:t>
            </w:r>
          </w:p>
          <w:p w14:paraId="3A2129B6">
            <w:pPr>
              <w:pStyle w:val="19"/>
              <w:spacing w:beforeLines="0" w:afterLines="0"/>
              <w:jc w:val="left"/>
            </w:pPr>
            <w:r>
              <w:rPr>
                <w:rFonts w:hint="eastAsia"/>
              </w:rPr>
              <w:t>严重眼损伤/眼刺激，类别1</w:t>
            </w:r>
          </w:p>
          <w:p w14:paraId="34242D76">
            <w:pPr>
              <w:pStyle w:val="19"/>
              <w:spacing w:beforeLines="0" w:afterLines="0"/>
              <w:jc w:val="left"/>
            </w:pPr>
            <w:r>
              <w:rPr>
                <w:rFonts w:hint="eastAsia"/>
              </w:rPr>
              <w:t>皮肤致敏物，类别1</w:t>
            </w:r>
          </w:p>
          <w:p w14:paraId="353994F5">
            <w:pPr>
              <w:pStyle w:val="19"/>
              <w:spacing w:beforeLines="0" w:afterLines="0"/>
              <w:jc w:val="left"/>
            </w:pPr>
            <w:r>
              <w:rPr>
                <w:rFonts w:hint="eastAsia"/>
              </w:rPr>
              <w:t>生殖细胞致突变性，类别2</w:t>
            </w:r>
          </w:p>
          <w:p w14:paraId="0D308852">
            <w:pPr>
              <w:pStyle w:val="19"/>
              <w:spacing w:beforeLines="0" w:afterLines="0"/>
              <w:jc w:val="left"/>
            </w:pPr>
            <w:r>
              <w:rPr>
                <w:rFonts w:hint="eastAsia"/>
              </w:rPr>
              <w:t>特异性靶器官毒性-反复接触，类别1</w:t>
            </w:r>
          </w:p>
          <w:p w14:paraId="613AD0C7">
            <w:pPr>
              <w:pStyle w:val="19"/>
              <w:spacing w:beforeLines="0" w:afterLines="0"/>
              <w:jc w:val="left"/>
            </w:pPr>
            <w:r>
              <w:rPr>
                <w:rFonts w:hint="eastAsia"/>
              </w:rPr>
              <w:t>危害水生环境-急性危害，类别1</w:t>
            </w:r>
          </w:p>
          <w:p w14:paraId="31A95FEE">
            <w:pPr>
              <w:pStyle w:val="19"/>
              <w:spacing w:beforeLines="0" w:afterLines="0"/>
              <w:jc w:val="left"/>
            </w:pPr>
            <w:r>
              <w:rPr>
                <w:rFonts w:hint="eastAsia"/>
              </w:rPr>
              <w:t>危害水生环境-长期危害，类别2</w:t>
            </w:r>
          </w:p>
        </w:tc>
        <w:tc>
          <w:tcPr>
            <w:tcW w:w="996" w:type="pct"/>
            <w:vAlign w:val="center"/>
          </w:tcPr>
          <w:p w14:paraId="722927DB">
            <w:pPr>
              <w:pStyle w:val="19"/>
              <w:spacing w:beforeLines="0" w:afterLines="0"/>
            </w:pPr>
            <w:r>
              <w:rPr>
                <w:rFonts w:hint="eastAsia"/>
              </w:rPr>
              <w:t>健康危害、环境危害</w:t>
            </w:r>
          </w:p>
        </w:tc>
      </w:tr>
    </w:tbl>
    <w:p w14:paraId="03972A95">
      <w:pPr>
        <w:ind w:firstLine="480"/>
        <w:sectPr>
          <w:footerReference r:id="rId14" w:type="default"/>
          <w:pgSz w:w="11906" w:h="16838"/>
          <w:pgMar w:top="1701" w:right="1531" w:bottom="1701" w:left="1531" w:header="851" w:footer="851" w:gutter="0"/>
          <w:pgNumType w:fmt="numberInDash" w:start="1"/>
          <w:cols w:space="720" w:num="1"/>
          <w:docGrid w:linePitch="312" w:charSpace="0"/>
        </w:sectPr>
      </w:pPr>
      <w:r>
        <w:rPr>
          <w:rFonts w:hint="eastAsia"/>
        </w:rPr>
        <w:t>根据《鄂托克经济开发区蒙西产业园危险化学品运输车辆专用停车场项目可行性研究报告》，</w:t>
      </w:r>
      <w:r>
        <w:t>重载车辆停放在重载停车区</w:t>
      </w:r>
      <w:r>
        <w:rPr>
          <w:rFonts w:hint="eastAsia"/>
        </w:rPr>
        <w:t>，</w:t>
      </w:r>
      <w:r>
        <w:t>危化品运输车辆最大吨位为30吨</w:t>
      </w:r>
      <w:r>
        <w:rPr>
          <w:rFonts w:hint="eastAsia"/>
        </w:rPr>
        <w:t>。根据《建设项目环境风险评价技术导则》（HJ169）附录B、附录C，日常重载区车辆满负荷停放时，危险化学品存储量超过临界量，因此本次开展环境风险专题评价工作。</w:t>
      </w:r>
    </w:p>
    <w:p w14:paraId="5ADCD885">
      <w:pPr>
        <w:pStyle w:val="2"/>
        <w:numPr>
          <w:ilvl w:val="0"/>
          <w:numId w:val="14"/>
        </w:numPr>
        <w:jc w:val="left"/>
      </w:pPr>
      <w:bookmarkStart w:id="169" w:name="_Toc629"/>
      <w:bookmarkStart w:id="170" w:name="_Toc19797"/>
      <w:r>
        <w:rPr>
          <w:rFonts w:hint="eastAsia"/>
        </w:rPr>
        <w:t>分析判定相关情况</w:t>
      </w:r>
      <w:bookmarkEnd w:id="169"/>
      <w:bookmarkEnd w:id="170"/>
    </w:p>
    <w:p w14:paraId="756956D0">
      <w:pPr>
        <w:pStyle w:val="3"/>
        <w:ind w:firstLine="480"/>
      </w:pPr>
      <w:bookmarkStart w:id="171" w:name="_Toc31189"/>
      <w:bookmarkStart w:id="172" w:name="_Toc30872"/>
      <w:r>
        <w:rPr>
          <w:rFonts w:hint="eastAsia"/>
        </w:rPr>
        <w:t>3.1危险物质数量和分布情况</w:t>
      </w:r>
      <w:bookmarkEnd w:id="171"/>
      <w:bookmarkEnd w:id="172"/>
    </w:p>
    <w:p w14:paraId="12868139">
      <w:pPr>
        <w:ind w:firstLine="480"/>
      </w:pPr>
      <w:r>
        <w:rPr>
          <w:rFonts w:hint="eastAsia"/>
        </w:rPr>
        <w:t>本项目为</w:t>
      </w:r>
      <w:r>
        <w:rPr>
          <w:rFonts w:hint="eastAsia"/>
          <w:szCs w:val="21"/>
        </w:rPr>
        <w:t>鄂托克经济开发区蒙西产业园危险化学品运输车辆专用停车场项目，</w:t>
      </w:r>
      <w:r>
        <w:rPr>
          <w:rFonts w:hint="eastAsia"/>
        </w:rPr>
        <w:t>可能发生的环境风险事故为运输车辆危险化学品泄漏、火灾、爆炸，主要风险单元为停车区。根据《建设项目环境风险评价技术导则》（</w:t>
      </w:r>
      <w:r>
        <w:t>HJ169-2018</w:t>
      </w:r>
      <w:r>
        <w:rPr>
          <w:rFonts w:hint="eastAsia"/>
        </w:rPr>
        <w:t>）附录</w:t>
      </w:r>
      <w:r>
        <w:t>B</w:t>
      </w:r>
      <w:r>
        <w:rPr>
          <w:rFonts w:hint="eastAsia"/>
        </w:rPr>
        <w:t>中重点关注的危险物质及临界量表中涉及的物质，</w:t>
      </w:r>
      <w:r>
        <w:t>危化品运输车辆最大吨位为30吨</w:t>
      </w:r>
      <w:r>
        <w:rPr>
          <w:rFonts w:hint="eastAsia"/>
        </w:rPr>
        <w:t>，本次最大储存量按30t进行计算，同时储存车位分区停放，本次按同组车位最不利情况下计算</w:t>
      </w:r>
      <w:r>
        <w:t>Q</w:t>
      </w:r>
      <w:r>
        <w:rPr>
          <w:rFonts w:hint="eastAsia"/>
        </w:rPr>
        <w:t>值，停车区内满载车载化学品可能涉及物料情况见下表。</w:t>
      </w:r>
    </w:p>
    <w:p w14:paraId="66FEFAFA">
      <w:pPr>
        <w:pStyle w:val="19"/>
        <w:spacing w:before="120" w:after="120"/>
      </w:pPr>
      <w:r>
        <w:rPr>
          <w:rFonts w:hint="eastAsia"/>
          <w:b/>
          <w:bCs/>
        </w:rPr>
        <w:t>表3.1-1  危险物质数量和分布情况一览表</w:t>
      </w:r>
    </w:p>
    <w:tbl>
      <w:tblPr>
        <w:tblStyle w:val="15"/>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21"/>
        <w:gridCol w:w="1592"/>
        <w:gridCol w:w="1229"/>
        <w:gridCol w:w="832"/>
        <w:gridCol w:w="1338"/>
        <w:gridCol w:w="1693"/>
        <w:gridCol w:w="1455"/>
      </w:tblGrid>
      <w:tr w14:paraId="76BA38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1386" w:type="pct"/>
            <w:gridSpan w:val="2"/>
            <w:tcBorders>
              <w:tl2br w:val="nil"/>
              <w:tr2bl w:val="nil"/>
            </w:tcBorders>
            <w:vAlign w:val="center"/>
          </w:tcPr>
          <w:p w14:paraId="0FA00B74">
            <w:pPr>
              <w:pStyle w:val="19"/>
              <w:spacing w:before="120" w:after="120"/>
            </w:pPr>
            <w:r>
              <w:rPr>
                <w:rFonts w:hint="eastAsia"/>
              </w:rPr>
              <w:t>储存物料</w:t>
            </w:r>
          </w:p>
        </w:tc>
        <w:tc>
          <w:tcPr>
            <w:tcW w:w="678" w:type="pct"/>
            <w:tcBorders>
              <w:tl2br w:val="nil"/>
              <w:tr2bl w:val="nil"/>
            </w:tcBorders>
            <w:vAlign w:val="center"/>
          </w:tcPr>
          <w:p w14:paraId="7AEC17B1">
            <w:pPr>
              <w:pStyle w:val="19"/>
              <w:spacing w:before="120" w:after="120"/>
            </w:pPr>
            <w:r>
              <w:rPr>
                <w:rFonts w:hint="eastAsia"/>
              </w:rPr>
              <w:t>储存车位</w:t>
            </w:r>
          </w:p>
        </w:tc>
        <w:tc>
          <w:tcPr>
            <w:tcW w:w="459" w:type="pct"/>
            <w:tcBorders>
              <w:tl2br w:val="nil"/>
              <w:tr2bl w:val="nil"/>
            </w:tcBorders>
            <w:vAlign w:val="center"/>
          </w:tcPr>
          <w:p w14:paraId="68AD886E">
            <w:pPr>
              <w:pStyle w:val="19"/>
              <w:spacing w:before="120" w:after="120"/>
            </w:pPr>
            <w:r>
              <w:rPr>
                <w:rFonts w:hint="eastAsia"/>
              </w:rPr>
              <w:t>形态</w:t>
            </w:r>
          </w:p>
        </w:tc>
        <w:tc>
          <w:tcPr>
            <w:tcW w:w="738" w:type="pct"/>
            <w:tcBorders>
              <w:tl2br w:val="nil"/>
              <w:tr2bl w:val="nil"/>
            </w:tcBorders>
            <w:vAlign w:val="center"/>
          </w:tcPr>
          <w:p w14:paraId="11CDEC41">
            <w:pPr>
              <w:pStyle w:val="19"/>
              <w:spacing w:before="120" w:after="120"/>
            </w:pPr>
            <w:r>
              <w:rPr>
                <w:rFonts w:hint="eastAsia"/>
              </w:rPr>
              <w:t>运输方式</w:t>
            </w:r>
          </w:p>
        </w:tc>
        <w:tc>
          <w:tcPr>
            <w:tcW w:w="934" w:type="pct"/>
            <w:tcBorders>
              <w:tl2br w:val="nil"/>
              <w:tr2bl w:val="nil"/>
            </w:tcBorders>
            <w:vAlign w:val="center"/>
          </w:tcPr>
          <w:p w14:paraId="199941FC">
            <w:pPr>
              <w:pStyle w:val="19"/>
              <w:spacing w:before="120" w:after="120"/>
            </w:pPr>
            <w:r>
              <w:rPr>
                <w:rFonts w:hint="eastAsia"/>
              </w:rPr>
              <w:t>最大储存量（</w:t>
            </w:r>
            <w:r>
              <w:t>t</w:t>
            </w:r>
            <w:r>
              <w:rPr>
                <w:rFonts w:hint="eastAsia"/>
              </w:rPr>
              <w:t>）</w:t>
            </w:r>
          </w:p>
        </w:tc>
        <w:tc>
          <w:tcPr>
            <w:tcW w:w="802" w:type="pct"/>
            <w:tcBorders>
              <w:tl2br w:val="nil"/>
              <w:tr2bl w:val="nil"/>
            </w:tcBorders>
            <w:vAlign w:val="center"/>
          </w:tcPr>
          <w:p w14:paraId="18569174">
            <w:pPr>
              <w:pStyle w:val="19"/>
              <w:spacing w:before="120" w:after="120"/>
            </w:pPr>
            <w:r>
              <w:rPr>
                <w:rFonts w:hint="eastAsia"/>
              </w:rPr>
              <w:t>CAS号</w:t>
            </w:r>
          </w:p>
        </w:tc>
      </w:tr>
      <w:tr w14:paraId="1FE88D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restart"/>
            <w:tcBorders>
              <w:tl2br w:val="nil"/>
              <w:tr2bl w:val="nil"/>
            </w:tcBorders>
            <w:vAlign w:val="center"/>
          </w:tcPr>
          <w:p w14:paraId="029FC0F8">
            <w:pPr>
              <w:pStyle w:val="19"/>
              <w:spacing w:before="120" w:after="120"/>
            </w:pPr>
            <w:r>
              <w:rPr>
                <w:rFonts w:hint="eastAsia"/>
              </w:rPr>
              <w:t>环境危害</w:t>
            </w:r>
          </w:p>
        </w:tc>
        <w:tc>
          <w:tcPr>
            <w:tcW w:w="878" w:type="pct"/>
            <w:tcBorders>
              <w:tl2br w:val="nil"/>
              <w:tr2bl w:val="nil"/>
            </w:tcBorders>
            <w:vAlign w:val="center"/>
          </w:tcPr>
          <w:p w14:paraId="40DF7403">
            <w:pPr>
              <w:pStyle w:val="19"/>
              <w:spacing w:before="120" w:after="120"/>
            </w:pPr>
            <w:r>
              <w:rPr>
                <w:rFonts w:hint="eastAsia"/>
              </w:rPr>
              <w:t>氨水</w:t>
            </w:r>
          </w:p>
        </w:tc>
        <w:tc>
          <w:tcPr>
            <w:tcW w:w="678" w:type="pct"/>
            <w:vMerge w:val="restart"/>
            <w:tcBorders>
              <w:tl2br w:val="nil"/>
              <w:tr2bl w:val="nil"/>
            </w:tcBorders>
            <w:vAlign w:val="center"/>
          </w:tcPr>
          <w:p w14:paraId="434669C6">
            <w:pPr>
              <w:pStyle w:val="19"/>
              <w:spacing w:before="120" w:after="120"/>
            </w:pPr>
            <w:r>
              <w:rPr>
                <w:rFonts w:hint="eastAsia"/>
              </w:rPr>
              <w:t>1个车位</w:t>
            </w:r>
          </w:p>
        </w:tc>
        <w:tc>
          <w:tcPr>
            <w:tcW w:w="459" w:type="pct"/>
            <w:tcBorders>
              <w:tl2br w:val="nil"/>
              <w:tr2bl w:val="nil"/>
            </w:tcBorders>
            <w:vAlign w:val="center"/>
          </w:tcPr>
          <w:p w14:paraId="68CD16DA">
            <w:pPr>
              <w:pStyle w:val="19"/>
              <w:spacing w:before="120" w:after="120"/>
            </w:pPr>
            <w:r>
              <w:rPr>
                <w:rFonts w:hint="eastAsia"/>
              </w:rPr>
              <w:t>液体</w:t>
            </w:r>
          </w:p>
        </w:tc>
        <w:tc>
          <w:tcPr>
            <w:tcW w:w="738" w:type="pct"/>
            <w:tcBorders>
              <w:tl2br w:val="nil"/>
              <w:tr2bl w:val="nil"/>
            </w:tcBorders>
            <w:vAlign w:val="center"/>
          </w:tcPr>
          <w:p w14:paraId="5C308D79">
            <w:pPr>
              <w:pStyle w:val="19"/>
              <w:spacing w:before="120" w:after="120"/>
            </w:pPr>
            <w:r>
              <w:rPr>
                <w:rFonts w:hint="eastAsia"/>
              </w:rPr>
              <w:t>罐装</w:t>
            </w:r>
          </w:p>
        </w:tc>
        <w:tc>
          <w:tcPr>
            <w:tcW w:w="934" w:type="pct"/>
            <w:tcBorders>
              <w:tl2br w:val="nil"/>
              <w:tr2bl w:val="nil"/>
            </w:tcBorders>
            <w:vAlign w:val="center"/>
          </w:tcPr>
          <w:p w14:paraId="2DA3DEAD">
            <w:pPr>
              <w:pStyle w:val="19"/>
              <w:spacing w:before="120" w:after="120"/>
            </w:pPr>
            <w:r>
              <w:rPr>
                <w:rFonts w:hint="eastAsia"/>
              </w:rPr>
              <w:t>30</w:t>
            </w:r>
          </w:p>
        </w:tc>
        <w:tc>
          <w:tcPr>
            <w:tcW w:w="802" w:type="pct"/>
            <w:tcBorders>
              <w:tl2br w:val="nil"/>
              <w:tr2bl w:val="nil"/>
            </w:tcBorders>
            <w:vAlign w:val="center"/>
          </w:tcPr>
          <w:p w14:paraId="02CD28B4">
            <w:pPr>
              <w:pStyle w:val="19"/>
              <w:spacing w:before="120" w:after="120"/>
            </w:pPr>
            <w:r>
              <w:rPr>
                <w:rFonts w:hint="eastAsia"/>
              </w:rPr>
              <w:t>1336-21-6</w:t>
            </w:r>
          </w:p>
        </w:tc>
      </w:tr>
      <w:tr w14:paraId="4E2929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5BC78643">
            <w:pPr>
              <w:pStyle w:val="19"/>
              <w:spacing w:before="120" w:after="120"/>
            </w:pPr>
          </w:p>
        </w:tc>
        <w:tc>
          <w:tcPr>
            <w:tcW w:w="878" w:type="pct"/>
            <w:tcBorders>
              <w:tl2br w:val="nil"/>
              <w:tr2bl w:val="nil"/>
            </w:tcBorders>
            <w:vAlign w:val="center"/>
          </w:tcPr>
          <w:p w14:paraId="096BFF38">
            <w:pPr>
              <w:pStyle w:val="19"/>
              <w:spacing w:before="120" w:after="120"/>
            </w:pPr>
            <w:r>
              <w:rPr>
                <w:rFonts w:hint="eastAsia"/>
              </w:rPr>
              <w:t>盐酸</w:t>
            </w:r>
          </w:p>
        </w:tc>
        <w:tc>
          <w:tcPr>
            <w:tcW w:w="678" w:type="pct"/>
            <w:vMerge w:val="continue"/>
            <w:tcBorders>
              <w:tl2br w:val="nil"/>
              <w:tr2bl w:val="nil"/>
            </w:tcBorders>
            <w:vAlign w:val="center"/>
          </w:tcPr>
          <w:p w14:paraId="24E2E6A5">
            <w:pPr>
              <w:pStyle w:val="19"/>
              <w:spacing w:before="120" w:after="120"/>
            </w:pPr>
          </w:p>
        </w:tc>
        <w:tc>
          <w:tcPr>
            <w:tcW w:w="832" w:type="dxa"/>
            <w:tcBorders>
              <w:tl2br w:val="nil"/>
              <w:tr2bl w:val="nil"/>
            </w:tcBorders>
            <w:vAlign w:val="center"/>
          </w:tcPr>
          <w:p w14:paraId="11AA2652">
            <w:pPr>
              <w:pStyle w:val="19"/>
              <w:spacing w:before="120" w:after="120"/>
            </w:pPr>
            <w:r>
              <w:rPr>
                <w:rFonts w:hint="eastAsia"/>
              </w:rPr>
              <w:t>液体</w:t>
            </w:r>
          </w:p>
        </w:tc>
        <w:tc>
          <w:tcPr>
            <w:tcW w:w="1338" w:type="dxa"/>
            <w:tcBorders>
              <w:tl2br w:val="nil"/>
              <w:tr2bl w:val="nil"/>
            </w:tcBorders>
            <w:vAlign w:val="center"/>
          </w:tcPr>
          <w:p w14:paraId="58BA802C">
            <w:pPr>
              <w:pStyle w:val="19"/>
              <w:spacing w:before="120" w:after="120"/>
            </w:pPr>
            <w:r>
              <w:rPr>
                <w:rFonts w:hint="eastAsia"/>
              </w:rPr>
              <w:t>罐装</w:t>
            </w:r>
          </w:p>
        </w:tc>
        <w:tc>
          <w:tcPr>
            <w:tcW w:w="934" w:type="pct"/>
            <w:tcBorders>
              <w:tl2br w:val="nil"/>
              <w:tr2bl w:val="nil"/>
            </w:tcBorders>
            <w:vAlign w:val="center"/>
          </w:tcPr>
          <w:p w14:paraId="351693F4">
            <w:pPr>
              <w:pStyle w:val="19"/>
              <w:spacing w:before="120" w:after="120"/>
            </w:pPr>
            <w:r>
              <w:rPr>
                <w:rFonts w:hint="eastAsia"/>
              </w:rPr>
              <w:t>30</w:t>
            </w:r>
          </w:p>
        </w:tc>
        <w:tc>
          <w:tcPr>
            <w:tcW w:w="802" w:type="pct"/>
            <w:tcBorders>
              <w:tl2br w:val="nil"/>
              <w:tr2bl w:val="nil"/>
            </w:tcBorders>
            <w:vAlign w:val="center"/>
          </w:tcPr>
          <w:p w14:paraId="22176B98">
            <w:pPr>
              <w:pStyle w:val="19"/>
              <w:spacing w:before="120" w:after="120"/>
            </w:pPr>
            <w:r>
              <w:rPr>
                <w:rFonts w:hint="eastAsia"/>
              </w:rPr>
              <w:t>7647-01-0</w:t>
            </w:r>
          </w:p>
        </w:tc>
      </w:tr>
      <w:tr w14:paraId="564B86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4368C53C">
            <w:pPr>
              <w:pStyle w:val="19"/>
              <w:spacing w:before="120" w:after="120"/>
            </w:pPr>
          </w:p>
        </w:tc>
        <w:tc>
          <w:tcPr>
            <w:tcW w:w="878" w:type="pct"/>
            <w:tcBorders>
              <w:tl2br w:val="nil"/>
              <w:tr2bl w:val="nil"/>
            </w:tcBorders>
            <w:vAlign w:val="center"/>
          </w:tcPr>
          <w:p w14:paraId="4BB328DE">
            <w:pPr>
              <w:pStyle w:val="19"/>
              <w:spacing w:before="120" w:after="120"/>
            </w:pPr>
            <w:r>
              <w:t>苯胺</w:t>
            </w:r>
          </w:p>
        </w:tc>
        <w:tc>
          <w:tcPr>
            <w:tcW w:w="678" w:type="pct"/>
            <w:vMerge w:val="continue"/>
            <w:tcBorders>
              <w:tl2br w:val="nil"/>
              <w:tr2bl w:val="nil"/>
            </w:tcBorders>
            <w:vAlign w:val="center"/>
          </w:tcPr>
          <w:p w14:paraId="7198AA90">
            <w:pPr>
              <w:pStyle w:val="19"/>
              <w:spacing w:before="120" w:after="120"/>
            </w:pPr>
          </w:p>
        </w:tc>
        <w:tc>
          <w:tcPr>
            <w:tcW w:w="832" w:type="dxa"/>
            <w:tcBorders>
              <w:tl2br w:val="nil"/>
              <w:tr2bl w:val="nil"/>
            </w:tcBorders>
            <w:vAlign w:val="center"/>
          </w:tcPr>
          <w:p w14:paraId="2E651177">
            <w:pPr>
              <w:pStyle w:val="19"/>
              <w:spacing w:before="120" w:after="120"/>
            </w:pPr>
            <w:r>
              <w:rPr>
                <w:rFonts w:hint="eastAsia"/>
              </w:rPr>
              <w:t>液体</w:t>
            </w:r>
          </w:p>
        </w:tc>
        <w:tc>
          <w:tcPr>
            <w:tcW w:w="1338" w:type="dxa"/>
            <w:tcBorders>
              <w:tl2br w:val="nil"/>
              <w:tr2bl w:val="nil"/>
            </w:tcBorders>
            <w:vAlign w:val="center"/>
          </w:tcPr>
          <w:p w14:paraId="138639EA">
            <w:pPr>
              <w:pStyle w:val="19"/>
              <w:spacing w:before="120" w:after="120"/>
            </w:pPr>
            <w:r>
              <w:rPr>
                <w:rFonts w:hint="eastAsia"/>
              </w:rPr>
              <w:t>罐装</w:t>
            </w:r>
          </w:p>
        </w:tc>
        <w:tc>
          <w:tcPr>
            <w:tcW w:w="934" w:type="pct"/>
            <w:tcBorders>
              <w:tl2br w:val="nil"/>
              <w:tr2bl w:val="nil"/>
            </w:tcBorders>
            <w:vAlign w:val="center"/>
          </w:tcPr>
          <w:p w14:paraId="177E4E40">
            <w:pPr>
              <w:pStyle w:val="19"/>
              <w:spacing w:before="120" w:after="120"/>
            </w:pPr>
            <w:r>
              <w:rPr>
                <w:rFonts w:hint="eastAsia"/>
              </w:rPr>
              <w:t>30</w:t>
            </w:r>
          </w:p>
        </w:tc>
        <w:tc>
          <w:tcPr>
            <w:tcW w:w="802" w:type="pct"/>
            <w:tcBorders>
              <w:tl2br w:val="nil"/>
              <w:tr2bl w:val="nil"/>
            </w:tcBorders>
            <w:vAlign w:val="center"/>
          </w:tcPr>
          <w:p w14:paraId="4088C477">
            <w:pPr>
              <w:pStyle w:val="19"/>
              <w:spacing w:before="120" w:after="120"/>
            </w:pPr>
            <w:r>
              <w:rPr>
                <w:rFonts w:hint="eastAsia"/>
              </w:rPr>
              <w:t>62-53-3</w:t>
            </w:r>
          </w:p>
        </w:tc>
      </w:tr>
      <w:tr w14:paraId="25EF45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112DB918">
            <w:pPr>
              <w:pStyle w:val="19"/>
              <w:spacing w:before="120" w:after="120"/>
            </w:pPr>
          </w:p>
        </w:tc>
        <w:tc>
          <w:tcPr>
            <w:tcW w:w="878" w:type="pct"/>
            <w:tcBorders>
              <w:tl2br w:val="nil"/>
              <w:tr2bl w:val="nil"/>
            </w:tcBorders>
            <w:vAlign w:val="center"/>
          </w:tcPr>
          <w:p w14:paraId="22734CAC">
            <w:pPr>
              <w:pStyle w:val="19"/>
              <w:spacing w:before="120" w:after="120"/>
            </w:pPr>
            <w:r>
              <w:t>水合肼</w:t>
            </w:r>
          </w:p>
        </w:tc>
        <w:tc>
          <w:tcPr>
            <w:tcW w:w="678" w:type="pct"/>
            <w:vMerge w:val="continue"/>
            <w:tcBorders>
              <w:tl2br w:val="nil"/>
              <w:tr2bl w:val="nil"/>
            </w:tcBorders>
            <w:vAlign w:val="center"/>
          </w:tcPr>
          <w:p w14:paraId="32A71F2D">
            <w:pPr>
              <w:pStyle w:val="19"/>
              <w:spacing w:before="120" w:after="120"/>
            </w:pPr>
          </w:p>
        </w:tc>
        <w:tc>
          <w:tcPr>
            <w:tcW w:w="832" w:type="dxa"/>
            <w:tcBorders>
              <w:tl2br w:val="nil"/>
              <w:tr2bl w:val="nil"/>
            </w:tcBorders>
            <w:vAlign w:val="center"/>
          </w:tcPr>
          <w:p w14:paraId="37D49600">
            <w:pPr>
              <w:pStyle w:val="19"/>
              <w:spacing w:before="120" w:after="120"/>
            </w:pPr>
            <w:r>
              <w:rPr>
                <w:rFonts w:hint="eastAsia"/>
              </w:rPr>
              <w:t>液体</w:t>
            </w:r>
          </w:p>
        </w:tc>
        <w:tc>
          <w:tcPr>
            <w:tcW w:w="1338" w:type="dxa"/>
            <w:tcBorders>
              <w:tl2br w:val="nil"/>
              <w:tr2bl w:val="nil"/>
            </w:tcBorders>
            <w:vAlign w:val="center"/>
          </w:tcPr>
          <w:p w14:paraId="418BDDE6">
            <w:pPr>
              <w:pStyle w:val="19"/>
              <w:spacing w:before="120" w:after="120"/>
            </w:pPr>
            <w:r>
              <w:rPr>
                <w:rFonts w:hint="eastAsia"/>
              </w:rPr>
              <w:t>罐装</w:t>
            </w:r>
          </w:p>
        </w:tc>
        <w:tc>
          <w:tcPr>
            <w:tcW w:w="934" w:type="pct"/>
            <w:tcBorders>
              <w:tl2br w:val="nil"/>
              <w:tr2bl w:val="nil"/>
            </w:tcBorders>
            <w:vAlign w:val="center"/>
          </w:tcPr>
          <w:p w14:paraId="7A81C365">
            <w:pPr>
              <w:pStyle w:val="19"/>
              <w:spacing w:before="120" w:after="120"/>
            </w:pPr>
            <w:r>
              <w:rPr>
                <w:rFonts w:hint="eastAsia"/>
              </w:rPr>
              <w:t>30</w:t>
            </w:r>
          </w:p>
        </w:tc>
        <w:tc>
          <w:tcPr>
            <w:tcW w:w="802" w:type="pct"/>
            <w:tcBorders>
              <w:tl2br w:val="nil"/>
              <w:tr2bl w:val="nil"/>
            </w:tcBorders>
            <w:vAlign w:val="center"/>
          </w:tcPr>
          <w:p w14:paraId="33DBA79A">
            <w:pPr>
              <w:pStyle w:val="19"/>
              <w:spacing w:before="120" w:after="120"/>
            </w:pPr>
            <w:r>
              <w:rPr>
                <w:rFonts w:hint="eastAsia"/>
              </w:rPr>
              <w:t>10217-52-4</w:t>
            </w:r>
          </w:p>
        </w:tc>
      </w:tr>
      <w:tr w14:paraId="2F54C6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08" w:type="pct"/>
            <w:vMerge w:val="continue"/>
            <w:tcBorders>
              <w:tl2br w:val="nil"/>
              <w:tr2bl w:val="nil"/>
            </w:tcBorders>
            <w:vAlign w:val="center"/>
          </w:tcPr>
          <w:p w14:paraId="534C8CAD">
            <w:pPr>
              <w:pStyle w:val="19"/>
              <w:spacing w:before="120" w:after="120"/>
            </w:pPr>
          </w:p>
        </w:tc>
        <w:tc>
          <w:tcPr>
            <w:tcW w:w="878" w:type="pct"/>
            <w:tcBorders>
              <w:tl2br w:val="nil"/>
              <w:tr2bl w:val="nil"/>
            </w:tcBorders>
            <w:vAlign w:val="center"/>
          </w:tcPr>
          <w:p w14:paraId="0FBC7FC1">
            <w:pPr>
              <w:pStyle w:val="19"/>
              <w:spacing w:before="120" w:after="120"/>
            </w:pPr>
            <w:r>
              <w:rPr>
                <w:rFonts w:hint="eastAsia"/>
              </w:rPr>
              <w:t>苯</w:t>
            </w:r>
          </w:p>
        </w:tc>
        <w:tc>
          <w:tcPr>
            <w:tcW w:w="678" w:type="pct"/>
            <w:vMerge w:val="restart"/>
            <w:tcBorders>
              <w:tl2br w:val="nil"/>
              <w:tr2bl w:val="nil"/>
            </w:tcBorders>
            <w:vAlign w:val="center"/>
          </w:tcPr>
          <w:p w14:paraId="6D41BA75">
            <w:pPr>
              <w:pStyle w:val="19"/>
              <w:spacing w:before="120" w:after="120"/>
            </w:pPr>
            <w:r>
              <w:rPr>
                <w:rFonts w:hint="eastAsia"/>
              </w:rPr>
              <w:t>3个车位</w:t>
            </w:r>
          </w:p>
        </w:tc>
        <w:tc>
          <w:tcPr>
            <w:tcW w:w="832" w:type="dxa"/>
            <w:tcBorders>
              <w:tl2br w:val="nil"/>
              <w:tr2bl w:val="nil"/>
            </w:tcBorders>
            <w:vAlign w:val="center"/>
          </w:tcPr>
          <w:p w14:paraId="091D142B">
            <w:pPr>
              <w:pStyle w:val="19"/>
              <w:spacing w:before="120" w:after="120"/>
            </w:pPr>
            <w:r>
              <w:rPr>
                <w:rFonts w:hint="eastAsia"/>
              </w:rPr>
              <w:t>液体</w:t>
            </w:r>
          </w:p>
        </w:tc>
        <w:tc>
          <w:tcPr>
            <w:tcW w:w="1338" w:type="dxa"/>
            <w:tcBorders>
              <w:tl2br w:val="nil"/>
              <w:tr2bl w:val="nil"/>
            </w:tcBorders>
            <w:vAlign w:val="center"/>
          </w:tcPr>
          <w:p w14:paraId="1FEF5FF5">
            <w:pPr>
              <w:pStyle w:val="19"/>
              <w:spacing w:before="120" w:after="120"/>
            </w:pPr>
            <w:r>
              <w:rPr>
                <w:rFonts w:hint="eastAsia"/>
              </w:rPr>
              <w:t>罐装</w:t>
            </w:r>
          </w:p>
        </w:tc>
        <w:tc>
          <w:tcPr>
            <w:tcW w:w="934" w:type="pct"/>
            <w:tcBorders>
              <w:tl2br w:val="nil"/>
              <w:tr2bl w:val="nil"/>
            </w:tcBorders>
            <w:vAlign w:val="center"/>
          </w:tcPr>
          <w:p w14:paraId="657B1B46">
            <w:pPr>
              <w:pStyle w:val="19"/>
              <w:spacing w:before="120" w:after="120"/>
            </w:pPr>
            <w:r>
              <w:rPr>
                <w:rFonts w:hint="eastAsia"/>
              </w:rPr>
              <w:t>30</w:t>
            </w:r>
          </w:p>
        </w:tc>
        <w:tc>
          <w:tcPr>
            <w:tcW w:w="1455" w:type="dxa"/>
            <w:tcBorders>
              <w:tl2br w:val="nil"/>
              <w:tr2bl w:val="nil"/>
            </w:tcBorders>
            <w:vAlign w:val="center"/>
          </w:tcPr>
          <w:p w14:paraId="16EA9887">
            <w:pPr>
              <w:pStyle w:val="19"/>
              <w:spacing w:before="120" w:after="120"/>
            </w:pPr>
            <w:r>
              <w:rPr>
                <w:rFonts w:hint="eastAsia"/>
              </w:rPr>
              <w:t>71-43-2</w:t>
            </w:r>
          </w:p>
        </w:tc>
      </w:tr>
      <w:tr w14:paraId="4DD0D5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65A0206F">
            <w:pPr>
              <w:pStyle w:val="19"/>
              <w:spacing w:before="120" w:after="120"/>
            </w:pPr>
          </w:p>
        </w:tc>
        <w:tc>
          <w:tcPr>
            <w:tcW w:w="878" w:type="pct"/>
            <w:tcBorders>
              <w:tl2br w:val="nil"/>
              <w:tr2bl w:val="nil"/>
            </w:tcBorders>
            <w:vAlign w:val="center"/>
          </w:tcPr>
          <w:p w14:paraId="4BFA9060">
            <w:pPr>
              <w:pStyle w:val="19"/>
              <w:spacing w:before="120" w:after="120"/>
            </w:pPr>
            <w:r>
              <w:rPr>
                <w:rFonts w:hint="eastAsia"/>
              </w:rPr>
              <w:t>甲苯</w:t>
            </w:r>
          </w:p>
        </w:tc>
        <w:tc>
          <w:tcPr>
            <w:tcW w:w="678" w:type="pct"/>
            <w:vMerge w:val="continue"/>
            <w:tcBorders>
              <w:tl2br w:val="nil"/>
              <w:tr2bl w:val="nil"/>
            </w:tcBorders>
            <w:vAlign w:val="center"/>
          </w:tcPr>
          <w:p w14:paraId="52724851">
            <w:pPr>
              <w:pStyle w:val="19"/>
              <w:spacing w:before="120" w:after="120"/>
            </w:pPr>
          </w:p>
        </w:tc>
        <w:tc>
          <w:tcPr>
            <w:tcW w:w="832" w:type="dxa"/>
            <w:tcBorders>
              <w:tl2br w:val="nil"/>
              <w:tr2bl w:val="nil"/>
            </w:tcBorders>
            <w:vAlign w:val="center"/>
          </w:tcPr>
          <w:p w14:paraId="7AF57D99">
            <w:pPr>
              <w:pStyle w:val="19"/>
              <w:spacing w:before="120" w:after="120"/>
            </w:pPr>
            <w:r>
              <w:rPr>
                <w:rFonts w:hint="eastAsia"/>
              </w:rPr>
              <w:t>液体</w:t>
            </w:r>
          </w:p>
        </w:tc>
        <w:tc>
          <w:tcPr>
            <w:tcW w:w="1338" w:type="dxa"/>
            <w:tcBorders>
              <w:tl2br w:val="nil"/>
              <w:tr2bl w:val="nil"/>
            </w:tcBorders>
            <w:vAlign w:val="center"/>
          </w:tcPr>
          <w:p w14:paraId="28A67FD4">
            <w:pPr>
              <w:pStyle w:val="19"/>
              <w:spacing w:before="120" w:after="120"/>
            </w:pPr>
            <w:r>
              <w:rPr>
                <w:rFonts w:hint="eastAsia"/>
              </w:rPr>
              <w:t>罐装</w:t>
            </w:r>
          </w:p>
        </w:tc>
        <w:tc>
          <w:tcPr>
            <w:tcW w:w="1693" w:type="dxa"/>
            <w:tcBorders>
              <w:tl2br w:val="nil"/>
              <w:tr2bl w:val="nil"/>
            </w:tcBorders>
            <w:vAlign w:val="center"/>
          </w:tcPr>
          <w:p w14:paraId="4AA0A006">
            <w:pPr>
              <w:pStyle w:val="19"/>
              <w:spacing w:before="120" w:after="120"/>
            </w:pPr>
            <w:r>
              <w:rPr>
                <w:rFonts w:hint="eastAsia"/>
              </w:rPr>
              <w:t>30</w:t>
            </w:r>
          </w:p>
        </w:tc>
        <w:tc>
          <w:tcPr>
            <w:tcW w:w="1455" w:type="dxa"/>
            <w:tcBorders>
              <w:tl2br w:val="nil"/>
              <w:tr2bl w:val="nil"/>
            </w:tcBorders>
            <w:vAlign w:val="center"/>
          </w:tcPr>
          <w:p w14:paraId="1DBE16FA">
            <w:pPr>
              <w:pStyle w:val="19"/>
              <w:spacing w:before="120" w:after="120"/>
            </w:pPr>
            <w:r>
              <w:rPr>
                <w:rFonts w:hint="eastAsia"/>
              </w:rPr>
              <w:t>108-88-3</w:t>
            </w:r>
          </w:p>
        </w:tc>
      </w:tr>
      <w:tr w14:paraId="0C352E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1B62B05B">
            <w:pPr>
              <w:pStyle w:val="19"/>
              <w:spacing w:before="120" w:after="120"/>
            </w:pPr>
          </w:p>
        </w:tc>
        <w:tc>
          <w:tcPr>
            <w:tcW w:w="878" w:type="pct"/>
            <w:tcBorders>
              <w:tl2br w:val="nil"/>
              <w:tr2bl w:val="nil"/>
            </w:tcBorders>
            <w:vAlign w:val="center"/>
          </w:tcPr>
          <w:p w14:paraId="62EF4615">
            <w:pPr>
              <w:pStyle w:val="19"/>
              <w:spacing w:before="120" w:after="120"/>
            </w:pPr>
            <w:r>
              <w:rPr>
                <w:rFonts w:hint="eastAsia"/>
              </w:rPr>
              <w:t>邻二甲苯</w:t>
            </w:r>
          </w:p>
        </w:tc>
        <w:tc>
          <w:tcPr>
            <w:tcW w:w="678" w:type="pct"/>
            <w:vMerge w:val="continue"/>
            <w:tcBorders>
              <w:tl2br w:val="nil"/>
              <w:tr2bl w:val="nil"/>
            </w:tcBorders>
            <w:vAlign w:val="center"/>
          </w:tcPr>
          <w:p w14:paraId="1CD90A30">
            <w:pPr>
              <w:pStyle w:val="19"/>
              <w:spacing w:before="120" w:after="120"/>
            </w:pPr>
          </w:p>
        </w:tc>
        <w:tc>
          <w:tcPr>
            <w:tcW w:w="832" w:type="dxa"/>
            <w:tcBorders>
              <w:tl2br w:val="nil"/>
              <w:tr2bl w:val="nil"/>
            </w:tcBorders>
            <w:vAlign w:val="center"/>
          </w:tcPr>
          <w:p w14:paraId="330D7B62">
            <w:pPr>
              <w:pStyle w:val="19"/>
              <w:spacing w:before="120" w:after="120"/>
            </w:pPr>
            <w:r>
              <w:rPr>
                <w:rFonts w:hint="eastAsia"/>
              </w:rPr>
              <w:t>液体</w:t>
            </w:r>
          </w:p>
        </w:tc>
        <w:tc>
          <w:tcPr>
            <w:tcW w:w="1338" w:type="dxa"/>
            <w:tcBorders>
              <w:tl2br w:val="nil"/>
              <w:tr2bl w:val="nil"/>
            </w:tcBorders>
            <w:vAlign w:val="center"/>
          </w:tcPr>
          <w:p w14:paraId="573C6310">
            <w:pPr>
              <w:pStyle w:val="19"/>
              <w:spacing w:before="120" w:after="120"/>
            </w:pPr>
            <w:r>
              <w:rPr>
                <w:rFonts w:hint="eastAsia"/>
              </w:rPr>
              <w:t>罐装</w:t>
            </w:r>
          </w:p>
        </w:tc>
        <w:tc>
          <w:tcPr>
            <w:tcW w:w="1693" w:type="dxa"/>
            <w:tcBorders>
              <w:tl2br w:val="nil"/>
              <w:tr2bl w:val="nil"/>
            </w:tcBorders>
            <w:vAlign w:val="center"/>
          </w:tcPr>
          <w:p w14:paraId="5981332F">
            <w:pPr>
              <w:pStyle w:val="19"/>
              <w:spacing w:before="120" w:after="120"/>
            </w:pPr>
            <w:r>
              <w:rPr>
                <w:rFonts w:hint="eastAsia"/>
              </w:rPr>
              <w:t>30</w:t>
            </w:r>
          </w:p>
        </w:tc>
        <w:tc>
          <w:tcPr>
            <w:tcW w:w="1455" w:type="dxa"/>
            <w:tcBorders>
              <w:tl2br w:val="nil"/>
              <w:tr2bl w:val="nil"/>
            </w:tcBorders>
            <w:vAlign w:val="center"/>
          </w:tcPr>
          <w:p w14:paraId="725A9823">
            <w:pPr>
              <w:pStyle w:val="19"/>
              <w:spacing w:before="120" w:after="120"/>
            </w:pPr>
            <w:r>
              <w:rPr>
                <w:rFonts w:hint="eastAsia"/>
              </w:rPr>
              <w:t>95-47-6</w:t>
            </w:r>
          </w:p>
        </w:tc>
      </w:tr>
      <w:tr w14:paraId="5F6B2D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18D76FD1">
            <w:pPr>
              <w:pStyle w:val="19"/>
              <w:spacing w:before="120" w:after="120"/>
            </w:pPr>
          </w:p>
        </w:tc>
        <w:tc>
          <w:tcPr>
            <w:tcW w:w="878" w:type="pct"/>
            <w:tcBorders>
              <w:tl2br w:val="nil"/>
              <w:tr2bl w:val="nil"/>
            </w:tcBorders>
            <w:vAlign w:val="center"/>
          </w:tcPr>
          <w:p w14:paraId="00D69AD6">
            <w:pPr>
              <w:pStyle w:val="19"/>
              <w:spacing w:before="120" w:after="120"/>
            </w:pPr>
            <w:r>
              <w:rPr>
                <w:rFonts w:hint="eastAsia"/>
              </w:rPr>
              <w:t>粗苯</w:t>
            </w:r>
          </w:p>
        </w:tc>
        <w:tc>
          <w:tcPr>
            <w:tcW w:w="678" w:type="pct"/>
            <w:vMerge w:val="continue"/>
            <w:tcBorders>
              <w:tl2br w:val="nil"/>
              <w:tr2bl w:val="nil"/>
            </w:tcBorders>
            <w:vAlign w:val="center"/>
          </w:tcPr>
          <w:p w14:paraId="45265716">
            <w:pPr>
              <w:pStyle w:val="19"/>
              <w:spacing w:before="120" w:after="120"/>
            </w:pPr>
          </w:p>
        </w:tc>
        <w:tc>
          <w:tcPr>
            <w:tcW w:w="832" w:type="dxa"/>
            <w:tcBorders>
              <w:tl2br w:val="nil"/>
              <w:tr2bl w:val="nil"/>
            </w:tcBorders>
            <w:vAlign w:val="center"/>
          </w:tcPr>
          <w:p w14:paraId="7C9A83B6">
            <w:pPr>
              <w:pStyle w:val="19"/>
              <w:spacing w:before="120" w:after="120"/>
            </w:pPr>
            <w:r>
              <w:rPr>
                <w:rFonts w:hint="eastAsia"/>
              </w:rPr>
              <w:t>液体</w:t>
            </w:r>
          </w:p>
        </w:tc>
        <w:tc>
          <w:tcPr>
            <w:tcW w:w="1338" w:type="dxa"/>
            <w:tcBorders>
              <w:tl2br w:val="nil"/>
              <w:tr2bl w:val="nil"/>
            </w:tcBorders>
            <w:vAlign w:val="center"/>
          </w:tcPr>
          <w:p w14:paraId="6A278229">
            <w:pPr>
              <w:pStyle w:val="19"/>
              <w:spacing w:before="120" w:after="120"/>
            </w:pPr>
            <w:r>
              <w:rPr>
                <w:rFonts w:hint="eastAsia"/>
              </w:rPr>
              <w:t>罐装</w:t>
            </w:r>
          </w:p>
        </w:tc>
        <w:tc>
          <w:tcPr>
            <w:tcW w:w="1693" w:type="dxa"/>
            <w:tcBorders>
              <w:tl2br w:val="nil"/>
              <w:tr2bl w:val="nil"/>
            </w:tcBorders>
            <w:vAlign w:val="center"/>
          </w:tcPr>
          <w:p w14:paraId="43118BEB">
            <w:pPr>
              <w:pStyle w:val="19"/>
              <w:spacing w:before="120" w:after="120"/>
            </w:pPr>
            <w:r>
              <w:rPr>
                <w:rFonts w:hint="eastAsia"/>
              </w:rPr>
              <w:t>30</w:t>
            </w:r>
          </w:p>
        </w:tc>
        <w:tc>
          <w:tcPr>
            <w:tcW w:w="1455" w:type="dxa"/>
            <w:tcBorders>
              <w:tl2br w:val="nil"/>
              <w:tr2bl w:val="nil"/>
            </w:tcBorders>
            <w:vAlign w:val="center"/>
          </w:tcPr>
          <w:p w14:paraId="0164C7E1">
            <w:pPr>
              <w:pStyle w:val="19"/>
              <w:spacing w:before="120" w:after="120"/>
            </w:pPr>
            <w:r>
              <w:rPr>
                <w:rFonts w:hint="eastAsia"/>
              </w:rPr>
              <w:t>/</w:t>
            </w:r>
          </w:p>
        </w:tc>
      </w:tr>
      <w:tr w14:paraId="6CA6E5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36311C6C">
            <w:pPr>
              <w:pStyle w:val="19"/>
              <w:spacing w:before="120" w:after="120"/>
            </w:pPr>
          </w:p>
        </w:tc>
        <w:tc>
          <w:tcPr>
            <w:tcW w:w="878" w:type="pct"/>
            <w:tcBorders>
              <w:tl2br w:val="nil"/>
              <w:tr2bl w:val="nil"/>
            </w:tcBorders>
            <w:vAlign w:val="center"/>
          </w:tcPr>
          <w:p w14:paraId="4FCAF111">
            <w:pPr>
              <w:pStyle w:val="19"/>
              <w:spacing w:before="120" w:after="120"/>
            </w:pPr>
            <w:r>
              <w:rPr>
                <w:rFonts w:hint="eastAsia"/>
              </w:rPr>
              <w:t>亚硝酸钠</w:t>
            </w:r>
          </w:p>
        </w:tc>
        <w:tc>
          <w:tcPr>
            <w:tcW w:w="678" w:type="pct"/>
            <w:vMerge w:val="continue"/>
            <w:tcBorders>
              <w:tl2br w:val="nil"/>
              <w:tr2bl w:val="nil"/>
            </w:tcBorders>
            <w:vAlign w:val="center"/>
          </w:tcPr>
          <w:p w14:paraId="08D7DED5">
            <w:pPr>
              <w:pStyle w:val="19"/>
              <w:spacing w:before="120" w:after="120"/>
            </w:pPr>
          </w:p>
        </w:tc>
        <w:tc>
          <w:tcPr>
            <w:tcW w:w="832" w:type="dxa"/>
            <w:tcBorders>
              <w:tl2br w:val="nil"/>
              <w:tr2bl w:val="nil"/>
            </w:tcBorders>
            <w:vAlign w:val="center"/>
          </w:tcPr>
          <w:p w14:paraId="3B427AFC">
            <w:pPr>
              <w:pStyle w:val="19"/>
              <w:spacing w:before="120" w:after="120"/>
            </w:pPr>
            <w:r>
              <w:rPr>
                <w:rFonts w:hint="eastAsia"/>
              </w:rPr>
              <w:t>固体</w:t>
            </w:r>
          </w:p>
        </w:tc>
        <w:tc>
          <w:tcPr>
            <w:tcW w:w="1338" w:type="dxa"/>
            <w:tcBorders>
              <w:tl2br w:val="nil"/>
              <w:tr2bl w:val="nil"/>
            </w:tcBorders>
            <w:vAlign w:val="center"/>
          </w:tcPr>
          <w:p w14:paraId="6E1477A4">
            <w:pPr>
              <w:pStyle w:val="19"/>
              <w:spacing w:before="120" w:after="120"/>
            </w:pPr>
            <w:r>
              <w:rPr>
                <w:rFonts w:hint="eastAsia"/>
              </w:rPr>
              <w:t>槽车</w:t>
            </w:r>
          </w:p>
        </w:tc>
        <w:tc>
          <w:tcPr>
            <w:tcW w:w="1693" w:type="dxa"/>
            <w:tcBorders>
              <w:tl2br w:val="nil"/>
              <w:tr2bl w:val="nil"/>
            </w:tcBorders>
            <w:vAlign w:val="center"/>
          </w:tcPr>
          <w:p w14:paraId="79F0E999">
            <w:pPr>
              <w:pStyle w:val="19"/>
              <w:spacing w:before="120" w:after="120"/>
            </w:pPr>
            <w:r>
              <w:rPr>
                <w:rFonts w:hint="eastAsia"/>
              </w:rPr>
              <w:t>30</w:t>
            </w:r>
          </w:p>
        </w:tc>
        <w:tc>
          <w:tcPr>
            <w:tcW w:w="802" w:type="pct"/>
            <w:tcBorders>
              <w:tl2br w:val="nil"/>
              <w:tr2bl w:val="nil"/>
            </w:tcBorders>
            <w:vAlign w:val="center"/>
          </w:tcPr>
          <w:p w14:paraId="7878EFC7">
            <w:pPr>
              <w:pStyle w:val="19"/>
              <w:spacing w:before="120" w:after="120"/>
            </w:pPr>
            <w:r>
              <w:rPr>
                <w:rFonts w:hint="eastAsia"/>
              </w:rPr>
              <w:t>7632-00-0</w:t>
            </w:r>
          </w:p>
        </w:tc>
      </w:tr>
      <w:tr w14:paraId="28F8CD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4F306B40">
            <w:pPr>
              <w:pStyle w:val="19"/>
              <w:spacing w:before="120" w:after="120"/>
            </w:pPr>
          </w:p>
        </w:tc>
        <w:tc>
          <w:tcPr>
            <w:tcW w:w="878" w:type="pct"/>
            <w:tcBorders>
              <w:tl2br w:val="nil"/>
              <w:tr2bl w:val="nil"/>
            </w:tcBorders>
            <w:vAlign w:val="center"/>
          </w:tcPr>
          <w:p w14:paraId="29ACE8D5">
            <w:pPr>
              <w:pStyle w:val="19"/>
              <w:spacing w:before="120" w:after="120"/>
            </w:pPr>
            <w:r>
              <w:rPr>
                <w:rFonts w:hint="eastAsia"/>
              </w:rPr>
              <w:t>液氯</w:t>
            </w:r>
          </w:p>
        </w:tc>
        <w:tc>
          <w:tcPr>
            <w:tcW w:w="678" w:type="pct"/>
            <w:vMerge w:val="continue"/>
            <w:tcBorders>
              <w:tl2br w:val="nil"/>
              <w:tr2bl w:val="nil"/>
            </w:tcBorders>
            <w:vAlign w:val="center"/>
          </w:tcPr>
          <w:p w14:paraId="0C1DEE14">
            <w:pPr>
              <w:pStyle w:val="19"/>
              <w:spacing w:before="120" w:after="120"/>
            </w:pPr>
          </w:p>
        </w:tc>
        <w:tc>
          <w:tcPr>
            <w:tcW w:w="832" w:type="dxa"/>
            <w:tcBorders>
              <w:tl2br w:val="nil"/>
              <w:tr2bl w:val="nil"/>
            </w:tcBorders>
            <w:vAlign w:val="center"/>
          </w:tcPr>
          <w:p w14:paraId="4A890FC6">
            <w:pPr>
              <w:pStyle w:val="19"/>
              <w:spacing w:before="120" w:after="120"/>
            </w:pPr>
            <w:r>
              <w:rPr>
                <w:rFonts w:hint="eastAsia"/>
              </w:rPr>
              <w:t>液体</w:t>
            </w:r>
          </w:p>
        </w:tc>
        <w:tc>
          <w:tcPr>
            <w:tcW w:w="1338" w:type="dxa"/>
            <w:tcBorders>
              <w:tl2br w:val="nil"/>
              <w:tr2bl w:val="nil"/>
            </w:tcBorders>
            <w:vAlign w:val="center"/>
          </w:tcPr>
          <w:p w14:paraId="310F14B3">
            <w:pPr>
              <w:pStyle w:val="19"/>
              <w:spacing w:before="120" w:after="120"/>
            </w:pPr>
            <w:r>
              <w:rPr>
                <w:rFonts w:hint="eastAsia"/>
              </w:rPr>
              <w:t>罐装</w:t>
            </w:r>
          </w:p>
        </w:tc>
        <w:tc>
          <w:tcPr>
            <w:tcW w:w="1693" w:type="dxa"/>
            <w:tcBorders>
              <w:tl2br w:val="nil"/>
              <w:tr2bl w:val="nil"/>
            </w:tcBorders>
            <w:vAlign w:val="center"/>
          </w:tcPr>
          <w:p w14:paraId="229E1BBF">
            <w:pPr>
              <w:pStyle w:val="19"/>
              <w:spacing w:before="120" w:after="120"/>
            </w:pPr>
            <w:r>
              <w:rPr>
                <w:rFonts w:hint="eastAsia"/>
              </w:rPr>
              <w:t>30</w:t>
            </w:r>
          </w:p>
        </w:tc>
        <w:tc>
          <w:tcPr>
            <w:tcW w:w="802" w:type="pct"/>
            <w:tcBorders>
              <w:tl2br w:val="nil"/>
              <w:tr2bl w:val="nil"/>
            </w:tcBorders>
            <w:vAlign w:val="center"/>
          </w:tcPr>
          <w:p w14:paraId="4A9EF696">
            <w:pPr>
              <w:pStyle w:val="19"/>
              <w:spacing w:before="120" w:after="120"/>
            </w:pPr>
            <w:r>
              <w:rPr>
                <w:rFonts w:hint="eastAsia"/>
              </w:rPr>
              <w:t>7782-50-5</w:t>
            </w:r>
          </w:p>
        </w:tc>
      </w:tr>
      <w:tr w14:paraId="5CCBCF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4AAD4E66">
            <w:pPr>
              <w:pStyle w:val="19"/>
              <w:spacing w:before="120" w:after="120"/>
            </w:pPr>
          </w:p>
        </w:tc>
        <w:tc>
          <w:tcPr>
            <w:tcW w:w="878" w:type="pct"/>
            <w:tcBorders>
              <w:tl2br w:val="nil"/>
              <w:tr2bl w:val="nil"/>
            </w:tcBorders>
            <w:vAlign w:val="center"/>
          </w:tcPr>
          <w:p w14:paraId="5E9CC623">
            <w:pPr>
              <w:pStyle w:val="19"/>
              <w:spacing w:before="120" w:after="120"/>
            </w:pPr>
            <w:r>
              <w:rPr>
                <w:rFonts w:hint="eastAsia"/>
              </w:rPr>
              <w:t>液体工业萘</w:t>
            </w:r>
          </w:p>
        </w:tc>
        <w:tc>
          <w:tcPr>
            <w:tcW w:w="678" w:type="pct"/>
            <w:vMerge w:val="continue"/>
            <w:tcBorders>
              <w:tl2br w:val="nil"/>
              <w:tr2bl w:val="nil"/>
            </w:tcBorders>
            <w:vAlign w:val="center"/>
          </w:tcPr>
          <w:p w14:paraId="50C8DBC0">
            <w:pPr>
              <w:pStyle w:val="19"/>
              <w:spacing w:before="120" w:after="120"/>
            </w:pPr>
          </w:p>
        </w:tc>
        <w:tc>
          <w:tcPr>
            <w:tcW w:w="832" w:type="dxa"/>
            <w:tcBorders>
              <w:tl2br w:val="nil"/>
              <w:tr2bl w:val="nil"/>
            </w:tcBorders>
            <w:vAlign w:val="center"/>
          </w:tcPr>
          <w:p w14:paraId="76194447">
            <w:pPr>
              <w:pStyle w:val="19"/>
              <w:spacing w:before="120" w:after="120"/>
            </w:pPr>
            <w:r>
              <w:rPr>
                <w:rFonts w:hint="eastAsia"/>
              </w:rPr>
              <w:t>液体</w:t>
            </w:r>
          </w:p>
        </w:tc>
        <w:tc>
          <w:tcPr>
            <w:tcW w:w="1338" w:type="dxa"/>
            <w:tcBorders>
              <w:tl2br w:val="nil"/>
              <w:tr2bl w:val="nil"/>
            </w:tcBorders>
            <w:vAlign w:val="center"/>
          </w:tcPr>
          <w:p w14:paraId="566268D4">
            <w:pPr>
              <w:pStyle w:val="19"/>
              <w:spacing w:before="120" w:after="120"/>
            </w:pPr>
            <w:r>
              <w:rPr>
                <w:rFonts w:hint="eastAsia"/>
              </w:rPr>
              <w:t>罐装</w:t>
            </w:r>
          </w:p>
        </w:tc>
        <w:tc>
          <w:tcPr>
            <w:tcW w:w="1693" w:type="dxa"/>
            <w:tcBorders>
              <w:tl2br w:val="nil"/>
              <w:tr2bl w:val="nil"/>
            </w:tcBorders>
            <w:vAlign w:val="center"/>
          </w:tcPr>
          <w:p w14:paraId="77872901">
            <w:pPr>
              <w:pStyle w:val="19"/>
              <w:spacing w:before="120" w:after="120"/>
            </w:pPr>
            <w:r>
              <w:rPr>
                <w:rFonts w:hint="eastAsia"/>
              </w:rPr>
              <w:t>30</w:t>
            </w:r>
          </w:p>
        </w:tc>
        <w:tc>
          <w:tcPr>
            <w:tcW w:w="802" w:type="pct"/>
            <w:tcBorders>
              <w:tl2br w:val="nil"/>
              <w:tr2bl w:val="nil"/>
            </w:tcBorders>
            <w:vAlign w:val="center"/>
          </w:tcPr>
          <w:p w14:paraId="58B53E35">
            <w:pPr>
              <w:pStyle w:val="19"/>
              <w:spacing w:before="120" w:after="120"/>
            </w:pPr>
            <w:r>
              <w:rPr>
                <w:rFonts w:hint="eastAsia"/>
              </w:rPr>
              <w:t>91-20-3</w:t>
            </w:r>
          </w:p>
        </w:tc>
      </w:tr>
      <w:tr w14:paraId="1F351C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6D176A43">
            <w:pPr>
              <w:pStyle w:val="19"/>
              <w:spacing w:before="120" w:after="120"/>
            </w:pPr>
          </w:p>
        </w:tc>
        <w:tc>
          <w:tcPr>
            <w:tcW w:w="878" w:type="pct"/>
            <w:tcBorders>
              <w:tl2br w:val="nil"/>
              <w:tr2bl w:val="nil"/>
            </w:tcBorders>
            <w:vAlign w:val="center"/>
          </w:tcPr>
          <w:p w14:paraId="422AF3FA">
            <w:pPr>
              <w:pStyle w:val="19"/>
              <w:spacing w:before="120" w:after="120"/>
            </w:pPr>
            <w:r>
              <w:rPr>
                <w:rFonts w:hint="eastAsia"/>
              </w:rPr>
              <w:t>焦油</w:t>
            </w:r>
          </w:p>
        </w:tc>
        <w:tc>
          <w:tcPr>
            <w:tcW w:w="678" w:type="pct"/>
            <w:vMerge w:val="continue"/>
            <w:tcBorders>
              <w:tl2br w:val="nil"/>
              <w:tr2bl w:val="nil"/>
            </w:tcBorders>
            <w:vAlign w:val="center"/>
          </w:tcPr>
          <w:p w14:paraId="099F10EA">
            <w:pPr>
              <w:pStyle w:val="19"/>
              <w:spacing w:before="120" w:after="120"/>
            </w:pPr>
          </w:p>
        </w:tc>
        <w:tc>
          <w:tcPr>
            <w:tcW w:w="832" w:type="dxa"/>
            <w:tcBorders>
              <w:tl2br w:val="nil"/>
              <w:tr2bl w:val="nil"/>
            </w:tcBorders>
            <w:vAlign w:val="center"/>
          </w:tcPr>
          <w:p w14:paraId="0276C96D">
            <w:pPr>
              <w:pStyle w:val="19"/>
              <w:spacing w:before="120" w:after="120"/>
            </w:pPr>
            <w:r>
              <w:rPr>
                <w:rFonts w:hint="eastAsia"/>
              </w:rPr>
              <w:t>液体</w:t>
            </w:r>
          </w:p>
        </w:tc>
        <w:tc>
          <w:tcPr>
            <w:tcW w:w="1338" w:type="dxa"/>
            <w:tcBorders>
              <w:tl2br w:val="nil"/>
              <w:tr2bl w:val="nil"/>
            </w:tcBorders>
            <w:vAlign w:val="center"/>
          </w:tcPr>
          <w:p w14:paraId="62BA45DB">
            <w:pPr>
              <w:pStyle w:val="19"/>
              <w:spacing w:before="120" w:after="120"/>
            </w:pPr>
            <w:r>
              <w:rPr>
                <w:rFonts w:hint="eastAsia"/>
              </w:rPr>
              <w:t>罐装</w:t>
            </w:r>
          </w:p>
        </w:tc>
        <w:tc>
          <w:tcPr>
            <w:tcW w:w="1693" w:type="dxa"/>
            <w:tcBorders>
              <w:tl2br w:val="nil"/>
              <w:tr2bl w:val="nil"/>
            </w:tcBorders>
            <w:vAlign w:val="center"/>
          </w:tcPr>
          <w:p w14:paraId="5C750CC4">
            <w:pPr>
              <w:pStyle w:val="19"/>
              <w:spacing w:before="120" w:after="120"/>
            </w:pPr>
            <w:r>
              <w:rPr>
                <w:rFonts w:hint="eastAsia"/>
              </w:rPr>
              <w:t>30</w:t>
            </w:r>
          </w:p>
        </w:tc>
        <w:tc>
          <w:tcPr>
            <w:tcW w:w="802" w:type="pct"/>
            <w:tcBorders>
              <w:tl2br w:val="nil"/>
              <w:tr2bl w:val="nil"/>
            </w:tcBorders>
            <w:vAlign w:val="center"/>
          </w:tcPr>
          <w:p w14:paraId="41D76442">
            <w:pPr>
              <w:pStyle w:val="19"/>
              <w:spacing w:before="120" w:after="120"/>
            </w:pPr>
            <w:r>
              <w:rPr>
                <w:rFonts w:hint="eastAsia"/>
              </w:rPr>
              <w:t>8007-45-2</w:t>
            </w:r>
          </w:p>
        </w:tc>
      </w:tr>
      <w:tr w14:paraId="5E95EF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2207B21E">
            <w:pPr>
              <w:pStyle w:val="19"/>
              <w:spacing w:before="120" w:after="120"/>
            </w:pPr>
          </w:p>
        </w:tc>
        <w:tc>
          <w:tcPr>
            <w:tcW w:w="878" w:type="pct"/>
            <w:tcBorders>
              <w:tl2br w:val="nil"/>
              <w:tr2bl w:val="nil"/>
            </w:tcBorders>
            <w:vAlign w:val="center"/>
          </w:tcPr>
          <w:p w14:paraId="58D4BBFB">
            <w:pPr>
              <w:pStyle w:val="19"/>
              <w:spacing w:before="120" w:after="120"/>
            </w:pPr>
            <w:r>
              <w:rPr>
                <w:rFonts w:hint="eastAsia"/>
              </w:rPr>
              <w:t>醋酸乙烯酯</w:t>
            </w:r>
          </w:p>
        </w:tc>
        <w:tc>
          <w:tcPr>
            <w:tcW w:w="678" w:type="pct"/>
            <w:vMerge w:val="continue"/>
            <w:tcBorders>
              <w:tl2br w:val="nil"/>
              <w:tr2bl w:val="nil"/>
            </w:tcBorders>
            <w:vAlign w:val="center"/>
          </w:tcPr>
          <w:p w14:paraId="2B67A455">
            <w:pPr>
              <w:pStyle w:val="19"/>
              <w:spacing w:before="120" w:after="120"/>
            </w:pPr>
          </w:p>
        </w:tc>
        <w:tc>
          <w:tcPr>
            <w:tcW w:w="832" w:type="dxa"/>
            <w:tcBorders>
              <w:tl2br w:val="nil"/>
              <w:tr2bl w:val="nil"/>
            </w:tcBorders>
            <w:vAlign w:val="center"/>
          </w:tcPr>
          <w:p w14:paraId="60635862">
            <w:pPr>
              <w:pStyle w:val="19"/>
              <w:spacing w:before="120" w:after="120"/>
            </w:pPr>
            <w:r>
              <w:rPr>
                <w:rFonts w:hint="eastAsia"/>
              </w:rPr>
              <w:t>液体</w:t>
            </w:r>
          </w:p>
        </w:tc>
        <w:tc>
          <w:tcPr>
            <w:tcW w:w="1338" w:type="dxa"/>
            <w:tcBorders>
              <w:tl2br w:val="nil"/>
              <w:tr2bl w:val="nil"/>
            </w:tcBorders>
            <w:vAlign w:val="center"/>
          </w:tcPr>
          <w:p w14:paraId="4C99D206">
            <w:pPr>
              <w:pStyle w:val="19"/>
              <w:spacing w:before="120" w:after="120"/>
            </w:pPr>
            <w:r>
              <w:rPr>
                <w:rFonts w:hint="eastAsia"/>
              </w:rPr>
              <w:t>罐装</w:t>
            </w:r>
          </w:p>
        </w:tc>
        <w:tc>
          <w:tcPr>
            <w:tcW w:w="1693" w:type="dxa"/>
            <w:tcBorders>
              <w:tl2br w:val="nil"/>
              <w:tr2bl w:val="nil"/>
            </w:tcBorders>
            <w:vAlign w:val="center"/>
          </w:tcPr>
          <w:p w14:paraId="6DD4FB2B">
            <w:pPr>
              <w:pStyle w:val="19"/>
              <w:spacing w:before="120" w:after="120"/>
            </w:pPr>
            <w:r>
              <w:rPr>
                <w:rFonts w:hint="eastAsia"/>
              </w:rPr>
              <w:t>30</w:t>
            </w:r>
          </w:p>
        </w:tc>
        <w:tc>
          <w:tcPr>
            <w:tcW w:w="802" w:type="pct"/>
            <w:tcBorders>
              <w:tl2br w:val="nil"/>
              <w:tr2bl w:val="nil"/>
            </w:tcBorders>
            <w:vAlign w:val="center"/>
          </w:tcPr>
          <w:p w14:paraId="73F5066E">
            <w:pPr>
              <w:pStyle w:val="19"/>
              <w:spacing w:before="120" w:after="120"/>
            </w:pPr>
            <w:r>
              <w:rPr>
                <w:rFonts w:hint="eastAsia"/>
              </w:rPr>
              <w:t>108-05-4</w:t>
            </w:r>
          </w:p>
        </w:tc>
      </w:tr>
      <w:tr w14:paraId="0E2E95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19D1EA9F">
            <w:pPr>
              <w:pStyle w:val="19"/>
              <w:spacing w:before="120" w:after="120"/>
            </w:pPr>
          </w:p>
        </w:tc>
        <w:tc>
          <w:tcPr>
            <w:tcW w:w="878" w:type="pct"/>
            <w:tcBorders>
              <w:tl2br w:val="nil"/>
              <w:tr2bl w:val="nil"/>
            </w:tcBorders>
            <w:vAlign w:val="center"/>
          </w:tcPr>
          <w:p w14:paraId="304C06FE">
            <w:pPr>
              <w:pStyle w:val="19"/>
              <w:spacing w:before="120" w:after="120"/>
            </w:pPr>
            <w:r>
              <w:rPr>
                <w:rFonts w:hint="eastAsia"/>
              </w:rPr>
              <w:t>硫化钠</w:t>
            </w:r>
          </w:p>
        </w:tc>
        <w:tc>
          <w:tcPr>
            <w:tcW w:w="678" w:type="pct"/>
            <w:vMerge w:val="continue"/>
            <w:tcBorders>
              <w:tl2br w:val="nil"/>
              <w:tr2bl w:val="nil"/>
            </w:tcBorders>
            <w:vAlign w:val="center"/>
          </w:tcPr>
          <w:p w14:paraId="7E4334E3">
            <w:pPr>
              <w:pStyle w:val="19"/>
              <w:spacing w:before="120" w:after="120"/>
            </w:pPr>
          </w:p>
        </w:tc>
        <w:tc>
          <w:tcPr>
            <w:tcW w:w="832" w:type="dxa"/>
            <w:tcBorders>
              <w:tl2br w:val="nil"/>
              <w:tr2bl w:val="nil"/>
            </w:tcBorders>
            <w:vAlign w:val="center"/>
          </w:tcPr>
          <w:p w14:paraId="6CD3DF2D">
            <w:pPr>
              <w:pStyle w:val="19"/>
              <w:spacing w:before="120" w:after="120"/>
            </w:pPr>
            <w:r>
              <w:rPr>
                <w:rFonts w:hint="eastAsia"/>
              </w:rPr>
              <w:t>固体</w:t>
            </w:r>
          </w:p>
        </w:tc>
        <w:tc>
          <w:tcPr>
            <w:tcW w:w="1338" w:type="dxa"/>
            <w:tcBorders>
              <w:tl2br w:val="nil"/>
              <w:tr2bl w:val="nil"/>
            </w:tcBorders>
            <w:vAlign w:val="center"/>
          </w:tcPr>
          <w:p w14:paraId="22681B26">
            <w:pPr>
              <w:pStyle w:val="19"/>
              <w:spacing w:before="120" w:after="120"/>
            </w:pPr>
            <w:r>
              <w:rPr>
                <w:rFonts w:hint="eastAsia"/>
              </w:rPr>
              <w:t>槽车</w:t>
            </w:r>
          </w:p>
        </w:tc>
        <w:tc>
          <w:tcPr>
            <w:tcW w:w="1693" w:type="dxa"/>
            <w:tcBorders>
              <w:tl2br w:val="nil"/>
              <w:tr2bl w:val="nil"/>
            </w:tcBorders>
            <w:vAlign w:val="center"/>
          </w:tcPr>
          <w:p w14:paraId="4F1E2936">
            <w:pPr>
              <w:pStyle w:val="19"/>
              <w:spacing w:before="120" w:after="120"/>
            </w:pPr>
            <w:r>
              <w:rPr>
                <w:rFonts w:hint="eastAsia"/>
              </w:rPr>
              <w:t>30</w:t>
            </w:r>
          </w:p>
        </w:tc>
        <w:tc>
          <w:tcPr>
            <w:tcW w:w="802" w:type="pct"/>
            <w:tcBorders>
              <w:tl2br w:val="nil"/>
              <w:tr2bl w:val="nil"/>
            </w:tcBorders>
            <w:vAlign w:val="center"/>
          </w:tcPr>
          <w:p w14:paraId="5BA15029">
            <w:pPr>
              <w:pStyle w:val="19"/>
              <w:spacing w:before="120" w:after="120"/>
            </w:pPr>
            <w:r>
              <w:rPr>
                <w:rFonts w:hint="eastAsia"/>
              </w:rPr>
              <w:t>1313-82-2</w:t>
            </w:r>
          </w:p>
        </w:tc>
      </w:tr>
      <w:tr w14:paraId="1F5A53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restart"/>
            <w:tcBorders>
              <w:tl2br w:val="nil"/>
              <w:tr2bl w:val="nil"/>
            </w:tcBorders>
            <w:vAlign w:val="center"/>
          </w:tcPr>
          <w:p w14:paraId="2BA1AD6B">
            <w:pPr>
              <w:pStyle w:val="19"/>
              <w:spacing w:before="120" w:after="120"/>
            </w:pPr>
            <w:r>
              <w:rPr>
                <w:rFonts w:hint="eastAsia"/>
              </w:rPr>
              <w:t>其他</w:t>
            </w:r>
          </w:p>
        </w:tc>
        <w:tc>
          <w:tcPr>
            <w:tcW w:w="878" w:type="pct"/>
            <w:tcBorders>
              <w:tl2br w:val="nil"/>
              <w:tr2bl w:val="nil"/>
            </w:tcBorders>
            <w:vAlign w:val="center"/>
          </w:tcPr>
          <w:p w14:paraId="0B6DB9FF">
            <w:pPr>
              <w:pStyle w:val="19"/>
              <w:spacing w:before="120" w:after="120"/>
            </w:pPr>
            <w:r>
              <w:rPr>
                <w:rFonts w:hint="eastAsia"/>
              </w:rPr>
              <w:t>甲醇</w:t>
            </w:r>
          </w:p>
        </w:tc>
        <w:tc>
          <w:tcPr>
            <w:tcW w:w="678" w:type="pct"/>
            <w:vMerge w:val="restart"/>
            <w:tcBorders>
              <w:tl2br w:val="nil"/>
              <w:tr2bl w:val="nil"/>
            </w:tcBorders>
            <w:vAlign w:val="center"/>
          </w:tcPr>
          <w:p w14:paraId="1ED3CD5E">
            <w:pPr>
              <w:pStyle w:val="19"/>
              <w:spacing w:before="120" w:after="120"/>
            </w:pPr>
            <w:r>
              <w:rPr>
                <w:rFonts w:hint="eastAsia"/>
              </w:rPr>
              <w:t>6个车位</w:t>
            </w:r>
          </w:p>
        </w:tc>
        <w:tc>
          <w:tcPr>
            <w:tcW w:w="832" w:type="dxa"/>
            <w:tcBorders>
              <w:tl2br w:val="nil"/>
              <w:tr2bl w:val="nil"/>
            </w:tcBorders>
            <w:vAlign w:val="center"/>
          </w:tcPr>
          <w:p w14:paraId="576C2F38">
            <w:pPr>
              <w:pStyle w:val="19"/>
              <w:spacing w:before="120" w:after="120"/>
            </w:pPr>
            <w:r>
              <w:rPr>
                <w:rFonts w:hint="eastAsia"/>
              </w:rPr>
              <w:t>液体</w:t>
            </w:r>
          </w:p>
        </w:tc>
        <w:tc>
          <w:tcPr>
            <w:tcW w:w="1338" w:type="dxa"/>
            <w:tcBorders>
              <w:tl2br w:val="nil"/>
              <w:tr2bl w:val="nil"/>
            </w:tcBorders>
            <w:vAlign w:val="center"/>
          </w:tcPr>
          <w:p w14:paraId="165ABE33">
            <w:pPr>
              <w:pStyle w:val="19"/>
              <w:spacing w:before="120" w:after="120"/>
            </w:pPr>
            <w:r>
              <w:rPr>
                <w:rFonts w:hint="eastAsia"/>
              </w:rPr>
              <w:t>罐装</w:t>
            </w:r>
          </w:p>
        </w:tc>
        <w:tc>
          <w:tcPr>
            <w:tcW w:w="934" w:type="pct"/>
            <w:tcBorders>
              <w:tl2br w:val="nil"/>
              <w:tr2bl w:val="nil"/>
            </w:tcBorders>
            <w:vAlign w:val="center"/>
          </w:tcPr>
          <w:p w14:paraId="581D94D6">
            <w:pPr>
              <w:pStyle w:val="19"/>
              <w:spacing w:before="120" w:after="120"/>
            </w:pPr>
            <w:r>
              <w:rPr>
                <w:rFonts w:hint="eastAsia"/>
              </w:rPr>
              <w:t>30</w:t>
            </w:r>
          </w:p>
        </w:tc>
        <w:tc>
          <w:tcPr>
            <w:tcW w:w="802" w:type="pct"/>
            <w:tcBorders>
              <w:tl2br w:val="nil"/>
              <w:tr2bl w:val="nil"/>
            </w:tcBorders>
            <w:vAlign w:val="center"/>
          </w:tcPr>
          <w:p w14:paraId="6CA9804F">
            <w:pPr>
              <w:pStyle w:val="19"/>
              <w:spacing w:before="120" w:after="120"/>
            </w:pPr>
            <w:r>
              <w:rPr>
                <w:rFonts w:hint="eastAsia"/>
              </w:rPr>
              <w:t>67-56-1</w:t>
            </w:r>
          </w:p>
        </w:tc>
      </w:tr>
      <w:tr w14:paraId="55D82D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352C47DD">
            <w:pPr>
              <w:pStyle w:val="19"/>
              <w:spacing w:before="120" w:after="120"/>
            </w:pPr>
          </w:p>
        </w:tc>
        <w:tc>
          <w:tcPr>
            <w:tcW w:w="878" w:type="pct"/>
            <w:tcBorders>
              <w:tl2br w:val="nil"/>
              <w:tr2bl w:val="nil"/>
            </w:tcBorders>
            <w:vAlign w:val="center"/>
          </w:tcPr>
          <w:p w14:paraId="5C448F59">
            <w:pPr>
              <w:pStyle w:val="19"/>
              <w:spacing w:before="120" w:after="120"/>
            </w:pPr>
            <w:r>
              <w:rPr>
                <w:rFonts w:hint="eastAsia"/>
              </w:rPr>
              <w:t>乙醛</w:t>
            </w:r>
          </w:p>
        </w:tc>
        <w:tc>
          <w:tcPr>
            <w:tcW w:w="678" w:type="pct"/>
            <w:vMerge w:val="continue"/>
            <w:tcBorders>
              <w:tl2br w:val="nil"/>
              <w:tr2bl w:val="nil"/>
            </w:tcBorders>
            <w:vAlign w:val="center"/>
          </w:tcPr>
          <w:p w14:paraId="330908C6">
            <w:pPr>
              <w:pStyle w:val="19"/>
              <w:spacing w:before="120" w:after="120"/>
            </w:pPr>
          </w:p>
        </w:tc>
        <w:tc>
          <w:tcPr>
            <w:tcW w:w="832" w:type="dxa"/>
            <w:tcBorders>
              <w:tl2br w:val="nil"/>
              <w:tr2bl w:val="nil"/>
            </w:tcBorders>
            <w:vAlign w:val="center"/>
          </w:tcPr>
          <w:p w14:paraId="7A2A0598">
            <w:pPr>
              <w:pStyle w:val="19"/>
              <w:spacing w:before="120" w:after="120"/>
            </w:pPr>
            <w:r>
              <w:rPr>
                <w:rFonts w:hint="eastAsia"/>
              </w:rPr>
              <w:t>液体</w:t>
            </w:r>
          </w:p>
        </w:tc>
        <w:tc>
          <w:tcPr>
            <w:tcW w:w="1338" w:type="dxa"/>
            <w:tcBorders>
              <w:tl2br w:val="nil"/>
              <w:tr2bl w:val="nil"/>
            </w:tcBorders>
            <w:vAlign w:val="center"/>
          </w:tcPr>
          <w:p w14:paraId="2918CC5D">
            <w:pPr>
              <w:pStyle w:val="19"/>
              <w:spacing w:before="120" w:after="120"/>
            </w:pPr>
            <w:r>
              <w:rPr>
                <w:rFonts w:hint="eastAsia"/>
              </w:rPr>
              <w:t>罐装</w:t>
            </w:r>
          </w:p>
        </w:tc>
        <w:tc>
          <w:tcPr>
            <w:tcW w:w="934" w:type="pct"/>
            <w:tcBorders>
              <w:tl2br w:val="nil"/>
              <w:tr2bl w:val="nil"/>
            </w:tcBorders>
            <w:vAlign w:val="center"/>
          </w:tcPr>
          <w:p w14:paraId="3E0CBDCC">
            <w:pPr>
              <w:pStyle w:val="19"/>
              <w:spacing w:before="120" w:after="120"/>
            </w:pPr>
            <w:r>
              <w:rPr>
                <w:rFonts w:hint="eastAsia"/>
              </w:rPr>
              <w:t>30</w:t>
            </w:r>
          </w:p>
        </w:tc>
        <w:tc>
          <w:tcPr>
            <w:tcW w:w="802" w:type="pct"/>
            <w:tcBorders>
              <w:tl2br w:val="nil"/>
              <w:tr2bl w:val="nil"/>
            </w:tcBorders>
            <w:vAlign w:val="center"/>
          </w:tcPr>
          <w:p w14:paraId="621B7E90">
            <w:pPr>
              <w:pStyle w:val="19"/>
              <w:spacing w:before="120" w:after="120"/>
            </w:pPr>
            <w:r>
              <w:rPr>
                <w:rFonts w:hint="eastAsia"/>
              </w:rPr>
              <w:t>75-07-0</w:t>
            </w:r>
          </w:p>
        </w:tc>
      </w:tr>
      <w:tr w14:paraId="2E672F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7A113F9A">
            <w:pPr>
              <w:pStyle w:val="19"/>
              <w:spacing w:before="120" w:after="120"/>
            </w:pPr>
          </w:p>
        </w:tc>
        <w:tc>
          <w:tcPr>
            <w:tcW w:w="878" w:type="pct"/>
            <w:tcBorders>
              <w:tl2br w:val="nil"/>
              <w:tr2bl w:val="nil"/>
            </w:tcBorders>
            <w:vAlign w:val="center"/>
          </w:tcPr>
          <w:p w14:paraId="33C40A8C">
            <w:pPr>
              <w:pStyle w:val="19"/>
              <w:spacing w:before="120" w:after="120"/>
            </w:pPr>
            <w:r>
              <w:rPr>
                <w:rFonts w:hint="eastAsia"/>
              </w:rPr>
              <w:t>乙酸</w:t>
            </w:r>
          </w:p>
        </w:tc>
        <w:tc>
          <w:tcPr>
            <w:tcW w:w="678" w:type="pct"/>
            <w:vMerge w:val="continue"/>
            <w:tcBorders>
              <w:tl2br w:val="nil"/>
              <w:tr2bl w:val="nil"/>
            </w:tcBorders>
            <w:vAlign w:val="center"/>
          </w:tcPr>
          <w:p w14:paraId="4F36F865">
            <w:pPr>
              <w:pStyle w:val="19"/>
              <w:spacing w:before="120" w:after="120"/>
            </w:pPr>
          </w:p>
        </w:tc>
        <w:tc>
          <w:tcPr>
            <w:tcW w:w="832" w:type="dxa"/>
            <w:tcBorders>
              <w:tl2br w:val="nil"/>
              <w:tr2bl w:val="nil"/>
            </w:tcBorders>
            <w:vAlign w:val="center"/>
          </w:tcPr>
          <w:p w14:paraId="3BF3B0B4">
            <w:pPr>
              <w:pStyle w:val="19"/>
              <w:spacing w:before="120" w:after="120"/>
            </w:pPr>
            <w:r>
              <w:rPr>
                <w:rFonts w:hint="eastAsia"/>
              </w:rPr>
              <w:t>液体</w:t>
            </w:r>
          </w:p>
        </w:tc>
        <w:tc>
          <w:tcPr>
            <w:tcW w:w="1338" w:type="dxa"/>
            <w:tcBorders>
              <w:tl2br w:val="nil"/>
              <w:tr2bl w:val="nil"/>
            </w:tcBorders>
            <w:vAlign w:val="center"/>
          </w:tcPr>
          <w:p w14:paraId="011AA30F">
            <w:pPr>
              <w:pStyle w:val="19"/>
              <w:spacing w:before="120" w:after="120"/>
            </w:pPr>
            <w:r>
              <w:rPr>
                <w:rFonts w:hint="eastAsia"/>
              </w:rPr>
              <w:t>罐装</w:t>
            </w:r>
          </w:p>
        </w:tc>
        <w:tc>
          <w:tcPr>
            <w:tcW w:w="934" w:type="pct"/>
            <w:tcBorders>
              <w:tl2br w:val="nil"/>
              <w:tr2bl w:val="nil"/>
            </w:tcBorders>
            <w:vAlign w:val="center"/>
          </w:tcPr>
          <w:p w14:paraId="08755DE9">
            <w:pPr>
              <w:pStyle w:val="19"/>
              <w:spacing w:before="120" w:after="120"/>
            </w:pPr>
            <w:r>
              <w:rPr>
                <w:rFonts w:hint="eastAsia"/>
              </w:rPr>
              <w:t>30</w:t>
            </w:r>
          </w:p>
        </w:tc>
        <w:tc>
          <w:tcPr>
            <w:tcW w:w="802" w:type="pct"/>
            <w:tcBorders>
              <w:tl2br w:val="nil"/>
              <w:tr2bl w:val="nil"/>
            </w:tcBorders>
            <w:vAlign w:val="center"/>
          </w:tcPr>
          <w:p w14:paraId="7ED0FA49">
            <w:pPr>
              <w:pStyle w:val="19"/>
              <w:spacing w:before="120" w:after="120"/>
            </w:pPr>
            <w:r>
              <w:rPr>
                <w:rFonts w:hint="eastAsia"/>
              </w:rPr>
              <w:t>64-19-7</w:t>
            </w:r>
          </w:p>
        </w:tc>
      </w:tr>
      <w:tr w14:paraId="239F7A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03CFF308">
            <w:pPr>
              <w:pStyle w:val="19"/>
              <w:spacing w:before="120" w:after="120"/>
            </w:pPr>
          </w:p>
        </w:tc>
        <w:tc>
          <w:tcPr>
            <w:tcW w:w="878" w:type="pct"/>
            <w:tcBorders>
              <w:tl2br w:val="nil"/>
              <w:tr2bl w:val="nil"/>
            </w:tcBorders>
            <w:vAlign w:val="center"/>
          </w:tcPr>
          <w:p w14:paraId="573439FF">
            <w:pPr>
              <w:pStyle w:val="19"/>
              <w:spacing w:before="120" w:after="120"/>
            </w:pPr>
            <w:r>
              <w:t>硝酸</w:t>
            </w:r>
          </w:p>
        </w:tc>
        <w:tc>
          <w:tcPr>
            <w:tcW w:w="678" w:type="pct"/>
            <w:vMerge w:val="continue"/>
            <w:tcBorders>
              <w:tl2br w:val="nil"/>
              <w:tr2bl w:val="nil"/>
            </w:tcBorders>
            <w:vAlign w:val="center"/>
          </w:tcPr>
          <w:p w14:paraId="2B38B1C9">
            <w:pPr>
              <w:pStyle w:val="19"/>
              <w:spacing w:before="120" w:after="120"/>
            </w:pPr>
          </w:p>
        </w:tc>
        <w:tc>
          <w:tcPr>
            <w:tcW w:w="936" w:type="dxa"/>
            <w:tcBorders>
              <w:tl2br w:val="nil"/>
              <w:tr2bl w:val="nil"/>
            </w:tcBorders>
            <w:vAlign w:val="center"/>
          </w:tcPr>
          <w:p w14:paraId="3D2D9D1F">
            <w:pPr>
              <w:pStyle w:val="19"/>
              <w:spacing w:before="120" w:after="120"/>
            </w:pPr>
            <w:r>
              <w:rPr>
                <w:rFonts w:hint="eastAsia"/>
              </w:rPr>
              <w:t>液体</w:t>
            </w:r>
          </w:p>
        </w:tc>
        <w:tc>
          <w:tcPr>
            <w:tcW w:w="1321" w:type="dxa"/>
            <w:tcBorders>
              <w:tl2br w:val="nil"/>
              <w:tr2bl w:val="nil"/>
            </w:tcBorders>
            <w:vAlign w:val="center"/>
          </w:tcPr>
          <w:p w14:paraId="2F9CF22D">
            <w:pPr>
              <w:pStyle w:val="19"/>
              <w:spacing w:before="120" w:after="120"/>
            </w:pPr>
            <w:r>
              <w:rPr>
                <w:rFonts w:hint="eastAsia"/>
              </w:rPr>
              <w:t>罐装</w:t>
            </w:r>
          </w:p>
        </w:tc>
        <w:tc>
          <w:tcPr>
            <w:tcW w:w="934" w:type="pct"/>
            <w:tcBorders>
              <w:tl2br w:val="nil"/>
              <w:tr2bl w:val="nil"/>
            </w:tcBorders>
            <w:vAlign w:val="center"/>
          </w:tcPr>
          <w:p w14:paraId="3FECFDE8">
            <w:pPr>
              <w:pStyle w:val="19"/>
              <w:spacing w:before="120" w:after="120"/>
            </w:pPr>
            <w:r>
              <w:rPr>
                <w:rFonts w:hint="eastAsia"/>
              </w:rPr>
              <w:t>30</w:t>
            </w:r>
          </w:p>
        </w:tc>
        <w:tc>
          <w:tcPr>
            <w:tcW w:w="802" w:type="pct"/>
            <w:tcBorders>
              <w:tl2br w:val="nil"/>
              <w:tr2bl w:val="nil"/>
            </w:tcBorders>
            <w:vAlign w:val="center"/>
          </w:tcPr>
          <w:p w14:paraId="1E9664C6">
            <w:pPr>
              <w:pStyle w:val="19"/>
              <w:spacing w:before="120" w:after="120"/>
            </w:pPr>
            <w:r>
              <w:rPr>
                <w:rFonts w:hint="eastAsia"/>
              </w:rPr>
              <w:t>7697-37-2</w:t>
            </w:r>
          </w:p>
        </w:tc>
      </w:tr>
      <w:tr w14:paraId="6B5B71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24D4BBD4">
            <w:pPr>
              <w:pStyle w:val="19"/>
              <w:spacing w:before="120" w:after="120"/>
            </w:pPr>
          </w:p>
        </w:tc>
        <w:tc>
          <w:tcPr>
            <w:tcW w:w="878" w:type="pct"/>
            <w:tcBorders>
              <w:tl2br w:val="nil"/>
              <w:tr2bl w:val="nil"/>
            </w:tcBorders>
            <w:vAlign w:val="center"/>
          </w:tcPr>
          <w:p w14:paraId="45DCB5F2">
            <w:pPr>
              <w:pStyle w:val="19"/>
              <w:spacing w:before="120" w:after="120"/>
            </w:pPr>
            <w:r>
              <w:rPr>
                <w:rFonts w:hint="eastAsia"/>
              </w:rPr>
              <w:t>硫酸</w:t>
            </w:r>
          </w:p>
        </w:tc>
        <w:tc>
          <w:tcPr>
            <w:tcW w:w="678" w:type="pct"/>
            <w:vMerge w:val="continue"/>
            <w:tcBorders>
              <w:tl2br w:val="nil"/>
              <w:tr2bl w:val="nil"/>
            </w:tcBorders>
            <w:vAlign w:val="center"/>
          </w:tcPr>
          <w:p w14:paraId="6EF5CA1E">
            <w:pPr>
              <w:pStyle w:val="19"/>
              <w:spacing w:before="120" w:after="120"/>
            </w:pPr>
          </w:p>
        </w:tc>
        <w:tc>
          <w:tcPr>
            <w:tcW w:w="832" w:type="dxa"/>
            <w:tcBorders>
              <w:tl2br w:val="nil"/>
              <w:tr2bl w:val="nil"/>
            </w:tcBorders>
            <w:vAlign w:val="center"/>
          </w:tcPr>
          <w:p w14:paraId="3994EC96">
            <w:pPr>
              <w:pStyle w:val="19"/>
              <w:spacing w:before="120" w:after="120"/>
            </w:pPr>
            <w:r>
              <w:rPr>
                <w:rFonts w:hint="eastAsia"/>
              </w:rPr>
              <w:t>液体</w:t>
            </w:r>
          </w:p>
        </w:tc>
        <w:tc>
          <w:tcPr>
            <w:tcW w:w="1338" w:type="dxa"/>
            <w:tcBorders>
              <w:tl2br w:val="nil"/>
              <w:tr2bl w:val="nil"/>
            </w:tcBorders>
            <w:vAlign w:val="center"/>
          </w:tcPr>
          <w:p w14:paraId="4BC1F2BC">
            <w:pPr>
              <w:pStyle w:val="19"/>
              <w:spacing w:before="120" w:after="120"/>
            </w:pPr>
            <w:r>
              <w:rPr>
                <w:rFonts w:hint="eastAsia"/>
              </w:rPr>
              <w:t>罐装</w:t>
            </w:r>
          </w:p>
        </w:tc>
        <w:tc>
          <w:tcPr>
            <w:tcW w:w="934" w:type="pct"/>
            <w:tcBorders>
              <w:tl2br w:val="nil"/>
              <w:tr2bl w:val="nil"/>
            </w:tcBorders>
            <w:vAlign w:val="center"/>
          </w:tcPr>
          <w:p w14:paraId="760B325C">
            <w:pPr>
              <w:pStyle w:val="19"/>
              <w:spacing w:before="120" w:after="120"/>
            </w:pPr>
            <w:r>
              <w:rPr>
                <w:rFonts w:hint="eastAsia"/>
              </w:rPr>
              <w:t>30</w:t>
            </w:r>
          </w:p>
        </w:tc>
        <w:tc>
          <w:tcPr>
            <w:tcW w:w="802" w:type="pct"/>
            <w:tcBorders>
              <w:tl2br w:val="nil"/>
              <w:tr2bl w:val="nil"/>
            </w:tcBorders>
            <w:vAlign w:val="center"/>
          </w:tcPr>
          <w:p w14:paraId="67E5A3ED">
            <w:pPr>
              <w:pStyle w:val="19"/>
              <w:spacing w:before="120" w:after="120"/>
            </w:pPr>
            <w:r>
              <w:rPr>
                <w:rFonts w:hint="eastAsia"/>
              </w:rPr>
              <w:t>7664-93-9</w:t>
            </w:r>
          </w:p>
        </w:tc>
      </w:tr>
      <w:tr w14:paraId="7684D9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34F9C9D2">
            <w:pPr>
              <w:pStyle w:val="19"/>
              <w:spacing w:before="120" w:after="120"/>
            </w:pPr>
          </w:p>
        </w:tc>
        <w:tc>
          <w:tcPr>
            <w:tcW w:w="878" w:type="pct"/>
            <w:tcBorders>
              <w:tl2br w:val="nil"/>
              <w:tr2bl w:val="nil"/>
            </w:tcBorders>
            <w:vAlign w:val="center"/>
          </w:tcPr>
          <w:p w14:paraId="26E76DB0">
            <w:pPr>
              <w:pStyle w:val="19"/>
              <w:spacing w:before="120" w:after="120"/>
            </w:pPr>
            <w:r>
              <w:rPr>
                <w:rFonts w:hint="eastAsia"/>
              </w:rPr>
              <w:t>醋酸甲酯</w:t>
            </w:r>
          </w:p>
        </w:tc>
        <w:tc>
          <w:tcPr>
            <w:tcW w:w="678" w:type="pct"/>
            <w:vMerge w:val="continue"/>
            <w:tcBorders>
              <w:tl2br w:val="nil"/>
              <w:tr2bl w:val="nil"/>
            </w:tcBorders>
            <w:vAlign w:val="center"/>
          </w:tcPr>
          <w:p w14:paraId="26390BCB">
            <w:pPr>
              <w:pStyle w:val="19"/>
              <w:spacing w:before="120" w:after="120"/>
            </w:pPr>
          </w:p>
        </w:tc>
        <w:tc>
          <w:tcPr>
            <w:tcW w:w="832" w:type="dxa"/>
            <w:tcBorders>
              <w:tl2br w:val="nil"/>
              <w:tr2bl w:val="nil"/>
            </w:tcBorders>
            <w:vAlign w:val="center"/>
          </w:tcPr>
          <w:p w14:paraId="503DC749">
            <w:pPr>
              <w:pStyle w:val="19"/>
              <w:spacing w:before="120" w:after="120"/>
            </w:pPr>
            <w:r>
              <w:rPr>
                <w:rFonts w:hint="eastAsia"/>
              </w:rPr>
              <w:t>液体</w:t>
            </w:r>
          </w:p>
        </w:tc>
        <w:tc>
          <w:tcPr>
            <w:tcW w:w="1338" w:type="dxa"/>
            <w:tcBorders>
              <w:tl2br w:val="nil"/>
              <w:tr2bl w:val="nil"/>
            </w:tcBorders>
            <w:vAlign w:val="center"/>
          </w:tcPr>
          <w:p w14:paraId="0E56E664">
            <w:pPr>
              <w:pStyle w:val="19"/>
              <w:spacing w:before="120" w:after="120"/>
            </w:pPr>
            <w:r>
              <w:rPr>
                <w:rFonts w:hint="eastAsia"/>
              </w:rPr>
              <w:t>罐装</w:t>
            </w:r>
          </w:p>
        </w:tc>
        <w:tc>
          <w:tcPr>
            <w:tcW w:w="934" w:type="pct"/>
            <w:tcBorders>
              <w:tl2br w:val="nil"/>
              <w:tr2bl w:val="nil"/>
            </w:tcBorders>
            <w:vAlign w:val="center"/>
          </w:tcPr>
          <w:p w14:paraId="0FEF3362">
            <w:pPr>
              <w:pStyle w:val="19"/>
              <w:spacing w:before="120" w:after="120"/>
            </w:pPr>
            <w:r>
              <w:rPr>
                <w:rFonts w:hint="eastAsia"/>
              </w:rPr>
              <w:t>30</w:t>
            </w:r>
          </w:p>
        </w:tc>
        <w:tc>
          <w:tcPr>
            <w:tcW w:w="802" w:type="pct"/>
            <w:tcBorders>
              <w:tl2br w:val="nil"/>
              <w:tr2bl w:val="nil"/>
            </w:tcBorders>
            <w:vAlign w:val="center"/>
          </w:tcPr>
          <w:p w14:paraId="6362D711">
            <w:pPr>
              <w:pStyle w:val="19"/>
              <w:spacing w:before="120" w:after="120"/>
            </w:pPr>
            <w:r>
              <w:rPr>
                <w:rFonts w:hint="eastAsia"/>
              </w:rPr>
              <w:t>79-20-9</w:t>
            </w:r>
          </w:p>
        </w:tc>
      </w:tr>
      <w:tr w14:paraId="54AC9E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084DE507">
            <w:pPr>
              <w:pStyle w:val="19"/>
              <w:spacing w:before="120" w:after="120"/>
            </w:pPr>
          </w:p>
        </w:tc>
        <w:tc>
          <w:tcPr>
            <w:tcW w:w="878" w:type="pct"/>
            <w:tcBorders>
              <w:tl2br w:val="nil"/>
              <w:tr2bl w:val="nil"/>
            </w:tcBorders>
            <w:vAlign w:val="center"/>
          </w:tcPr>
          <w:p w14:paraId="19709F81">
            <w:pPr>
              <w:pStyle w:val="19"/>
              <w:spacing w:before="120" w:after="120"/>
            </w:pPr>
            <w:r>
              <w:t>亚硫酸氢钠</w:t>
            </w:r>
          </w:p>
        </w:tc>
        <w:tc>
          <w:tcPr>
            <w:tcW w:w="678" w:type="pct"/>
            <w:vMerge w:val="continue"/>
            <w:tcBorders>
              <w:tl2br w:val="nil"/>
              <w:tr2bl w:val="nil"/>
            </w:tcBorders>
            <w:vAlign w:val="center"/>
          </w:tcPr>
          <w:p w14:paraId="389F4F6B">
            <w:pPr>
              <w:pStyle w:val="19"/>
              <w:spacing w:before="120" w:after="120"/>
            </w:pPr>
          </w:p>
        </w:tc>
        <w:tc>
          <w:tcPr>
            <w:tcW w:w="832" w:type="dxa"/>
            <w:tcBorders>
              <w:tl2br w:val="nil"/>
              <w:tr2bl w:val="nil"/>
            </w:tcBorders>
            <w:vAlign w:val="center"/>
          </w:tcPr>
          <w:p w14:paraId="38F075C9">
            <w:pPr>
              <w:pStyle w:val="19"/>
              <w:spacing w:before="120" w:after="120"/>
            </w:pPr>
            <w:r>
              <w:rPr>
                <w:rFonts w:hint="eastAsia"/>
              </w:rPr>
              <w:t>固体</w:t>
            </w:r>
          </w:p>
        </w:tc>
        <w:tc>
          <w:tcPr>
            <w:tcW w:w="1338" w:type="dxa"/>
            <w:tcBorders>
              <w:tl2br w:val="nil"/>
              <w:tr2bl w:val="nil"/>
            </w:tcBorders>
            <w:vAlign w:val="center"/>
          </w:tcPr>
          <w:p w14:paraId="49B5D4E3">
            <w:pPr>
              <w:pStyle w:val="19"/>
              <w:spacing w:before="120" w:after="120"/>
            </w:pPr>
            <w:r>
              <w:rPr>
                <w:rFonts w:hint="eastAsia"/>
              </w:rPr>
              <w:t>槽车</w:t>
            </w:r>
          </w:p>
        </w:tc>
        <w:tc>
          <w:tcPr>
            <w:tcW w:w="934" w:type="pct"/>
            <w:tcBorders>
              <w:tl2br w:val="nil"/>
              <w:tr2bl w:val="nil"/>
            </w:tcBorders>
            <w:vAlign w:val="center"/>
          </w:tcPr>
          <w:p w14:paraId="2CC8B429">
            <w:pPr>
              <w:pStyle w:val="19"/>
              <w:spacing w:before="120" w:after="120"/>
            </w:pPr>
            <w:r>
              <w:rPr>
                <w:rFonts w:hint="eastAsia"/>
              </w:rPr>
              <w:t>30</w:t>
            </w:r>
          </w:p>
        </w:tc>
        <w:tc>
          <w:tcPr>
            <w:tcW w:w="802" w:type="pct"/>
            <w:tcBorders>
              <w:tl2br w:val="nil"/>
              <w:tr2bl w:val="nil"/>
            </w:tcBorders>
            <w:vAlign w:val="center"/>
          </w:tcPr>
          <w:p w14:paraId="45DB9EA4">
            <w:pPr>
              <w:pStyle w:val="19"/>
              <w:spacing w:before="120" w:after="120"/>
            </w:pPr>
            <w:r>
              <w:rPr>
                <w:rFonts w:hint="eastAsia"/>
              </w:rPr>
              <w:t>7631-90-5</w:t>
            </w:r>
          </w:p>
        </w:tc>
      </w:tr>
      <w:tr w14:paraId="6DFF6D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6E461711">
            <w:pPr>
              <w:pStyle w:val="19"/>
              <w:spacing w:before="120" w:after="120"/>
            </w:pPr>
          </w:p>
        </w:tc>
        <w:tc>
          <w:tcPr>
            <w:tcW w:w="878" w:type="pct"/>
            <w:tcBorders>
              <w:tl2br w:val="nil"/>
              <w:tr2bl w:val="nil"/>
            </w:tcBorders>
            <w:vAlign w:val="center"/>
          </w:tcPr>
          <w:p w14:paraId="3E09C1AB">
            <w:pPr>
              <w:pStyle w:val="19"/>
              <w:spacing w:before="120" w:after="120"/>
            </w:pPr>
            <w:r>
              <w:rPr>
                <w:rFonts w:hint="eastAsia"/>
              </w:rPr>
              <w:t>连二亚硫酸钠</w:t>
            </w:r>
          </w:p>
        </w:tc>
        <w:tc>
          <w:tcPr>
            <w:tcW w:w="678" w:type="pct"/>
            <w:vMerge w:val="continue"/>
            <w:tcBorders>
              <w:tl2br w:val="nil"/>
              <w:tr2bl w:val="nil"/>
            </w:tcBorders>
            <w:vAlign w:val="center"/>
          </w:tcPr>
          <w:p w14:paraId="04EA3C1B">
            <w:pPr>
              <w:pStyle w:val="19"/>
              <w:spacing w:before="120" w:after="120"/>
            </w:pPr>
          </w:p>
        </w:tc>
        <w:tc>
          <w:tcPr>
            <w:tcW w:w="832" w:type="dxa"/>
            <w:tcBorders>
              <w:tl2br w:val="nil"/>
              <w:tr2bl w:val="nil"/>
            </w:tcBorders>
            <w:vAlign w:val="center"/>
          </w:tcPr>
          <w:p w14:paraId="67678DCD">
            <w:pPr>
              <w:pStyle w:val="19"/>
              <w:spacing w:before="120" w:after="120"/>
            </w:pPr>
            <w:r>
              <w:rPr>
                <w:rFonts w:hint="eastAsia"/>
              </w:rPr>
              <w:t>固体</w:t>
            </w:r>
          </w:p>
        </w:tc>
        <w:tc>
          <w:tcPr>
            <w:tcW w:w="1338" w:type="dxa"/>
            <w:tcBorders>
              <w:tl2br w:val="nil"/>
              <w:tr2bl w:val="nil"/>
            </w:tcBorders>
            <w:vAlign w:val="center"/>
          </w:tcPr>
          <w:p w14:paraId="318CEE39">
            <w:pPr>
              <w:pStyle w:val="19"/>
              <w:spacing w:before="120" w:after="120"/>
            </w:pPr>
            <w:r>
              <w:rPr>
                <w:rFonts w:hint="eastAsia"/>
              </w:rPr>
              <w:t>槽车</w:t>
            </w:r>
          </w:p>
        </w:tc>
        <w:tc>
          <w:tcPr>
            <w:tcW w:w="934" w:type="pct"/>
            <w:tcBorders>
              <w:tl2br w:val="nil"/>
              <w:tr2bl w:val="nil"/>
            </w:tcBorders>
            <w:vAlign w:val="center"/>
          </w:tcPr>
          <w:p w14:paraId="6C5E104A">
            <w:pPr>
              <w:pStyle w:val="19"/>
              <w:spacing w:before="120" w:after="120"/>
            </w:pPr>
            <w:r>
              <w:rPr>
                <w:rFonts w:hint="eastAsia"/>
              </w:rPr>
              <w:t>30</w:t>
            </w:r>
          </w:p>
        </w:tc>
        <w:tc>
          <w:tcPr>
            <w:tcW w:w="802" w:type="pct"/>
            <w:tcBorders>
              <w:tl2br w:val="nil"/>
              <w:tr2bl w:val="nil"/>
            </w:tcBorders>
            <w:vAlign w:val="center"/>
          </w:tcPr>
          <w:p w14:paraId="4E68AA79">
            <w:pPr>
              <w:pStyle w:val="19"/>
              <w:spacing w:before="120" w:after="120"/>
            </w:pPr>
            <w:r>
              <w:rPr>
                <w:rFonts w:hint="eastAsia"/>
              </w:rPr>
              <w:t>7775-14-6</w:t>
            </w:r>
          </w:p>
        </w:tc>
      </w:tr>
      <w:tr w14:paraId="66AEEC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32E0056F">
            <w:pPr>
              <w:pStyle w:val="19"/>
              <w:spacing w:before="120" w:after="120"/>
            </w:pPr>
          </w:p>
        </w:tc>
        <w:tc>
          <w:tcPr>
            <w:tcW w:w="878" w:type="pct"/>
            <w:tcBorders>
              <w:tl2br w:val="nil"/>
              <w:tr2bl w:val="nil"/>
            </w:tcBorders>
            <w:vAlign w:val="center"/>
          </w:tcPr>
          <w:p w14:paraId="14B89F08">
            <w:pPr>
              <w:pStyle w:val="19"/>
              <w:spacing w:before="120" w:after="120"/>
            </w:pPr>
            <w:r>
              <w:t>氢氧化钠</w:t>
            </w:r>
          </w:p>
        </w:tc>
        <w:tc>
          <w:tcPr>
            <w:tcW w:w="678" w:type="pct"/>
            <w:vMerge w:val="continue"/>
            <w:tcBorders>
              <w:tl2br w:val="nil"/>
              <w:tr2bl w:val="nil"/>
            </w:tcBorders>
            <w:vAlign w:val="center"/>
          </w:tcPr>
          <w:p w14:paraId="4BF0D7E4">
            <w:pPr>
              <w:pStyle w:val="19"/>
              <w:spacing w:before="120" w:after="120"/>
            </w:pPr>
          </w:p>
        </w:tc>
        <w:tc>
          <w:tcPr>
            <w:tcW w:w="832" w:type="dxa"/>
            <w:tcBorders>
              <w:tl2br w:val="nil"/>
              <w:tr2bl w:val="nil"/>
            </w:tcBorders>
            <w:vAlign w:val="center"/>
          </w:tcPr>
          <w:p w14:paraId="049E2A73">
            <w:pPr>
              <w:pStyle w:val="19"/>
              <w:spacing w:before="120" w:after="120"/>
            </w:pPr>
            <w:r>
              <w:rPr>
                <w:rFonts w:hint="eastAsia"/>
              </w:rPr>
              <w:t>固体</w:t>
            </w:r>
          </w:p>
        </w:tc>
        <w:tc>
          <w:tcPr>
            <w:tcW w:w="1338" w:type="dxa"/>
            <w:tcBorders>
              <w:tl2br w:val="nil"/>
              <w:tr2bl w:val="nil"/>
            </w:tcBorders>
            <w:vAlign w:val="center"/>
          </w:tcPr>
          <w:p w14:paraId="5DF024AE">
            <w:pPr>
              <w:pStyle w:val="19"/>
              <w:spacing w:before="120" w:after="120"/>
            </w:pPr>
            <w:r>
              <w:rPr>
                <w:rFonts w:hint="eastAsia"/>
              </w:rPr>
              <w:t>槽车</w:t>
            </w:r>
          </w:p>
        </w:tc>
        <w:tc>
          <w:tcPr>
            <w:tcW w:w="934" w:type="pct"/>
            <w:tcBorders>
              <w:tl2br w:val="nil"/>
              <w:tr2bl w:val="nil"/>
            </w:tcBorders>
            <w:vAlign w:val="center"/>
          </w:tcPr>
          <w:p w14:paraId="256C010C">
            <w:pPr>
              <w:pStyle w:val="19"/>
              <w:spacing w:before="120" w:after="120"/>
            </w:pPr>
            <w:r>
              <w:rPr>
                <w:rFonts w:hint="eastAsia"/>
              </w:rPr>
              <w:t>30</w:t>
            </w:r>
          </w:p>
        </w:tc>
        <w:tc>
          <w:tcPr>
            <w:tcW w:w="1455" w:type="dxa"/>
            <w:tcBorders>
              <w:tl2br w:val="nil"/>
              <w:tr2bl w:val="nil"/>
            </w:tcBorders>
            <w:vAlign w:val="center"/>
          </w:tcPr>
          <w:p w14:paraId="1ACEA121">
            <w:pPr>
              <w:pStyle w:val="19"/>
              <w:spacing w:before="120" w:after="120"/>
            </w:pPr>
            <w:r>
              <w:rPr>
                <w:rFonts w:hint="eastAsia"/>
              </w:rPr>
              <w:t>1310-73-2</w:t>
            </w:r>
          </w:p>
        </w:tc>
      </w:tr>
      <w:tr w14:paraId="2A0BF3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156914F1">
            <w:pPr>
              <w:pStyle w:val="19"/>
              <w:spacing w:before="120" w:after="120"/>
            </w:pPr>
          </w:p>
        </w:tc>
        <w:tc>
          <w:tcPr>
            <w:tcW w:w="878" w:type="pct"/>
            <w:tcBorders>
              <w:tl2br w:val="nil"/>
              <w:tr2bl w:val="nil"/>
            </w:tcBorders>
            <w:vAlign w:val="center"/>
          </w:tcPr>
          <w:p w14:paraId="7DDC9FD6">
            <w:pPr>
              <w:pStyle w:val="19"/>
              <w:spacing w:before="120" w:after="120"/>
            </w:pPr>
            <w:r>
              <w:t>氢氧化钠</w:t>
            </w:r>
            <w:r>
              <w:rPr>
                <w:rFonts w:hint="eastAsia"/>
              </w:rPr>
              <w:t>溶液</w:t>
            </w:r>
          </w:p>
        </w:tc>
        <w:tc>
          <w:tcPr>
            <w:tcW w:w="678" w:type="pct"/>
            <w:vMerge w:val="continue"/>
            <w:tcBorders>
              <w:tl2br w:val="nil"/>
              <w:tr2bl w:val="nil"/>
            </w:tcBorders>
            <w:vAlign w:val="center"/>
          </w:tcPr>
          <w:p w14:paraId="39C03BF3">
            <w:pPr>
              <w:pStyle w:val="19"/>
              <w:spacing w:before="120" w:after="120"/>
            </w:pPr>
          </w:p>
        </w:tc>
        <w:tc>
          <w:tcPr>
            <w:tcW w:w="832" w:type="dxa"/>
            <w:tcBorders>
              <w:tl2br w:val="nil"/>
              <w:tr2bl w:val="nil"/>
            </w:tcBorders>
            <w:vAlign w:val="center"/>
          </w:tcPr>
          <w:p w14:paraId="55D5F6EF">
            <w:pPr>
              <w:pStyle w:val="19"/>
              <w:spacing w:before="120" w:after="120"/>
            </w:pPr>
            <w:r>
              <w:rPr>
                <w:rFonts w:hint="eastAsia"/>
              </w:rPr>
              <w:t>液体</w:t>
            </w:r>
          </w:p>
        </w:tc>
        <w:tc>
          <w:tcPr>
            <w:tcW w:w="1338" w:type="dxa"/>
            <w:tcBorders>
              <w:tl2br w:val="nil"/>
              <w:tr2bl w:val="nil"/>
            </w:tcBorders>
            <w:vAlign w:val="center"/>
          </w:tcPr>
          <w:p w14:paraId="29A0D30F">
            <w:pPr>
              <w:pStyle w:val="19"/>
              <w:spacing w:before="120" w:after="120"/>
            </w:pPr>
            <w:r>
              <w:rPr>
                <w:rFonts w:hint="eastAsia"/>
              </w:rPr>
              <w:t>罐装</w:t>
            </w:r>
          </w:p>
        </w:tc>
        <w:tc>
          <w:tcPr>
            <w:tcW w:w="934" w:type="pct"/>
            <w:tcBorders>
              <w:tl2br w:val="nil"/>
              <w:tr2bl w:val="nil"/>
            </w:tcBorders>
            <w:vAlign w:val="center"/>
          </w:tcPr>
          <w:p w14:paraId="28CB3259">
            <w:pPr>
              <w:pStyle w:val="19"/>
              <w:spacing w:before="120" w:after="120"/>
            </w:pPr>
            <w:r>
              <w:rPr>
                <w:rFonts w:hint="eastAsia"/>
              </w:rPr>
              <w:t>30</w:t>
            </w:r>
          </w:p>
        </w:tc>
        <w:tc>
          <w:tcPr>
            <w:tcW w:w="1455" w:type="dxa"/>
            <w:tcBorders>
              <w:tl2br w:val="nil"/>
              <w:tr2bl w:val="nil"/>
            </w:tcBorders>
            <w:vAlign w:val="center"/>
          </w:tcPr>
          <w:p w14:paraId="5AC30F3A">
            <w:pPr>
              <w:pStyle w:val="19"/>
              <w:spacing w:before="120" w:after="120"/>
            </w:pPr>
            <w:r>
              <w:rPr>
                <w:rFonts w:hint="eastAsia"/>
              </w:rPr>
              <w:t>1310-73-2</w:t>
            </w:r>
          </w:p>
        </w:tc>
      </w:tr>
      <w:tr w14:paraId="6BB212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5DB5091B">
            <w:pPr>
              <w:pStyle w:val="19"/>
              <w:spacing w:before="120" w:after="120"/>
            </w:pPr>
          </w:p>
        </w:tc>
        <w:tc>
          <w:tcPr>
            <w:tcW w:w="878" w:type="pct"/>
            <w:tcBorders>
              <w:tl2br w:val="nil"/>
              <w:tr2bl w:val="nil"/>
            </w:tcBorders>
            <w:vAlign w:val="center"/>
          </w:tcPr>
          <w:p w14:paraId="174217E2">
            <w:pPr>
              <w:pStyle w:val="19"/>
              <w:spacing w:before="120" w:after="120"/>
            </w:pPr>
            <w:r>
              <w:rPr>
                <w:rFonts w:hint="eastAsia"/>
              </w:rPr>
              <w:t>液氩</w:t>
            </w:r>
          </w:p>
        </w:tc>
        <w:tc>
          <w:tcPr>
            <w:tcW w:w="678" w:type="pct"/>
            <w:vMerge w:val="continue"/>
            <w:tcBorders>
              <w:tl2br w:val="nil"/>
              <w:tr2bl w:val="nil"/>
            </w:tcBorders>
            <w:vAlign w:val="center"/>
          </w:tcPr>
          <w:p w14:paraId="3561F503">
            <w:pPr>
              <w:pStyle w:val="19"/>
              <w:spacing w:before="120" w:after="120"/>
            </w:pPr>
          </w:p>
        </w:tc>
        <w:tc>
          <w:tcPr>
            <w:tcW w:w="832" w:type="dxa"/>
            <w:tcBorders>
              <w:tl2br w:val="nil"/>
              <w:tr2bl w:val="nil"/>
            </w:tcBorders>
            <w:vAlign w:val="center"/>
          </w:tcPr>
          <w:p w14:paraId="50A5DBFC">
            <w:pPr>
              <w:pStyle w:val="19"/>
              <w:spacing w:before="120" w:after="120"/>
            </w:pPr>
            <w:r>
              <w:rPr>
                <w:rFonts w:hint="eastAsia"/>
              </w:rPr>
              <w:t>液体</w:t>
            </w:r>
          </w:p>
        </w:tc>
        <w:tc>
          <w:tcPr>
            <w:tcW w:w="1338" w:type="dxa"/>
            <w:tcBorders>
              <w:tl2br w:val="nil"/>
              <w:tr2bl w:val="nil"/>
            </w:tcBorders>
            <w:vAlign w:val="center"/>
          </w:tcPr>
          <w:p w14:paraId="5D4FB992">
            <w:pPr>
              <w:pStyle w:val="19"/>
              <w:spacing w:before="120" w:after="120"/>
            </w:pPr>
            <w:r>
              <w:rPr>
                <w:rFonts w:hint="eastAsia"/>
              </w:rPr>
              <w:t>罐装</w:t>
            </w:r>
          </w:p>
        </w:tc>
        <w:tc>
          <w:tcPr>
            <w:tcW w:w="934" w:type="pct"/>
            <w:tcBorders>
              <w:tl2br w:val="nil"/>
              <w:tr2bl w:val="nil"/>
            </w:tcBorders>
            <w:vAlign w:val="center"/>
          </w:tcPr>
          <w:p w14:paraId="70CCEF65">
            <w:pPr>
              <w:pStyle w:val="19"/>
              <w:spacing w:before="120" w:after="120"/>
            </w:pPr>
            <w:r>
              <w:rPr>
                <w:rFonts w:hint="eastAsia"/>
              </w:rPr>
              <w:t>30</w:t>
            </w:r>
          </w:p>
        </w:tc>
        <w:tc>
          <w:tcPr>
            <w:tcW w:w="1455" w:type="dxa"/>
            <w:tcBorders>
              <w:tl2br w:val="nil"/>
              <w:tr2bl w:val="nil"/>
            </w:tcBorders>
            <w:vAlign w:val="center"/>
          </w:tcPr>
          <w:p w14:paraId="46DED1BC">
            <w:pPr>
              <w:pStyle w:val="19"/>
              <w:spacing w:beforeLines="0" w:afterLines="0"/>
            </w:pPr>
            <w:r>
              <w:rPr>
                <w:rFonts w:hint="eastAsia"/>
              </w:rPr>
              <w:t>7440-37-1</w:t>
            </w:r>
          </w:p>
        </w:tc>
      </w:tr>
      <w:tr w14:paraId="4927BE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4E1F95EB">
            <w:pPr>
              <w:pStyle w:val="19"/>
              <w:spacing w:before="120" w:after="120"/>
            </w:pPr>
          </w:p>
        </w:tc>
        <w:tc>
          <w:tcPr>
            <w:tcW w:w="878" w:type="pct"/>
            <w:tcBorders>
              <w:tl2br w:val="nil"/>
              <w:tr2bl w:val="nil"/>
            </w:tcBorders>
            <w:vAlign w:val="center"/>
          </w:tcPr>
          <w:p w14:paraId="13617740">
            <w:pPr>
              <w:pStyle w:val="19"/>
              <w:spacing w:before="120" w:after="120"/>
            </w:pPr>
            <w:r>
              <w:rPr>
                <w:rFonts w:hint="eastAsia"/>
              </w:rPr>
              <w:t>液氮</w:t>
            </w:r>
          </w:p>
        </w:tc>
        <w:tc>
          <w:tcPr>
            <w:tcW w:w="678" w:type="pct"/>
            <w:vMerge w:val="continue"/>
            <w:tcBorders>
              <w:tl2br w:val="nil"/>
              <w:tr2bl w:val="nil"/>
            </w:tcBorders>
            <w:vAlign w:val="center"/>
          </w:tcPr>
          <w:p w14:paraId="77A7B16B">
            <w:pPr>
              <w:pStyle w:val="19"/>
              <w:spacing w:before="120" w:after="120"/>
            </w:pPr>
          </w:p>
        </w:tc>
        <w:tc>
          <w:tcPr>
            <w:tcW w:w="832" w:type="dxa"/>
            <w:tcBorders>
              <w:tl2br w:val="nil"/>
              <w:tr2bl w:val="nil"/>
            </w:tcBorders>
            <w:vAlign w:val="center"/>
          </w:tcPr>
          <w:p w14:paraId="37A2CFC1">
            <w:pPr>
              <w:pStyle w:val="19"/>
              <w:spacing w:before="120" w:after="120"/>
            </w:pPr>
            <w:r>
              <w:rPr>
                <w:rFonts w:hint="eastAsia"/>
              </w:rPr>
              <w:t>液体</w:t>
            </w:r>
          </w:p>
        </w:tc>
        <w:tc>
          <w:tcPr>
            <w:tcW w:w="1338" w:type="dxa"/>
            <w:tcBorders>
              <w:tl2br w:val="nil"/>
              <w:tr2bl w:val="nil"/>
            </w:tcBorders>
            <w:vAlign w:val="center"/>
          </w:tcPr>
          <w:p w14:paraId="679BEFDF">
            <w:pPr>
              <w:pStyle w:val="19"/>
              <w:spacing w:before="120" w:after="120"/>
            </w:pPr>
            <w:r>
              <w:rPr>
                <w:rFonts w:hint="eastAsia"/>
              </w:rPr>
              <w:t>罐装</w:t>
            </w:r>
          </w:p>
        </w:tc>
        <w:tc>
          <w:tcPr>
            <w:tcW w:w="1693" w:type="dxa"/>
            <w:tcBorders>
              <w:tl2br w:val="nil"/>
              <w:tr2bl w:val="nil"/>
            </w:tcBorders>
            <w:vAlign w:val="center"/>
          </w:tcPr>
          <w:p w14:paraId="08E27FB3">
            <w:pPr>
              <w:pStyle w:val="19"/>
              <w:spacing w:before="120" w:after="120"/>
            </w:pPr>
            <w:r>
              <w:rPr>
                <w:rFonts w:hint="eastAsia"/>
              </w:rPr>
              <w:t>30</w:t>
            </w:r>
          </w:p>
        </w:tc>
        <w:tc>
          <w:tcPr>
            <w:tcW w:w="1455" w:type="dxa"/>
            <w:tcBorders>
              <w:tl2br w:val="nil"/>
              <w:tr2bl w:val="nil"/>
            </w:tcBorders>
            <w:vAlign w:val="center"/>
          </w:tcPr>
          <w:p w14:paraId="78BE2B8F">
            <w:pPr>
              <w:pStyle w:val="19"/>
              <w:spacing w:beforeLines="0" w:afterLines="0"/>
            </w:pPr>
            <w:r>
              <w:rPr>
                <w:rFonts w:hint="eastAsia"/>
              </w:rPr>
              <w:t>7727-37-9</w:t>
            </w:r>
          </w:p>
        </w:tc>
      </w:tr>
      <w:tr w14:paraId="7AEDC6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099C3867">
            <w:pPr>
              <w:pStyle w:val="19"/>
              <w:spacing w:before="120" w:after="120"/>
            </w:pPr>
          </w:p>
        </w:tc>
        <w:tc>
          <w:tcPr>
            <w:tcW w:w="878" w:type="pct"/>
            <w:tcBorders>
              <w:tl2br w:val="nil"/>
              <w:tr2bl w:val="nil"/>
            </w:tcBorders>
            <w:vAlign w:val="center"/>
          </w:tcPr>
          <w:p w14:paraId="0396E87E">
            <w:pPr>
              <w:pStyle w:val="19"/>
              <w:spacing w:before="120" w:after="120"/>
            </w:pPr>
            <w:r>
              <w:rPr>
                <w:rFonts w:hint="eastAsia"/>
              </w:rPr>
              <w:t>液氧</w:t>
            </w:r>
          </w:p>
        </w:tc>
        <w:tc>
          <w:tcPr>
            <w:tcW w:w="678" w:type="pct"/>
            <w:vMerge w:val="continue"/>
            <w:tcBorders>
              <w:tl2br w:val="nil"/>
              <w:tr2bl w:val="nil"/>
            </w:tcBorders>
            <w:vAlign w:val="center"/>
          </w:tcPr>
          <w:p w14:paraId="4E8915F1">
            <w:pPr>
              <w:pStyle w:val="19"/>
              <w:spacing w:before="120" w:after="120"/>
            </w:pPr>
          </w:p>
        </w:tc>
        <w:tc>
          <w:tcPr>
            <w:tcW w:w="832" w:type="dxa"/>
            <w:tcBorders>
              <w:tl2br w:val="nil"/>
              <w:tr2bl w:val="nil"/>
            </w:tcBorders>
            <w:vAlign w:val="center"/>
          </w:tcPr>
          <w:p w14:paraId="1D666A72">
            <w:pPr>
              <w:pStyle w:val="19"/>
              <w:spacing w:before="120" w:after="120"/>
            </w:pPr>
            <w:r>
              <w:rPr>
                <w:rFonts w:hint="eastAsia"/>
              </w:rPr>
              <w:t>液体</w:t>
            </w:r>
          </w:p>
        </w:tc>
        <w:tc>
          <w:tcPr>
            <w:tcW w:w="1338" w:type="dxa"/>
            <w:tcBorders>
              <w:tl2br w:val="nil"/>
              <w:tr2bl w:val="nil"/>
            </w:tcBorders>
            <w:vAlign w:val="center"/>
          </w:tcPr>
          <w:p w14:paraId="556C3475">
            <w:pPr>
              <w:pStyle w:val="19"/>
              <w:spacing w:before="120" w:after="120"/>
            </w:pPr>
            <w:r>
              <w:rPr>
                <w:rFonts w:hint="eastAsia"/>
              </w:rPr>
              <w:t>罐装</w:t>
            </w:r>
          </w:p>
        </w:tc>
        <w:tc>
          <w:tcPr>
            <w:tcW w:w="1693" w:type="dxa"/>
            <w:tcBorders>
              <w:tl2br w:val="nil"/>
              <w:tr2bl w:val="nil"/>
            </w:tcBorders>
            <w:vAlign w:val="center"/>
          </w:tcPr>
          <w:p w14:paraId="1853D6A7">
            <w:pPr>
              <w:pStyle w:val="19"/>
              <w:spacing w:before="120" w:after="120"/>
            </w:pPr>
            <w:r>
              <w:rPr>
                <w:rFonts w:hint="eastAsia"/>
              </w:rPr>
              <w:t>30</w:t>
            </w:r>
          </w:p>
        </w:tc>
        <w:tc>
          <w:tcPr>
            <w:tcW w:w="1455" w:type="dxa"/>
            <w:tcBorders>
              <w:tl2br w:val="nil"/>
              <w:tr2bl w:val="nil"/>
            </w:tcBorders>
            <w:vAlign w:val="center"/>
          </w:tcPr>
          <w:p w14:paraId="7D389B4A">
            <w:pPr>
              <w:pStyle w:val="19"/>
              <w:spacing w:before="120" w:after="120"/>
            </w:pPr>
            <w:r>
              <w:t>7782-44-7</w:t>
            </w:r>
          </w:p>
        </w:tc>
      </w:tr>
      <w:tr w14:paraId="329E2F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5508C44B">
            <w:pPr>
              <w:pStyle w:val="19"/>
              <w:spacing w:before="120" w:after="120"/>
            </w:pPr>
          </w:p>
        </w:tc>
        <w:tc>
          <w:tcPr>
            <w:tcW w:w="878" w:type="pct"/>
            <w:tcBorders>
              <w:tl2br w:val="nil"/>
              <w:tr2bl w:val="nil"/>
            </w:tcBorders>
            <w:vAlign w:val="center"/>
          </w:tcPr>
          <w:p w14:paraId="08C7A00F">
            <w:pPr>
              <w:pStyle w:val="19"/>
              <w:spacing w:before="120" w:after="120"/>
            </w:pPr>
            <w:r>
              <w:rPr>
                <w:rFonts w:hint="eastAsia"/>
              </w:rPr>
              <w:t>液体二氧化碳</w:t>
            </w:r>
          </w:p>
        </w:tc>
        <w:tc>
          <w:tcPr>
            <w:tcW w:w="678" w:type="pct"/>
            <w:vMerge w:val="continue"/>
            <w:tcBorders>
              <w:tl2br w:val="nil"/>
              <w:tr2bl w:val="nil"/>
            </w:tcBorders>
            <w:vAlign w:val="center"/>
          </w:tcPr>
          <w:p w14:paraId="30C5496E">
            <w:pPr>
              <w:pStyle w:val="19"/>
              <w:spacing w:before="120" w:after="120"/>
            </w:pPr>
          </w:p>
        </w:tc>
        <w:tc>
          <w:tcPr>
            <w:tcW w:w="832" w:type="dxa"/>
            <w:tcBorders>
              <w:tl2br w:val="nil"/>
              <w:tr2bl w:val="nil"/>
            </w:tcBorders>
            <w:vAlign w:val="center"/>
          </w:tcPr>
          <w:p w14:paraId="5FAC5CFD">
            <w:pPr>
              <w:pStyle w:val="19"/>
              <w:spacing w:before="120" w:after="120"/>
            </w:pPr>
            <w:r>
              <w:rPr>
                <w:rFonts w:hint="eastAsia"/>
              </w:rPr>
              <w:t>液体</w:t>
            </w:r>
          </w:p>
        </w:tc>
        <w:tc>
          <w:tcPr>
            <w:tcW w:w="1338" w:type="dxa"/>
            <w:tcBorders>
              <w:tl2br w:val="nil"/>
              <w:tr2bl w:val="nil"/>
            </w:tcBorders>
            <w:vAlign w:val="center"/>
          </w:tcPr>
          <w:p w14:paraId="4DAADA7B">
            <w:pPr>
              <w:pStyle w:val="19"/>
              <w:spacing w:before="120" w:after="120"/>
            </w:pPr>
            <w:r>
              <w:rPr>
                <w:rFonts w:hint="eastAsia"/>
              </w:rPr>
              <w:t>罐装</w:t>
            </w:r>
          </w:p>
        </w:tc>
        <w:tc>
          <w:tcPr>
            <w:tcW w:w="1693" w:type="dxa"/>
            <w:tcBorders>
              <w:tl2br w:val="nil"/>
              <w:tr2bl w:val="nil"/>
            </w:tcBorders>
            <w:vAlign w:val="center"/>
          </w:tcPr>
          <w:p w14:paraId="2A5997C8">
            <w:pPr>
              <w:pStyle w:val="19"/>
              <w:spacing w:before="120" w:after="120"/>
            </w:pPr>
            <w:r>
              <w:rPr>
                <w:rFonts w:hint="eastAsia"/>
              </w:rPr>
              <w:t>30</w:t>
            </w:r>
          </w:p>
        </w:tc>
        <w:tc>
          <w:tcPr>
            <w:tcW w:w="802" w:type="pct"/>
            <w:tcBorders>
              <w:tl2br w:val="nil"/>
              <w:tr2bl w:val="nil"/>
            </w:tcBorders>
            <w:vAlign w:val="center"/>
          </w:tcPr>
          <w:p w14:paraId="7047D1C9">
            <w:pPr>
              <w:pStyle w:val="19"/>
              <w:spacing w:before="120" w:after="120"/>
            </w:pPr>
            <w:r>
              <w:rPr>
                <w:rFonts w:hint="eastAsia"/>
              </w:rPr>
              <w:t>124-38-9</w:t>
            </w:r>
          </w:p>
        </w:tc>
      </w:tr>
      <w:tr w14:paraId="65E117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8" w:type="pct"/>
            <w:vMerge w:val="continue"/>
            <w:tcBorders>
              <w:tl2br w:val="nil"/>
              <w:tr2bl w:val="nil"/>
            </w:tcBorders>
            <w:vAlign w:val="center"/>
          </w:tcPr>
          <w:p w14:paraId="6E2FE243">
            <w:pPr>
              <w:pStyle w:val="19"/>
              <w:spacing w:before="120" w:after="120"/>
            </w:pPr>
          </w:p>
        </w:tc>
        <w:tc>
          <w:tcPr>
            <w:tcW w:w="878" w:type="pct"/>
            <w:tcBorders>
              <w:tl2br w:val="nil"/>
              <w:tr2bl w:val="nil"/>
            </w:tcBorders>
            <w:vAlign w:val="center"/>
          </w:tcPr>
          <w:p w14:paraId="3E0931AF">
            <w:pPr>
              <w:pStyle w:val="19"/>
              <w:spacing w:before="120" w:after="120"/>
            </w:pPr>
            <w:r>
              <w:rPr>
                <w:rFonts w:hint="eastAsia"/>
              </w:rPr>
              <w:t>电石</w:t>
            </w:r>
          </w:p>
        </w:tc>
        <w:tc>
          <w:tcPr>
            <w:tcW w:w="678" w:type="pct"/>
            <w:vMerge w:val="continue"/>
            <w:tcBorders>
              <w:tl2br w:val="nil"/>
              <w:tr2bl w:val="nil"/>
            </w:tcBorders>
            <w:vAlign w:val="center"/>
          </w:tcPr>
          <w:p w14:paraId="557A9FA6">
            <w:pPr>
              <w:pStyle w:val="19"/>
              <w:spacing w:before="120" w:after="120"/>
            </w:pPr>
          </w:p>
        </w:tc>
        <w:tc>
          <w:tcPr>
            <w:tcW w:w="832" w:type="dxa"/>
            <w:tcBorders>
              <w:tl2br w:val="nil"/>
              <w:tr2bl w:val="nil"/>
            </w:tcBorders>
            <w:vAlign w:val="center"/>
          </w:tcPr>
          <w:p w14:paraId="6D7B8EE5">
            <w:pPr>
              <w:pStyle w:val="19"/>
              <w:spacing w:before="120" w:after="120"/>
            </w:pPr>
            <w:r>
              <w:rPr>
                <w:rFonts w:hint="eastAsia"/>
              </w:rPr>
              <w:t>固体</w:t>
            </w:r>
          </w:p>
        </w:tc>
        <w:tc>
          <w:tcPr>
            <w:tcW w:w="1338" w:type="dxa"/>
            <w:tcBorders>
              <w:tl2br w:val="nil"/>
              <w:tr2bl w:val="nil"/>
            </w:tcBorders>
            <w:vAlign w:val="center"/>
          </w:tcPr>
          <w:p w14:paraId="43A8BF1C">
            <w:pPr>
              <w:pStyle w:val="19"/>
              <w:spacing w:before="120" w:after="120"/>
            </w:pPr>
            <w:r>
              <w:rPr>
                <w:rFonts w:hint="eastAsia"/>
              </w:rPr>
              <w:t>槽车</w:t>
            </w:r>
          </w:p>
        </w:tc>
        <w:tc>
          <w:tcPr>
            <w:tcW w:w="1693" w:type="dxa"/>
            <w:tcBorders>
              <w:tl2br w:val="nil"/>
              <w:tr2bl w:val="nil"/>
            </w:tcBorders>
            <w:vAlign w:val="center"/>
          </w:tcPr>
          <w:p w14:paraId="015321E2">
            <w:pPr>
              <w:pStyle w:val="19"/>
              <w:spacing w:before="120" w:after="120"/>
            </w:pPr>
            <w:r>
              <w:rPr>
                <w:rFonts w:hint="eastAsia"/>
              </w:rPr>
              <w:t>30</w:t>
            </w:r>
          </w:p>
        </w:tc>
        <w:tc>
          <w:tcPr>
            <w:tcW w:w="802" w:type="pct"/>
            <w:tcBorders>
              <w:tl2br w:val="nil"/>
              <w:tr2bl w:val="nil"/>
            </w:tcBorders>
            <w:vAlign w:val="center"/>
          </w:tcPr>
          <w:p w14:paraId="6437894B">
            <w:pPr>
              <w:pStyle w:val="19"/>
              <w:spacing w:before="120" w:after="120"/>
            </w:pPr>
            <w:r>
              <w:rPr>
                <w:rFonts w:hint="eastAsia"/>
              </w:rPr>
              <w:t>75-20-7</w:t>
            </w:r>
          </w:p>
        </w:tc>
      </w:tr>
    </w:tbl>
    <w:p w14:paraId="592E293B">
      <w:pPr>
        <w:pStyle w:val="3"/>
        <w:ind w:firstLine="480"/>
      </w:pPr>
      <w:bookmarkStart w:id="173" w:name="_Toc3340"/>
      <w:bookmarkStart w:id="174" w:name="_Toc21453"/>
      <w:r>
        <w:rPr>
          <w:rFonts w:hint="eastAsia"/>
        </w:rPr>
        <w:t>3.2风险潜势初判</w:t>
      </w:r>
      <w:bookmarkEnd w:id="173"/>
      <w:bookmarkEnd w:id="174"/>
    </w:p>
    <w:p w14:paraId="7A88E366">
      <w:pPr>
        <w:ind w:firstLine="480"/>
      </w:pPr>
      <w:r>
        <w:rPr>
          <w:rFonts w:hint="eastAsia"/>
        </w:rPr>
        <w:t>（1）</w:t>
      </w:r>
      <w:r>
        <w:t>环境风险潜势划分</w:t>
      </w:r>
    </w:p>
    <w:p w14:paraId="6C3A5C87">
      <w:pPr>
        <w:ind w:firstLine="480"/>
      </w:pPr>
      <w:r>
        <w:rPr>
          <w:rFonts w:hint="eastAsia"/>
        </w:rPr>
        <w:t>建设项目环境风险潜势划分为Ⅰ、Ⅱ、Ⅲ、Ⅳ/Ⅳ</w:t>
      </w:r>
      <w:r>
        <w:rPr>
          <w:rFonts w:hint="eastAsia"/>
          <w:vertAlign w:val="superscript"/>
        </w:rPr>
        <w:t>+</w:t>
      </w:r>
      <w:r>
        <w:rPr>
          <w:rFonts w:hint="eastAsia"/>
        </w:rPr>
        <w:t>级。根据建设项目涉及的物质和工艺系统的危险性及其所在地的环境敏感程度，结合事故情形下环境影响途径，对建设项目潜在环境危害程度进行概化分析，按照下表确定环境风险潜势。</w:t>
      </w:r>
    </w:p>
    <w:p w14:paraId="10FF25DD">
      <w:pPr>
        <w:pStyle w:val="19"/>
        <w:spacing w:before="120" w:after="120"/>
        <w:rPr>
          <w:b/>
          <w:bCs/>
        </w:rPr>
      </w:pPr>
      <w:r>
        <w:rPr>
          <w:rFonts w:hint="eastAsia"/>
          <w:b/>
          <w:bCs/>
        </w:rPr>
        <w:t xml:space="preserve">表3.2-1  </w:t>
      </w:r>
      <w:r>
        <w:rPr>
          <w:b/>
          <w:bCs/>
        </w:rPr>
        <w:t>建设项目环境风险潜势划分</w:t>
      </w:r>
      <w:r>
        <w:rPr>
          <w:rFonts w:hint="eastAsia"/>
          <w:b/>
          <w:bCs/>
        </w:rPr>
        <w:t>表</w:t>
      </w:r>
    </w:p>
    <w:tbl>
      <w:tblPr>
        <w:tblStyle w:val="15"/>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418"/>
        <w:gridCol w:w="1658"/>
        <w:gridCol w:w="1658"/>
        <w:gridCol w:w="1659"/>
        <w:gridCol w:w="1665"/>
      </w:tblGrid>
      <w:tr w14:paraId="5E31DF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blHeader/>
        </w:trPr>
        <w:tc>
          <w:tcPr>
            <w:tcW w:w="1335" w:type="pct"/>
            <w:vMerge w:val="restart"/>
            <w:tcBorders>
              <w:tl2br w:val="nil"/>
              <w:tr2bl w:val="nil"/>
            </w:tcBorders>
            <w:shd w:val="clear" w:color="auto" w:fill="auto"/>
            <w:vAlign w:val="center"/>
          </w:tcPr>
          <w:p w14:paraId="7B7010E7">
            <w:pPr>
              <w:pStyle w:val="19"/>
              <w:spacing w:before="120" w:after="120"/>
            </w:pPr>
            <w:r>
              <w:t>环境敏感程度</w:t>
            </w:r>
            <w:r>
              <w:rPr>
                <w:rFonts w:hint="eastAsia"/>
              </w:rPr>
              <w:t>（</w:t>
            </w:r>
            <w:r>
              <w:t>E</w:t>
            </w:r>
            <w:r>
              <w:rPr>
                <w:rFonts w:hint="eastAsia"/>
              </w:rPr>
              <w:t>）</w:t>
            </w:r>
          </w:p>
        </w:tc>
        <w:tc>
          <w:tcPr>
            <w:tcW w:w="3664" w:type="pct"/>
            <w:gridSpan w:val="4"/>
            <w:tcBorders>
              <w:tl2br w:val="nil"/>
              <w:tr2bl w:val="nil"/>
            </w:tcBorders>
            <w:shd w:val="clear" w:color="auto" w:fill="auto"/>
            <w:vAlign w:val="center"/>
          </w:tcPr>
          <w:p w14:paraId="4067CB9A">
            <w:pPr>
              <w:pStyle w:val="19"/>
              <w:spacing w:before="120" w:after="120"/>
            </w:pPr>
            <w:r>
              <w:t>危险物质及工艺系统危险性</w:t>
            </w:r>
            <w:r>
              <w:rPr>
                <w:rFonts w:hint="eastAsia"/>
              </w:rPr>
              <w:t>（</w:t>
            </w:r>
            <w:r>
              <w:t>P</w:t>
            </w:r>
            <w:r>
              <w:rPr>
                <w:rFonts w:hint="eastAsia"/>
              </w:rPr>
              <w:t>）</w:t>
            </w:r>
          </w:p>
        </w:tc>
      </w:tr>
      <w:tr w14:paraId="3596E5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blHeader/>
        </w:trPr>
        <w:tc>
          <w:tcPr>
            <w:tcW w:w="1335" w:type="pct"/>
            <w:vMerge w:val="continue"/>
            <w:tcBorders>
              <w:tl2br w:val="nil"/>
              <w:tr2bl w:val="nil"/>
            </w:tcBorders>
            <w:shd w:val="clear" w:color="auto" w:fill="auto"/>
            <w:vAlign w:val="center"/>
          </w:tcPr>
          <w:p w14:paraId="31FD2659">
            <w:pPr>
              <w:pStyle w:val="19"/>
              <w:spacing w:before="120" w:after="120"/>
            </w:pPr>
          </w:p>
        </w:tc>
        <w:tc>
          <w:tcPr>
            <w:tcW w:w="915" w:type="pct"/>
            <w:tcBorders>
              <w:tl2br w:val="nil"/>
              <w:tr2bl w:val="nil"/>
            </w:tcBorders>
            <w:shd w:val="clear" w:color="auto" w:fill="auto"/>
            <w:vAlign w:val="center"/>
          </w:tcPr>
          <w:p w14:paraId="3D234ADE">
            <w:pPr>
              <w:pStyle w:val="19"/>
              <w:spacing w:before="120" w:after="120"/>
            </w:pPr>
            <w:r>
              <w:t>极高危害</w:t>
            </w:r>
            <w:r>
              <w:rPr>
                <w:rFonts w:hint="eastAsia"/>
              </w:rPr>
              <w:t>（</w:t>
            </w:r>
            <w:r>
              <w:t>P1</w:t>
            </w:r>
            <w:r>
              <w:rPr>
                <w:rFonts w:hint="eastAsia"/>
              </w:rPr>
              <w:t>）</w:t>
            </w:r>
          </w:p>
        </w:tc>
        <w:tc>
          <w:tcPr>
            <w:tcW w:w="915" w:type="pct"/>
            <w:tcBorders>
              <w:tl2br w:val="nil"/>
              <w:tr2bl w:val="nil"/>
            </w:tcBorders>
            <w:shd w:val="clear" w:color="auto" w:fill="auto"/>
            <w:vAlign w:val="center"/>
          </w:tcPr>
          <w:p w14:paraId="1440FE6D">
            <w:pPr>
              <w:pStyle w:val="19"/>
              <w:spacing w:before="120" w:after="120"/>
            </w:pPr>
            <w:r>
              <w:t>高度危害</w:t>
            </w:r>
            <w:r>
              <w:rPr>
                <w:rFonts w:hint="eastAsia"/>
              </w:rPr>
              <w:t>（</w:t>
            </w:r>
            <w:r>
              <w:t>P2</w:t>
            </w:r>
            <w:r>
              <w:rPr>
                <w:rFonts w:hint="eastAsia"/>
              </w:rPr>
              <w:t>）</w:t>
            </w:r>
          </w:p>
        </w:tc>
        <w:tc>
          <w:tcPr>
            <w:tcW w:w="916" w:type="pct"/>
            <w:tcBorders>
              <w:tl2br w:val="nil"/>
              <w:tr2bl w:val="nil"/>
            </w:tcBorders>
            <w:shd w:val="clear" w:color="auto" w:fill="auto"/>
            <w:vAlign w:val="center"/>
          </w:tcPr>
          <w:p w14:paraId="1CD95F56">
            <w:pPr>
              <w:pStyle w:val="19"/>
              <w:spacing w:before="120" w:after="120"/>
            </w:pPr>
            <w:r>
              <w:t>中度危害</w:t>
            </w:r>
            <w:r>
              <w:rPr>
                <w:rFonts w:hint="eastAsia"/>
              </w:rPr>
              <w:t>（</w:t>
            </w:r>
            <w:r>
              <w:t>P3</w:t>
            </w:r>
            <w:r>
              <w:rPr>
                <w:rFonts w:hint="eastAsia"/>
              </w:rPr>
              <w:t>）</w:t>
            </w:r>
          </w:p>
        </w:tc>
        <w:tc>
          <w:tcPr>
            <w:tcW w:w="917" w:type="pct"/>
            <w:tcBorders>
              <w:tl2br w:val="nil"/>
              <w:tr2bl w:val="nil"/>
            </w:tcBorders>
            <w:shd w:val="clear" w:color="auto" w:fill="auto"/>
            <w:vAlign w:val="center"/>
          </w:tcPr>
          <w:p w14:paraId="7572453B">
            <w:pPr>
              <w:pStyle w:val="19"/>
              <w:spacing w:before="120" w:after="120"/>
            </w:pPr>
            <w:r>
              <w:t>轻度危害</w:t>
            </w:r>
            <w:r>
              <w:rPr>
                <w:rFonts w:hint="eastAsia"/>
              </w:rPr>
              <w:t>（</w:t>
            </w:r>
            <w:r>
              <w:t>P4</w:t>
            </w:r>
            <w:r>
              <w:rPr>
                <w:rFonts w:hint="eastAsia"/>
              </w:rPr>
              <w:t>）</w:t>
            </w:r>
          </w:p>
        </w:tc>
      </w:tr>
      <w:tr w14:paraId="46E781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335" w:type="pct"/>
            <w:tcBorders>
              <w:tl2br w:val="nil"/>
              <w:tr2bl w:val="nil"/>
            </w:tcBorders>
            <w:shd w:val="clear" w:color="auto" w:fill="auto"/>
            <w:vAlign w:val="center"/>
          </w:tcPr>
          <w:p w14:paraId="313F93DB">
            <w:pPr>
              <w:pStyle w:val="19"/>
              <w:spacing w:before="120" w:after="120"/>
            </w:pPr>
            <w:r>
              <w:t>环境高度敏感区</w:t>
            </w:r>
            <w:r>
              <w:rPr>
                <w:rFonts w:hint="eastAsia"/>
              </w:rPr>
              <w:t>（</w:t>
            </w:r>
            <w:r>
              <w:t>E1</w:t>
            </w:r>
            <w:r>
              <w:rPr>
                <w:rFonts w:hint="eastAsia"/>
              </w:rPr>
              <w:t>）</w:t>
            </w:r>
          </w:p>
        </w:tc>
        <w:tc>
          <w:tcPr>
            <w:tcW w:w="915" w:type="pct"/>
            <w:tcBorders>
              <w:tl2br w:val="nil"/>
              <w:tr2bl w:val="nil"/>
            </w:tcBorders>
            <w:shd w:val="clear" w:color="auto" w:fill="auto"/>
            <w:vAlign w:val="center"/>
          </w:tcPr>
          <w:p w14:paraId="64F6181B">
            <w:pPr>
              <w:pStyle w:val="19"/>
              <w:spacing w:before="120" w:after="120"/>
            </w:pPr>
            <w:r>
              <w:t>IV</w:t>
            </w:r>
            <w:r>
              <w:rPr>
                <w:vertAlign w:val="superscript"/>
              </w:rPr>
              <w:t>+</w:t>
            </w:r>
          </w:p>
        </w:tc>
        <w:tc>
          <w:tcPr>
            <w:tcW w:w="915" w:type="pct"/>
            <w:tcBorders>
              <w:tl2br w:val="nil"/>
              <w:tr2bl w:val="nil"/>
            </w:tcBorders>
            <w:shd w:val="clear" w:color="auto" w:fill="auto"/>
            <w:vAlign w:val="center"/>
          </w:tcPr>
          <w:p w14:paraId="3C09C25A">
            <w:pPr>
              <w:pStyle w:val="19"/>
              <w:spacing w:before="120" w:after="120"/>
            </w:pPr>
            <w:r>
              <w:t>IV</w:t>
            </w:r>
          </w:p>
        </w:tc>
        <w:tc>
          <w:tcPr>
            <w:tcW w:w="916" w:type="pct"/>
            <w:tcBorders>
              <w:tl2br w:val="nil"/>
              <w:tr2bl w:val="nil"/>
            </w:tcBorders>
            <w:shd w:val="clear" w:color="auto" w:fill="auto"/>
            <w:vAlign w:val="center"/>
          </w:tcPr>
          <w:p w14:paraId="620E7FBB">
            <w:pPr>
              <w:pStyle w:val="19"/>
              <w:spacing w:before="120" w:after="120"/>
            </w:pPr>
            <w:r>
              <w:t>III</w:t>
            </w:r>
          </w:p>
        </w:tc>
        <w:tc>
          <w:tcPr>
            <w:tcW w:w="917" w:type="pct"/>
            <w:tcBorders>
              <w:tl2br w:val="nil"/>
              <w:tr2bl w:val="nil"/>
            </w:tcBorders>
            <w:shd w:val="clear" w:color="auto" w:fill="auto"/>
            <w:vAlign w:val="center"/>
          </w:tcPr>
          <w:p w14:paraId="519A40F3">
            <w:pPr>
              <w:pStyle w:val="19"/>
              <w:spacing w:before="120" w:after="120"/>
            </w:pPr>
            <w:r>
              <w:t>III</w:t>
            </w:r>
          </w:p>
        </w:tc>
      </w:tr>
      <w:tr w14:paraId="68905C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0" w:hRule="atLeast"/>
        </w:trPr>
        <w:tc>
          <w:tcPr>
            <w:tcW w:w="1335" w:type="pct"/>
            <w:tcBorders>
              <w:tl2br w:val="nil"/>
              <w:tr2bl w:val="nil"/>
            </w:tcBorders>
            <w:shd w:val="clear" w:color="auto" w:fill="auto"/>
            <w:vAlign w:val="center"/>
          </w:tcPr>
          <w:p w14:paraId="5B3E7577">
            <w:pPr>
              <w:pStyle w:val="19"/>
              <w:spacing w:before="120" w:after="120"/>
            </w:pPr>
            <w:r>
              <w:t>环境中度敏感区</w:t>
            </w:r>
            <w:r>
              <w:rPr>
                <w:rFonts w:hint="eastAsia"/>
              </w:rPr>
              <w:t>（</w:t>
            </w:r>
            <w:r>
              <w:t>E2</w:t>
            </w:r>
            <w:r>
              <w:rPr>
                <w:rFonts w:hint="eastAsia"/>
              </w:rPr>
              <w:t>）</w:t>
            </w:r>
          </w:p>
        </w:tc>
        <w:tc>
          <w:tcPr>
            <w:tcW w:w="915" w:type="pct"/>
            <w:tcBorders>
              <w:tl2br w:val="nil"/>
              <w:tr2bl w:val="nil"/>
            </w:tcBorders>
            <w:shd w:val="clear" w:color="auto" w:fill="auto"/>
            <w:vAlign w:val="center"/>
          </w:tcPr>
          <w:p w14:paraId="71C35AAA">
            <w:pPr>
              <w:pStyle w:val="19"/>
              <w:spacing w:before="120" w:after="120"/>
            </w:pPr>
            <w:r>
              <w:t>IV</w:t>
            </w:r>
          </w:p>
        </w:tc>
        <w:tc>
          <w:tcPr>
            <w:tcW w:w="915" w:type="pct"/>
            <w:tcBorders>
              <w:tl2br w:val="nil"/>
              <w:tr2bl w:val="nil"/>
            </w:tcBorders>
            <w:shd w:val="clear" w:color="auto" w:fill="auto"/>
            <w:vAlign w:val="center"/>
          </w:tcPr>
          <w:p w14:paraId="0FC8EF14">
            <w:pPr>
              <w:pStyle w:val="19"/>
              <w:spacing w:before="120" w:after="120"/>
            </w:pPr>
            <w:r>
              <w:t>III</w:t>
            </w:r>
          </w:p>
        </w:tc>
        <w:tc>
          <w:tcPr>
            <w:tcW w:w="916" w:type="pct"/>
            <w:tcBorders>
              <w:tl2br w:val="nil"/>
              <w:tr2bl w:val="nil"/>
            </w:tcBorders>
            <w:shd w:val="clear" w:color="auto" w:fill="auto"/>
            <w:vAlign w:val="center"/>
          </w:tcPr>
          <w:p w14:paraId="4BEFE3C0">
            <w:pPr>
              <w:pStyle w:val="19"/>
              <w:spacing w:before="120" w:after="120"/>
            </w:pPr>
            <w:r>
              <w:t>III</w:t>
            </w:r>
          </w:p>
        </w:tc>
        <w:tc>
          <w:tcPr>
            <w:tcW w:w="917" w:type="pct"/>
            <w:tcBorders>
              <w:tl2br w:val="nil"/>
              <w:tr2bl w:val="nil"/>
            </w:tcBorders>
            <w:shd w:val="clear" w:color="auto" w:fill="auto"/>
            <w:vAlign w:val="center"/>
          </w:tcPr>
          <w:p w14:paraId="29038F08">
            <w:pPr>
              <w:pStyle w:val="19"/>
              <w:spacing w:before="120" w:after="120"/>
            </w:pPr>
            <w:r>
              <w:t>II</w:t>
            </w:r>
          </w:p>
        </w:tc>
      </w:tr>
      <w:tr w14:paraId="1D2CEF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335" w:type="pct"/>
            <w:tcBorders>
              <w:tl2br w:val="nil"/>
              <w:tr2bl w:val="nil"/>
            </w:tcBorders>
            <w:shd w:val="clear" w:color="auto" w:fill="auto"/>
            <w:vAlign w:val="center"/>
          </w:tcPr>
          <w:p w14:paraId="686F3151">
            <w:pPr>
              <w:pStyle w:val="19"/>
              <w:spacing w:before="120" w:after="120"/>
            </w:pPr>
            <w:r>
              <w:t>环境低度敏感区</w:t>
            </w:r>
            <w:r>
              <w:rPr>
                <w:rFonts w:hint="eastAsia"/>
              </w:rPr>
              <w:t>（</w:t>
            </w:r>
            <w:r>
              <w:t>E3</w:t>
            </w:r>
            <w:r>
              <w:rPr>
                <w:rFonts w:hint="eastAsia"/>
              </w:rPr>
              <w:t>）</w:t>
            </w:r>
          </w:p>
        </w:tc>
        <w:tc>
          <w:tcPr>
            <w:tcW w:w="915" w:type="pct"/>
            <w:tcBorders>
              <w:tl2br w:val="nil"/>
              <w:tr2bl w:val="nil"/>
            </w:tcBorders>
            <w:shd w:val="clear" w:color="auto" w:fill="auto"/>
            <w:vAlign w:val="center"/>
          </w:tcPr>
          <w:p w14:paraId="28845302">
            <w:pPr>
              <w:pStyle w:val="19"/>
              <w:spacing w:before="120" w:after="120"/>
            </w:pPr>
            <w:r>
              <w:t>III</w:t>
            </w:r>
          </w:p>
        </w:tc>
        <w:tc>
          <w:tcPr>
            <w:tcW w:w="915" w:type="pct"/>
            <w:tcBorders>
              <w:tl2br w:val="nil"/>
              <w:tr2bl w:val="nil"/>
            </w:tcBorders>
            <w:shd w:val="clear" w:color="auto" w:fill="auto"/>
            <w:vAlign w:val="center"/>
          </w:tcPr>
          <w:p w14:paraId="72FE0830">
            <w:pPr>
              <w:pStyle w:val="19"/>
              <w:spacing w:before="120" w:after="120"/>
            </w:pPr>
            <w:r>
              <w:t>III</w:t>
            </w:r>
          </w:p>
        </w:tc>
        <w:tc>
          <w:tcPr>
            <w:tcW w:w="916" w:type="pct"/>
            <w:tcBorders>
              <w:tl2br w:val="nil"/>
              <w:tr2bl w:val="nil"/>
            </w:tcBorders>
            <w:shd w:val="clear" w:color="auto" w:fill="auto"/>
            <w:vAlign w:val="center"/>
          </w:tcPr>
          <w:p w14:paraId="339BC4D0">
            <w:pPr>
              <w:pStyle w:val="19"/>
              <w:spacing w:before="120" w:after="120"/>
            </w:pPr>
            <w:r>
              <w:t>II</w:t>
            </w:r>
          </w:p>
        </w:tc>
        <w:tc>
          <w:tcPr>
            <w:tcW w:w="917" w:type="pct"/>
            <w:tcBorders>
              <w:tl2br w:val="nil"/>
              <w:tr2bl w:val="nil"/>
            </w:tcBorders>
            <w:shd w:val="clear" w:color="auto" w:fill="auto"/>
            <w:vAlign w:val="center"/>
          </w:tcPr>
          <w:p w14:paraId="50116953">
            <w:pPr>
              <w:pStyle w:val="19"/>
              <w:spacing w:before="120" w:after="120"/>
            </w:pPr>
            <w:r>
              <w:t>I</w:t>
            </w:r>
          </w:p>
        </w:tc>
      </w:tr>
      <w:tr w14:paraId="07466D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5000" w:type="pct"/>
            <w:gridSpan w:val="5"/>
            <w:tcBorders>
              <w:tl2br w:val="nil"/>
              <w:tr2bl w:val="nil"/>
            </w:tcBorders>
            <w:shd w:val="clear" w:color="auto" w:fill="auto"/>
            <w:vAlign w:val="center"/>
          </w:tcPr>
          <w:p w14:paraId="5917CDB6">
            <w:pPr>
              <w:pStyle w:val="19"/>
              <w:spacing w:beforeLines="0" w:afterLines="0"/>
              <w:jc w:val="left"/>
            </w:pPr>
            <w:r>
              <w:rPr>
                <w:sz w:val="20"/>
                <w:szCs w:val="16"/>
              </w:rPr>
              <w:t>注</w:t>
            </w:r>
            <w:r>
              <w:rPr>
                <w:rFonts w:hint="eastAsia"/>
                <w:sz w:val="20"/>
                <w:szCs w:val="16"/>
              </w:rPr>
              <w:t>：</w:t>
            </w:r>
            <w:r>
              <w:rPr>
                <w:sz w:val="20"/>
                <w:szCs w:val="16"/>
              </w:rPr>
              <w:t>IV</w:t>
            </w:r>
            <w:r>
              <w:rPr>
                <w:sz w:val="20"/>
                <w:szCs w:val="16"/>
                <w:vertAlign w:val="superscript"/>
              </w:rPr>
              <w:t>+</w:t>
            </w:r>
            <w:r>
              <w:rPr>
                <w:sz w:val="20"/>
                <w:szCs w:val="16"/>
              </w:rPr>
              <w:t>为极高环境风险。</w:t>
            </w:r>
          </w:p>
        </w:tc>
      </w:tr>
    </w:tbl>
    <w:p w14:paraId="41A189A5">
      <w:pPr>
        <w:ind w:firstLine="480"/>
      </w:pPr>
      <w:r>
        <w:rPr>
          <w:rFonts w:hint="eastAsia"/>
        </w:rPr>
        <w:t>（2）</w:t>
      </w:r>
      <w:r>
        <w:t>危险物质及工艺系统危险性</w:t>
      </w:r>
      <w:r>
        <w:rPr>
          <w:rFonts w:hint="eastAsia"/>
        </w:rPr>
        <w:t>（</w:t>
      </w:r>
      <w:r>
        <w:t>P</w:t>
      </w:r>
      <w:r>
        <w:rPr>
          <w:rFonts w:hint="eastAsia"/>
        </w:rPr>
        <w:t>）</w:t>
      </w:r>
    </w:p>
    <w:p w14:paraId="4EA5A94B">
      <w:pPr>
        <w:ind w:firstLine="480"/>
      </w:pPr>
      <w:r>
        <w:t>P的分级确定</w:t>
      </w:r>
      <w:r>
        <w:rPr>
          <w:rFonts w:hint="eastAsia"/>
        </w:rPr>
        <w:t>：分析建设项目生产、使用、储存过程中涉及的有毒有害、易燃易爆物质，参照《建设项目环境风险评价技术导则》（</w:t>
      </w:r>
      <w:r>
        <w:t>HJ169-2018</w:t>
      </w:r>
      <w:r>
        <w:rPr>
          <w:rFonts w:hint="eastAsia"/>
        </w:rPr>
        <w:t>）附录</w:t>
      </w:r>
      <w:r>
        <w:t>B</w:t>
      </w:r>
      <w:r>
        <w:rPr>
          <w:rFonts w:hint="eastAsia"/>
        </w:rPr>
        <w:t>确定危险物质的临界量。定量分析危险物质数量与临界量的比值（</w:t>
      </w:r>
      <w:r>
        <w:t>Q</w:t>
      </w:r>
      <w:r>
        <w:rPr>
          <w:rFonts w:hint="eastAsia"/>
        </w:rPr>
        <w:t>）和所属行业及生产工艺特点（</w:t>
      </w:r>
      <w:r>
        <w:t>M</w:t>
      </w:r>
      <w:r>
        <w:rPr>
          <w:rFonts w:hint="eastAsia"/>
        </w:rPr>
        <w:t>），按《建设项目环境风险评价技术导则》（</w:t>
      </w:r>
      <w:r>
        <w:t>HJ169-2018</w:t>
      </w:r>
      <w:r>
        <w:rPr>
          <w:rFonts w:hint="eastAsia"/>
        </w:rPr>
        <w:t>）附录</w:t>
      </w:r>
      <w:r>
        <w:t>C</w:t>
      </w:r>
      <w:r>
        <w:rPr>
          <w:rFonts w:hint="eastAsia"/>
        </w:rPr>
        <w:t>对危险物质及工艺系统危险性（</w:t>
      </w:r>
      <w:r>
        <w:t>P</w:t>
      </w:r>
      <w:r>
        <w:rPr>
          <w:rFonts w:hint="eastAsia"/>
        </w:rPr>
        <w:t>）等级进行判断。</w:t>
      </w:r>
    </w:p>
    <w:p w14:paraId="3F17BB41">
      <w:pPr>
        <w:ind w:firstLine="480"/>
      </w:pPr>
      <w:r>
        <w:rPr>
          <w:rFonts w:hint="eastAsia"/>
        </w:rPr>
        <w:t>①危险物质数量与临界量的比值（</w:t>
      </w:r>
      <w:r>
        <w:t>Q</w:t>
      </w:r>
      <w:r>
        <w:rPr>
          <w:rFonts w:hint="eastAsia"/>
        </w:rPr>
        <w:t>）</w:t>
      </w:r>
    </w:p>
    <w:p w14:paraId="0F289F8D">
      <w:pPr>
        <w:ind w:firstLine="480"/>
      </w:pPr>
      <w:r>
        <w:rPr>
          <w:rFonts w:hint="eastAsia"/>
        </w:rPr>
        <w:t>计算所涉及的每种危险物质在厂界内的最大存在总量与其在附录</w:t>
      </w:r>
      <w:r>
        <w:t>B</w:t>
      </w:r>
      <w:r>
        <w:rPr>
          <w:rFonts w:hint="eastAsia"/>
        </w:rPr>
        <w:t>中对应临界量的比值</w:t>
      </w:r>
      <w:r>
        <w:t>Q</w:t>
      </w:r>
      <w:r>
        <w:rPr>
          <w:rFonts w:hint="eastAsia"/>
        </w:rPr>
        <w:t>。在不同厂区的同一种物质，按其在厂界内的最大存在总量计算。对于长输管线项目，按照两个截断阀室之间管段危险物质最大存在总量计算。</w:t>
      </w:r>
    </w:p>
    <w:p w14:paraId="158A7976">
      <w:pPr>
        <w:ind w:firstLine="480"/>
      </w:pPr>
      <w:r>
        <w:rPr>
          <w:rFonts w:hint="eastAsia"/>
        </w:rPr>
        <w:t>当只涉及一种危险物质时，计算该物质的总量与其临界量比值，即为</w:t>
      </w:r>
      <w:r>
        <w:t>Q</w:t>
      </w:r>
      <w:r>
        <w:rPr>
          <w:rFonts w:hint="eastAsia"/>
        </w:rPr>
        <w:t>；</w:t>
      </w:r>
    </w:p>
    <w:p w14:paraId="7BABA8A4">
      <w:pPr>
        <w:ind w:firstLine="480"/>
        <w:rPr>
          <w:color w:val="000000"/>
        </w:rPr>
      </w:pPr>
      <w:r>
        <w:rPr>
          <w:rFonts w:hint="eastAsia"/>
        </w:rPr>
        <w:t>存在多种危险物质时，则按下式计算物质总量与其临界量比值（</w:t>
      </w:r>
      <w:r>
        <w:t>Q</w:t>
      </w:r>
      <w:r>
        <w:rPr>
          <w:rFonts w:hint="eastAsia"/>
        </w:rPr>
        <w:t>）：</w:t>
      </w:r>
    </w:p>
    <w:p w14:paraId="4BAAFBFC">
      <w:pPr>
        <w:pStyle w:val="19"/>
        <w:spacing w:before="120" w:after="120"/>
      </w:pPr>
      <w:r>
        <w:drawing>
          <wp:inline distT="0" distB="0" distL="114300" distR="114300">
            <wp:extent cx="1428115" cy="362585"/>
            <wp:effectExtent l="0" t="0" r="635" b="1841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21" cstate="print"/>
                    <a:stretch>
                      <a:fillRect/>
                    </a:stretch>
                  </pic:blipFill>
                  <pic:spPr>
                    <a:xfrm>
                      <a:off x="0" y="0"/>
                      <a:ext cx="1428115" cy="362585"/>
                    </a:xfrm>
                    <a:prstGeom prst="rect">
                      <a:avLst/>
                    </a:prstGeom>
                    <a:noFill/>
                    <a:ln>
                      <a:noFill/>
                    </a:ln>
                  </pic:spPr>
                </pic:pic>
              </a:graphicData>
            </a:graphic>
          </wp:inline>
        </w:drawing>
      </w:r>
    </w:p>
    <w:p w14:paraId="27CA9CF8">
      <w:pPr>
        <w:pStyle w:val="25"/>
        <w:ind w:firstLine="480"/>
        <w:rPr>
          <w:color w:val="000000"/>
        </w:rPr>
      </w:pPr>
      <w:r>
        <w:rPr>
          <w:color w:val="000000"/>
        </w:rPr>
        <w:t>式中：q</w:t>
      </w:r>
      <w:r>
        <w:rPr>
          <w:color w:val="000000"/>
          <w:vertAlign w:val="subscript"/>
        </w:rPr>
        <w:t>1</w:t>
      </w:r>
      <w:r>
        <w:rPr>
          <w:rFonts w:hint="eastAsia"/>
          <w:color w:val="000000"/>
        </w:rPr>
        <w:t>，</w:t>
      </w:r>
      <w:r>
        <w:rPr>
          <w:color w:val="000000"/>
        </w:rPr>
        <w:t>q</w:t>
      </w:r>
      <w:r>
        <w:rPr>
          <w:color w:val="000000"/>
          <w:vertAlign w:val="subscript"/>
        </w:rPr>
        <w:t>2</w:t>
      </w:r>
      <w:r>
        <w:rPr>
          <w:rFonts w:hint="eastAsia"/>
          <w:color w:val="000000"/>
        </w:rPr>
        <w:t>，</w:t>
      </w:r>
      <w:r>
        <w:rPr>
          <w:color w:val="000000"/>
        </w:rPr>
        <w:t>...</w:t>
      </w:r>
      <w:r>
        <w:rPr>
          <w:rFonts w:hint="eastAsia"/>
          <w:color w:val="000000"/>
        </w:rPr>
        <w:t>，</w:t>
      </w:r>
      <w:r>
        <w:rPr>
          <w:color w:val="000000"/>
        </w:rPr>
        <w:t>q</w:t>
      </w:r>
      <w:r>
        <w:rPr>
          <w:color w:val="000000"/>
          <w:vertAlign w:val="subscript"/>
        </w:rPr>
        <w:t>n</w:t>
      </w:r>
      <w:r>
        <w:rPr>
          <w:color w:val="000000"/>
        </w:rPr>
        <w:t>——每种危险物质的最大存在总量</w:t>
      </w:r>
      <w:r>
        <w:rPr>
          <w:rFonts w:hint="eastAsia"/>
          <w:color w:val="000000"/>
        </w:rPr>
        <w:t>，</w:t>
      </w:r>
      <w:r>
        <w:rPr>
          <w:color w:val="000000"/>
        </w:rPr>
        <w:t>t；</w:t>
      </w:r>
    </w:p>
    <w:p w14:paraId="4DE76DBD">
      <w:pPr>
        <w:pStyle w:val="25"/>
        <w:ind w:firstLine="1200" w:firstLineChars="500"/>
        <w:rPr>
          <w:color w:val="000000"/>
        </w:rPr>
      </w:pPr>
      <w:r>
        <w:rPr>
          <w:color w:val="000000"/>
        </w:rPr>
        <w:t>Q</w:t>
      </w:r>
      <w:r>
        <w:rPr>
          <w:color w:val="000000"/>
          <w:vertAlign w:val="subscript"/>
        </w:rPr>
        <w:t>1</w:t>
      </w:r>
      <w:r>
        <w:rPr>
          <w:rFonts w:hint="eastAsia"/>
          <w:color w:val="000000"/>
        </w:rPr>
        <w:t>，</w:t>
      </w:r>
      <w:r>
        <w:rPr>
          <w:color w:val="000000"/>
        </w:rPr>
        <w:t>Q</w:t>
      </w:r>
      <w:r>
        <w:rPr>
          <w:color w:val="000000"/>
          <w:vertAlign w:val="subscript"/>
        </w:rPr>
        <w:t>2</w:t>
      </w:r>
      <w:r>
        <w:rPr>
          <w:rFonts w:hint="eastAsia"/>
          <w:color w:val="000000"/>
        </w:rPr>
        <w:t>，</w:t>
      </w:r>
      <w:r>
        <w:rPr>
          <w:color w:val="000000"/>
        </w:rPr>
        <w:t>...</w:t>
      </w:r>
      <w:r>
        <w:rPr>
          <w:rFonts w:hint="eastAsia"/>
          <w:color w:val="000000"/>
        </w:rPr>
        <w:t>，</w:t>
      </w:r>
      <w:r>
        <w:rPr>
          <w:color w:val="000000"/>
        </w:rPr>
        <w:t>Q</w:t>
      </w:r>
      <w:r>
        <w:rPr>
          <w:color w:val="000000"/>
          <w:vertAlign w:val="subscript"/>
        </w:rPr>
        <w:t>n</w:t>
      </w:r>
      <w:r>
        <w:rPr>
          <w:color w:val="000000"/>
        </w:rPr>
        <w:t>——每种危险物质的临界量</w:t>
      </w:r>
      <w:r>
        <w:rPr>
          <w:rFonts w:hint="eastAsia"/>
          <w:color w:val="000000"/>
        </w:rPr>
        <w:t>，</w:t>
      </w:r>
      <w:r>
        <w:rPr>
          <w:color w:val="000000"/>
        </w:rPr>
        <w:t>t。</w:t>
      </w:r>
    </w:p>
    <w:p w14:paraId="3A4AC1EA">
      <w:pPr>
        <w:pStyle w:val="25"/>
        <w:ind w:firstLine="480"/>
        <w:rPr>
          <w:color w:val="000000"/>
        </w:rPr>
      </w:pPr>
      <w:r>
        <w:rPr>
          <w:color w:val="000000"/>
        </w:rPr>
        <w:t>当Q＜1时</w:t>
      </w:r>
      <w:r>
        <w:rPr>
          <w:rFonts w:hint="eastAsia"/>
          <w:color w:val="000000"/>
        </w:rPr>
        <w:t>，</w:t>
      </w:r>
      <w:r>
        <w:rPr>
          <w:color w:val="000000"/>
        </w:rPr>
        <w:t>该项目环境风险潜势为I。</w:t>
      </w:r>
    </w:p>
    <w:p w14:paraId="7AD11B48">
      <w:pPr>
        <w:ind w:firstLine="480"/>
        <w:rPr>
          <w:color w:val="000000"/>
        </w:rPr>
      </w:pPr>
      <w:r>
        <w:rPr>
          <w:color w:val="000000"/>
        </w:rPr>
        <w:t>当Q≥1时</w:t>
      </w:r>
      <w:r>
        <w:rPr>
          <w:rFonts w:hint="eastAsia"/>
          <w:color w:val="000000"/>
        </w:rPr>
        <w:t>，</w:t>
      </w:r>
      <w:r>
        <w:rPr>
          <w:color w:val="000000"/>
        </w:rPr>
        <w:t>将Q值划分为：（1</w:t>
      </w:r>
      <w:r>
        <w:rPr>
          <w:rFonts w:hint="eastAsia"/>
          <w:color w:val="000000"/>
        </w:rPr>
        <w:t>）</w:t>
      </w:r>
      <w:r>
        <w:rPr>
          <w:color w:val="000000"/>
        </w:rPr>
        <w:t>1≤Q＜10；（2</w:t>
      </w:r>
      <w:r>
        <w:rPr>
          <w:rFonts w:hint="eastAsia"/>
          <w:color w:val="000000"/>
        </w:rPr>
        <w:t>）</w:t>
      </w:r>
      <w:r>
        <w:rPr>
          <w:color w:val="000000"/>
        </w:rPr>
        <w:t>10≤Q＜100；（3</w:t>
      </w:r>
      <w:r>
        <w:rPr>
          <w:rFonts w:hint="eastAsia"/>
          <w:color w:val="000000"/>
        </w:rPr>
        <w:t>）</w:t>
      </w:r>
      <w:r>
        <w:rPr>
          <w:color w:val="000000"/>
        </w:rPr>
        <w:t>Q≥100。</w:t>
      </w:r>
    </w:p>
    <w:p w14:paraId="7BDB7E26">
      <w:pPr>
        <w:ind w:firstLine="480"/>
      </w:pPr>
      <w:r>
        <w:rPr>
          <w:rFonts w:hint="eastAsia"/>
        </w:rPr>
        <w:t>根据调查，</w:t>
      </w:r>
      <w:r>
        <w:t>危化品运输车辆最大吨位为30吨</w:t>
      </w:r>
      <w:r>
        <w:rPr>
          <w:rFonts w:hint="eastAsia"/>
        </w:rPr>
        <w:t>，本次危险物质最大储存量按30t进行计算，同时储存车位分区停放，本次按同组车位满载最不利情况下进行计算</w:t>
      </w:r>
      <w:r>
        <w:t>Q</w:t>
      </w:r>
      <w:r>
        <w:rPr>
          <w:rFonts w:hint="eastAsia"/>
        </w:rPr>
        <w:t>值，根据《建设项目环境风险评价技术导则》（</w:t>
      </w:r>
      <w:r>
        <w:t>HJ169-2018</w:t>
      </w:r>
      <w:r>
        <w:rPr>
          <w:rFonts w:hint="eastAsia"/>
        </w:rPr>
        <w:t>）附录</w:t>
      </w:r>
      <w:r>
        <w:t>B</w:t>
      </w:r>
      <w:r>
        <w:rPr>
          <w:rFonts w:hint="eastAsia"/>
        </w:rPr>
        <w:t>、附录C，停车区内重载车辆化学品可能涉及的危险物质数量及其与临界量比值计算见下表。</w:t>
      </w:r>
    </w:p>
    <w:p w14:paraId="0B028605">
      <w:pPr>
        <w:pStyle w:val="19"/>
        <w:spacing w:before="120" w:after="120"/>
        <w:rPr>
          <w:b/>
          <w:bCs/>
        </w:rPr>
      </w:pPr>
    </w:p>
    <w:p w14:paraId="27703E7A">
      <w:pPr>
        <w:pStyle w:val="19"/>
        <w:spacing w:before="120" w:after="120"/>
        <w:rPr>
          <w:b/>
          <w:bCs/>
        </w:rPr>
      </w:pPr>
    </w:p>
    <w:p w14:paraId="367BEB06">
      <w:pPr>
        <w:pStyle w:val="19"/>
        <w:spacing w:before="120" w:after="120"/>
        <w:rPr>
          <w:b/>
          <w:bCs/>
        </w:rPr>
      </w:pPr>
      <w:r>
        <w:rPr>
          <w:rFonts w:hint="eastAsia"/>
          <w:b/>
          <w:bCs/>
        </w:rPr>
        <w:t>表3.2-2  危险物质数量与临界量的比值（</w:t>
      </w:r>
      <w:r>
        <w:rPr>
          <w:b/>
          <w:bCs/>
        </w:rPr>
        <w:t>Q</w:t>
      </w:r>
      <w:r>
        <w:rPr>
          <w:rFonts w:hint="eastAsia"/>
          <w:b/>
          <w:bCs/>
        </w:rPr>
        <w:t>）计算情况</w:t>
      </w:r>
    </w:p>
    <w:tbl>
      <w:tblPr>
        <w:tblStyle w:val="15"/>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00"/>
        <w:gridCol w:w="1549"/>
        <w:gridCol w:w="1138"/>
        <w:gridCol w:w="892"/>
        <w:gridCol w:w="1084"/>
        <w:gridCol w:w="1076"/>
        <w:gridCol w:w="1323"/>
        <w:gridCol w:w="853"/>
        <w:gridCol w:w="745"/>
      </w:tblGrid>
      <w:tr w14:paraId="62C954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1076" w:type="pct"/>
            <w:gridSpan w:val="2"/>
            <w:tcBorders>
              <w:tl2br w:val="nil"/>
              <w:tr2bl w:val="nil"/>
            </w:tcBorders>
            <w:vAlign w:val="center"/>
          </w:tcPr>
          <w:p w14:paraId="3B829017">
            <w:pPr>
              <w:pStyle w:val="19"/>
              <w:spacing w:before="120" w:after="120"/>
            </w:pPr>
            <w:r>
              <w:rPr>
                <w:rFonts w:hint="eastAsia"/>
              </w:rPr>
              <w:t>储存物料</w:t>
            </w:r>
          </w:p>
        </w:tc>
        <w:tc>
          <w:tcPr>
            <w:tcW w:w="628" w:type="pct"/>
            <w:tcBorders>
              <w:tl2br w:val="nil"/>
              <w:tr2bl w:val="nil"/>
            </w:tcBorders>
            <w:vAlign w:val="center"/>
          </w:tcPr>
          <w:p w14:paraId="6CAD4F70">
            <w:pPr>
              <w:pStyle w:val="19"/>
              <w:spacing w:before="120" w:after="120"/>
            </w:pPr>
            <w:r>
              <w:rPr>
                <w:rFonts w:hint="eastAsia"/>
              </w:rPr>
              <w:t>储存车位</w:t>
            </w:r>
          </w:p>
        </w:tc>
        <w:tc>
          <w:tcPr>
            <w:tcW w:w="492" w:type="pct"/>
            <w:tcBorders>
              <w:tl2br w:val="nil"/>
              <w:tr2bl w:val="nil"/>
            </w:tcBorders>
            <w:vAlign w:val="center"/>
          </w:tcPr>
          <w:p w14:paraId="7CF1C32C">
            <w:pPr>
              <w:pStyle w:val="19"/>
              <w:spacing w:before="120" w:after="120"/>
            </w:pPr>
            <w:r>
              <w:rPr>
                <w:rFonts w:hint="eastAsia"/>
              </w:rPr>
              <w:t>形态</w:t>
            </w:r>
          </w:p>
        </w:tc>
        <w:tc>
          <w:tcPr>
            <w:tcW w:w="598" w:type="pct"/>
            <w:tcBorders>
              <w:tl2br w:val="nil"/>
              <w:tr2bl w:val="nil"/>
            </w:tcBorders>
            <w:vAlign w:val="center"/>
          </w:tcPr>
          <w:p w14:paraId="0E1F3416">
            <w:pPr>
              <w:pStyle w:val="19"/>
              <w:spacing w:before="120" w:after="120"/>
            </w:pPr>
            <w:r>
              <w:rPr>
                <w:rFonts w:hint="eastAsia"/>
              </w:rPr>
              <w:t>运输方式</w:t>
            </w:r>
          </w:p>
        </w:tc>
        <w:tc>
          <w:tcPr>
            <w:tcW w:w="594" w:type="pct"/>
            <w:tcBorders>
              <w:tl2br w:val="nil"/>
              <w:tr2bl w:val="nil"/>
            </w:tcBorders>
            <w:vAlign w:val="center"/>
          </w:tcPr>
          <w:p w14:paraId="074C2992">
            <w:pPr>
              <w:pStyle w:val="19"/>
              <w:spacing w:before="120" w:after="120"/>
            </w:pPr>
            <w:r>
              <w:rPr>
                <w:rFonts w:hint="eastAsia"/>
              </w:rPr>
              <w:t>最大储存量（</w:t>
            </w:r>
            <w:r>
              <w:t>t</w:t>
            </w:r>
            <w:r>
              <w:rPr>
                <w:rFonts w:hint="eastAsia"/>
              </w:rPr>
              <w:t>）</w:t>
            </w:r>
          </w:p>
        </w:tc>
        <w:tc>
          <w:tcPr>
            <w:tcW w:w="730" w:type="pct"/>
            <w:tcBorders>
              <w:tl2br w:val="nil"/>
              <w:tr2bl w:val="nil"/>
            </w:tcBorders>
            <w:vAlign w:val="center"/>
          </w:tcPr>
          <w:p w14:paraId="43A2DED9">
            <w:pPr>
              <w:pStyle w:val="19"/>
              <w:spacing w:before="120" w:after="120"/>
            </w:pPr>
            <w:r>
              <w:rPr>
                <w:rFonts w:hint="eastAsia"/>
              </w:rPr>
              <w:t>CAS号</w:t>
            </w:r>
          </w:p>
        </w:tc>
        <w:tc>
          <w:tcPr>
            <w:tcW w:w="471" w:type="pct"/>
            <w:tcBorders>
              <w:tl2br w:val="nil"/>
              <w:tr2bl w:val="nil"/>
            </w:tcBorders>
            <w:vAlign w:val="center"/>
          </w:tcPr>
          <w:p w14:paraId="07C0D28C">
            <w:pPr>
              <w:pStyle w:val="19"/>
              <w:spacing w:before="120" w:after="120"/>
            </w:pPr>
            <w:r>
              <w:rPr>
                <w:rFonts w:hint="eastAsia"/>
              </w:rPr>
              <w:t>临界量（</w:t>
            </w:r>
            <w:r>
              <w:t>t</w:t>
            </w:r>
            <w:r>
              <w:rPr>
                <w:rFonts w:hint="eastAsia"/>
              </w:rPr>
              <w:t>）</w:t>
            </w:r>
          </w:p>
        </w:tc>
        <w:tc>
          <w:tcPr>
            <w:tcW w:w="408" w:type="pct"/>
            <w:tcBorders>
              <w:tl2br w:val="nil"/>
              <w:tr2bl w:val="nil"/>
            </w:tcBorders>
            <w:vAlign w:val="center"/>
          </w:tcPr>
          <w:p w14:paraId="084E6C86">
            <w:pPr>
              <w:pStyle w:val="19"/>
              <w:spacing w:before="120" w:after="120"/>
            </w:pPr>
            <w:r>
              <w:t>Q</w:t>
            </w:r>
            <w:r>
              <w:rPr>
                <w:rFonts w:hint="eastAsia"/>
              </w:rPr>
              <w:t>值</w:t>
            </w:r>
          </w:p>
        </w:tc>
      </w:tr>
      <w:tr w14:paraId="5F163B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restart"/>
            <w:tcBorders>
              <w:tl2br w:val="nil"/>
              <w:tr2bl w:val="nil"/>
            </w:tcBorders>
            <w:vAlign w:val="center"/>
          </w:tcPr>
          <w:p w14:paraId="38DB5080">
            <w:pPr>
              <w:pStyle w:val="19"/>
              <w:spacing w:before="120" w:after="120"/>
            </w:pPr>
            <w:r>
              <w:rPr>
                <w:rFonts w:hint="eastAsia"/>
              </w:rPr>
              <w:t>环境危害</w:t>
            </w:r>
          </w:p>
        </w:tc>
        <w:tc>
          <w:tcPr>
            <w:tcW w:w="854" w:type="pct"/>
            <w:tcBorders>
              <w:tl2br w:val="nil"/>
              <w:tr2bl w:val="nil"/>
            </w:tcBorders>
            <w:vAlign w:val="center"/>
          </w:tcPr>
          <w:p w14:paraId="304E174E">
            <w:pPr>
              <w:pStyle w:val="19"/>
              <w:spacing w:before="120" w:after="120"/>
            </w:pPr>
            <w:r>
              <w:rPr>
                <w:rFonts w:hint="eastAsia"/>
              </w:rPr>
              <w:t>氨水</w:t>
            </w:r>
          </w:p>
        </w:tc>
        <w:tc>
          <w:tcPr>
            <w:tcW w:w="628" w:type="pct"/>
            <w:vMerge w:val="restart"/>
            <w:tcBorders>
              <w:tl2br w:val="nil"/>
              <w:tr2bl w:val="nil"/>
            </w:tcBorders>
            <w:vAlign w:val="center"/>
          </w:tcPr>
          <w:p w14:paraId="39D04897">
            <w:pPr>
              <w:pStyle w:val="19"/>
              <w:spacing w:before="120" w:after="120"/>
            </w:pPr>
            <w:r>
              <w:rPr>
                <w:rFonts w:hint="eastAsia"/>
              </w:rPr>
              <w:t>1个车位</w:t>
            </w:r>
          </w:p>
        </w:tc>
        <w:tc>
          <w:tcPr>
            <w:tcW w:w="492" w:type="pct"/>
            <w:tcBorders>
              <w:tl2br w:val="nil"/>
              <w:tr2bl w:val="nil"/>
            </w:tcBorders>
            <w:vAlign w:val="center"/>
          </w:tcPr>
          <w:p w14:paraId="55AE7F38">
            <w:pPr>
              <w:pStyle w:val="19"/>
              <w:spacing w:before="120" w:after="120"/>
            </w:pPr>
            <w:r>
              <w:rPr>
                <w:rFonts w:hint="eastAsia"/>
              </w:rPr>
              <w:t>液体</w:t>
            </w:r>
          </w:p>
        </w:tc>
        <w:tc>
          <w:tcPr>
            <w:tcW w:w="598" w:type="pct"/>
            <w:tcBorders>
              <w:tl2br w:val="nil"/>
              <w:tr2bl w:val="nil"/>
            </w:tcBorders>
            <w:vAlign w:val="center"/>
          </w:tcPr>
          <w:p w14:paraId="70FF4FE3">
            <w:pPr>
              <w:pStyle w:val="19"/>
              <w:spacing w:before="120" w:after="120"/>
            </w:pPr>
            <w:r>
              <w:rPr>
                <w:rFonts w:hint="eastAsia"/>
              </w:rPr>
              <w:t>罐装</w:t>
            </w:r>
          </w:p>
        </w:tc>
        <w:tc>
          <w:tcPr>
            <w:tcW w:w="594" w:type="pct"/>
            <w:tcBorders>
              <w:tl2br w:val="nil"/>
              <w:tr2bl w:val="nil"/>
            </w:tcBorders>
            <w:vAlign w:val="center"/>
          </w:tcPr>
          <w:p w14:paraId="0F1AA46D">
            <w:pPr>
              <w:pStyle w:val="19"/>
              <w:spacing w:before="120" w:after="120"/>
            </w:pPr>
            <w:r>
              <w:rPr>
                <w:rFonts w:hint="eastAsia"/>
              </w:rPr>
              <w:t>30</w:t>
            </w:r>
          </w:p>
        </w:tc>
        <w:tc>
          <w:tcPr>
            <w:tcW w:w="730" w:type="pct"/>
            <w:tcBorders>
              <w:tl2br w:val="nil"/>
              <w:tr2bl w:val="nil"/>
            </w:tcBorders>
            <w:vAlign w:val="center"/>
          </w:tcPr>
          <w:p w14:paraId="634E72AE">
            <w:pPr>
              <w:pStyle w:val="19"/>
              <w:spacing w:before="120" w:after="120"/>
            </w:pPr>
            <w:r>
              <w:rPr>
                <w:rFonts w:hint="eastAsia"/>
              </w:rPr>
              <w:t>1336-21-6</w:t>
            </w:r>
          </w:p>
        </w:tc>
        <w:tc>
          <w:tcPr>
            <w:tcW w:w="471" w:type="pct"/>
            <w:tcBorders>
              <w:tl2br w:val="nil"/>
              <w:tr2bl w:val="nil"/>
            </w:tcBorders>
            <w:vAlign w:val="center"/>
          </w:tcPr>
          <w:p w14:paraId="04DB9AF2">
            <w:pPr>
              <w:pStyle w:val="19"/>
              <w:spacing w:before="120" w:after="120"/>
            </w:pPr>
            <w:r>
              <w:rPr>
                <w:rFonts w:hint="eastAsia"/>
              </w:rPr>
              <w:t>10</w:t>
            </w:r>
          </w:p>
        </w:tc>
        <w:tc>
          <w:tcPr>
            <w:tcW w:w="408" w:type="pct"/>
            <w:tcBorders>
              <w:tl2br w:val="nil"/>
              <w:tr2bl w:val="nil"/>
            </w:tcBorders>
            <w:vAlign w:val="center"/>
          </w:tcPr>
          <w:p w14:paraId="7A1F161A">
            <w:pPr>
              <w:pStyle w:val="19"/>
              <w:spacing w:before="120" w:after="120"/>
            </w:pPr>
            <w:r>
              <w:rPr>
                <w:rFonts w:hint="eastAsia"/>
              </w:rPr>
              <w:t>3</w:t>
            </w:r>
          </w:p>
        </w:tc>
      </w:tr>
      <w:tr w14:paraId="15E4EA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629DCB02">
            <w:pPr>
              <w:pStyle w:val="19"/>
              <w:spacing w:before="120" w:after="120"/>
            </w:pPr>
          </w:p>
        </w:tc>
        <w:tc>
          <w:tcPr>
            <w:tcW w:w="854" w:type="pct"/>
            <w:tcBorders>
              <w:tl2br w:val="nil"/>
              <w:tr2bl w:val="nil"/>
            </w:tcBorders>
            <w:vAlign w:val="center"/>
          </w:tcPr>
          <w:p w14:paraId="6381DF97">
            <w:pPr>
              <w:pStyle w:val="19"/>
              <w:spacing w:before="120" w:after="120"/>
            </w:pPr>
            <w:r>
              <w:rPr>
                <w:rFonts w:hint="eastAsia"/>
              </w:rPr>
              <w:t>盐酸</w:t>
            </w:r>
          </w:p>
        </w:tc>
        <w:tc>
          <w:tcPr>
            <w:tcW w:w="628" w:type="pct"/>
            <w:vMerge w:val="continue"/>
            <w:tcBorders>
              <w:tl2br w:val="nil"/>
              <w:tr2bl w:val="nil"/>
            </w:tcBorders>
            <w:vAlign w:val="center"/>
          </w:tcPr>
          <w:p w14:paraId="1FEFCB1D">
            <w:pPr>
              <w:pStyle w:val="19"/>
              <w:spacing w:before="120" w:after="120"/>
            </w:pPr>
          </w:p>
        </w:tc>
        <w:tc>
          <w:tcPr>
            <w:tcW w:w="492" w:type="pct"/>
            <w:tcBorders>
              <w:tl2br w:val="nil"/>
              <w:tr2bl w:val="nil"/>
            </w:tcBorders>
            <w:vAlign w:val="center"/>
          </w:tcPr>
          <w:p w14:paraId="20BBBE1D">
            <w:pPr>
              <w:pStyle w:val="19"/>
              <w:spacing w:before="120" w:after="120"/>
            </w:pPr>
            <w:r>
              <w:rPr>
                <w:rFonts w:hint="eastAsia"/>
              </w:rPr>
              <w:t>液体</w:t>
            </w:r>
          </w:p>
        </w:tc>
        <w:tc>
          <w:tcPr>
            <w:tcW w:w="598" w:type="pct"/>
            <w:tcBorders>
              <w:tl2br w:val="nil"/>
              <w:tr2bl w:val="nil"/>
            </w:tcBorders>
            <w:vAlign w:val="center"/>
          </w:tcPr>
          <w:p w14:paraId="35FADC44">
            <w:pPr>
              <w:pStyle w:val="19"/>
              <w:spacing w:before="120" w:after="120"/>
            </w:pPr>
            <w:r>
              <w:rPr>
                <w:rFonts w:hint="eastAsia"/>
              </w:rPr>
              <w:t>罐装</w:t>
            </w:r>
          </w:p>
        </w:tc>
        <w:tc>
          <w:tcPr>
            <w:tcW w:w="594" w:type="pct"/>
            <w:tcBorders>
              <w:tl2br w:val="nil"/>
              <w:tr2bl w:val="nil"/>
            </w:tcBorders>
            <w:vAlign w:val="center"/>
          </w:tcPr>
          <w:p w14:paraId="512286DB">
            <w:pPr>
              <w:pStyle w:val="19"/>
              <w:spacing w:before="120" w:after="120"/>
            </w:pPr>
            <w:r>
              <w:rPr>
                <w:rFonts w:hint="eastAsia"/>
              </w:rPr>
              <w:t>30</w:t>
            </w:r>
          </w:p>
        </w:tc>
        <w:tc>
          <w:tcPr>
            <w:tcW w:w="730" w:type="pct"/>
            <w:tcBorders>
              <w:tl2br w:val="nil"/>
              <w:tr2bl w:val="nil"/>
            </w:tcBorders>
            <w:vAlign w:val="center"/>
          </w:tcPr>
          <w:p w14:paraId="09066F86">
            <w:pPr>
              <w:pStyle w:val="19"/>
              <w:spacing w:before="120" w:after="120"/>
            </w:pPr>
            <w:r>
              <w:rPr>
                <w:rFonts w:hint="eastAsia"/>
              </w:rPr>
              <w:t>7647-01-0</w:t>
            </w:r>
          </w:p>
        </w:tc>
        <w:tc>
          <w:tcPr>
            <w:tcW w:w="471" w:type="pct"/>
            <w:tcBorders>
              <w:tl2br w:val="nil"/>
              <w:tr2bl w:val="nil"/>
            </w:tcBorders>
            <w:vAlign w:val="center"/>
          </w:tcPr>
          <w:p w14:paraId="2C94E7D1">
            <w:pPr>
              <w:pStyle w:val="19"/>
              <w:spacing w:before="120" w:after="120"/>
            </w:pPr>
            <w:r>
              <w:rPr>
                <w:rFonts w:hint="eastAsia"/>
              </w:rPr>
              <w:t>7.5</w:t>
            </w:r>
          </w:p>
        </w:tc>
        <w:tc>
          <w:tcPr>
            <w:tcW w:w="408" w:type="pct"/>
            <w:tcBorders>
              <w:tl2br w:val="nil"/>
              <w:tr2bl w:val="nil"/>
            </w:tcBorders>
            <w:vAlign w:val="center"/>
          </w:tcPr>
          <w:p w14:paraId="35C08225">
            <w:pPr>
              <w:pStyle w:val="19"/>
              <w:spacing w:before="120" w:after="120"/>
            </w:pPr>
            <w:r>
              <w:rPr>
                <w:rFonts w:hint="eastAsia"/>
              </w:rPr>
              <w:t>4</w:t>
            </w:r>
          </w:p>
        </w:tc>
      </w:tr>
      <w:tr w14:paraId="3AAD44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1636BAE6">
            <w:pPr>
              <w:pStyle w:val="19"/>
              <w:spacing w:before="120" w:after="120"/>
            </w:pPr>
          </w:p>
        </w:tc>
        <w:tc>
          <w:tcPr>
            <w:tcW w:w="854" w:type="pct"/>
            <w:tcBorders>
              <w:tl2br w:val="nil"/>
              <w:tr2bl w:val="nil"/>
            </w:tcBorders>
            <w:vAlign w:val="center"/>
          </w:tcPr>
          <w:p w14:paraId="75D3433D">
            <w:pPr>
              <w:pStyle w:val="19"/>
              <w:spacing w:before="120" w:after="120"/>
            </w:pPr>
            <w:r>
              <w:t>苯胺</w:t>
            </w:r>
          </w:p>
        </w:tc>
        <w:tc>
          <w:tcPr>
            <w:tcW w:w="628" w:type="pct"/>
            <w:vMerge w:val="continue"/>
            <w:tcBorders>
              <w:tl2br w:val="nil"/>
              <w:tr2bl w:val="nil"/>
            </w:tcBorders>
            <w:vAlign w:val="center"/>
          </w:tcPr>
          <w:p w14:paraId="152C9502">
            <w:pPr>
              <w:pStyle w:val="19"/>
              <w:spacing w:before="120" w:after="120"/>
            </w:pPr>
          </w:p>
        </w:tc>
        <w:tc>
          <w:tcPr>
            <w:tcW w:w="492" w:type="pct"/>
            <w:tcBorders>
              <w:tl2br w:val="nil"/>
              <w:tr2bl w:val="nil"/>
            </w:tcBorders>
            <w:vAlign w:val="center"/>
          </w:tcPr>
          <w:p w14:paraId="54BB5FF1">
            <w:pPr>
              <w:pStyle w:val="19"/>
              <w:spacing w:before="120" w:after="120"/>
            </w:pPr>
            <w:r>
              <w:rPr>
                <w:rFonts w:hint="eastAsia"/>
              </w:rPr>
              <w:t>液体</w:t>
            </w:r>
          </w:p>
        </w:tc>
        <w:tc>
          <w:tcPr>
            <w:tcW w:w="598" w:type="pct"/>
            <w:tcBorders>
              <w:tl2br w:val="nil"/>
              <w:tr2bl w:val="nil"/>
            </w:tcBorders>
            <w:vAlign w:val="center"/>
          </w:tcPr>
          <w:p w14:paraId="7870CF05">
            <w:pPr>
              <w:pStyle w:val="19"/>
              <w:spacing w:before="120" w:after="120"/>
            </w:pPr>
            <w:r>
              <w:rPr>
                <w:rFonts w:hint="eastAsia"/>
              </w:rPr>
              <w:t>罐装</w:t>
            </w:r>
          </w:p>
        </w:tc>
        <w:tc>
          <w:tcPr>
            <w:tcW w:w="594" w:type="pct"/>
            <w:tcBorders>
              <w:tl2br w:val="nil"/>
              <w:tr2bl w:val="nil"/>
            </w:tcBorders>
            <w:vAlign w:val="center"/>
          </w:tcPr>
          <w:p w14:paraId="184F1C19">
            <w:pPr>
              <w:pStyle w:val="19"/>
              <w:spacing w:before="120" w:after="120"/>
            </w:pPr>
            <w:r>
              <w:rPr>
                <w:rFonts w:hint="eastAsia"/>
              </w:rPr>
              <w:t>30</w:t>
            </w:r>
          </w:p>
        </w:tc>
        <w:tc>
          <w:tcPr>
            <w:tcW w:w="730" w:type="pct"/>
            <w:tcBorders>
              <w:tl2br w:val="nil"/>
              <w:tr2bl w:val="nil"/>
            </w:tcBorders>
            <w:vAlign w:val="center"/>
          </w:tcPr>
          <w:p w14:paraId="6151397C">
            <w:pPr>
              <w:pStyle w:val="19"/>
              <w:spacing w:before="120" w:after="120"/>
            </w:pPr>
            <w:r>
              <w:rPr>
                <w:rFonts w:hint="eastAsia"/>
              </w:rPr>
              <w:t>62-53-3</w:t>
            </w:r>
          </w:p>
        </w:tc>
        <w:tc>
          <w:tcPr>
            <w:tcW w:w="471" w:type="pct"/>
            <w:tcBorders>
              <w:tl2br w:val="nil"/>
              <w:tr2bl w:val="nil"/>
            </w:tcBorders>
            <w:vAlign w:val="center"/>
          </w:tcPr>
          <w:p w14:paraId="66F7A069">
            <w:pPr>
              <w:pStyle w:val="19"/>
              <w:spacing w:before="120" w:after="120"/>
            </w:pPr>
            <w:r>
              <w:rPr>
                <w:rFonts w:hint="eastAsia"/>
              </w:rPr>
              <w:t>5</w:t>
            </w:r>
          </w:p>
        </w:tc>
        <w:tc>
          <w:tcPr>
            <w:tcW w:w="408" w:type="pct"/>
            <w:tcBorders>
              <w:tl2br w:val="nil"/>
              <w:tr2bl w:val="nil"/>
            </w:tcBorders>
            <w:vAlign w:val="center"/>
          </w:tcPr>
          <w:p w14:paraId="6F52FF57">
            <w:pPr>
              <w:pStyle w:val="19"/>
              <w:spacing w:before="120" w:after="120"/>
            </w:pPr>
            <w:r>
              <w:rPr>
                <w:rFonts w:hint="eastAsia"/>
              </w:rPr>
              <w:t>6</w:t>
            </w:r>
          </w:p>
        </w:tc>
      </w:tr>
      <w:tr w14:paraId="068035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307238A7">
            <w:pPr>
              <w:pStyle w:val="19"/>
              <w:spacing w:before="120" w:after="120"/>
            </w:pPr>
          </w:p>
        </w:tc>
        <w:tc>
          <w:tcPr>
            <w:tcW w:w="854" w:type="pct"/>
            <w:tcBorders>
              <w:tl2br w:val="nil"/>
              <w:tr2bl w:val="nil"/>
            </w:tcBorders>
            <w:vAlign w:val="center"/>
          </w:tcPr>
          <w:p w14:paraId="7A5F1E0B">
            <w:pPr>
              <w:pStyle w:val="19"/>
              <w:spacing w:before="120" w:after="120"/>
            </w:pPr>
            <w:r>
              <w:t>水合肼</w:t>
            </w:r>
          </w:p>
        </w:tc>
        <w:tc>
          <w:tcPr>
            <w:tcW w:w="628" w:type="pct"/>
            <w:vMerge w:val="continue"/>
            <w:tcBorders>
              <w:tl2br w:val="nil"/>
              <w:tr2bl w:val="nil"/>
            </w:tcBorders>
            <w:vAlign w:val="center"/>
          </w:tcPr>
          <w:p w14:paraId="057A4614">
            <w:pPr>
              <w:pStyle w:val="19"/>
              <w:spacing w:before="120" w:after="120"/>
            </w:pPr>
          </w:p>
        </w:tc>
        <w:tc>
          <w:tcPr>
            <w:tcW w:w="492" w:type="pct"/>
            <w:tcBorders>
              <w:tl2br w:val="nil"/>
              <w:tr2bl w:val="nil"/>
            </w:tcBorders>
            <w:vAlign w:val="center"/>
          </w:tcPr>
          <w:p w14:paraId="77B4D76B">
            <w:pPr>
              <w:pStyle w:val="19"/>
              <w:spacing w:before="120" w:after="120"/>
            </w:pPr>
            <w:r>
              <w:rPr>
                <w:rFonts w:hint="eastAsia"/>
              </w:rPr>
              <w:t>液体</w:t>
            </w:r>
          </w:p>
        </w:tc>
        <w:tc>
          <w:tcPr>
            <w:tcW w:w="598" w:type="pct"/>
            <w:tcBorders>
              <w:tl2br w:val="nil"/>
              <w:tr2bl w:val="nil"/>
            </w:tcBorders>
            <w:vAlign w:val="center"/>
          </w:tcPr>
          <w:p w14:paraId="3439E3F0">
            <w:pPr>
              <w:pStyle w:val="19"/>
              <w:spacing w:before="120" w:after="120"/>
            </w:pPr>
            <w:r>
              <w:rPr>
                <w:rFonts w:hint="eastAsia"/>
              </w:rPr>
              <w:t>罐装</w:t>
            </w:r>
          </w:p>
        </w:tc>
        <w:tc>
          <w:tcPr>
            <w:tcW w:w="594" w:type="pct"/>
            <w:tcBorders>
              <w:tl2br w:val="nil"/>
              <w:tr2bl w:val="nil"/>
            </w:tcBorders>
            <w:vAlign w:val="center"/>
          </w:tcPr>
          <w:p w14:paraId="3847F039">
            <w:pPr>
              <w:pStyle w:val="19"/>
              <w:spacing w:before="120" w:after="120"/>
            </w:pPr>
            <w:r>
              <w:rPr>
                <w:rFonts w:hint="eastAsia"/>
              </w:rPr>
              <w:t>30</w:t>
            </w:r>
          </w:p>
        </w:tc>
        <w:tc>
          <w:tcPr>
            <w:tcW w:w="730" w:type="pct"/>
            <w:tcBorders>
              <w:tl2br w:val="nil"/>
              <w:tr2bl w:val="nil"/>
            </w:tcBorders>
            <w:vAlign w:val="center"/>
          </w:tcPr>
          <w:p w14:paraId="5B9AAA3A">
            <w:pPr>
              <w:pStyle w:val="19"/>
              <w:spacing w:before="120" w:after="120"/>
            </w:pPr>
            <w:r>
              <w:rPr>
                <w:rFonts w:hint="eastAsia"/>
              </w:rPr>
              <w:t>10217-52-4</w:t>
            </w:r>
          </w:p>
        </w:tc>
        <w:tc>
          <w:tcPr>
            <w:tcW w:w="471" w:type="pct"/>
            <w:tcBorders>
              <w:tl2br w:val="nil"/>
              <w:tr2bl w:val="nil"/>
            </w:tcBorders>
            <w:vAlign w:val="center"/>
          </w:tcPr>
          <w:p w14:paraId="101CA893">
            <w:pPr>
              <w:pStyle w:val="19"/>
              <w:spacing w:before="120" w:after="120"/>
            </w:pPr>
            <w:r>
              <w:rPr>
                <w:rFonts w:hint="eastAsia"/>
              </w:rPr>
              <w:t>7.5</w:t>
            </w:r>
          </w:p>
        </w:tc>
        <w:tc>
          <w:tcPr>
            <w:tcW w:w="408" w:type="pct"/>
            <w:tcBorders>
              <w:tl2br w:val="nil"/>
              <w:tr2bl w:val="nil"/>
            </w:tcBorders>
            <w:vAlign w:val="center"/>
          </w:tcPr>
          <w:p w14:paraId="5B4B83A5">
            <w:pPr>
              <w:pStyle w:val="19"/>
              <w:spacing w:before="120" w:after="120"/>
            </w:pPr>
            <w:r>
              <w:rPr>
                <w:rFonts w:hint="eastAsia"/>
              </w:rPr>
              <w:t>4</w:t>
            </w:r>
          </w:p>
        </w:tc>
      </w:tr>
      <w:tr w14:paraId="032EBC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21" w:type="pct"/>
            <w:vMerge w:val="continue"/>
            <w:tcBorders>
              <w:tl2br w:val="nil"/>
              <w:tr2bl w:val="nil"/>
            </w:tcBorders>
            <w:vAlign w:val="center"/>
          </w:tcPr>
          <w:p w14:paraId="7EE55E69">
            <w:pPr>
              <w:pStyle w:val="19"/>
              <w:spacing w:before="120" w:after="120"/>
            </w:pPr>
          </w:p>
        </w:tc>
        <w:tc>
          <w:tcPr>
            <w:tcW w:w="854" w:type="pct"/>
            <w:tcBorders>
              <w:tl2br w:val="nil"/>
              <w:tr2bl w:val="nil"/>
            </w:tcBorders>
            <w:vAlign w:val="center"/>
          </w:tcPr>
          <w:p w14:paraId="0D320240">
            <w:pPr>
              <w:pStyle w:val="19"/>
              <w:spacing w:before="120" w:after="120"/>
            </w:pPr>
            <w:r>
              <w:rPr>
                <w:rFonts w:hint="eastAsia"/>
              </w:rPr>
              <w:t>苯</w:t>
            </w:r>
          </w:p>
        </w:tc>
        <w:tc>
          <w:tcPr>
            <w:tcW w:w="628" w:type="pct"/>
            <w:vMerge w:val="restart"/>
            <w:tcBorders>
              <w:tl2br w:val="nil"/>
              <w:tr2bl w:val="nil"/>
            </w:tcBorders>
            <w:vAlign w:val="center"/>
          </w:tcPr>
          <w:p w14:paraId="6E47E18C">
            <w:pPr>
              <w:pStyle w:val="19"/>
              <w:spacing w:before="120" w:after="120"/>
            </w:pPr>
            <w:r>
              <w:rPr>
                <w:rFonts w:hint="eastAsia"/>
              </w:rPr>
              <w:t>3个车位</w:t>
            </w:r>
          </w:p>
        </w:tc>
        <w:tc>
          <w:tcPr>
            <w:tcW w:w="492" w:type="pct"/>
            <w:tcBorders>
              <w:tl2br w:val="nil"/>
              <w:tr2bl w:val="nil"/>
            </w:tcBorders>
            <w:vAlign w:val="center"/>
          </w:tcPr>
          <w:p w14:paraId="63320CFF">
            <w:pPr>
              <w:pStyle w:val="19"/>
              <w:spacing w:before="120" w:after="120"/>
            </w:pPr>
            <w:r>
              <w:rPr>
                <w:rFonts w:hint="eastAsia"/>
              </w:rPr>
              <w:t>液体</w:t>
            </w:r>
          </w:p>
        </w:tc>
        <w:tc>
          <w:tcPr>
            <w:tcW w:w="598" w:type="pct"/>
            <w:tcBorders>
              <w:tl2br w:val="nil"/>
              <w:tr2bl w:val="nil"/>
            </w:tcBorders>
            <w:vAlign w:val="center"/>
          </w:tcPr>
          <w:p w14:paraId="327D5804">
            <w:pPr>
              <w:pStyle w:val="19"/>
              <w:spacing w:before="120" w:after="120"/>
            </w:pPr>
            <w:r>
              <w:rPr>
                <w:rFonts w:hint="eastAsia"/>
              </w:rPr>
              <w:t>罐装</w:t>
            </w:r>
          </w:p>
        </w:tc>
        <w:tc>
          <w:tcPr>
            <w:tcW w:w="594" w:type="pct"/>
            <w:tcBorders>
              <w:tl2br w:val="nil"/>
              <w:tr2bl w:val="nil"/>
            </w:tcBorders>
            <w:vAlign w:val="center"/>
          </w:tcPr>
          <w:p w14:paraId="1501CE3B">
            <w:pPr>
              <w:pStyle w:val="19"/>
              <w:spacing w:before="120" w:after="120"/>
            </w:pPr>
            <w:r>
              <w:rPr>
                <w:rFonts w:hint="eastAsia"/>
              </w:rPr>
              <w:t>30</w:t>
            </w:r>
          </w:p>
        </w:tc>
        <w:tc>
          <w:tcPr>
            <w:tcW w:w="730" w:type="pct"/>
            <w:tcBorders>
              <w:tl2br w:val="nil"/>
              <w:tr2bl w:val="nil"/>
            </w:tcBorders>
            <w:vAlign w:val="center"/>
          </w:tcPr>
          <w:p w14:paraId="5F1DB42E">
            <w:pPr>
              <w:pStyle w:val="19"/>
              <w:spacing w:before="120" w:after="120"/>
            </w:pPr>
            <w:r>
              <w:rPr>
                <w:rFonts w:hint="eastAsia"/>
              </w:rPr>
              <w:t>71-43-2</w:t>
            </w:r>
          </w:p>
        </w:tc>
        <w:tc>
          <w:tcPr>
            <w:tcW w:w="471" w:type="pct"/>
            <w:tcBorders>
              <w:tl2br w:val="nil"/>
              <w:tr2bl w:val="nil"/>
            </w:tcBorders>
            <w:vAlign w:val="center"/>
          </w:tcPr>
          <w:p w14:paraId="2EC87AC5">
            <w:pPr>
              <w:pStyle w:val="19"/>
              <w:spacing w:before="120" w:after="120"/>
            </w:pPr>
            <w:r>
              <w:rPr>
                <w:rFonts w:hint="eastAsia"/>
              </w:rPr>
              <w:t>10</w:t>
            </w:r>
          </w:p>
        </w:tc>
        <w:tc>
          <w:tcPr>
            <w:tcW w:w="408" w:type="pct"/>
            <w:tcBorders>
              <w:tl2br w:val="nil"/>
              <w:tr2bl w:val="nil"/>
            </w:tcBorders>
            <w:vAlign w:val="center"/>
          </w:tcPr>
          <w:p w14:paraId="577A1EC0">
            <w:pPr>
              <w:pStyle w:val="19"/>
              <w:spacing w:before="120" w:after="120"/>
            </w:pPr>
            <w:r>
              <w:rPr>
                <w:rFonts w:hint="eastAsia"/>
              </w:rPr>
              <w:t>3</w:t>
            </w:r>
          </w:p>
        </w:tc>
      </w:tr>
      <w:tr w14:paraId="3948FA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69CE0A58">
            <w:pPr>
              <w:pStyle w:val="19"/>
              <w:spacing w:before="120" w:after="120"/>
            </w:pPr>
          </w:p>
        </w:tc>
        <w:tc>
          <w:tcPr>
            <w:tcW w:w="854" w:type="pct"/>
            <w:tcBorders>
              <w:tl2br w:val="nil"/>
              <w:tr2bl w:val="nil"/>
            </w:tcBorders>
            <w:vAlign w:val="center"/>
          </w:tcPr>
          <w:p w14:paraId="3B26F44F">
            <w:pPr>
              <w:pStyle w:val="19"/>
              <w:spacing w:before="120" w:after="120"/>
            </w:pPr>
            <w:r>
              <w:rPr>
                <w:rFonts w:hint="eastAsia"/>
              </w:rPr>
              <w:t>甲苯</w:t>
            </w:r>
          </w:p>
        </w:tc>
        <w:tc>
          <w:tcPr>
            <w:tcW w:w="628" w:type="pct"/>
            <w:vMerge w:val="continue"/>
            <w:tcBorders>
              <w:tl2br w:val="nil"/>
              <w:tr2bl w:val="nil"/>
            </w:tcBorders>
            <w:vAlign w:val="center"/>
          </w:tcPr>
          <w:p w14:paraId="295F42ED">
            <w:pPr>
              <w:pStyle w:val="19"/>
              <w:spacing w:before="120" w:after="120"/>
            </w:pPr>
          </w:p>
        </w:tc>
        <w:tc>
          <w:tcPr>
            <w:tcW w:w="492" w:type="pct"/>
            <w:tcBorders>
              <w:tl2br w:val="nil"/>
              <w:tr2bl w:val="nil"/>
            </w:tcBorders>
            <w:vAlign w:val="center"/>
          </w:tcPr>
          <w:p w14:paraId="4C70DD96">
            <w:pPr>
              <w:pStyle w:val="19"/>
              <w:spacing w:before="120" w:after="120"/>
            </w:pPr>
            <w:r>
              <w:rPr>
                <w:rFonts w:hint="eastAsia"/>
              </w:rPr>
              <w:t>液体</w:t>
            </w:r>
          </w:p>
        </w:tc>
        <w:tc>
          <w:tcPr>
            <w:tcW w:w="598" w:type="pct"/>
            <w:tcBorders>
              <w:tl2br w:val="nil"/>
              <w:tr2bl w:val="nil"/>
            </w:tcBorders>
            <w:vAlign w:val="center"/>
          </w:tcPr>
          <w:p w14:paraId="0D4FF738">
            <w:pPr>
              <w:pStyle w:val="19"/>
              <w:spacing w:before="120" w:after="120"/>
            </w:pPr>
            <w:r>
              <w:rPr>
                <w:rFonts w:hint="eastAsia"/>
              </w:rPr>
              <w:t>罐装</w:t>
            </w:r>
          </w:p>
        </w:tc>
        <w:tc>
          <w:tcPr>
            <w:tcW w:w="594" w:type="pct"/>
            <w:tcBorders>
              <w:tl2br w:val="nil"/>
              <w:tr2bl w:val="nil"/>
            </w:tcBorders>
            <w:vAlign w:val="center"/>
          </w:tcPr>
          <w:p w14:paraId="47F6EDD4">
            <w:pPr>
              <w:pStyle w:val="19"/>
              <w:spacing w:before="120" w:after="120"/>
            </w:pPr>
            <w:r>
              <w:rPr>
                <w:rFonts w:hint="eastAsia"/>
              </w:rPr>
              <w:t>30</w:t>
            </w:r>
          </w:p>
        </w:tc>
        <w:tc>
          <w:tcPr>
            <w:tcW w:w="730" w:type="pct"/>
            <w:tcBorders>
              <w:tl2br w:val="nil"/>
              <w:tr2bl w:val="nil"/>
            </w:tcBorders>
            <w:vAlign w:val="center"/>
          </w:tcPr>
          <w:p w14:paraId="4D438FBA">
            <w:pPr>
              <w:pStyle w:val="19"/>
              <w:spacing w:before="120" w:after="120"/>
            </w:pPr>
            <w:r>
              <w:rPr>
                <w:rFonts w:hint="eastAsia"/>
              </w:rPr>
              <w:t>108-88-3</w:t>
            </w:r>
          </w:p>
        </w:tc>
        <w:tc>
          <w:tcPr>
            <w:tcW w:w="471" w:type="pct"/>
            <w:tcBorders>
              <w:tl2br w:val="nil"/>
              <w:tr2bl w:val="nil"/>
            </w:tcBorders>
            <w:vAlign w:val="center"/>
          </w:tcPr>
          <w:p w14:paraId="27BB8557">
            <w:pPr>
              <w:pStyle w:val="19"/>
              <w:spacing w:before="120" w:after="120"/>
            </w:pPr>
            <w:r>
              <w:rPr>
                <w:rFonts w:hint="eastAsia"/>
              </w:rPr>
              <w:t>10</w:t>
            </w:r>
          </w:p>
        </w:tc>
        <w:tc>
          <w:tcPr>
            <w:tcW w:w="408" w:type="pct"/>
            <w:tcBorders>
              <w:tl2br w:val="nil"/>
              <w:tr2bl w:val="nil"/>
            </w:tcBorders>
            <w:vAlign w:val="center"/>
          </w:tcPr>
          <w:p w14:paraId="631D10A1">
            <w:pPr>
              <w:pStyle w:val="19"/>
              <w:spacing w:before="120" w:after="120"/>
            </w:pPr>
            <w:r>
              <w:rPr>
                <w:rFonts w:hint="eastAsia"/>
              </w:rPr>
              <w:t>3</w:t>
            </w:r>
          </w:p>
        </w:tc>
      </w:tr>
      <w:tr w14:paraId="10637D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63578581">
            <w:pPr>
              <w:pStyle w:val="19"/>
              <w:spacing w:before="120" w:after="120"/>
            </w:pPr>
          </w:p>
        </w:tc>
        <w:tc>
          <w:tcPr>
            <w:tcW w:w="854" w:type="pct"/>
            <w:tcBorders>
              <w:tl2br w:val="nil"/>
              <w:tr2bl w:val="nil"/>
            </w:tcBorders>
            <w:vAlign w:val="center"/>
          </w:tcPr>
          <w:p w14:paraId="60CE390F">
            <w:pPr>
              <w:pStyle w:val="19"/>
              <w:spacing w:before="120" w:after="120"/>
            </w:pPr>
            <w:r>
              <w:rPr>
                <w:rFonts w:hint="eastAsia"/>
              </w:rPr>
              <w:t>邻二甲苯</w:t>
            </w:r>
          </w:p>
        </w:tc>
        <w:tc>
          <w:tcPr>
            <w:tcW w:w="628" w:type="pct"/>
            <w:vMerge w:val="continue"/>
            <w:tcBorders>
              <w:tl2br w:val="nil"/>
              <w:tr2bl w:val="nil"/>
            </w:tcBorders>
            <w:vAlign w:val="center"/>
          </w:tcPr>
          <w:p w14:paraId="1E506980">
            <w:pPr>
              <w:pStyle w:val="19"/>
              <w:spacing w:before="120" w:after="120"/>
            </w:pPr>
          </w:p>
        </w:tc>
        <w:tc>
          <w:tcPr>
            <w:tcW w:w="492" w:type="pct"/>
            <w:tcBorders>
              <w:tl2br w:val="nil"/>
              <w:tr2bl w:val="nil"/>
            </w:tcBorders>
            <w:vAlign w:val="center"/>
          </w:tcPr>
          <w:p w14:paraId="0CC7FEA0">
            <w:pPr>
              <w:pStyle w:val="19"/>
              <w:spacing w:before="120" w:after="120"/>
            </w:pPr>
            <w:r>
              <w:rPr>
                <w:rFonts w:hint="eastAsia"/>
              </w:rPr>
              <w:t>液体</w:t>
            </w:r>
          </w:p>
        </w:tc>
        <w:tc>
          <w:tcPr>
            <w:tcW w:w="598" w:type="pct"/>
            <w:tcBorders>
              <w:tl2br w:val="nil"/>
              <w:tr2bl w:val="nil"/>
            </w:tcBorders>
            <w:vAlign w:val="center"/>
          </w:tcPr>
          <w:p w14:paraId="7F1CD025">
            <w:pPr>
              <w:pStyle w:val="19"/>
              <w:spacing w:before="120" w:after="120"/>
            </w:pPr>
            <w:r>
              <w:rPr>
                <w:rFonts w:hint="eastAsia"/>
              </w:rPr>
              <w:t>罐装</w:t>
            </w:r>
          </w:p>
        </w:tc>
        <w:tc>
          <w:tcPr>
            <w:tcW w:w="594" w:type="pct"/>
            <w:tcBorders>
              <w:tl2br w:val="nil"/>
              <w:tr2bl w:val="nil"/>
            </w:tcBorders>
            <w:vAlign w:val="center"/>
          </w:tcPr>
          <w:p w14:paraId="5818224D">
            <w:pPr>
              <w:pStyle w:val="19"/>
              <w:spacing w:before="120" w:after="120"/>
            </w:pPr>
            <w:r>
              <w:rPr>
                <w:rFonts w:hint="eastAsia"/>
              </w:rPr>
              <w:t>30</w:t>
            </w:r>
          </w:p>
        </w:tc>
        <w:tc>
          <w:tcPr>
            <w:tcW w:w="730" w:type="pct"/>
            <w:tcBorders>
              <w:tl2br w:val="nil"/>
              <w:tr2bl w:val="nil"/>
            </w:tcBorders>
            <w:vAlign w:val="center"/>
          </w:tcPr>
          <w:p w14:paraId="24CE0491">
            <w:pPr>
              <w:pStyle w:val="19"/>
              <w:spacing w:before="120" w:after="120"/>
            </w:pPr>
            <w:r>
              <w:rPr>
                <w:rFonts w:hint="eastAsia"/>
              </w:rPr>
              <w:t>95-47-6</w:t>
            </w:r>
          </w:p>
        </w:tc>
        <w:tc>
          <w:tcPr>
            <w:tcW w:w="471" w:type="pct"/>
            <w:tcBorders>
              <w:tl2br w:val="nil"/>
              <w:tr2bl w:val="nil"/>
            </w:tcBorders>
            <w:vAlign w:val="center"/>
          </w:tcPr>
          <w:p w14:paraId="63142E14">
            <w:pPr>
              <w:pStyle w:val="19"/>
              <w:spacing w:before="120" w:after="120"/>
            </w:pPr>
            <w:r>
              <w:rPr>
                <w:rFonts w:hint="eastAsia"/>
              </w:rPr>
              <w:t>10</w:t>
            </w:r>
          </w:p>
        </w:tc>
        <w:tc>
          <w:tcPr>
            <w:tcW w:w="408" w:type="pct"/>
            <w:tcBorders>
              <w:tl2br w:val="nil"/>
              <w:tr2bl w:val="nil"/>
            </w:tcBorders>
            <w:vAlign w:val="center"/>
          </w:tcPr>
          <w:p w14:paraId="40522B13">
            <w:pPr>
              <w:pStyle w:val="19"/>
              <w:spacing w:before="120" w:after="120"/>
            </w:pPr>
            <w:r>
              <w:rPr>
                <w:rFonts w:hint="eastAsia"/>
              </w:rPr>
              <w:t>3</w:t>
            </w:r>
          </w:p>
        </w:tc>
      </w:tr>
      <w:tr w14:paraId="159E6B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5DA4EC99">
            <w:pPr>
              <w:pStyle w:val="19"/>
              <w:spacing w:before="120" w:after="120"/>
            </w:pPr>
          </w:p>
        </w:tc>
        <w:tc>
          <w:tcPr>
            <w:tcW w:w="854" w:type="pct"/>
            <w:tcBorders>
              <w:tl2br w:val="nil"/>
              <w:tr2bl w:val="nil"/>
            </w:tcBorders>
            <w:vAlign w:val="center"/>
          </w:tcPr>
          <w:p w14:paraId="15FB25CD">
            <w:pPr>
              <w:pStyle w:val="19"/>
              <w:spacing w:before="120" w:after="120"/>
            </w:pPr>
            <w:r>
              <w:rPr>
                <w:rFonts w:hint="eastAsia"/>
              </w:rPr>
              <w:t>粗苯</w:t>
            </w:r>
          </w:p>
        </w:tc>
        <w:tc>
          <w:tcPr>
            <w:tcW w:w="628" w:type="pct"/>
            <w:vMerge w:val="continue"/>
            <w:tcBorders>
              <w:tl2br w:val="nil"/>
              <w:tr2bl w:val="nil"/>
            </w:tcBorders>
            <w:vAlign w:val="center"/>
          </w:tcPr>
          <w:p w14:paraId="2C9E13D1">
            <w:pPr>
              <w:pStyle w:val="19"/>
              <w:spacing w:before="120" w:after="120"/>
            </w:pPr>
          </w:p>
        </w:tc>
        <w:tc>
          <w:tcPr>
            <w:tcW w:w="492" w:type="pct"/>
            <w:tcBorders>
              <w:tl2br w:val="nil"/>
              <w:tr2bl w:val="nil"/>
            </w:tcBorders>
            <w:vAlign w:val="center"/>
          </w:tcPr>
          <w:p w14:paraId="4E19F876">
            <w:pPr>
              <w:pStyle w:val="19"/>
              <w:spacing w:before="120" w:after="120"/>
            </w:pPr>
            <w:r>
              <w:rPr>
                <w:rFonts w:hint="eastAsia"/>
              </w:rPr>
              <w:t>液体</w:t>
            </w:r>
          </w:p>
        </w:tc>
        <w:tc>
          <w:tcPr>
            <w:tcW w:w="598" w:type="pct"/>
            <w:tcBorders>
              <w:tl2br w:val="nil"/>
              <w:tr2bl w:val="nil"/>
            </w:tcBorders>
            <w:vAlign w:val="center"/>
          </w:tcPr>
          <w:p w14:paraId="5D2C4744">
            <w:pPr>
              <w:pStyle w:val="19"/>
              <w:spacing w:before="120" w:after="120"/>
            </w:pPr>
            <w:r>
              <w:rPr>
                <w:rFonts w:hint="eastAsia"/>
              </w:rPr>
              <w:t>罐装</w:t>
            </w:r>
          </w:p>
        </w:tc>
        <w:tc>
          <w:tcPr>
            <w:tcW w:w="594" w:type="pct"/>
            <w:tcBorders>
              <w:tl2br w:val="nil"/>
              <w:tr2bl w:val="nil"/>
            </w:tcBorders>
            <w:vAlign w:val="center"/>
          </w:tcPr>
          <w:p w14:paraId="796C74E2">
            <w:pPr>
              <w:pStyle w:val="19"/>
              <w:spacing w:before="120" w:after="120"/>
            </w:pPr>
            <w:r>
              <w:rPr>
                <w:rFonts w:hint="eastAsia"/>
              </w:rPr>
              <w:t>30</w:t>
            </w:r>
          </w:p>
        </w:tc>
        <w:tc>
          <w:tcPr>
            <w:tcW w:w="730" w:type="pct"/>
            <w:tcBorders>
              <w:tl2br w:val="nil"/>
              <w:tr2bl w:val="nil"/>
            </w:tcBorders>
            <w:vAlign w:val="center"/>
          </w:tcPr>
          <w:p w14:paraId="2B3D227B">
            <w:pPr>
              <w:pStyle w:val="19"/>
              <w:spacing w:before="120" w:after="120"/>
            </w:pPr>
            <w:r>
              <w:rPr>
                <w:rFonts w:hint="eastAsia"/>
              </w:rPr>
              <w:t>/</w:t>
            </w:r>
          </w:p>
        </w:tc>
        <w:tc>
          <w:tcPr>
            <w:tcW w:w="471" w:type="pct"/>
            <w:tcBorders>
              <w:tl2br w:val="nil"/>
              <w:tr2bl w:val="nil"/>
            </w:tcBorders>
            <w:vAlign w:val="center"/>
          </w:tcPr>
          <w:p w14:paraId="48D60C66">
            <w:pPr>
              <w:pStyle w:val="19"/>
              <w:spacing w:before="120" w:after="120"/>
            </w:pPr>
            <w:r>
              <w:rPr>
                <w:rFonts w:hint="eastAsia"/>
              </w:rPr>
              <w:t>5</w:t>
            </w:r>
          </w:p>
        </w:tc>
        <w:tc>
          <w:tcPr>
            <w:tcW w:w="408" w:type="pct"/>
            <w:tcBorders>
              <w:tl2br w:val="nil"/>
              <w:tr2bl w:val="nil"/>
            </w:tcBorders>
            <w:vAlign w:val="center"/>
          </w:tcPr>
          <w:p w14:paraId="19DAD491">
            <w:pPr>
              <w:pStyle w:val="19"/>
              <w:spacing w:before="120" w:after="120"/>
            </w:pPr>
            <w:r>
              <w:rPr>
                <w:rFonts w:hint="eastAsia"/>
              </w:rPr>
              <w:t>6</w:t>
            </w:r>
          </w:p>
        </w:tc>
      </w:tr>
      <w:tr w14:paraId="070CC6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2602E1B3">
            <w:pPr>
              <w:pStyle w:val="19"/>
              <w:spacing w:before="120" w:after="120"/>
            </w:pPr>
          </w:p>
        </w:tc>
        <w:tc>
          <w:tcPr>
            <w:tcW w:w="854" w:type="pct"/>
            <w:tcBorders>
              <w:tl2br w:val="nil"/>
              <w:tr2bl w:val="nil"/>
            </w:tcBorders>
            <w:vAlign w:val="center"/>
          </w:tcPr>
          <w:p w14:paraId="625FF889">
            <w:pPr>
              <w:pStyle w:val="19"/>
              <w:spacing w:before="120" w:after="120"/>
            </w:pPr>
            <w:r>
              <w:rPr>
                <w:rFonts w:hint="eastAsia"/>
              </w:rPr>
              <w:t>亚硝酸钠</w:t>
            </w:r>
          </w:p>
        </w:tc>
        <w:tc>
          <w:tcPr>
            <w:tcW w:w="628" w:type="pct"/>
            <w:vMerge w:val="continue"/>
            <w:tcBorders>
              <w:tl2br w:val="nil"/>
              <w:tr2bl w:val="nil"/>
            </w:tcBorders>
            <w:vAlign w:val="center"/>
          </w:tcPr>
          <w:p w14:paraId="600AB369">
            <w:pPr>
              <w:pStyle w:val="19"/>
              <w:spacing w:before="120" w:after="120"/>
            </w:pPr>
          </w:p>
        </w:tc>
        <w:tc>
          <w:tcPr>
            <w:tcW w:w="492" w:type="pct"/>
            <w:tcBorders>
              <w:tl2br w:val="nil"/>
              <w:tr2bl w:val="nil"/>
            </w:tcBorders>
            <w:vAlign w:val="center"/>
          </w:tcPr>
          <w:p w14:paraId="670B8FA8">
            <w:pPr>
              <w:pStyle w:val="19"/>
              <w:spacing w:before="120" w:after="120"/>
            </w:pPr>
            <w:r>
              <w:rPr>
                <w:rFonts w:hint="eastAsia"/>
              </w:rPr>
              <w:t>固体</w:t>
            </w:r>
          </w:p>
        </w:tc>
        <w:tc>
          <w:tcPr>
            <w:tcW w:w="598" w:type="pct"/>
            <w:tcBorders>
              <w:tl2br w:val="nil"/>
              <w:tr2bl w:val="nil"/>
            </w:tcBorders>
            <w:vAlign w:val="center"/>
          </w:tcPr>
          <w:p w14:paraId="7842F35D">
            <w:pPr>
              <w:pStyle w:val="19"/>
              <w:spacing w:before="120" w:after="120"/>
            </w:pPr>
            <w:r>
              <w:rPr>
                <w:rFonts w:hint="eastAsia"/>
              </w:rPr>
              <w:t>槽车</w:t>
            </w:r>
          </w:p>
        </w:tc>
        <w:tc>
          <w:tcPr>
            <w:tcW w:w="594" w:type="pct"/>
            <w:tcBorders>
              <w:tl2br w:val="nil"/>
              <w:tr2bl w:val="nil"/>
            </w:tcBorders>
            <w:vAlign w:val="center"/>
          </w:tcPr>
          <w:p w14:paraId="6E5F4A19">
            <w:pPr>
              <w:pStyle w:val="19"/>
              <w:spacing w:before="120" w:after="120"/>
            </w:pPr>
            <w:r>
              <w:rPr>
                <w:rFonts w:hint="eastAsia"/>
              </w:rPr>
              <w:t>30</w:t>
            </w:r>
          </w:p>
        </w:tc>
        <w:tc>
          <w:tcPr>
            <w:tcW w:w="730" w:type="pct"/>
            <w:tcBorders>
              <w:tl2br w:val="nil"/>
              <w:tr2bl w:val="nil"/>
            </w:tcBorders>
            <w:vAlign w:val="center"/>
          </w:tcPr>
          <w:p w14:paraId="73876571">
            <w:pPr>
              <w:pStyle w:val="19"/>
              <w:spacing w:before="120" w:after="120"/>
            </w:pPr>
            <w:r>
              <w:rPr>
                <w:rFonts w:hint="eastAsia"/>
              </w:rPr>
              <w:t>7632-00-0</w:t>
            </w:r>
          </w:p>
        </w:tc>
        <w:tc>
          <w:tcPr>
            <w:tcW w:w="471" w:type="pct"/>
            <w:tcBorders>
              <w:tl2br w:val="nil"/>
              <w:tr2bl w:val="nil"/>
            </w:tcBorders>
            <w:vAlign w:val="center"/>
          </w:tcPr>
          <w:p w14:paraId="383BDDC3">
            <w:pPr>
              <w:pStyle w:val="19"/>
              <w:spacing w:before="120" w:after="120"/>
            </w:pPr>
            <w:r>
              <w:rPr>
                <w:rFonts w:hint="eastAsia"/>
              </w:rPr>
              <w:t>/</w:t>
            </w:r>
          </w:p>
        </w:tc>
        <w:tc>
          <w:tcPr>
            <w:tcW w:w="408" w:type="pct"/>
            <w:tcBorders>
              <w:tl2br w:val="nil"/>
              <w:tr2bl w:val="nil"/>
            </w:tcBorders>
            <w:vAlign w:val="center"/>
          </w:tcPr>
          <w:p w14:paraId="0DD7532A">
            <w:pPr>
              <w:pStyle w:val="19"/>
              <w:spacing w:before="120" w:after="120"/>
            </w:pPr>
            <w:r>
              <w:rPr>
                <w:rFonts w:hint="eastAsia"/>
              </w:rPr>
              <w:t>/</w:t>
            </w:r>
          </w:p>
        </w:tc>
      </w:tr>
      <w:tr w14:paraId="4B7BDE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570A0D67">
            <w:pPr>
              <w:pStyle w:val="19"/>
              <w:spacing w:before="120" w:after="120"/>
            </w:pPr>
          </w:p>
        </w:tc>
        <w:tc>
          <w:tcPr>
            <w:tcW w:w="854" w:type="pct"/>
            <w:tcBorders>
              <w:tl2br w:val="nil"/>
              <w:tr2bl w:val="nil"/>
            </w:tcBorders>
            <w:vAlign w:val="center"/>
          </w:tcPr>
          <w:p w14:paraId="1E6A48EF">
            <w:pPr>
              <w:pStyle w:val="19"/>
              <w:spacing w:before="120" w:after="120"/>
            </w:pPr>
            <w:r>
              <w:rPr>
                <w:rFonts w:hint="eastAsia"/>
              </w:rPr>
              <w:t>液氯</w:t>
            </w:r>
          </w:p>
        </w:tc>
        <w:tc>
          <w:tcPr>
            <w:tcW w:w="628" w:type="pct"/>
            <w:vMerge w:val="continue"/>
            <w:tcBorders>
              <w:tl2br w:val="nil"/>
              <w:tr2bl w:val="nil"/>
            </w:tcBorders>
            <w:vAlign w:val="center"/>
          </w:tcPr>
          <w:p w14:paraId="61F79298">
            <w:pPr>
              <w:pStyle w:val="19"/>
              <w:spacing w:before="120" w:after="120"/>
            </w:pPr>
          </w:p>
        </w:tc>
        <w:tc>
          <w:tcPr>
            <w:tcW w:w="492" w:type="pct"/>
            <w:tcBorders>
              <w:tl2br w:val="nil"/>
              <w:tr2bl w:val="nil"/>
            </w:tcBorders>
            <w:vAlign w:val="center"/>
          </w:tcPr>
          <w:p w14:paraId="065B1A41">
            <w:pPr>
              <w:pStyle w:val="19"/>
              <w:spacing w:before="120" w:after="120"/>
            </w:pPr>
            <w:r>
              <w:rPr>
                <w:rFonts w:hint="eastAsia"/>
              </w:rPr>
              <w:t>液体</w:t>
            </w:r>
          </w:p>
        </w:tc>
        <w:tc>
          <w:tcPr>
            <w:tcW w:w="598" w:type="pct"/>
            <w:tcBorders>
              <w:tl2br w:val="nil"/>
              <w:tr2bl w:val="nil"/>
            </w:tcBorders>
            <w:vAlign w:val="center"/>
          </w:tcPr>
          <w:p w14:paraId="4A01AA51">
            <w:pPr>
              <w:pStyle w:val="19"/>
              <w:spacing w:before="120" w:after="120"/>
            </w:pPr>
            <w:r>
              <w:rPr>
                <w:rFonts w:hint="eastAsia"/>
              </w:rPr>
              <w:t>罐装</w:t>
            </w:r>
          </w:p>
        </w:tc>
        <w:tc>
          <w:tcPr>
            <w:tcW w:w="594" w:type="pct"/>
            <w:tcBorders>
              <w:tl2br w:val="nil"/>
              <w:tr2bl w:val="nil"/>
            </w:tcBorders>
            <w:vAlign w:val="center"/>
          </w:tcPr>
          <w:p w14:paraId="05C59DF7">
            <w:pPr>
              <w:pStyle w:val="19"/>
              <w:spacing w:before="120" w:after="120"/>
            </w:pPr>
            <w:r>
              <w:rPr>
                <w:rFonts w:hint="eastAsia"/>
              </w:rPr>
              <w:t>30</w:t>
            </w:r>
          </w:p>
        </w:tc>
        <w:tc>
          <w:tcPr>
            <w:tcW w:w="730" w:type="pct"/>
            <w:tcBorders>
              <w:tl2br w:val="nil"/>
              <w:tr2bl w:val="nil"/>
            </w:tcBorders>
            <w:vAlign w:val="center"/>
          </w:tcPr>
          <w:p w14:paraId="7B9E957D">
            <w:pPr>
              <w:pStyle w:val="19"/>
              <w:spacing w:before="120" w:after="120"/>
            </w:pPr>
            <w:r>
              <w:rPr>
                <w:rFonts w:hint="eastAsia"/>
              </w:rPr>
              <w:t>7782-50-5</w:t>
            </w:r>
          </w:p>
        </w:tc>
        <w:tc>
          <w:tcPr>
            <w:tcW w:w="471" w:type="pct"/>
            <w:tcBorders>
              <w:tl2br w:val="nil"/>
              <w:tr2bl w:val="nil"/>
            </w:tcBorders>
            <w:vAlign w:val="center"/>
          </w:tcPr>
          <w:p w14:paraId="7CFFC6D5">
            <w:pPr>
              <w:pStyle w:val="19"/>
              <w:spacing w:before="120" w:after="120"/>
            </w:pPr>
            <w:r>
              <w:rPr>
                <w:rFonts w:hint="eastAsia"/>
              </w:rPr>
              <w:t>1</w:t>
            </w:r>
          </w:p>
        </w:tc>
        <w:tc>
          <w:tcPr>
            <w:tcW w:w="408" w:type="pct"/>
            <w:tcBorders>
              <w:tl2br w:val="nil"/>
              <w:tr2bl w:val="nil"/>
            </w:tcBorders>
            <w:vAlign w:val="center"/>
          </w:tcPr>
          <w:p w14:paraId="56806ABF">
            <w:pPr>
              <w:pStyle w:val="19"/>
              <w:spacing w:before="120" w:after="120"/>
            </w:pPr>
            <w:r>
              <w:rPr>
                <w:rFonts w:hint="eastAsia"/>
              </w:rPr>
              <w:t>30</w:t>
            </w:r>
          </w:p>
        </w:tc>
      </w:tr>
      <w:tr w14:paraId="5839CD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167EAD0A">
            <w:pPr>
              <w:pStyle w:val="19"/>
              <w:spacing w:before="120" w:after="120"/>
            </w:pPr>
          </w:p>
        </w:tc>
        <w:tc>
          <w:tcPr>
            <w:tcW w:w="854" w:type="pct"/>
            <w:tcBorders>
              <w:tl2br w:val="nil"/>
              <w:tr2bl w:val="nil"/>
            </w:tcBorders>
            <w:vAlign w:val="center"/>
          </w:tcPr>
          <w:p w14:paraId="529ABB14">
            <w:pPr>
              <w:pStyle w:val="19"/>
              <w:spacing w:before="120" w:after="120"/>
            </w:pPr>
            <w:r>
              <w:rPr>
                <w:rFonts w:hint="eastAsia"/>
              </w:rPr>
              <w:t>液体工业萘</w:t>
            </w:r>
          </w:p>
        </w:tc>
        <w:tc>
          <w:tcPr>
            <w:tcW w:w="628" w:type="pct"/>
            <w:vMerge w:val="continue"/>
            <w:tcBorders>
              <w:tl2br w:val="nil"/>
              <w:tr2bl w:val="nil"/>
            </w:tcBorders>
            <w:vAlign w:val="center"/>
          </w:tcPr>
          <w:p w14:paraId="22D8C888">
            <w:pPr>
              <w:pStyle w:val="19"/>
              <w:spacing w:before="120" w:after="120"/>
            </w:pPr>
          </w:p>
        </w:tc>
        <w:tc>
          <w:tcPr>
            <w:tcW w:w="492" w:type="pct"/>
            <w:tcBorders>
              <w:tl2br w:val="nil"/>
              <w:tr2bl w:val="nil"/>
            </w:tcBorders>
            <w:vAlign w:val="center"/>
          </w:tcPr>
          <w:p w14:paraId="2CA18593">
            <w:pPr>
              <w:pStyle w:val="19"/>
              <w:spacing w:before="120" w:after="120"/>
            </w:pPr>
            <w:r>
              <w:rPr>
                <w:rFonts w:hint="eastAsia"/>
              </w:rPr>
              <w:t>液体</w:t>
            </w:r>
          </w:p>
        </w:tc>
        <w:tc>
          <w:tcPr>
            <w:tcW w:w="598" w:type="pct"/>
            <w:tcBorders>
              <w:tl2br w:val="nil"/>
              <w:tr2bl w:val="nil"/>
            </w:tcBorders>
            <w:vAlign w:val="center"/>
          </w:tcPr>
          <w:p w14:paraId="63502676">
            <w:pPr>
              <w:pStyle w:val="19"/>
              <w:spacing w:before="120" w:after="120"/>
            </w:pPr>
            <w:r>
              <w:rPr>
                <w:rFonts w:hint="eastAsia"/>
              </w:rPr>
              <w:t>罐装</w:t>
            </w:r>
          </w:p>
        </w:tc>
        <w:tc>
          <w:tcPr>
            <w:tcW w:w="594" w:type="pct"/>
            <w:tcBorders>
              <w:tl2br w:val="nil"/>
              <w:tr2bl w:val="nil"/>
            </w:tcBorders>
            <w:vAlign w:val="center"/>
          </w:tcPr>
          <w:p w14:paraId="638D032C">
            <w:pPr>
              <w:pStyle w:val="19"/>
              <w:spacing w:before="120" w:after="120"/>
            </w:pPr>
            <w:r>
              <w:rPr>
                <w:rFonts w:hint="eastAsia"/>
              </w:rPr>
              <w:t>30</w:t>
            </w:r>
          </w:p>
        </w:tc>
        <w:tc>
          <w:tcPr>
            <w:tcW w:w="730" w:type="pct"/>
            <w:tcBorders>
              <w:tl2br w:val="nil"/>
              <w:tr2bl w:val="nil"/>
            </w:tcBorders>
            <w:vAlign w:val="center"/>
          </w:tcPr>
          <w:p w14:paraId="739DF979">
            <w:pPr>
              <w:pStyle w:val="19"/>
              <w:spacing w:before="120" w:after="120"/>
            </w:pPr>
            <w:r>
              <w:rPr>
                <w:rFonts w:hint="eastAsia"/>
              </w:rPr>
              <w:t>91-20-3</w:t>
            </w:r>
          </w:p>
        </w:tc>
        <w:tc>
          <w:tcPr>
            <w:tcW w:w="471" w:type="pct"/>
            <w:tcBorders>
              <w:tl2br w:val="nil"/>
              <w:tr2bl w:val="nil"/>
            </w:tcBorders>
            <w:vAlign w:val="center"/>
          </w:tcPr>
          <w:p w14:paraId="21BF21B1">
            <w:pPr>
              <w:pStyle w:val="19"/>
              <w:spacing w:before="120" w:after="120"/>
            </w:pPr>
            <w:r>
              <w:rPr>
                <w:rFonts w:hint="eastAsia"/>
              </w:rPr>
              <w:t>5</w:t>
            </w:r>
          </w:p>
        </w:tc>
        <w:tc>
          <w:tcPr>
            <w:tcW w:w="408" w:type="pct"/>
            <w:tcBorders>
              <w:tl2br w:val="nil"/>
              <w:tr2bl w:val="nil"/>
            </w:tcBorders>
            <w:vAlign w:val="center"/>
          </w:tcPr>
          <w:p w14:paraId="2C05CD74">
            <w:pPr>
              <w:pStyle w:val="19"/>
              <w:spacing w:before="120" w:after="120"/>
            </w:pPr>
            <w:r>
              <w:rPr>
                <w:rFonts w:hint="eastAsia"/>
              </w:rPr>
              <w:t>6</w:t>
            </w:r>
          </w:p>
        </w:tc>
      </w:tr>
      <w:tr w14:paraId="54194E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664D7B17">
            <w:pPr>
              <w:pStyle w:val="19"/>
              <w:spacing w:before="120" w:after="120"/>
            </w:pPr>
          </w:p>
        </w:tc>
        <w:tc>
          <w:tcPr>
            <w:tcW w:w="854" w:type="pct"/>
            <w:tcBorders>
              <w:tl2br w:val="nil"/>
              <w:tr2bl w:val="nil"/>
            </w:tcBorders>
            <w:vAlign w:val="center"/>
          </w:tcPr>
          <w:p w14:paraId="15C783DE">
            <w:pPr>
              <w:pStyle w:val="19"/>
              <w:spacing w:before="120" w:after="120"/>
            </w:pPr>
            <w:r>
              <w:rPr>
                <w:rFonts w:hint="eastAsia"/>
              </w:rPr>
              <w:t>焦油</w:t>
            </w:r>
          </w:p>
        </w:tc>
        <w:tc>
          <w:tcPr>
            <w:tcW w:w="628" w:type="pct"/>
            <w:vMerge w:val="continue"/>
            <w:tcBorders>
              <w:tl2br w:val="nil"/>
              <w:tr2bl w:val="nil"/>
            </w:tcBorders>
            <w:vAlign w:val="center"/>
          </w:tcPr>
          <w:p w14:paraId="7C2F8118">
            <w:pPr>
              <w:pStyle w:val="19"/>
              <w:spacing w:before="120" w:after="120"/>
            </w:pPr>
          </w:p>
        </w:tc>
        <w:tc>
          <w:tcPr>
            <w:tcW w:w="492" w:type="pct"/>
            <w:tcBorders>
              <w:tl2br w:val="nil"/>
              <w:tr2bl w:val="nil"/>
            </w:tcBorders>
            <w:vAlign w:val="center"/>
          </w:tcPr>
          <w:p w14:paraId="63E463A7">
            <w:pPr>
              <w:pStyle w:val="19"/>
              <w:spacing w:before="120" w:after="120"/>
            </w:pPr>
            <w:r>
              <w:rPr>
                <w:rFonts w:hint="eastAsia"/>
              </w:rPr>
              <w:t>液体</w:t>
            </w:r>
          </w:p>
        </w:tc>
        <w:tc>
          <w:tcPr>
            <w:tcW w:w="598" w:type="pct"/>
            <w:tcBorders>
              <w:tl2br w:val="nil"/>
              <w:tr2bl w:val="nil"/>
            </w:tcBorders>
            <w:vAlign w:val="center"/>
          </w:tcPr>
          <w:p w14:paraId="12CD435D">
            <w:pPr>
              <w:pStyle w:val="19"/>
              <w:spacing w:before="120" w:after="120"/>
            </w:pPr>
            <w:r>
              <w:rPr>
                <w:rFonts w:hint="eastAsia"/>
              </w:rPr>
              <w:t>罐装</w:t>
            </w:r>
          </w:p>
        </w:tc>
        <w:tc>
          <w:tcPr>
            <w:tcW w:w="594" w:type="pct"/>
            <w:tcBorders>
              <w:tl2br w:val="nil"/>
              <w:tr2bl w:val="nil"/>
            </w:tcBorders>
            <w:vAlign w:val="center"/>
          </w:tcPr>
          <w:p w14:paraId="63ED986F">
            <w:pPr>
              <w:pStyle w:val="19"/>
              <w:spacing w:before="120" w:after="120"/>
            </w:pPr>
            <w:r>
              <w:rPr>
                <w:rFonts w:hint="eastAsia"/>
              </w:rPr>
              <w:t>30</w:t>
            </w:r>
          </w:p>
        </w:tc>
        <w:tc>
          <w:tcPr>
            <w:tcW w:w="730" w:type="pct"/>
            <w:tcBorders>
              <w:tl2br w:val="nil"/>
              <w:tr2bl w:val="nil"/>
            </w:tcBorders>
            <w:vAlign w:val="center"/>
          </w:tcPr>
          <w:p w14:paraId="5A581BE9">
            <w:pPr>
              <w:pStyle w:val="19"/>
              <w:spacing w:before="120" w:after="120"/>
            </w:pPr>
            <w:r>
              <w:rPr>
                <w:rFonts w:hint="eastAsia"/>
              </w:rPr>
              <w:t>8007-45-2</w:t>
            </w:r>
          </w:p>
        </w:tc>
        <w:tc>
          <w:tcPr>
            <w:tcW w:w="471" w:type="pct"/>
            <w:tcBorders>
              <w:tl2br w:val="nil"/>
              <w:tr2bl w:val="nil"/>
            </w:tcBorders>
            <w:vAlign w:val="center"/>
          </w:tcPr>
          <w:p w14:paraId="53B32C51">
            <w:pPr>
              <w:pStyle w:val="19"/>
              <w:spacing w:before="120" w:after="120"/>
            </w:pPr>
            <w:r>
              <w:rPr>
                <w:rFonts w:hint="eastAsia"/>
              </w:rPr>
              <w:t>/</w:t>
            </w:r>
          </w:p>
        </w:tc>
        <w:tc>
          <w:tcPr>
            <w:tcW w:w="408" w:type="pct"/>
            <w:tcBorders>
              <w:tl2br w:val="nil"/>
              <w:tr2bl w:val="nil"/>
            </w:tcBorders>
            <w:vAlign w:val="center"/>
          </w:tcPr>
          <w:p w14:paraId="4712FC5C">
            <w:pPr>
              <w:pStyle w:val="19"/>
              <w:spacing w:before="120" w:after="120"/>
            </w:pPr>
            <w:r>
              <w:rPr>
                <w:rFonts w:hint="eastAsia"/>
              </w:rPr>
              <w:t>/</w:t>
            </w:r>
          </w:p>
        </w:tc>
      </w:tr>
      <w:tr w14:paraId="04BF5C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342FD59A">
            <w:pPr>
              <w:pStyle w:val="19"/>
              <w:spacing w:before="120" w:after="120"/>
            </w:pPr>
          </w:p>
        </w:tc>
        <w:tc>
          <w:tcPr>
            <w:tcW w:w="854" w:type="pct"/>
            <w:tcBorders>
              <w:tl2br w:val="nil"/>
              <w:tr2bl w:val="nil"/>
            </w:tcBorders>
            <w:vAlign w:val="center"/>
          </w:tcPr>
          <w:p w14:paraId="00AC84ED">
            <w:pPr>
              <w:pStyle w:val="19"/>
              <w:spacing w:before="120" w:after="120"/>
            </w:pPr>
            <w:r>
              <w:rPr>
                <w:rFonts w:hint="eastAsia"/>
              </w:rPr>
              <w:t>醋酸乙烯酯</w:t>
            </w:r>
          </w:p>
        </w:tc>
        <w:tc>
          <w:tcPr>
            <w:tcW w:w="628" w:type="pct"/>
            <w:vMerge w:val="continue"/>
            <w:tcBorders>
              <w:tl2br w:val="nil"/>
              <w:tr2bl w:val="nil"/>
            </w:tcBorders>
            <w:vAlign w:val="center"/>
          </w:tcPr>
          <w:p w14:paraId="6560D1E7">
            <w:pPr>
              <w:pStyle w:val="19"/>
              <w:spacing w:before="120" w:after="120"/>
            </w:pPr>
          </w:p>
        </w:tc>
        <w:tc>
          <w:tcPr>
            <w:tcW w:w="492" w:type="pct"/>
            <w:tcBorders>
              <w:tl2br w:val="nil"/>
              <w:tr2bl w:val="nil"/>
            </w:tcBorders>
            <w:vAlign w:val="center"/>
          </w:tcPr>
          <w:p w14:paraId="01F005D8">
            <w:pPr>
              <w:pStyle w:val="19"/>
              <w:spacing w:before="120" w:after="120"/>
            </w:pPr>
            <w:r>
              <w:rPr>
                <w:rFonts w:hint="eastAsia"/>
              </w:rPr>
              <w:t>液体</w:t>
            </w:r>
          </w:p>
        </w:tc>
        <w:tc>
          <w:tcPr>
            <w:tcW w:w="598" w:type="pct"/>
            <w:tcBorders>
              <w:tl2br w:val="nil"/>
              <w:tr2bl w:val="nil"/>
            </w:tcBorders>
            <w:vAlign w:val="center"/>
          </w:tcPr>
          <w:p w14:paraId="150E2A3D">
            <w:pPr>
              <w:pStyle w:val="19"/>
              <w:spacing w:before="120" w:after="120"/>
            </w:pPr>
            <w:r>
              <w:rPr>
                <w:rFonts w:hint="eastAsia"/>
              </w:rPr>
              <w:t>罐装</w:t>
            </w:r>
          </w:p>
        </w:tc>
        <w:tc>
          <w:tcPr>
            <w:tcW w:w="594" w:type="pct"/>
            <w:tcBorders>
              <w:tl2br w:val="nil"/>
              <w:tr2bl w:val="nil"/>
            </w:tcBorders>
            <w:vAlign w:val="center"/>
          </w:tcPr>
          <w:p w14:paraId="5C624391">
            <w:pPr>
              <w:pStyle w:val="19"/>
              <w:spacing w:before="120" w:after="120"/>
            </w:pPr>
            <w:r>
              <w:rPr>
                <w:rFonts w:hint="eastAsia"/>
              </w:rPr>
              <w:t>30</w:t>
            </w:r>
          </w:p>
        </w:tc>
        <w:tc>
          <w:tcPr>
            <w:tcW w:w="730" w:type="pct"/>
            <w:tcBorders>
              <w:tl2br w:val="nil"/>
              <w:tr2bl w:val="nil"/>
            </w:tcBorders>
            <w:vAlign w:val="center"/>
          </w:tcPr>
          <w:p w14:paraId="5EAA3C20">
            <w:pPr>
              <w:pStyle w:val="19"/>
              <w:spacing w:before="120" w:after="120"/>
            </w:pPr>
            <w:r>
              <w:rPr>
                <w:rFonts w:hint="eastAsia"/>
              </w:rPr>
              <w:t>108-05-4</w:t>
            </w:r>
          </w:p>
        </w:tc>
        <w:tc>
          <w:tcPr>
            <w:tcW w:w="471" w:type="pct"/>
            <w:tcBorders>
              <w:tl2br w:val="nil"/>
              <w:tr2bl w:val="nil"/>
            </w:tcBorders>
            <w:vAlign w:val="center"/>
          </w:tcPr>
          <w:p w14:paraId="6303B336">
            <w:pPr>
              <w:pStyle w:val="19"/>
              <w:spacing w:before="120" w:after="120"/>
            </w:pPr>
            <w:r>
              <w:rPr>
                <w:rFonts w:hint="eastAsia"/>
              </w:rPr>
              <w:t>7.5</w:t>
            </w:r>
          </w:p>
        </w:tc>
        <w:tc>
          <w:tcPr>
            <w:tcW w:w="408" w:type="pct"/>
            <w:tcBorders>
              <w:tl2br w:val="nil"/>
              <w:tr2bl w:val="nil"/>
            </w:tcBorders>
            <w:vAlign w:val="center"/>
          </w:tcPr>
          <w:p w14:paraId="05E23261">
            <w:pPr>
              <w:pStyle w:val="19"/>
              <w:spacing w:before="120" w:after="120"/>
            </w:pPr>
            <w:r>
              <w:rPr>
                <w:rFonts w:hint="eastAsia"/>
              </w:rPr>
              <w:t>4</w:t>
            </w:r>
          </w:p>
        </w:tc>
      </w:tr>
      <w:tr w14:paraId="701EBC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41B2E4BF">
            <w:pPr>
              <w:pStyle w:val="19"/>
              <w:spacing w:before="120" w:after="120"/>
            </w:pPr>
          </w:p>
        </w:tc>
        <w:tc>
          <w:tcPr>
            <w:tcW w:w="854" w:type="pct"/>
            <w:tcBorders>
              <w:tl2br w:val="nil"/>
              <w:tr2bl w:val="nil"/>
            </w:tcBorders>
            <w:vAlign w:val="center"/>
          </w:tcPr>
          <w:p w14:paraId="38CEEA0A">
            <w:pPr>
              <w:pStyle w:val="19"/>
              <w:spacing w:before="120" w:after="120"/>
            </w:pPr>
            <w:r>
              <w:rPr>
                <w:rFonts w:hint="eastAsia"/>
              </w:rPr>
              <w:t>硫化钠</w:t>
            </w:r>
          </w:p>
        </w:tc>
        <w:tc>
          <w:tcPr>
            <w:tcW w:w="628" w:type="pct"/>
            <w:vMerge w:val="continue"/>
            <w:tcBorders>
              <w:tl2br w:val="nil"/>
              <w:tr2bl w:val="nil"/>
            </w:tcBorders>
            <w:vAlign w:val="center"/>
          </w:tcPr>
          <w:p w14:paraId="4E006C9A">
            <w:pPr>
              <w:pStyle w:val="19"/>
              <w:spacing w:before="120" w:after="120"/>
            </w:pPr>
          </w:p>
        </w:tc>
        <w:tc>
          <w:tcPr>
            <w:tcW w:w="492" w:type="pct"/>
            <w:tcBorders>
              <w:tl2br w:val="nil"/>
              <w:tr2bl w:val="nil"/>
            </w:tcBorders>
            <w:vAlign w:val="center"/>
          </w:tcPr>
          <w:p w14:paraId="5A82C30E">
            <w:pPr>
              <w:pStyle w:val="19"/>
              <w:spacing w:before="120" w:after="120"/>
            </w:pPr>
            <w:r>
              <w:rPr>
                <w:rFonts w:hint="eastAsia"/>
              </w:rPr>
              <w:t>固体</w:t>
            </w:r>
          </w:p>
        </w:tc>
        <w:tc>
          <w:tcPr>
            <w:tcW w:w="598" w:type="pct"/>
            <w:tcBorders>
              <w:tl2br w:val="nil"/>
              <w:tr2bl w:val="nil"/>
            </w:tcBorders>
            <w:vAlign w:val="center"/>
          </w:tcPr>
          <w:p w14:paraId="4A8FD8E2">
            <w:pPr>
              <w:pStyle w:val="19"/>
              <w:spacing w:before="120" w:after="120"/>
            </w:pPr>
            <w:r>
              <w:rPr>
                <w:rFonts w:hint="eastAsia"/>
              </w:rPr>
              <w:t>槽车</w:t>
            </w:r>
          </w:p>
        </w:tc>
        <w:tc>
          <w:tcPr>
            <w:tcW w:w="594" w:type="pct"/>
            <w:tcBorders>
              <w:tl2br w:val="nil"/>
              <w:tr2bl w:val="nil"/>
            </w:tcBorders>
            <w:vAlign w:val="center"/>
          </w:tcPr>
          <w:p w14:paraId="411C3DFD">
            <w:pPr>
              <w:pStyle w:val="19"/>
              <w:spacing w:before="120" w:after="120"/>
            </w:pPr>
            <w:r>
              <w:rPr>
                <w:rFonts w:hint="eastAsia"/>
              </w:rPr>
              <w:t>30</w:t>
            </w:r>
          </w:p>
        </w:tc>
        <w:tc>
          <w:tcPr>
            <w:tcW w:w="730" w:type="pct"/>
            <w:tcBorders>
              <w:tl2br w:val="nil"/>
              <w:tr2bl w:val="nil"/>
            </w:tcBorders>
            <w:vAlign w:val="center"/>
          </w:tcPr>
          <w:p w14:paraId="4BFFD8EE">
            <w:pPr>
              <w:pStyle w:val="19"/>
              <w:spacing w:before="120" w:after="120"/>
            </w:pPr>
            <w:r>
              <w:rPr>
                <w:rFonts w:hint="eastAsia"/>
              </w:rPr>
              <w:t>1313-82-2</w:t>
            </w:r>
          </w:p>
        </w:tc>
        <w:tc>
          <w:tcPr>
            <w:tcW w:w="471" w:type="pct"/>
            <w:tcBorders>
              <w:tl2br w:val="nil"/>
              <w:tr2bl w:val="nil"/>
            </w:tcBorders>
            <w:vAlign w:val="center"/>
          </w:tcPr>
          <w:p w14:paraId="6EA51F02">
            <w:pPr>
              <w:pStyle w:val="19"/>
              <w:spacing w:before="120" w:after="120"/>
            </w:pPr>
            <w:r>
              <w:rPr>
                <w:rFonts w:hint="eastAsia"/>
              </w:rPr>
              <w:t>/</w:t>
            </w:r>
          </w:p>
        </w:tc>
        <w:tc>
          <w:tcPr>
            <w:tcW w:w="408" w:type="pct"/>
            <w:tcBorders>
              <w:tl2br w:val="nil"/>
              <w:tr2bl w:val="nil"/>
            </w:tcBorders>
            <w:vAlign w:val="center"/>
          </w:tcPr>
          <w:p w14:paraId="799A2ACA">
            <w:pPr>
              <w:pStyle w:val="19"/>
              <w:spacing w:before="120" w:after="120"/>
            </w:pPr>
            <w:r>
              <w:rPr>
                <w:rFonts w:hint="eastAsia"/>
              </w:rPr>
              <w:t>/</w:t>
            </w:r>
          </w:p>
        </w:tc>
      </w:tr>
      <w:tr w14:paraId="2028A0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restart"/>
            <w:tcBorders>
              <w:tl2br w:val="nil"/>
              <w:tr2bl w:val="nil"/>
            </w:tcBorders>
            <w:vAlign w:val="center"/>
          </w:tcPr>
          <w:p w14:paraId="06F7BBDB">
            <w:pPr>
              <w:pStyle w:val="19"/>
              <w:spacing w:before="120" w:after="120"/>
            </w:pPr>
            <w:r>
              <w:rPr>
                <w:rFonts w:hint="eastAsia"/>
              </w:rPr>
              <w:t>其他</w:t>
            </w:r>
          </w:p>
        </w:tc>
        <w:tc>
          <w:tcPr>
            <w:tcW w:w="854" w:type="pct"/>
            <w:tcBorders>
              <w:tl2br w:val="nil"/>
              <w:tr2bl w:val="nil"/>
            </w:tcBorders>
            <w:vAlign w:val="center"/>
          </w:tcPr>
          <w:p w14:paraId="017AAF98">
            <w:pPr>
              <w:pStyle w:val="19"/>
              <w:spacing w:before="120" w:after="120"/>
            </w:pPr>
            <w:r>
              <w:rPr>
                <w:rFonts w:hint="eastAsia"/>
              </w:rPr>
              <w:t>甲醇</w:t>
            </w:r>
          </w:p>
        </w:tc>
        <w:tc>
          <w:tcPr>
            <w:tcW w:w="628" w:type="pct"/>
            <w:vMerge w:val="restart"/>
            <w:tcBorders>
              <w:tl2br w:val="nil"/>
              <w:tr2bl w:val="nil"/>
            </w:tcBorders>
            <w:vAlign w:val="center"/>
          </w:tcPr>
          <w:p w14:paraId="510830AD">
            <w:pPr>
              <w:pStyle w:val="19"/>
              <w:spacing w:before="120" w:after="120"/>
            </w:pPr>
            <w:r>
              <w:rPr>
                <w:rFonts w:hint="eastAsia"/>
              </w:rPr>
              <w:t>6个车位</w:t>
            </w:r>
          </w:p>
        </w:tc>
        <w:tc>
          <w:tcPr>
            <w:tcW w:w="492" w:type="pct"/>
            <w:tcBorders>
              <w:tl2br w:val="nil"/>
              <w:tr2bl w:val="nil"/>
            </w:tcBorders>
            <w:vAlign w:val="center"/>
          </w:tcPr>
          <w:p w14:paraId="321AE36B">
            <w:pPr>
              <w:pStyle w:val="19"/>
              <w:spacing w:before="120" w:after="120"/>
            </w:pPr>
            <w:r>
              <w:rPr>
                <w:rFonts w:hint="eastAsia"/>
              </w:rPr>
              <w:t>液体</w:t>
            </w:r>
          </w:p>
        </w:tc>
        <w:tc>
          <w:tcPr>
            <w:tcW w:w="598" w:type="pct"/>
            <w:tcBorders>
              <w:tl2br w:val="nil"/>
              <w:tr2bl w:val="nil"/>
            </w:tcBorders>
            <w:vAlign w:val="center"/>
          </w:tcPr>
          <w:p w14:paraId="767B8E5B">
            <w:pPr>
              <w:pStyle w:val="19"/>
              <w:spacing w:before="120" w:after="120"/>
            </w:pPr>
            <w:r>
              <w:rPr>
                <w:rFonts w:hint="eastAsia"/>
              </w:rPr>
              <w:t>罐装</w:t>
            </w:r>
          </w:p>
        </w:tc>
        <w:tc>
          <w:tcPr>
            <w:tcW w:w="594" w:type="pct"/>
            <w:tcBorders>
              <w:tl2br w:val="nil"/>
              <w:tr2bl w:val="nil"/>
            </w:tcBorders>
            <w:vAlign w:val="center"/>
          </w:tcPr>
          <w:p w14:paraId="65C40C2F">
            <w:pPr>
              <w:pStyle w:val="19"/>
              <w:spacing w:before="120" w:after="120"/>
            </w:pPr>
            <w:r>
              <w:rPr>
                <w:rFonts w:hint="eastAsia"/>
              </w:rPr>
              <w:t>30</w:t>
            </w:r>
          </w:p>
        </w:tc>
        <w:tc>
          <w:tcPr>
            <w:tcW w:w="730" w:type="pct"/>
            <w:tcBorders>
              <w:tl2br w:val="nil"/>
              <w:tr2bl w:val="nil"/>
            </w:tcBorders>
            <w:vAlign w:val="center"/>
          </w:tcPr>
          <w:p w14:paraId="1C00A45D">
            <w:pPr>
              <w:pStyle w:val="19"/>
              <w:spacing w:before="120" w:after="120"/>
            </w:pPr>
            <w:r>
              <w:rPr>
                <w:rFonts w:hint="eastAsia"/>
              </w:rPr>
              <w:t>67-56-1</w:t>
            </w:r>
          </w:p>
        </w:tc>
        <w:tc>
          <w:tcPr>
            <w:tcW w:w="471" w:type="pct"/>
            <w:tcBorders>
              <w:tl2br w:val="nil"/>
              <w:tr2bl w:val="nil"/>
            </w:tcBorders>
            <w:vAlign w:val="center"/>
          </w:tcPr>
          <w:p w14:paraId="7C0D40D4">
            <w:pPr>
              <w:pStyle w:val="19"/>
              <w:spacing w:before="120" w:after="120"/>
            </w:pPr>
            <w:r>
              <w:rPr>
                <w:rFonts w:hint="eastAsia"/>
              </w:rPr>
              <w:t>10</w:t>
            </w:r>
          </w:p>
        </w:tc>
        <w:tc>
          <w:tcPr>
            <w:tcW w:w="408" w:type="pct"/>
            <w:tcBorders>
              <w:tl2br w:val="nil"/>
              <w:tr2bl w:val="nil"/>
            </w:tcBorders>
            <w:vAlign w:val="center"/>
          </w:tcPr>
          <w:p w14:paraId="61EB0864">
            <w:pPr>
              <w:pStyle w:val="19"/>
              <w:spacing w:before="120" w:after="120"/>
            </w:pPr>
            <w:r>
              <w:rPr>
                <w:rFonts w:hint="eastAsia"/>
              </w:rPr>
              <w:t>3</w:t>
            </w:r>
          </w:p>
        </w:tc>
      </w:tr>
      <w:tr w14:paraId="658A77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3364D6D2">
            <w:pPr>
              <w:pStyle w:val="19"/>
              <w:spacing w:before="120" w:after="120"/>
            </w:pPr>
          </w:p>
        </w:tc>
        <w:tc>
          <w:tcPr>
            <w:tcW w:w="854" w:type="pct"/>
            <w:tcBorders>
              <w:tl2br w:val="nil"/>
              <w:tr2bl w:val="nil"/>
            </w:tcBorders>
            <w:vAlign w:val="center"/>
          </w:tcPr>
          <w:p w14:paraId="3B9A174A">
            <w:pPr>
              <w:pStyle w:val="19"/>
              <w:spacing w:before="120" w:after="120"/>
            </w:pPr>
            <w:r>
              <w:rPr>
                <w:rFonts w:hint="eastAsia"/>
              </w:rPr>
              <w:t>乙醛</w:t>
            </w:r>
          </w:p>
        </w:tc>
        <w:tc>
          <w:tcPr>
            <w:tcW w:w="628" w:type="pct"/>
            <w:vMerge w:val="continue"/>
            <w:tcBorders>
              <w:tl2br w:val="nil"/>
              <w:tr2bl w:val="nil"/>
            </w:tcBorders>
            <w:vAlign w:val="center"/>
          </w:tcPr>
          <w:p w14:paraId="4BA95BDB">
            <w:pPr>
              <w:pStyle w:val="19"/>
              <w:spacing w:before="120" w:after="120"/>
            </w:pPr>
          </w:p>
        </w:tc>
        <w:tc>
          <w:tcPr>
            <w:tcW w:w="492" w:type="pct"/>
            <w:tcBorders>
              <w:tl2br w:val="nil"/>
              <w:tr2bl w:val="nil"/>
            </w:tcBorders>
            <w:vAlign w:val="center"/>
          </w:tcPr>
          <w:p w14:paraId="7E4F75DB">
            <w:pPr>
              <w:pStyle w:val="19"/>
              <w:spacing w:before="120" w:after="120"/>
            </w:pPr>
            <w:r>
              <w:rPr>
                <w:rFonts w:hint="eastAsia"/>
              </w:rPr>
              <w:t>液体</w:t>
            </w:r>
          </w:p>
        </w:tc>
        <w:tc>
          <w:tcPr>
            <w:tcW w:w="598" w:type="pct"/>
            <w:tcBorders>
              <w:tl2br w:val="nil"/>
              <w:tr2bl w:val="nil"/>
            </w:tcBorders>
            <w:vAlign w:val="center"/>
          </w:tcPr>
          <w:p w14:paraId="57E505F1">
            <w:pPr>
              <w:pStyle w:val="19"/>
              <w:spacing w:before="120" w:after="120"/>
            </w:pPr>
            <w:r>
              <w:rPr>
                <w:rFonts w:hint="eastAsia"/>
              </w:rPr>
              <w:t>罐装</w:t>
            </w:r>
          </w:p>
        </w:tc>
        <w:tc>
          <w:tcPr>
            <w:tcW w:w="594" w:type="pct"/>
            <w:tcBorders>
              <w:tl2br w:val="nil"/>
              <w:tr2bl w:val="nil"/>
            </w:tcBorders>
            <w:vAlign w:val="center"/>
          </w:tcPr>
          <w:p w14:paraId="0F1211CC">
            <w:pPr>
              <w:pStyle w:val="19"/>
              <w:spacing w:before="120" w:after="120"/>
            </w:pPr>
            <w:r>
              <w:rPr>
                <w:rFonts w:hint="eastAsia"/>
              </w:rPr>
              <w:t>30</w:t>
            </w:r>
          </w:p>
        </w:tc>
        <w:tc>
          <w:tcPr>
            <w:tcW w:w="730" w:type="pct"/>
            <w:tcBorders>
              <w:tl2br w:val="nil"/>
              <w:tr2bl w:val="nil"/>
            </w:tcBorders>
            <w:vAlign w:val="center"/>
          </w:tcPr>
          <w:p w14:paraId="72642292">
            <w:pPr>
              <w:pStyle w:val="19"/>
              <w:spacing w:before="120" w:after="120"/>
            </w:pPr>
            <w:r>
              <w:rPr>
                <w:rFonts w:hint="eastAsia"/>
              </w:rPr>
              <w:t>75-07-0</w:t>
            </w:r>
          </w:p>
        </w:tc>
        <w:tc>
          <w:tcPr>
            <w:tcW w:w="471" w:type="pct"/>
            <w:tcBorders>
              <w:tl2br w:val="nil"/>
              <w:tr2bl w:val="nil"/>
            </w:tcBorders>
            <w:vAlign w:val="center"/>
          </w:tcPr>
          <w:p w14:paraId="08B9416B">
            <w:pPr>
              <w:pStyle w:val="19"/>
              <w:spacing w:before="120" w:after="120"/>
            </w:pPr>
            <w:r>
              <w:rPr>
                <w:rFonts w:hint="eastAsia"/>
              </w:rPr>
              <w:t>10</w:t>
            </w:r>
          </w:p>
        </w:tc>
        <w:tc>
          <w:tcPr>
            <w:tcW w:w="408" w:type="pct"/>
            <w:tcBorders>
              <w:tl2br w:val="nil"/>
              <w:tr2bl w:val="nil"/>
            </w:tcBorders>
            <w:vAlign w:val="center"/>
          </w:tcPr>
          <w:p w14:paraId="63EEEEFF">
            <w:pPr>
              <w:pStyle w:val="19"/>
              <w:spacing w:before="120" w:after="120"/>
            </w:pPr>
            <w:r>
              <w:rPr>
                <w:rFonts w:hint="eastAsia"/>
              </w:rPr>
              <w:t>3</w:t>
            </w:r>
          </w:p>
        </w:tc>
      </w:tr>
      <w:tr w14:paraId="6A5420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4DC446C3">
            <w:pPr>
              <w:pStyle w:val="19"/>
              <w:spacing w:before="120" w:after="120"/>
            </w:pPr>
          </w:p>
        </w:tc>
        <w:tc>
          <w:tcPr>
            <w:tcW w:w="854" w:type="pct"/>
            <w:tcBorders>
              <w:tl2br w:val="nil"/>
              <w:tr2bl w:val="nil"/>
            </w:tcBorders>
            <w:vAlign w:val="center"/>
          </w:tcPr>
          <w:p w14:paraId="04A11AD6">
            <w:pPr>
              <w:pStyle w:val="19"/>
              <w:spacing w:before="120" w:after="120"/>
            </w:pPr>
            <w:r>
              <w:rPr>
                <w:rFonts w:hint="eastAsia"/>
              </w:rPr>
              <w:t>乙酸</w:t>
            </w:r>
          </w:p>
        </w:tc>
        <w:tc>
          <w:tcPr>
            <w:tcW w:w="628" w:type="pct"/>
            <w:vMerge w:val="continue"/>
            <w:tcBorders>
              <w:tl2br w:val="nil"/>
              <w:tr2bl w:val="nil"/>
            </w:tcBorders>
            <w:vAlign w:val="center"/>
          </w:tcPr>
          <w:p w14:paraId="282728E0">
            <w:pPr>
              <w:pStyle w:val="19"/>
              <w:spacing w:before="120" w:after="120"/>
            </w:pPr>
          </w:p>
        </w:tc>
        <w:tc>
          <w:tcPr>
            <w:tcW w:w="492" w:type="pct"/>
            <w:tcBorders>
              <w:tl2br w:val="nil"/>
              <w:tr2bl w:val="nil"/>
            </w:tcBorders>
            <w:vAlign w:val="center"/>
          </w:tcPr>
          <w:p w14:paraId="57CE475D">
            <w:pPr>
              <w:pStyle w:val="19"/>
              <w:spacing w:before="120" w:after="120"/>
            </w:pPr>
            <w:r>
              <w:rPr>
                <w:rFonts w:hint="eastAsia"/>
              </w:rPr>
              <w:t>液体</w:t>
            </w:r>
          </w:p>
        </w:tc>
        <w:tc>
          <w:tcPr>
            <w:tcW w:w="598" w:type="pct"/>
            <w:tcBorders>
              <w:tl2br w:val="nil"/>
              <w:tr2bl w:val="nil"/>
            </w:tcBorders>
            <w:vAlign w:val="center"/>
          </w:tcPr>
          <w:p w14:paraId="7AB5F448">
            <w:pPr>
              <w:pStyle w:val="19"/>
              <w:spacing w:before="120" w:after="120"/>
            </w:pPr>
            <w:r>
              <w:rPr>
                <w:rFonts w:hint="eastAsia"/>
              </w:rPr>
              <w:t>罐装</w:t>
            </w:r>
          </w:p>
        </w:tc>
        <w:tc>
          <w:tcPr>
            <w:tcW w:w="594" w:type="pct"/>
            <w:tcBorders>
              <w:tl2br w:val="nil"/>
              <w:tr2bl w:val="nil"/>
            </w:tcBorders>
            <w:vAlign w:val="center"/>
          </w:tcPr>
          <w:p w14:paraId="7F25B529">
            <w:pPr>
              <w:pStyle w:val="19"/>
              <w:spacing w:before="120" w:after="120"/>
            </w:pPr>
            <w:r>
              <w:rPr>
                <w:rFonts w:hint="eastAsia"/>
              </w:rPr>
              <w:t>30</w:t>
            </w:r>
          </w:p>
        </w:tc>
        <w:tc>
          <w:tcPr>
            <w:tcW w:w="730" w:type="pct"/>
            <w:tcBorders>
              <w:tl2br w:val="nil"/>
              <w:tr2bl w:val="nil"/>
            </w:tcBorders>
            <w:vAlign w:val="center"/>
          </w:tcPr>
          <w:p w14:paraId="581636AB">
            <w:pPr>
              <w:pStyle w:val="19"/>
              <w:spacing w:before="120" w:after="120"/>
            </w:pPr>
            <w:r>
              <w:rPr>
                <w:rFonts w:hint="eastAsia"/>
              </w:rPr>
              <w:t>64-19-7</w:t>
            </w:r>
          </w:p>
        </w:tc>
        <w:tc>
          <w:tcPr>
            <w:tcW w:w="471" w:type="pct"/>
            <w:tcBorders>
              <w:tl2br w:val="nil"/>
              <w:tr2bl w:val="nil"/>
            </w:tcBorders>
            <w:vAlign w:val="center"/>
          </w:tcPr>
          <w:p w14:paraId="6523790A">
            <w:pPr>
              <w:pStyle w:val="19"/>
              <w:spacing w:before="120" w:after="120"/>
            </w:pPr>
            <w:r>
              <w:rPr>
                <w:rFonts w:hint="eastAsia"/>
              </w:rPr>
              <w:t>10</w:t>
            </w:r>
          </w:p>
        </w:tc>
        <w:tc>
          <w:tcPr>
            <w:tcW w:w="408" w:type="pct"/>
            <w:tcBorders>
              <w:tl2br w:val="nil"/>
              <w:tr2bl w:val="nil"/>
            </w:tcBorders>
            <w:vAlign w:val="center"/>
          </w:tcPr>
          <w:p w14:paraId="4B8B726B">
            <w:pPr>
              <w:pStyle w:val="19"/>
              <w:spacing w:before="120" w:after="120"/>
            </w:pPr>
            <w:r>
              <w:rPr>
                <w:rFonts w:hint="eastAsia"/>
              </w:rPr>
              <w:t>3</w:t>
            </w:r>
          </w:p>
        </w:tc>
      </w:tr>
      <w:tr w14:paraId="449DD6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75CCF21D">
            <w:pPr>
              <w:pStyle w:val="19"/>
              <w:spacing w:before="120" w:after="120"/>
            </w:pPr>
          </w:p>
        </w:tc>
        <w:tc>
          <w:tcPr>
            <w:tcW w:w="854" w:type="pct"/>
            <w:tcBorders>
              <w:tl2br w:val="nil"/>
              <w:tr2bl w:val="nil"/>
            </w:tcBorders>
            <w:vAlign w:val="center"/>
          </w:tcPr>
          <w:p w14:paraId="43F21B8E">
            <w:pPr>
              <w:pStyle w:val="19"/>
              <w:spacing w:before="120" w:after="120"/>
            </w:pPr>
            <w:r>
              <w:t>硝酸</w:t>
            </w:r>
          </w:p>
        </w:tc>
        <w:tc>
          <w:tcPr>
            <w:tcW w:w="628" w:type="pct"/>
            <w:vMerge w:val="continue"/>
            <w:tcBorders>
              <w:tl2br w:val="nil"/>
              <w:tr2bl w:val="nil"/>
            </w:tcBorders>
            <w:vAlign w:val="center"/>
          </w:tcPr>
          <w:p w14:paraId="65753DFA">
            <w:pPr>
              <w:pStyle w:val="19"/>
              <w:spacing w:before="120" w:after="120"/>
            </w:pPr>
          </w:p>
        </w:tc>
        <w:tc>
          <w:tcPr>
            <w:tcW w:w="492" w:type="pct"/>
            <w:tcBorders>
              <w:tl2br w:val="nil"/>
              <w:tr2bl w:val="nil"/>
            </w:tcBorders>
            <w:vAlign w:val="center"/>
          </w:tcPr>
          <w:p w14:paraId="0A4D7E83">
            <w:pPr>
              <w:pStyle w:val="19"/>
              <w:spacing w:before="120" w:after="120"/>
            </w:pPr>
            <w:r>
              <w:rPr>
                <w:rFonts w:hint="eastAsia"/>
              </w:rPr>
              <w:t>液体</w:t>
            </w:r>
          </w:p>
        </w:tc>
        <w:tc>
          <w:tcPr>
            <w:tcW w:w="598" w:type="pct"/>
            <w:tcBorders>
              <w:tl2br w:val="nil"/>
              <w:tr2bl w:val="nil"/>
            </w:tcBorders>
            <w:vAlign w:val="center"/>
          </w:tcPr>
          <w:p w14:paraId="7C6DD793">
            <w:pPr>
              <w:pStyle w:val="19"/>
              <w:spacing w:before="120" w:after="120"/>
            </w:pPr>
            <w:r>
              <w:rPr>
                <w:rFonts w:hint="eastAsia"/>
              </w:rPr>
              <w:t>罐装</w:t>
            </w:r>
          </w:p>
        </w:tc>
        <w:tc>
          <w:tcPr>
            <w:tcW w:w="594" w:type="pct"/>
            <w:tcBorders>
              <w:tl2br w:val="nil"/>
              <w:tr2bl w:val="nil"/>
            </w:tcBorders>
            <w:vAlign w:val="center"/>
          </w:tcPr>
          <w:p w14:paraId="29F3E16E">
            <w:pPr>
              <w:pStyle w:val="19"/>
              <w:spacing w:before="120" w:after="120"/>
            </w:pPr>
            <w:r>
              <w:rPr>
                <w:rFonts w:hint="eastAsia"/>
              </w:rPr>
              <w:t>30</w:t>
            </w:r>
          </w:p>
        </w:tc>
        <w:tc>
          <w:tcPr>
            <w:tcW w:w="730" w:type="pct"/>
            <w:tcBorders>
              <w:tl2br w:val="nil"/>
              <w:tr2bl w:val="nil"/>
            </w:tcBorders>
            <w:vAlign w:val="center"/>
          </w:tcPr>
          <w:p w14:paraId="4A1B0731">
            <w:pPr>
              <w:pStyle w:val="19"/>
              <w:spacing w:before="120" w:after="120"/>
            </w:pPr>
            <w:r>
              <w:rPr>
                <w:rFonts w:hint="eastAsia"/>
              </w:rPr>
              <w:t>7697-37-2</w:t>
            </w:r>
          </w:p>
        </w:tc>
        <w:tc>
          <w:tcPr>
            <w:tcW w:w="471" w:type="pct"/>
            <w:tcBorders>
              <w:tl2br w:val="nil"/>
              <w:tr2bl w:val="nil"/>
            </w:tcBorders>
            <w:vAlign w:val="center"/>
          </w:tcPr>
          <w:p w14:paraId="754A18B6">
            <w:pPr>
              <w:pStyle w:val="19"/>
              <w:spacing w:before="120" w:after="120"/>
            </w:pPr>
            <w:r>
              <w:rPr>
                <w:rFonts w:hint="eastAsia"/>
              </w:rPr>
              <w:t>7.5</w:t>
            </w:r>
          </w:p>
        </w:tc>
        <w:tc>
          <w:tcPr>
            <w:tcW w:w="408" w:type="pct"/>
            <w:tcBorders>
              <w:tl2br w:val="nil"/>
              <w:tr2bl w:val="nil"/>
            </w:tcBorders>
            <w:vAlign w:val="center"/>
          </w:tcPr>
          <w:p w14:paraId="021099E4">
            <w:pPr>
              <w:pStyle w:val="19"/>
              <w:spacing w:before="120" w:after="120"/>
            </w:pPr>
            <w:r>
              <w:rPr>
                <w:rFonts w:hint="eastAsia"/>
              </w:rPr>
              <w:t>4</w:t>
            </w:r>
          </w:p>
        </w:tc>
      </w:tr>
      <w:tr w14:paraId="1E9221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7C7E2F92">
            <w:pPr>
              <w:pStyle w:val="19"/>
              <w:spacing w:before="120" w:after="120"/>
            </w:pPr>
          </w:p>
        </w:tc>
        <w:tc>
          <w:tcPr>
            <w:tcW w:w="854" w:type="pct"/>
            <w:tcBorders>
              <w:tl2br w:val="nil"/>
              <w:tr2bl w:val="nil"/>
            </w:tcBorders>
            <w:vAlign w:val="center"/>
          </w:tcPr>
          <w:p w14:paraId="3D2D69C6">
            <w:pPr>
              <w:pStyle w:val="19"/>
              <w:spacing w:before="120" w:after="120"/>
            </w:pPr>
            <w:r>
              <w:rPr>
                <w:rFonts w:hint="eastAsia"/>
              </w:rPr>
              <w:t>硫酸</w:t>
            </w:r>
          </w:p>
        </w:tc>
        <w:tc>
          <w:tcPr>
            <w:tcW w:w="628" w:type="pct"/>
            <w:vMerge w:val="continue"/>
            <w:tcBorders>
              <w:tl2br w:val="nil"/>
              <w:tr2bl w:val="nil"/>
            </w:tcBorders>
            <w:vAlign w:val="center"/>
          </w:tcPr>
          <w:p w14:paraId="15A7F853">
            <w:pPr>
              <w:pStyle w:val="19"/>
              <w:spacing w:before="120" w:after="120"/>
            </w:pPr>
          </w:p>
        </w:tc>
        <w:tc>
          <w:tcPr>
            <w:tcW w:w="492" w:type="pct"/>
            <w:tcBorders>
              <w:tl2br w:val="nil"/>
              <w:tr2bl w:val="nil"/>
            </w:tcBorders>
            <w:vAlign w:val="center"/>
          </w:tcPr>
          <w:p w14:paraId="04DA5D97">
            <w:pPr>
              <w:pStyle w:val="19"/>
              <w:spacing w:before="120" w:after="120"/>
            </w:pPr>
            <w:r>
              <w:rPr>
                <w:rFonts w:hint="eastAsia"/>
              </w:rPr>
              <w:t>液体</w:t>
            </w:r>
          </w:p>
        </w:tc>
        <w:tc>
          <w:tcPr>
            <w:tcW w:w="598" w:type="pct"/>
            <w:tcBorders>
              <w:tl2br w:val="nil"/>
              <w:tr2bl w:val="nil"/>
            </w:tcBorders>
            <w:vAlign w:val="center"/>
          </w:tcPr>
          <w:p w14:paraId="44721B96">
            <w:pPr>
              <w:pStyle w:val="19"/>
              <w:spacing w:before="120" w:after="120"/>
            </w:pPr>
            <w:r>
              <w:rPr>
                <w:rFonts w:hint="eastAsia"/>
              </w:rPr>
              <w:t>罐装</w:t>
            </w:r>
          </w:p>
        </w:tc>
        <w:tc>
          <w:tcPr>
            <w:tcW w:w="594" w:type="pct"/>
            <w:tcBorders>
              <w:tl2br w:val="nil"/>
              <w:tr2bl w:val="nil"/>
            </w:tcBorders>
            <w:vAlign w:val="center"/>
          </w:tcPr>
          <w:p w14:paraId="189140C4">
            <w:pPr>
              <w:pStyle w:val="19"/>
              <w:spacing w:before="120" w:after="120"/>
            </w:pPr>
            <w:r>
              <w:rPr>
                <w:rFonts w:hint="eastAsia"/>
              </w:rPr>
              <w:t>30</w:t>
            </w:r>
          </w:p>
        </w:tc>
        <w:tc>
          <w:tcPr>
            <w:tcW w:w="730" w:type="pct"/>
            <w:tcBorders>
              <w:tl2br w:val="nil"/>
              <w:tr2bl w:val="nil"/>
            </w:tcBorders>
            <w:vAlign w:val="center"/>
          </w:tcPr>
          <w:p w14:paraId="4182710F">
            <w:pPr>
              <w:pStyle w:val="19"/>
              <w:spacing w:before="120" w:after="120"/>
            </w:pPr>
            <w:r>
              <w:rPr>
                <w:rFonts w:hint="eastAsia"/>
              </w:rPr>
              <w:t>7664-93-9</w:t>
            </w:r>
          </w:p>
        </w:tc>
        <w:tc>
          <w:tcPr>
            <w:tcW w:w="471" w:type="pct"/>
            <w:tcBorders>
              <w:tl2br w:val="nil"/>
              <w:tr2bl w:val="nil"/>
            </w:tcBorders>
            <w:vAlign w:val="center"/>
          </w:tcPr>
          <w:p w14:paraId="373C50BF">
            <w:pPr>
              <w:pStyle w:val="19"/>
              <w:spacing w:before="120" w:after="120"/>
            </w:pPr>
            <w:r>
              <w:rPr>
                <w:rFonts w:hint="eastAsia"/>
              </w:rPr>
              <w:t>10</w:t>
            </w:r>
          </w:p>
        </w:tc>
        <w:tc>
          <w:tcPr>
            <w:tcW w:w="408" w:type="pct"/>
            <w:tcBorders>
              <w:tl2br w:val="nil"/>
              <w:tr2bl w:val="nil"/>
            </w:tcBorders>
            <w:vAlign w:val="center"/>
          </w:tcPr>
          <w:p w14:paraId="1B563A67">
            <w:pPr>
              <w:pStyle w:val="19"/>
              <w:spacing w:before="120" w:after="120"/>
            </w:pPr>
            <w:r>
              <w:rPr>
                <w:rFonts w:hint="eastAsia"/>
              </w:rPr>
              <w:t>3</w:t>
            </w:r>
          </w:p>
        </w:tc>
      </w:tr>
      <w:tr w14:paraId="7823F7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76A2D7FE">
            <w:pPr>
              <w:pStyle w:val="19"/>
              <w:spacing w:before="120" w:after="120"/>
            </w:pPr>
          </w:p>
        </w:tc>
        <w:tc>
          <w:tcPr>
            <w:tcW w:w="854" w:type="pct"/>
            <w:tcBorders>
              <w:tl2br w:val="nil"/>
              <w:tr2bl w:val="nil"/>
            </w:tcBorders>
            <w:vAlign w:val="center"/>
          </w:tcPr>
          <w:p w14:paraId="29BE1253">
            <w:pPr>
              <w:pStyle w:val="19"/>
              <w:spacing w:before="120" w:after="120"/>
            </w:pPr>
            <w:r>
              <w:rPr>
                <w:rFonts w:hint="eastAsia"/>
              </w:rPr>
              <w:t>醋酸甲酯</w:t>
            </w:r>
          </w:p>
        </w:tc>
        <w:tc>
          <w:tcPr>
            <w:tcW w:w="628" w:type="pct"/>
            <w:vMerge w:val="continue"/>
            <w:tcBorders>
              <w:tl2br w:val="nil"/>
              <w:tr2bl w:val="nil"/>
            </w:tcBorders>
            <w:vAlign w:val="center"/>
          </w:tcPr>
          <w:p w14:paraId="5FC950E9">
            <w:pPr>
              <w:pStyle w:val="19"/>
              <w:spacing w:before="120" w:after="120"/>
            </w:pPr>
          </w:p>
        </w:tc>
        <w:tc>
          <w:tcPr>
            <w:tcW w:w="492" w:type="pct"/>
            <w:tcBorders>
              <w:tl2br w:val="nil"/>
              <w:tr2bl w:val="nil"/>
            </w:tcBorders>
            <w:vAlign w:val="center"/>
          </w:tcPr>
          <w:p w14:paraId="735D8D66">
            <w:pPr>
              <w:pStyle w:val="19"/>
              <w:spacing w:before="120" w:after="120"/>
            </w:pPr>
            <w:r>
              <w:rPr>
                <w:rFonts w:hint="eastAsia"/>
              </w:rPr>
              <w:t>液体</w:t>
            </w:r>
          </w:p>
        </w:tc>
        <w:tc>
          <w:tcPr>
            <w:tcW w:w="598" w:type="pct"/>
            <w:tcBorders>
              <w:tl2br w:val="nil"/>
              <w:tr2bl w:val="nil"/>
            </w:tcBorders>
            <w:vAlign w:val="center"/>
          </w:tcPr>
          <w:p w14:paraId="371AD28D">
            <w:pPr>
              <w:pStyle w:val="19"/>
              <w:spacing w:before="120" w:after="120"/>
            </w:pPr>
            <w:r>
              <w:rPr>
                <w:rFonts w:hint="eastAsia"/>
              </w:rPr>
              <w:t>罐装</w:t>
            </w:r>
          </w:p>
        </w:tc>
        <w:tc>
          <w:tcPr>
            <w:tcW w:w="594" w:type="pct"/>
            <w:tcBorders>
              <w:tl2br w:val="nil"/>
              <w:tr2bl w:val="nil"/>
            </w:tcBorders>
            <w:vAlign w:val="center"/>
          </w:tcPr>
          <w:p w14:paraId="68B0963A">
            <w:pPr>
              <w:pStyle w:val="19"/>
              <w:spacing w:before="120" w:after="120"/>
            </w:pPr>
            <w:r>
              <w:rPr>
                <w:rFonts w:hint="eastAsia"/>
              </w:rPr>
              <w:t>30</w:t>
            </w:r>
          </w:p>
        </w:tc>
        <w:tc>
          <w:tcPr>
            <w:tcW w:w="730" w:type="pct"/>
            <w:tcBorders>
              <w:tl2br w:val="nil"/>
              <w:tr2bl w:val="nil"/>
            </w:tcBorders>
            <w:vAlign w:val="center"/>
          </w:tcPr>
          <w:p w14:paraId="4B133C5F">
            <w:pPr>
              <w:pStyle w:val="19"/>
              <w:spacing w:before="120" w:after="120"/>
            </w:pPr>
            <w:r>
              <w:rPr>
                <w:rFonts w:hint="eastAsia"/>
              </w:rPr>
              <w:t>79-20-9</w:t>
            </w:r>
          </w:p>
        </w:tc>
        <w:tc>
          <w:tcPr>
            <w:tcW w:w="471" w:type="pct"/>
            <w:tcBorders>
              <w:tl2br w:val="nil"/>
              <w:tr2bl w:val="nil"/>
            </w:tcBorders>
            <w:vAlign w:val="center"/>
          </w:tcPr>
          <w:p w14:paraId="3D84576D">
            <w:pPr>
              <w:pStyle w:val="19"/>
              <w:spacing w:before="120" w:after="120"/>
            </w:pPr>
            <w:r>
              <w:rPr>
                <w:rFonts w:hint="eastAsia"/>
              </w:rPr>
              <w:t>/</w:t>
            </w:r>
          </w:p>
        </w:tc>
        <w:tc>
          <w:tcPr>
            <w:tcW w:w="408" w:type="pct"/>
            <w:tcBorders>
              <w:tl2br w:val="nil"/>
              <w:tr2bl w:val="nil"/>
            </w:tcBorders>
            <w:vAlign w:val="center"/>
          </w:tcPr>
          <w:p w14:paraId="71E76D86">
            <w:pPr>
              <w:pStyle w:val="19"/>
              <w:spacing w:before="120" w:after="120"/>
            </w:pPr>
            <w:r>
              <w:rPr>
                <w:rFonts w:hint="eastAsia"/>
              </w:rPr>
              <w:t>/</w:t>
            </w:r>
          </w:p>
        </w:tc>
      </w:tr>
      <w:tr w14:paraId="73283D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70D14A28">
            <w:pPr>
              <w:pStyle w:val="19"/>
              <w:spacing w:before="120" w:after="120"/>
            </w:pPr>
          </w:p>
        </w:tc>
        <w:tc>
          <w:tcPr>
            <w:tcW w:w="854" w:type="pct"/>
            <w:tcBorders>
              <w:tl2br w:val="nil"/>
              <w:tr2bl w:val="nil"/>
            </w:tcBorders>
            <w:vAlign w:val="center"/>
          </w:tcPr>
          <w:p w14:paraId="6E6C5E3F">
            <w:pPr>
              <w:pStyle w:val="19"/>
              <w:spacing w:before="120" w:after="120"/>
            </w:pPr>
            <w:r>
              <w:t>亚硫酸氢钠</w:t>
            </w:r>
          </w:p>
        </w:tc>
        <w:tc>
          <w:tcPr>
            <w:tcW w:w="628" w:type="pct"/>
            <w:vMerge w:val="continue"/>
            <w:tcBorders>
              <w:tl2br w:val="nil"/>
              <w:tr2bl w:val="nil"/>
            </w:tcBorders>
            <w:vAlign w:val="center"/>
          </w:tcPr>
          <w:p w14:paraId="62DEF793">
            <w:pPr>
              <w:pStyle w:val="19"/>
              <w:spacing w:before="120" w:after="120"/>
            </w:pPr>
          </w:p>
        </w:tc>
        <w:tc>
          <w:tcPr>
            <w:tcW w:w="492" w:type="pct"/>
            <w:tcBorders>
              <w:tl2br w:val="nil"/>
              <w:tr2bl w:val="nil"/>
            </w:tcBorders>
            <w:vAlign w:val="center"/>
          </w:tcPr>
          <w:p w14:paraId="0CFD6204">
            <w:pPr>
              <w:pStyle w:val="19"/>
              <w:spacing w:before="120" w:after="120"/>
            </w:pPr>
            <w:r>
              <w:rPr>
                <w:rFonts w:hint="eastAsia"/>
              </w:rPr>
              <w:t>固体</w:t>
            </w:r>
          </w:p>
        </w:tc>
        <w:tc>
          <w:tcPr>
            <w:tcW w:w="598" w:type="pct"/>
            <w:tcBorders>
              <w:tl2br w:val="nil"/>
              <w:tr2bl w:val="nil"/>
            </w:tcBorders>
            <w:vAlign w:val="center"/>
          </w:tcPr>
          <w:p w14:paraId="51641AFD">
            <w:pPr>
              <w:pStyle w:val="19"/>
              <w:spacing w:before="120" w:after="120"/>
            </w:pPr>
            <w:r>
              <w:rPr>
                <w:rFonts w:hint="eastAsia"/>
              </w:rPr>
              <w:t>槽车</w:t>
            </w:r>
          </w:p>
        </w:tc>
        <w:tc>
          <w:tcPr>
            <w:tcW w:w="594" w:type="pct"/>
            <w:tcBorders>
              <w:tl2br w:val="nil"/>
              <w:tr2bl w:val="nil"/>
            </w:tcBorders>
            <w:vAlign w:val="center"/>
          </w:tcPr>
          <w:p w14:paraId="0B419B49">
            <w:pPr>
              <w:pStyle w:val="19"/>
              <w:spacing w:before="120" w:after="120"/>
            </w:pPr>
            <w:r>
              <w:rPr>
                <w:rFonts w:hint="eastAsia"/>
              </w:rPr>
              <w:t>30</w:t>
            </w:r>
          </w:p>
        </w:tc>
        <w:tc>
          <w:tcPr>
            <w:tcW w:w="730" w:type="pct"/>
            <w:tcBorders>
              <w:tl2br w:val="nil"/>
              <w:tr2bl w:val="nil"/>
            </w:tcBorders>
            <w:vAlign w:val="center"/>
          </w:tcPr>
          <w:p w14:paraId="3A1B2146">
            <w:pPr>
              <w:pStyle w:val="19"/>
              <w:spacing w:before="120" w:after="120"/>
            </w:pPr>
            <w:r>
              <w:rPr>
                <w:rFonts w:hint="eastAsia"/>
              </w:rPr>
              <w:t>7631-90-5</w:t>
            </w:r>
          </w:p>
        </w:tc>
        <w:tc>
          <w:tcPr>
            <w:tcW w:w="471" w:type="pct"/>
            <w:tcBorders>
              <w:tl2br w:val="nil"/>
              <w:tr2bl w:val="nil"/>
            </w:tcBorders>
            <w:vAlign w:val="center"/>
          </w:tcPr>
          <w:p w14:paraId="78A69E86">
            <w:pPr>
              <w:pStyle w:val="19"/>
              <w:spacing w:before="120" w:after="120"/>
            </w:pPr>
            <w:r>
              <w:rPr>
                <w:rFonts w:hint="eastAsia"/>
              </w:rPr>
              <w:t>5</w:t>
            </w:r>
          </w:p>
        </w:tc>
        <w:tc>
          <w:tcPr>
            <w:tcW w:w="408" w:type="pct"/>
            <w:tcBorders>
              <w:tl2br w:val="nil"/>
              <w:tr2bl w:val="nil"/>
            </w:tcBorders>
            <w:vAlign w:val="center"/>
          </w:tcPr>
          <w:p w14:paraId="724AF63F">
            <w:pPr>
              <w:pStyle w:val="19"/>
              <w:spacing w:before="120" w:after="120"/>
            </w:pPr>
            <w:r>
              <w:rPr>
                <w:rFonts w:hint="eastAsia"/>
              </w:rPr>
              <w:t>6</w:t>
            </w:r>
          </w:p>
        </w:tc>
      </w:tr>
      <w:tr w14:paraId="6BF1CB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26DB8A30">
            <w:pPr>
              <w:pStyle w:val="19"/>
              <w:spacing w:before="120" w:after="120"/>
            </w:pPr>
          </w:p>
        </w:tc>
        <w:tc>
          <w:tcPr>
            <w:tcW w:w="854" w:type="pct"/>
            <w:tcBorders>
              <w:tl2br w:val="nil"/>
              <w:tr2bl w:val="nil"/>
            </w:tcBorders>
            <w:vAlign w:val="center"/>
          </w:tcPr>
          <w:p w14:paraId="1E2F1C3E">
            <w:pPr>
              <w:pStyle w:val="19"/>
              <w:spacing w:before="120" w:after="120"/>
            </w:pPr>
            <w:r>
              <w:rPr>
                <w:rFonts w:hint="eastAsia"/>
              </w:rPr>
              <w:t>连二亚硫酸钠</w:t>
            </w:r>
          </w:p>
        </w:tc>
        <w:tc>
          <w:tcPr>
            <w:tcW w:w="628" w:type="pct"/>
            <w:vMerge w:val="continue"/>
            <w:tcBorders>
              <w:tl2br w:val="nil"/>
              <w:tr2bl w:val="nil"/>
            </w:tcBorders>
            <w:vAlign w:val="center"/>
          </w:tcPr>
          <w:p w14:paraId="6B8C7AC0">
            <w:pPr>
              <w:pStyle w:val="19"/>
              <w:spacing w:before="120" w:after="120"/>
            </w:pPr>
          </w:p>
        </w:tc>
        <w:tc>
          <w:tcPr>
            <w:tcW w:w="492" w:type="pct"/>
            <w:tcBorders>
              <w:tl2br w:val="nil"/>
              <w:tr2bl w:val="nil"/>
            </w:tcBorders>
            <w:vAlign w:val="center"/>
          </w:tcPr>
          <w:p w14:paraId="56D2F822">
            <w:pPr>
              <w:pStyle w:val="19"/>
              <w:spacing w:before="120" w:after="120"/>
            </w:pPr>
            <w:r>
              <w:rPr>
                <w:rFonts w:hint="eastAsia"/>
              </w:rPr>
              <w:t>固体</w:t>
            </w:r>
          </w:p>
        </w:tc>
        <w:tc>
          <w:tcPr>
            <w:tcW w:w="598" w:type="pct"/>
            <w:tcBorders>
              <w:tl2br w:val="nil"/>
              <w:tr2bl w:val="nil"/>
            </w:tcBorders>
            <w:vAlign w:val="center"/>
          </w:tcPr>
          <w:p w14:paraId="59642780">
            <w:pPr>
              <w:pStyle w:val="19"/>
              <w:spacing w:before="120" w:after="120"/>
            </w:pPr>
            <w:r>
              <w:rPr>
                <w:rFonts w:hint="eastAsia"/>
              </w:rPr>
              <w:t>槽车</w:t>
            </w:r>
          </w:p>
        </w:tc>
        <w:tc>
          <w:tcPr>
            <w:tcW w:w="594" w:type="pct"/>
            <w:tcBorders>
              <w:tl2br w:val="nil"/>
              <w:tr2bl w:val="nil"/>
            </w:tcBorders>
            <w:vAlign w:val="center"/>
          </w:tcPr>
          <w:p w14:paraId="738C314C">
            <w:pPr>
              <w:pStyle w:val="19"/>
              <w:spacing w:before="120" w:after="120"/>
            </w:pPr>
            <w:r>
              <w:rPr>
                <w:rFonts w:hint="eastAsia"/>
              </w:rPr>
              <w:t>30</w:t>
            </w:r>
          </w:p>
        </w:tc>
        <w:tc>
          <w:tcPr>
            <w:tcW w:w="730" w:type="pct"/>
            <w:tcBorders>
              <w:tl2br w:val="nil"/>
              <w:tr2bl w:val="nil"/>
            </w:tcBorders>
            <w:vAlign w:val="center"/>
          </w:tcPr>
          <w:p w14:paraId="6D2DFCCB">
            <w:pPr>
              <w:pStyle w:val="19"/>
              <w:spacing w:before="120" w:after="120"/>
            </w:pPr>
            <w:r>
              <w:rPr>
                <w:rFonts w:hint="eastAsia"/>
              </w:rPr>
              <w:t>7775-14-6</w:t>
            </w:r>
          </w:p>
        </w:tc>
        <w:tc>
          <w:tcPr>
            <w:tcW w:w="471" w:type="pct"/>
            <w:tcBorders>
              <w:tl2br w:val="nil"/>
              <w:tr2bl w:val="nil"/>
            </w:tcBorders>
            <w:vAlign w:val="center"/>
          </w:tcPr>
          <w:p w14:paraId="45BD8DD5">
            <w:pPr>
              <w:pStyle w:val="19"/>
              <w:spacing w:before="120" w:after="120"/>
            </w:pPr>
            <w:r>
              <w:rPr>
                <w:rFonts w:hint="eastAsia"/>
              </w:rPr>
              <w:t>5</w:t>
            </w:r>
          </w:p>
        </w:tc>
        <w:tc>
          <w:tcPr>
            <w:tcW w:w="408" w:type="pct"/>
            <w:tcBorders>
              <w:tl2br w:val="nil"/>
              <w:tr2bl w:val="nil"/>
            </w:tcBorders>
            <w:vAlign w:val="center"/>
          </w:tcPr>
          <w:p w14:paraId="168C6C14">
            <w:pPr>
              <w:pStyle w:val="19"/>
              <w:spacing w:before="120" w:after="120"/>
            </w:pPr>
            <w:r>
              <w:rPr>
                <w:rFonts w:hint="eastAsia"/>
              </w:rPr>
              <w:t>6</w:t>
            </w:r>
          </w:p>
        </w:tc>
      </w:tr>
      <w:tr w14:paraId="075245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6D6F1184">
            <w:pPr>
              <w:pStyle w:val="19"/>
              <w:spacing w:before="120" w:after="120"/>
            </w:pPr>
          </w:p>
        </w:tc>
        <w:tc>
          <w:tcPr>
            <w:tcW w:w="854" w:type="pct"/>
            <w:tcBorders>
              <w:tl2br w:val="nil"/>
              <w:tr2bl w:val="nil"/>
            </w:tcBorders>
            <w:vAlign w:val="center"/>
          </w:tcPr>
          <w:p w14:paraId="107029D2">
            <w:pPr>
              <w:pStyle w:val="19"/>
              <w:spacing w:before="120" w:after="120"/>
            </w:pPr>
            <w:r>
              <w:t>氢氧化钠</w:t>
            </w:r>
          </w:p>
        </w:tc>
        <w:tc>
          <w:tcPr>
            <w:tcW w:w="628" w:type="pct"/>
            <w:vMerge w:val="continue"/>
            <w:tcBorders>
              <w:tl2br w:val="nil"/>
              <w:tr2bl w:val="nil"/>
            </w:tcBorders>
            <w:vAlign w:val="center"/>
          </w:tcPr>
          <w:p w14:paraId="02F18770">
            <w:pPr>
              <w:pStyle w:val="19"/>
              <w:spacing w:before="120" w:after="120"/>
            </w:pPr>
          </w:p>
        </w:tc>
        <w:tc>
          <w:tcPr>
            <w:tcW w:w="492" w:type="pct"/>
            <w:tcBorders>
              <w:tl2br w:val="nil"/>
              <w:tr2bl w:val="nil"/>
            </w:tcBorders>
            <w:vAlign w:val="center"/>
          </w:tcPr>
          <w:p w14:paraId="3A491B13">
            <w:pPr>
              <w:pStyle w:val="19"/>
              <w:spacing w:before="120" w:after="120"/>
            </w:pPr>
            <w:r>
              <w:rPr>
                <w:rFonts w:hint="eastAsia"/>
              </w:rPr>
              <w:t>固体</w:t>
            </w:r>
          </w:p>
        </w:tc>
        <w:tc>
          <w:tcPr>
            <w:tcW w:w="598" w:type="pct"/>
            <w:tcBorders>
              <w:tl2br w:val="nil"/>
              <w:tr2bl w:val="nil"/>
            </w:tcBorders>
            <w:vAlign w:val="center"/>
          </w:tcPr>
          <w:p w14:paraId="16E1F346">
            <w:pPr>
              <w:pStyle w:val="19"/>
              <w:spacing w:before="120" w:after="120"/>
            </w:pPr>
            <w:r>
              <w:rPr>
                <w:rFonts w:hint="eastAsia"/>
              </w:rPr>
              <w:t>槽车</w:t>
            </w:r>
          </w:p>
        </w:tc>
        <w:tc>
          <w:tcPr>
            <w:tcW w:w="594" w:type="pct"/>
            <w:tcBorders>
              <w:tl2br w:val="nil"/>
              <w:tr2bl w:val="nil"/>
            </w:tcBorders>
            <w:vAlign w:val="center"/>
          </w:tcPr>
          <w:p w14:paraId="1800AB47">
            <w:pPr>
              <w:pStyle w:val="19"/>
              <w:spacing w:before="120" w:after="120"/>
            </w:pPr>
            <w:r>
              <w:rPr>
                <w:rFonts w:hint="eastAsia"/>
              </w:rPr>
              <w:t>30</w:t>
            </w:r>
          </w:p>
        </w:tc>
        <w:tc>
          <w:tcPr>
            <w:tcW w:w="730" w:type="pct"/>
            <w:tcBorders>
              <w:tl2br w:val="nil"/>
              <w:tr2bl w:val="nil"/>
            </w:tcBorders>
            <w:vAlign w:val="center"/>
          </w:tcPr>
          <w:p w14:paraId="48E7AA58">
            <w:pPr>
              <w:pStyle w:val="19"/>
              <w:spacing w:before="120" w:after="120"/>
            </w:pPr>
            <w:r>
              <w:rPr>
                <w:rFonts w:hint="eastAsia"/>
              </w:rPr>
              <w:t>1310-73-2</w:t>
            </w:r>
          </w:p>
        </w:tc>
        <w:tc>
          <w:tcPr>
            <w:tcW w:w="471" w:type="pct"/>
            <w:tcBorders>
              <w:tl2br w:val="nil"/>
              <w:tr2bl w:val="nil"/>
            </w:tcBorders>
            <w:vAlign w:val="center"/>
          </w:tcPr>
          <w:p w14:paraId="448D415F">
            <w:pPr>
              <w:pStyle w:val="19"/>
              <w:spacing w:before="120" w:after="120"/>
            </w:pPr>
            <w:r>
              <w:rPr>
                <w:rFonts w:hint="eastAsia"/>
              </w:rPr>
              <w:t>/</w:t>
            </w:r>
          </w:p>
        </w:tc>
        <w:tc>
          <w:tcPr>
            <w:tcW w:w="408" w:type="pct"/>
            <w:tcBorders>
              <w:tl2br w:val="nil"/>
              <w:tr2bl w:val="nil"/>
            </w:tcBorders>
            <w:vAlign w:val="center"/>
          </w:tcPr>
          <w:p w14:paraId="1EA33DAF">
            <w:pPr>
              <w:pStyle w:val="19"/>
              <w:spacing w:before="120" w:after="120"/>
            </w:pPr>
            <w:r>
              <w:rPr>
                <w:rFonts w:hint="eastAsia"/>
              </w:rPr>
              <w:t>/</w:t>
            </w:r>
          </w:p>
        </w:tc>
      </w:tr>
      <w:tr w14:paraId="489C6B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64507E48">
            <w:pPr>
              <w:pStyle w:val="19"/>
              <w:spacing w:before="120" w:after="120"/>
            </w:pPr>
          </w:p>
        </w:tc>
        <w:tc>
          <w:tcPr>
            <w:tcW w:w="854" w:type="pct"/>
            <w:tcBorders>
              <w:tl2br w:val="nil"/>
              <w:tr2bl w:val="nil"/>
            </w:tcBorders>
            <w:vAlign w:val="center"/>
          </w:tcPr>
          <w:p w14:paraId="6E56A311">
            <w:pPr>
              <w:pStyle w:val="19"/>
              <w:spacing w:before="120" w:after="120"/>
            </w:pPr>
            <w:r>
              <w:t>氢氧化钠</w:t>
            </w:r>
            <w:r>
              <w:rPr>
                <w:rFonts w:hint="eastAsia"/>
              </w:rPr>
              <w:t>溶液</w:t>
            </w:r>
          </w:p>
        </w:tc>
        <w:tc>
          <w:tcPr>
            <w:tcW w:w="628" w:type="pct"/>
            <w:vMerge w:val="continue"/>
            <w:tcBorders>
              <w:tl2br w:val="nil"/>
              <w:tr2bl w:val="nil"/>
            </w:tcBorders>
            <w:vAlign w:val="center"/>
          </w:tcPr>
          <w:p w14:paraId="097F1E65">
            <w:pPr>
              <w:pStyle w:val="19"/>
              <w:spacing w:before="120" w:after="120"/>
            </w:pPr>
          </w:p>
        </w:tc>
        <w:tc>
          <w:tcPr>
            <w:tcW w:w="492" w:type="pct"/>
            <w:tcBorders>
              <w:tl2br w:val="nil"/>
              <w:tr2bl w:val="nil"/>
            </w:tcBorders>
            <w:vAlign w:val="center"/>
          </w:tcPr>
          <w:p w14:paraId="219AEBCF">
            <w:pPr>
              <w:pStyle w:val="19"/>
              <w:spacing w:before="120" w:after="120"/>
            </w:pPr>
            <w:r>
              <w:rPr>
                <w:rFonts w:hint="eastAsia"/>
              </w:rPr>
              <w:t>液体</w:t>
            </w:r>
          </w:p>
        </w:tc>
        <w:tc>
          <w:tcPr>
            <w:tcW w:w="598" w:type="pct"/>
            <w:tcBorders>
              <w:tl2br w:val="nil"/>
              <w:tr2bl w:val="nil"/>
            </w:tcBorders>
            <w:vAlign w:val="center"/>
          </w:tcPr>
          <w:p w14:paraId="3CFAC4FE">
            <w:pPr>
              <w:pStyle w:val="19"/>
              <w:spacing w:before="120" w:after="120"/>
            </w:pPr>
            <w:r>
              <w:rPr>
                <w:rFonts w:hint="eastAsia"/>
              </w:rPr>
              <w:t>罐装</w:t>
            </w:r>
          </w:p>
        </w:tc>
        <w:tc>
          <w:tcPr>
            <w:tcW w:w="594" w:type="pct"/>
            <w:tcBorders>
              <w:tl2br w:val="nil"/>
              <w:tr2bl w:val="nil"/>
            </w:tcBorders>
            <w:vAlign w:val="center"/>
          </w:tcPr>
          <w:p w14:paraId="3CCE48B2">
            <w:pPr>
              <w:pStyle w:val="19"/>
              <w:spacing w:before="120" w:after="120"/>
            </w:pPr>
            <w:r>
              <w:rPr>
                <w:rFonts w:hint="eastAsia"/>
              </w:rPr>
              <w:t>30</w:t>
            </w:r>
          </w:p>
        </w:tc>
        <w:tc>
          <w:tcPr>
            <w:tcW w:w="730" w:type="pct"/>
            <w:tcBorders>
              <w:tl2br w:val="nil"/>
              <w:tr2bl w:val="nil"/>
            </w:tcBorders>
            <w:vAlign w:val="center"/>
          </w:tcPr>
          <w:p w14:paraId="60B1B880">
            <w:pPr>
              <w:pStyle w:val="19"/>
              <w:spacing w:before="120" w:after="120"/>
            </w:pPr>
            <w:r>
              <w:rPr>
                <w:rFonts w:hint="eastAsia"/>
              </w:rPr>
              <w:t>1310-73-2</w:t>
            </w:r>
          </w:p>
        </w:tc>
        <w:tc>
          <w:tcPr>
            <w:tcW w:w="471" w:type="pct"/>
            <w:tcBorders>
              <w:tl2br w:val="nil"/>
              <w:tr2bl w:val="nil"/>
            </w:tcBorders>
            <w:vAlign w:val="center"/>
          </w:tcPr>
          <w:p w14:paraId="2E1E94AD">
            <w:pPr>
              <w:pStyle w:val="19"/>
              <w:spacing w:before="120" w:after="120"/>
            </w:pPr>
            <w:r>
              <w:rPr>
                <w:rFonts w:hint="eastAsia"/>
              </w:rPr>
              <w:t>/</w:t>
            </w:r>
          </w:p>
        </w:tc>
        <w:tc>
          <w:tcPr>
            <w:tcW w:w="408" w:type="pct"/>
            <w:tcBorders>
              <w:tl2br w:val="nil"/>
              <w:tr2bl w:val="nil"/>
            </w:tcBorders>
            <w:vAlign w:val="center"/>
          </w:tcPr>
          <w:p w14:paraId="473BFE66">
            <w:pPr>
              <w:pStyle w:val="19"/>
              <w:spacing w:before="120" w:after="120"/>
            </w:pPr>
            <w:r>
              <w:rPr>
                <w:rFonts w:hint="eastAsia"/>
              </w:rPr>
              <w:t>/</w:t>
            </w:r>
          </w:p>
        </w:tc>
      </w:tr>
      <w:tr w14:paraId="09D251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7AE167DB">
            <w:pPr>
              <w:pStyle w:val="19"/>
              <w:spacing w:before="120" w:after="120"/>
            </w:pPr>
          </w:p>
        </w:tc>
        <w:tc>
          <w:tcPr>
            <w:tcW w:w="854" w:type="pct"/>
            <w:tcBorders>
              <w:tl2br w:val="nil"/>
              <w:tr2bl w:val="nil"/>
            </w:tcBorders>
            <w:vAlign w:val="center"/>
          </w:tcPr>
          <w:p w14:paraId="0E380CF0">
            <w:pPr>
              <w:pStyle w:val="19"/>
              <w:spacing w:before="120" w:after="120"/>
            </w:pPr>
            <w:r>
              <w:rPr>
                <w:rFonts w:hint="eastAsia"/>
              </w:rPr>
              <w:t>液氩</w:t>
            </w:r>
          </w:p>
        </w:tc>
        <w:tc>
          <w:tcPr>
            <w:tcW w:w="628" w:type="pct"/>
            <w:vMerge w:val="continue"/>
            <w:tcBorders>
              <w:tl2br w:val="nil"/>
              <w:tr2bl w:val="nil"/>
            </w:tcBorders>
            <w:vAlign w:val="center"/>
          </w:tcPr>
          <w:p w14:paraId="5FC0164D">
            <w:pPr>
              <w:pStyle w:val="19"/>
              <w:spacing w:before="120" w:after="120"/>
            </w:pPr>
          </w:p>
        </w:tc>
        <w:tc>
          <w:tcPr>
            <w:tcW w:w="492" w:type="pct"/>
            <w:tcBorders>
              <w:tl2br w:val="nil"/>
              <w:tr2bl w:val="nil"/>
            </w:tcBorders>
            <w:vAlign w:val="center"/>
          </w:tcPr>
          <w:p w14:paraId="1573EA2B">
            <w:pPr>
              <w:pStyle w:val="19"/>
              <w:spacing w:before="120" w:after="120"/>
            </w:pPr>
            <w:r>
              <w:rPr>
                <w:rFonts w:hint="eastAsia"/>
              </w:rPr>
              <w:t>液体</w:t>
            </w:r>
          </w:p>
        </w:tc>
        <w:tc>
          <w:tcPr>
            <w:tcW w:w="598" w:type="pct"/>
            <w:tcBorders>
              <w:tl2br w:val="nil"/>
              <w:tr2bl w:val="nil"/>
            </w:tcBorders>
            <w:vAlign w:val="center"/>
          </w:tcPr>
          <w:p w14:paraId="731147B3">
            <w:pPr>
              <w:pStyle w:val="19"/>
              <w:spacing w:before="120" w:after="120"/>
            </w:pPr>
            <w:r>
              <w:rPr>
                <w:rFonts w:hint="eastAsia"/>
              </w:rPr>
              <w:t>罐装</w:t>
            </w:r>
          </w:p>
        </w:tc>
        <w:tc>
          <w:tcPr>
            <w:tcW w:w="594" w:type="pct"/>
            <w:tcBorders>
              <w:tl2br w:val="nil"/>
              <w:tr2bl w:val="nil"/>
            </w:tcBorders>
            <w:vAlign w:val="center"/>
          </w:tcPr>
          <w:p w14:paraId="1E77DD6C">
            <w:pPr>
              <w:pStyle w:val="19"/>
              <w:spacing w:before="120" w:after="120"/>
            </w:pPr>
            <w:r>
              <w:rPr>
                <w:rFonts w:hint="eastAsia"/>
              </w:rPr>
              <w:t>30</w:t>
            </w:r>
          </w:p>
        </w:tc>
        <w:tc>
          <w:tcPr>
            <w:tcW w:w="730" w:type="pct"/>
            <w:tcBorders>
              <w:tl2br w:val="nil"/>
              <w:tr2bl w:val="nil"/>
            </w:tcBorders>
            <w:vAlign w:val="center"/>
          </w:tcPr>
          <w:p w14:paraId="3C5B4272">
            <w:pPr>
              <w:pStyle w:val="19"/>
              <w:spacing w:beforeLines="0" w:afterLines="0"/>
            </w:pPr>
            <w:r>
              <w:rPr>
                <w:rFonts w:hint="eastAsia"/>
              </w:rPr>
              <w:t>7440-37-1</w:t>
            </w:r>
          </w:p>
        </w:tc>
        <w:tc>
          <w:tcPr>
            <w:tcW w:w="471" w:type="pct"/>
            <w:tcBorders>
              <w:tl2br w:val="nil"/>
              <w:tr2bl w:val="nil"/>
            </w:tcBorders>
            <w:vAlign w:val="center"/>
          </w:tcPr>
          <w:p w14:paraId="1E5B3899">
            <w:pPr>
              <w:pStyle w:val="19"/>
              <w:spacing w:before="120" w:after="120"/>
            </w:pPr>
            <w:r>
              <w:rPr>
                <w:rFonts w:hint="eastAsia"/>
              </w:rPr>
              <w:t>/</w:t>
            </w:r>
          </w:p>
        </w:tc>
        <w:tc>
          <w:tcPr>
            <w:tcW w:w="408" w:type="pct"/>
            <w:tcBorders>
              <w:tl2br w:val="nil"/>
              <w:tr2bl w:val="nil"/>
            </w:tcBorders>
            <w:vAlign w:val="center"/>
          </w:tcPr>
          <w:p w14:paraId="33F56DD0">
            <w:pPr>
              <w:pStyle w:val="19"/>
              <w:spacing w:before="120" w:after="120"/>
            </w:pPr>
            <w:r>
              <w:rPr>
                <w:rFonts w:hint="eastAsia"/>
              </w:rPr>
              <w:t>/</w:t>
            </w:r>
          </w:p>
        </w:tc>
      </w:tr>
      <w:tr w14:paraId="1394AB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3DD90C84">
            <w:pPr>
              <w:pStyle w:val="19"/>
              <w:spacing w:before="120" w:after="120"/>
            </w:pPr>
          </w:p>
        </w:tc>
        <w:tc>
          <w:tcPr>
            <w:tcW w:w="854" w:type="pct"/>
            <w:tcBorders>
              <w:tl2br w:val="nil"/>
              <w:tr2bl w:val="nil"/>
            </w:tcBorders>
            <w:vAlign w:val="center"/>
          </w:tcPr>
          <w:p w14:paraId="0DA72C2B">
            <w:pPr>
              <w:pStyle w:val="19"/>
              <w:spacing w:before="120" w:after="120"/>
            </w:pPr>
            <w:r>
              <w:rPr>
                <w:rFonts w:hint="eastAsia"/>
              </w:rPr>
              <w:t>液氮</w:t>
            </w:r>
          </w:p>
        </w:tc>
        <w:tc>
          <w:tcPr>
            <w:tcW w:w="628" w:type="pct"/>
            <w:vMerge w:val="continue"/>
            <w:tcBorders>
              <w:tl2br w:val="nil"/>
              <w:tr2bl w:val="nil"/>
            </w:tcBorders>
            <w:vAlign w:val="center"/>
          </w:tcPr>
          <w:p w14:paraId="30AB747E">
            <w:pPr>
              <w:pStyle w:val="19"/>
              <w:spacing w:before="120" w:after="120"/>
            </w:pPr>
          </w:p>
        </w:tc>
        <w:tc>
          <w:tcPr>
            <w:tcW w:w="492" w:type="pct"/>
            <w:tcBorders>
              <w:tl2br w:val="nil"/>
              <w:tr2bl w:val="nil"/>
            </w:tcBorders>
            <w:vAlign w:val="center"/>
          </w:tcPr>
          <w:p w14:paraId="3B794E90">
            <w:pPr>
              <w:pStyle w:val="19"/>
              <w:spacing w:before="120" w:after="120"/>
            </w:pPr>
            <w:r>
              <w:rPr>
                <w:rFonts w:hint="eastAsia"/>
              </w:rPr>
              <w:t>液体</w:t>
            </w:r>
          </w:p>
        </w:tc>
        <w:tc>
          <w:tcPr>
            <w:tcW w:w="598" w:type="pct"/>
            <w:tcBorders>
              <w:tl2br w:val="nil"/>
              <w:tr2bl w:val="nil"/>
            </w:tcBorders>
            <w:vAlign w:val="center"/>
          </w:tcPr>
          <w:p w14:paraId="70CC6B79">
            <w:pPr>
              <w:pStyle w:val="19"/>
              <w:spacing w:before="120" w:after="120"/>
            </w:pPr>
            <w:r>
              <w:rPr>
                <w:rFonts w:hint="eastAsia"/>
              </w:rPr>
              <w:t>罐装</w:t>
            </w:r>
          </w:p>
        </w:tc>
        <w:tc>
          <w:tcPr>
            <w:tcW w:w="594" w:type="pct"/>
            <w:tcBorders>
              <w:tl2br w:val="nil"/>
              <w:tr2bl w:val="nil"/>
            </w:tcBorders>
            <w:vAlign w:val="center"/>
          </w:tcPr>
          <w:p w14:paraId="2607BF03">
            <w:pPr>
              <w:pStyle w:val="19"/>
              <w:spacing w:before="120" w:after="120"/>
            </w:pPr>
            <w:r>
              <w:rPr>
                <w:rFonts w:hint="eastAsia"/>
              </w:rPr>
              <w:t>30</w:t>
            </w:r>
          </w:p>
        </w:tc>
        <w:tc>
          <w:tcPr>
            <w:tcW w:w="730" w:type="pct"/>
            <w:tcBorders>
              <w:tl2br w:val="nil"/>
              <w:tr2bl w:val="nil"/>
            </w:tcBorders>
            <w:vAlign w:val="center"/>
          </w:tcPr>
          <w:p w14:paraId="766487C5">
            <w:pPr>
              <w:pStyle w:val="19"/>
              <w:spacing w:beforeLines="0" w:afterLines="0"/>
            </w:pPr>
            <w:r>
              <w:rPr>
                <w:rFonts w:hint="eastAsia"/>
              </w:rPr>
              <w:t>7727-37-9</w:t>
            </w:r>
          </w:p>
        </w:tc>
        <w:tc>
          <w:tcPr>
            <w:tcW w:w="471" w:type="pct"/>
            <w:tcBorders>
              <w:tl2br w:val="nil"/>
              <w:tr2bl w:val="nil"/>
            </w:tcBorders>
            <w:vAlign w:val="center"/>
          </w:tcPr>
          <w:p w14:paraId="46A8CB5A">
            <w:pPr>
              <w:pStyle w:val="19"/>
              <w:spacing w:before="120" w:after="120"/>
            </w:pPr>
            <w:r>
              <w:rPr>
                <w:rFonts w:hint="eastAsia"/>
              </w:rPr>
              <w:t>/</w:t>
            </w:r>
          </w:p>
        </w:tc>
        <w:tc>
          <w:tcPr>
            <w:tcW w:w="408" w:type="pct"/>
            <w:tcBorders>
              <w:tl2br w:val="nil"/>
              <w:tr2bl w:val="nil"/>
            </w:tcBorders>
            <w:vAlign w:val="center"/>
          </w:tcPr>
          <w:p w14:paraId="7AEEEEB2">
            <w:pPr>
              <w:pStyle w:val="19"/>
              <w:spacing w:before="120" w:after="120"/>
            </w:pPr>
            <w:r>
              <w:rPr>
                <w:rFonts w:hint="eastAsia"/>
              </w:rPr>
              <w:t>/</w:t>
            </w:r>
          </w:p>
        </w:tc>
      </w:tr>
      <w:tr w14:paraId="5929B6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51E7FF9A">
            <w:pPr>
              <w:pStyle w:val="19"/>
              <w:spacing w:before="120" w:after="120"/>
            </w:pPr>
          </w:p>
        </w:tc>
        <w:tc>
          <w:tcPr>
            <w:tcW w:w="854" w:type="pct"/>
            <w:tcBorders>
              <w:tl2br w:val="nil"/>
              <w:tr2bl w:val="nil"/>
            </w:tcBorders>
            <w:vAlign w:val="center"/>
          </w:tcPr>
          <w:p w14:paraId="74F06971">
            <w:pPr>
              <w:pStyle w:val="19"/>
              <w:spacing w:before="120" w:after="120"/>
            </w:pPr>
            <w:r>
              <w:rPr>
                <w:rFonts w:hint="eastAsia"/>
              </w:rPr>
              <w:t>液氧</w:t>
            </w:r>
          </w:p>
        </w:tc>
        <w:tc>
          <w:tcPr>
            <w:tcW w:w="628" w:type="pct"/>
            <w:vMerge w:val="continue"/>
            <w:tcBorders>
              <w:tl2br w:val="nil"/>
              <w:tr2bl w:val="nil"/>
            </w:tcBorders>
            <w:vAlign w:val="center"/>
          </w:tcPr>
          <w:p w14:paraId="50E5E4D4">
            <w:pPr>
              <w:pStyle w:val="19"/>
              <w:spacing w:before="120" w:after="120"/>
            </w:pPr>
          </w:p>
        </w:tc>
        <w:tc>
          <w:tcPr>
            <w:tcW w:w="492" w:type="pct"/>
            <w:tcBorders>
              <w:tl2br w:val="nil"/>
              <w:tr2bl w:val="nil"/>
            </w:tcBorders>
            <w:vAlign w:val="center"/>
          </w:tcPr>
          <w:p w14:paraId="7AF8A84C">
            <w:pPr>
              <w:pStyle w:val="19"/>
              <w:spacing w:before="120" w:after="120"/>
            </w:pPr>
            <w:r>
              <w:rPr>
                <w:rFonts w:hint="eastAsia"/>
              </w:rPr>
              <w:t>液体</w:t>
            </w:r>
          </w:p>
        </w:tc>
        <w:tc>
          <w:tcPr>
            <w:tcW w:w="598" w:type="pct"/>
            <w:tcBorders>
              <w:tl2br w:val="nil"/>
              <w:tr2bl w:val="nil"/>
            </w:tcBorders>
            <w:vAlign w:val="center"/>
          </w:tcPr>
          <w:p w14:paraId="344AFBE2">
            <w:pPr>
              <w:pStyle w:val="19"/>
              <w:spacing w:before="120" w:after="120"/>
            </w:pPr>
            <w:r>
              <w:rPr>
                <w:rFonts w:hint="eastAsia"/>
              </w:rPr>
              <w:t>罐装</w:t>
            </w:r>
          </w:p>
        </w:tc>
        <w:tc>
          <w:tcPr>
            <w:tcW w:w="594" w:type="pct"/>
            <w:tcBorders>
              <w:tl2br w:val="nil"/>
              <w:tr2bl w:val="nil"/>
            </w:tcBorders>
            <w:vAlign w:val="center"/>
          </w:tcPr>
          <w:p w14:paraId="6C0749AA">
            <w:pPr>
              <w:pStyle w:val="19"/>
              <w:spacing w:before="120" w:after="120"/>
            </w:pPr>
            <w:r>
              <w:rPr>
                <w:rFonts w:hint="eastAsia"/>
              </w:rPr>
              <w:t>30</w:t>
            </w:r>
          </w:p>
        </w:tc>
        <w:tc>
          <w:tcPr>
            <w:tcW w:w="730" w:type="pct"/>
            <w:tcBorders>
              <w:tl2br w:val="nil"/>
              <w:tr2bl w:val="nil"/>
            </w:tcBorders>
            <w:vAlign w:val="center"/>
          </w:tcPr>
          <w:p w14:paraId="533CDC98">
            <w:pPr>
              <w:pStyle w:val="19"/>
              <w:spacing w:before="120" w:after="120"/>
            </w:pPr>
            <w:r>
              <w:t>7782-44-7</w:t>
            </w:r>
          </w:p>
        </w:tc>
        <w:tc>
          <w:tcPr>
            <w:tcW w:w="471" w:type="pct"/>
            <w:tcBorders>
              <w:tl2br w:val="nil"/>
              <w:tr2bl w:val="nil"/>
            </w:tcBorders>
            <w:vAlign w:val="center"/>
          </w:tcPr>
          <w:p w14:paraId="1BFE964D">
            <w:pPr>
              <w:pStyle w:val="19"/>
              <w:spacing w:before="120" w:after="120"/>
            </w:pPr>
            <w:r>
              <w:rPr>
                <w:rFonts w:hint="eastAsia"/>
              </w:rPr>
              <w:t>/</w:t>
            </w:r>
          </w:p>
        </w:tc>
        <w:tc>
          <w:tcPr>
            <w:tcW w:w="408" w:type="pct"/>
            <w:tcBorders>
              <w:tl2br w:val="nil"/>
              <w:tr2bl w:val="nil"/>
            </w:tcBorders>
            <w:vAlign w:val="center"/>
          </w:tcPr>
          <w:p w14:paraId="6FC9072A">
            <w:pPr>
              <w:pStyle w:val="19"/>
              <w:spacing w:before="120" w:after="120"/>
            </w:pPr>
            <w:r>
              <w:rPr>
                <w:rFonts w:hint="eastAsia"/>
              </w:rPr>
              <w:t>/</w:t>
            </w:r>
          </w:p>
        </w:tc>
      </w:tr>
      <w:tr w14:paraId="298417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0E888539">
            <w:pPr>
              <w:pStyle w:val="19"/>
              <w:spacing w:before="120" w:after="120"/>
            </w:pPr>
          </w:p>
        </w:tc>
        <w:tc>
          <w:tcPr>
            <w:tcW w:w="854" w:type="pct"/>
            <w:tcBorders>
              <w:tl2br w:val="nil"/>
              <w:tr2bl w:val="nil"/>
            </w:tcBorders>
            <w:vAlign w:val="center"/>
          </w:tcPr>
          <w:p w14:paraId="76AAEE6E">
            <w:pPr>
              <w:pStyle w:val="19"/>
              <w:spacing w:before="120" w:after="120"/>
            </w:pPr>
            <w:r>
              <w:rPr>
                <w:rFonts w:hint="eastAsia"/>
              </w:rPr>
              <w:t>液体二氧化碳</w:t>
            </w:r>
          </w:p>
        </w:tc>
        <w:tc>
          <w:tcPr>
            <w:tcW w:w="628" w:type="pct"/>
            <w:vMerge w:val="continue"/>
            <w:tcBorders>
              <w:tl2br w:val="nil"/>
              <w:tr2bl w:val="nil"/>
            </w:tcBorders>
            <w:vAlign w:val="center"/>
          </w:tcPr>
          <w:p w14:paraId="79B877E8">
            <w:pPr>
              <w:pStyle w:val="19"/>
              <w:spacing w:before="120" w:after="120"/>
            </w:pPr>
          </w:p>
        </w:tc>
        <w:tc>
          <w:tcPr>
            <w:tcW w:w="492" w:type="pct"/>
            <w:tcBorders>
              <w:tl2br w:val="nil"/>
              <w:tr2bl w:val="nil"/>
            </w:tcBorders>
            <w:vAlign w:val="center"/>
          </w:tcPr>
          <w:p w14:paraId="42E93E9F">
            <w:pPr>
              <w:pStyle w:val="19"/>
              <w:spacing w:before="120" w:after="120"/>
            </w:pPr>
            <w:r>
              <w:rPr>
                <w:rFonts w:hint="eastAsia"/>
              </w:rPr>
              <w:t>液体</w:t>
            </w:r>
          </w:p>
        </w:tc>
        <w:tc>
          <w:tcPr>
            <w:tcW w:w="598" w:type="pct"/>
            <w:tcBorders>
              <w:tl2br w:val="nil"/>
              <w:tr2bl w:val="nil"/>
            </w:tcBorders>
            <w:vAlign w:val="center"/>
          </w:tcPr>
          <w:p w14:paraId="2E5795A3">
            <w:pPr>
              <w:pStyle w:val="19"/>
              <w:spacing w:before="120" w:after="120"/>
            </w:pPr>
            <w:r>
              <w:rPr>
                <w:rFonts w:hint="eastAsia"/>
              </w:rPr>
              <w:t>罐装</w:t>
            </w:r>
          </w:p>
        </w:tc>
        <w:tc>
          <w:tcPr>
            <w:tcW w:w="594" w:type="pct"/>
            <w:tcBorders>
              <w:tl2br w:val="nil"/>
              <w:tr2bl w:val="nil"/>
            </w:tcBorders>
            <w:vAlign w:val="center"/>
          </w:tcPr>
          <w:p w14:paraId="5680FDB7">
            <w:pPr>
              <w:pStyle w:val="19"/>
              <w:spacing w:before="120" w:after="120"/>
            </w:pPr>
            <w:r>
              <w:rPr>
                <w:rFonts w:hint="eastAsia"/>
              </w:rPr>
              <w:t>30</w:t>
            </w:r>
          </w:p>
        </w:tc>
        <w:tc>
          <w:tcPr>
            <w:tcW w:w="730" w:type="pct"/>
            <w:tcBorders>
              <w:tl2br w:val="nil"/>
              <w:tr2bl w:val="nil"/>
            </w:tcBorders>
            <w:vAlign w:val="center"/>
          </w:tcPr>
          <w:p w14:paraId="011947FE">
            <w:pPr>
              <w:pStyle w:val="19"/>
              <w:spacing w:before="120" w:after="120"/>
            </w:pPr>
            <w:r>
              <w:rPr>
                <w:rFonts w:hint="eastAsia"/>
              </w:rPr>
              <w:t>124-38-9</w:t>
            </w:r>
          </w:p>
        </w:tc>
        <w:tc>
          <w:tcPr>
            <w:tcW w:w="471" w:type="pct"/>
            <w:tcBorders>
              <w:tl2br w:val="nil"/>
              <w:tr2bl w:val="nil"/>
            </w:tcBorders>
            <w:vAlign w:val="center"/>
          </w:tcPr>
          <w:p w14:paraId="040B2DBE">
            <w:pPr>
              <w:pStyle w:val="19"/>
              <w:spacing w:before="120" w:after="120"/>
            </w:pPr>
            <w:r>
              <w:rPr>
                <w:rFonts w:hint="eastAsia"/>
              </w:rPr>
              <w:t>/</w:t>
            </w:r>
          </w:p>
        </w:tc>
        <w:tc>
          <w:tcPr>
            <w:tcW w:w="408" w:type="pct"/>
            <w:tcBorders>
              <w:tl2br w:val="nil"/>
              <w:tr2bl w:val="nil"/>
            </w:tcBorders>
            <w:vAlign w:val="center"/>
          </w:tcPr>
          <w:p w14:paraId="6A254420">
            <w:pPr>
              <w:pStyle w:val="19"/>
              <w:spacing w:before="120" w:after="120"/>
            </w:pPr>
            <w:r>
              <w:rPr>
                <w:rFonts w:hint="eastAsia"/>
              </w:rPr>
              <w:t>/</w:t>
            </w:r>
          </w:p>
        </w:tc>
      </w:tr>
      <w:tr w14:paraId="53EC54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21" w:type="pct"/>
            <w:vMerge w:val="continue"/>
            <w:tcBorders>
              <w:tl2br w:val="nil"/>
              <w:tr2bl w:val="nil"/>
            </w:tcBorders>
            <w:vAlign w:val="center"/>
          </w:tcPr>
          <w:p w14:paraId="62364766">
            <w:pPr>
              <w:pStyle w:val="19"/>
              <w:spacing w:before="120" w:after="120"/>
            </w:pPr>
          </w:p>
        </w:tc>
        <w:tc>
          <w:tcPr>
            <w:tcW w:w="854" w:type="pct"/>
            <w:tcBorders>
              <w:tl2br w:val="nil"/>
              <w:tr2bl w:val="nil"/>
            </w:tcBorders>
            <w:vAlign w:val="center"/>
          </w:tcPr>
          <w:p w14:paraId="44E420CB">
            <w:pPr>
              <w:pStyle w:val="19"/>
              <w:spacing w:before="120" w:after="120"/>
            </w:pPr>
            <w:r>
              <w:rPr>
                <w:rFonts w:hint="eastAsia"/>
              </w:rPr>
              <w:t>电石</w:t>
            </w:r>
          </w:p>
        </w:tc>
        <w:tc>
          <w:tcPr>
            <w:tcW w:w="628" w:type="pct"/>
            <w:vMerge w:val="continue"/>
            <w:tcBorders>
              <w:tl2br w:val="nil"/>
              <w:tr2bl w:val="nil"/>
            </w:tcBorders>
            <w:vAlign w:val="center"/>
          </w:tcPr>
          <w:p w14:paraId="191B1217">
            <w:pPr>
              <w:pStyle w:val="19"/>
              <w:spacing w:before="120" w:after="120"/>
            </w:pPr>
          </w:p>
        </w:tc>
        <w:tc>
          <w:tcPr>
            <w:tcW w:w="492" w:type="pct"/>
            <w:tcBorders>
              <w:tl2br w:val="nil"/>
              <w:tr2bl w:val="nil"/>
            </w:tcBorders>
            <w:vAlign w:val="center"/>
          </w:tcPr>
          <w:p w14:paraId="087AF670">
            <w:pPr>
              <w:pStyle w:val="19"/>
              <w:spacing w:before="120" w:after="120"/>
            </w:pPr>
            <w:r>
              <w:rPr>
                <w:rFonts w:hint="eastAsia"/>
              </w:rPr>
              <w:t>固体</w:t>
            </w:r>
          </w:p>
        </w:tc>
        <w:tc>
          <w:tcPr>
            <w:tcW w:w="598" w:type="pct"/>
            <w:tcBorders>
              <w:tl2br w:val="nil"/>
              <w:tr2bl w:val="nil"/>
            </w:tcBorders>
            <w:vAlign w:val="center"/>
          </w:tcPr>
          <w:p w14:paraId="423310F9">
            <w:pPr>
              <w:pStyle w:val="19"/>
              <w:spacing w:before="120" w:after="120"/>
            </w:pPr>
            <w:r>
              <w:rPr>
                <w:rFonts w:hint="eastAsia"/>
              </w:rPr>
              <w:t>槽车</w:t>
            </w:r>
          </w:p>
        </w:tc>
        <w:tc>
          <w:tcPr>
            <w:tcW w:w="594" w:type="pct"/>
            <w:tcBorders>
              <w:tl2br w:val="nil"/>
              <w:tr2bl w:val="nil"/>
            </w:tcBorders>
            <w:vAlign w:val="center"/>
          </w:tcPr>
          <w:p w14:paraId="7E641BDD">
            <w:pPr>
              <w:pStyle w:val="19"/>
              <w:spacing w:before="120" w:after="120"/>
            </w:pPr>
            <w:r>
              <w:rPr>
                <w:rFonts w:hint="eastAsia"/>
              </w:rPr>
              <w:t>30</w:t>
            </w:r>
          </w:p>
        </w:tc>
        <w:tc>
          <w:tcPr>
            <w:tcW w:w="730" w:type="pct"/>
            <w:tcBorders>
              <w:tl2br w:val="nil"/>
              <w:tr2bl w:val="nil"/>
            </w:tcBorders>
            <w:vAlign w:val="center"/>
          </w:tcPr>
          <w:p w14:paraId="08CEE85C">
            <w:pPr>
              <w:pStyle w:val="19"/>
              <w:spacing w:before="120" w:after="120"/>
            </w:pPr>
            <w:r>
              <w:rPr>
                <w:rFonts w:hint="eastAsia"/>
              </w:rPr>
              <w:t>75-20-7</w:t>
            </w:r>
          </w:p>
        </w:tc>
        <w:tc>
          <w:tcPr>
            <w:tcW w:w="471" w:type="pct"/>
            <w:tcBorders>
              <w:tl2br w:val="nil"/>
              <w:tr2bl w:val="nil"/>
            </w:tcBorders>
            <w:vAlign w:val="center"/>
          </w:tcPr>
          <w:p w14:paraId="50F09083">
            <w:pPr>
              <w:pStyle w:val="19"/>
              <w:spacing w:before="120" w:after="120"/>
            </w:pPr>
            <w:r>
              <w:rPr>
                <w:rFonts w:hint="eastAsia"/>
              </w:rPr>
              <w:t>/</w:t>
            </w:r>
          </w:p>
        </w:tc>
        <w:tc>
          <w:tcPr>
            <w:tcW w:w="408" w:type="pct"/>
            <w:tcBorders>
              <w:tl2br w:val="nil"/>
              <w:tr2bl w:val="nil"/>
            </w:tcBorders>
            <w:vAlign w:val="center"/>
          </w:tcPr>
          <w:p w14:paraId="63D27607">
            <w:pPr>
              <w:pStyle w:val="19"/>
              <w:spacing w:before="120" w:after="120"/>
            </w:pPr>
            <w:r>
              <w:rPr>
                <w:rFonts w:hint="eastAsia"/>
              </w:rPr>
              <w:t>/</w:t>
            </w:r>
          </w:p>
        </w:tc>
      </w:tr>
      <w:tr w14:paraId="32EF16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00" w:type="pct"/>
            <w:gridSpan w:val="9"/>
            <w:tcBorders>
              <w:tl2br w:val="nil"/>
              <w:tr2bl w:val="nil"/>
            </w:tcBorders>
            <w:vAlign w:val="center"/>
          </w:tcPr>
          <w:p w14:paraId="485299EF">
            <w:pPr>
              <w:pStyle w:val="19"/>
              <w:spacing w:beforeLines="0" w:afterLines="0"/>
              <w:jc w:val="left"/>
            </w:pPr>
            <w:r>
              <w:rPr>
                <w:rFonts w:hint="eastAsia"/>
                <w:color w:val="000000"/>
                <w:sz w:val="20"/>
                <w:szCs w:val="16"/>
              </w:rPr>
              <w:t>最不利情况</w:t>
            </w:r>
            <w:r>
              <w:rPr>
                <w:color w:val="000000"/>
                <w:sz w:val="20"/>
                <w:szCs w:val="16"/>
              </w:rPr>
              <w:t>Q</w:t>
            </w:r>
            <w:r>
              <w:rPr>
                <w:rFonts w:hint="eastAsia"/>
                <w:color w:val="000000"/>
                <w:sz w:val="20"/>
                <w:szCs w:val="16"/>
              </w:rPr>
              <w:t>=30</w:t>
            </w:r>
          </w:p>
        </w:tc>
      </w:tr>
    </w:tbl>
    <w:p w14:paraId="7F9051CF">
      <w:pPr>
        <w:ind w:firstLine="480"/>
      </w:pPr>
      <w:r>
        <w:rPr>
          <w:rFonts w:hint="eastAsia"/>
        </w:rPr>
        <w:t>根据计算结果，本项目停车场停放重载车最不利情况下危险物质数量与临界量的比值</w:t>
      </w:r>
      <w:r>
        <w:rPr>
          <w:color w:val="000000"/>
        </w:rPr>
        <w:t>Q</w:t>
      </w:r>
      <w:r>
        <w:rPr>
          <w:rFonts w:hint="eastAsia"/>
          <w:color w:val="000000"/>
        </w:rPr>
        <w:t>=30，</w:t>
      </w:r>
      <w:r>
        <w:rPr>
          <w:color w:val="000000"/>
        </w:rPr>
        <w:t>10≤Q＜100</w:t>
      </w:r>
      <w:r>
        <w:rPr>
          <w:rFonts w:hint="eastAsia"/>
          <w:color w:val="000000"/>
        </w:rPr>
        <w:t>。</w:t>
      </w:r>
    </w:p>
    <w:p w14:paraId="2D216815">
      <w:pPr>
        <w:ind w:firstLine="480"/>
      </w:pPr>
      <w:r>
        <w:rPr>
          <w:rFonts w:hint="eastAsia"/>
        </w:rPr>
        <w:t>②所属行业及生产工艺特点（</w:t>
      </w:r>
      <w:r>
        <w:t>M</w:t>
      </w:r>
      <w:r>
        <w:rPr>
          <w:rFonts w:hint="eastAsia"/>
        </w:rPr>
        <w:t>）</w:t>
      </w:r>
    </w:p>
    <w:p w14:paraId="3AD98A62">
      <w:pPr>
        <w:ind w:firstLine="480"/>
      </w:pPr>
      <w:r>
        <w:rPr>
          <w:rFonts w:hint="eastAsia"/>
        </w:rPr>
        <w:t>分析项目所属行业及生产工艺特点，评估生产工艺情况。具有多套工艺单元的项目，对每套生产工艺分别评分并求和。将</w:t>
      </w:r>
      <w:r>
        <w:t>M</w:t>
      </w:r>
      <w:r>
        <w:rPr>
          <w:rFonts w:hint="eastAsia"/>
        </w:rPr>
        <w:t>划分为（</w:t>
      </w:r>
      <w:r>
        <w:t>1</w:t>
      </w:r>
      <w:r>
        <w:rPr>
          <w:rFonts w:hint="eastAsia"/>
        </w:rPr>
        <w:t>）</w:t>
      </w:r>
      <w:r>
        <w:t>M&gt;20</w:t>
      </w:r>
      <w:r>
        <w:rPr>
          <w:rFonts w:hint="eastAsia"/>
        </w:rPr>
        <w:t>；（</w:t>
      </w:r>
      <w:r>
        <w:t>2</w:t>
      </w:r>
      <w:r>
        <w:rPr>
          <w:rFonts w:hint="eastAsia"/>
        </w:rPr>
        <w:t>）</w:t>
      </w:r>
      <w:r>
        <w:t>10</w:t>
      </w:r>
      <w:r>
        <w:rPr>
          <w:rFonts w:hint="eastAsia"/>
        </w:rPr>
        <w:t>＜</w:t>
      </w:r>
      <w:r>
        <w:t>M≤20</w:t>
      </w:r>
      <w:r>
        <w:rPr>
          <w:rFonts w:hint="eastAsia"/>
        </w:rPr>
        <w:t>；（</w:t>
      </w:r>
      <w:r>
        <w:t>3</w:t>
      </w:r>
      <w:r>
        <w:rPr>
          <w:rFonts w:hint="eastAsia"/>
        </w:rPr>
        <w:t>）</w:t>
      </w:r>
      <w:r>
        <w:t>5&lt;M≤10</w:t>
      </w:r>
      <w:r>
        <w:rPr>
          <w:rFonts w:hint="eastAsia"/>
        </w:rPr>
        <w:t>；（</w:t>
      </w:r>
      <w:r>
        <w:t>4</w:t>
      </w:r>
      <w:r>
        <w:rPr>
          <w:rFonts w:hint="eastAsia"/>
        </w:rPr>
        <w:t>）</w:t>
      </w:r>
      <w:r>
        <w:t>M=5</w:t>
      </w:r>
      <w:r>
        <w:rPr>
          <w:rFonts w:hint="eastAsia"/>
        </w:rPr>
        <w:t>，分别以</w:t>
      </w:r>
      <w:r>
        <w:t>M1</w:t>
      </w:r>
      <w:r>
        <w:rPr>
          <w:rFonts w:hint="eastAsia"/>
        </w:rPr>
        <w:t>、</w:t>
      </w:r>
      <w:r>
        <w:t>M2</w:t>
      </w:r>
      <w:r>
        <w:rPr>
          <w:rFonts w:hint="eastAsia"/>
        </w:rPr>
        <w:t>、</w:t>
      </w:r>
      <w:r>
        <w:t>M3</w:t>
      </w:r>
      <w:r>
        <w:rPr>
          <w:rFonts w:hint="eastAsia"/>
        </w:rPr>
        <w:t>和</w:t>
      </w:r>
      <w:r>
        <w:t>M4</w:t>
      </w:r>
      <w:r>
        <w:rPr>
          <w:rFonts w:hint="eastAsia"/>
        </w:rPr>
        <w:t>所示。项目评估得分情况见下表。</w:t>
      </w:r>
    </w:p>
    <w:p w14:paraId="6E443ADE">
      <w:pPr>
        <w:pStyle w:val="19"/>
        <w:spacing w:before="120" w:after="120"/>
        <w:rPr>
          <w:b/>
          <w:bCs/>
        </w:rPr>
      </w:pPr>
      <w:r>
        <w:rPr>
          <w:rFonts w:hint="eastAsia"/>
          <w:b/>
          <w:bCs/>
        </w:rPr>
        <w:t>表3.2-2  所属行业及生产工艺特点评估得分情况</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3"/>
        <w:gridCol w:w="5407"/>
        <w:gridCol w:w="1163"/>
        <w:gridCol w:w="1187"/>
      </w:tblGrid>
      <w:tr w14:paraId="23397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19" w:type="pct"/>
            <w:tcBorders>
              <w:tl2br w:val="nil"/>
              <w:tr2bl w:val="nil"/>
            </w:tcBorders>
            <w:noWrap/>
            <w:vAlign w:val="center"/>
          </w:tcPr>
          <w:p w14:paraId="26A12B9D">
            <w:pPr>
              <w:pStyle w:val="19"/>
              <w:spacing w:before="120" w:after="120"/>
            </w:pPr>
            <w:r>
              <w:t>行业</w:t>
            </w:r>
          </w:p>
        </w:tc>
        <w:tc>
          <w:tcPr>
            <w:tcW w:w="2984" w:type="pct"/>
            <w:tcBorders>
              <w:tl2br w:val="nil"/>
              <w:tr2bl w:val="nil"/>
            </w:tcBorders>
            <w:noWrap/>
            <w:vAlign w:val="center"/>
          </w:tcPr>
          <w:p w14:paraId="79EFF30A">
            <w:pPr>
              <w:pStyle w:val="19"/>
              <w:spacing w:before="120" w:after="120"/>
            </w:pPr>
            <w:r>
              <w:t>评估依据</w:t>
            </w:r>
          </w:p>
        </w:tc>
        <w:tc>
          <w:tcPr>
            <w:tcW w:w="641" w:type="pct"/>
            <w:tcBorders>
              <w:tl2br w:val="nil"/>
              <w:tr2bl w:val="nil"/>
            </w:tcBorders>
            <w:noWrap/>
            <w:vAlign w:val="center"/>
          </w:tcPr>
          <w:p w14:paraId="74CC3C74">
            <w:pPr>
              <w:pStyle w:val="19"/>
              <w:spacing w:before="120" w:after="120"/>
            </w:pPr>
            <w:r>
              <w:t>分值</w:t>
            </w:r>
            <w:r>
              <w:rPr>
                <w:rFonts w:hint="eastAsia"/>
              </w:rPr>
              <w:t>标准</w:t>
            </w:r>
          </w:p>
        </w:tc>
        <w:tc>
          <w:tcPr>
            <w:tcW w:w="654" w:type="pct"/>
            <w:tcBorders>
              <w:tl2br w:val="nil"/>
              <w:tr2bl w:val="nil"/>
            </w:tcBorders>
            <w:noWrap/>
            <w:vAlign w:val="center"/>
          </w:tcPr>
          <w:p w14:paraId="1D1782F5">
            <w:pPr>
              <w:pStyle w:val="19"/>
              <w:spacing w:before="120" w:after="120"/>
            </w:pPr>
            <w:r>
              <w:rPr>
                <w:rFonts w:hint="eastAsia"/>
              </w:rPr>
              <w:t>得分情况</w:t>
            </w:r>
          </w:p>
        </w:tc>
      </w:tr>
      <w:tr w14:paraId="48BDF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9" w:type="pct"/>
            <w:vMerge w:val="restart"/>
            <w:tcBorders>
              <w:tl2br w:val="nil"/>
              <w:tr2bl w:val="nil"/>
            </w:tcBorders>
            <w:noWrap/>
            <w:vAlign w:val="center"/>
          </w:tcPr>
          <w:p w14:paraId="6ECF92AF">
            <w:pPr>
              <w:pStyle w:val="19"/>
              <w:spacing w:before="120" w:after="120"/>
            </w:pPr>
            <w:r>
              <w:t>石化、化工、医药、轻工、化纤、有色、冶炼等</w:t>
            </w:r>
          </w:p>
        </w:tc>
        <w:tc>
          <w:tcPr>
            <w:tcW w:w="2984" w:type="pct"/>
            <w:tcBorders>
              <w:tl2br w:val="nil"/>
              <w:tr2bl w:val="nil"/>
            </w:tcBorders>
            <w:noWrap/>
            <w:vAlign w:val="center"/>
          </w:tcPr>
          <w:p w14:paraId="205D301A">
            <w:pPr>
              <w:pStyle w:val="19"/>
              <w:spacing w:before="120" w:after="120"/>
            </w:pPr>
            <w:r>
              <w:t>涉及光气及光气化工艺、电解工艺（氯碱</w:t>
            </w:r>
            <w:r>
              <w:rPr>
                <w:rFonts w:hint="eastAsia"/>
              </w:rPr>
              <w:t>）</w:t>
            </w:r>
            <w:r>
              <w:t>、氯化工艺、硝化工艺、合成氨工艺、裂解（裂化</w:t>
            </w:r>
            <w:r>
              <w:rPr>
                <w:rFonts w:hint="eastAsia"/>
              </w:rPr>
              <w:t>）</w:t>
            </w:r>
            <w:r>
              <w:t>工艺、氟化工艺、加氢工艺、重氮化工艺、氧化工艺、过氧化工艺、胺基化工艺、磺化工艺、聚合工艺、烷基化工艺、新型煤化工工艺、电石生产工艺、偶氮化工艺</w:t>
            </w:r>
          </w:p>
        </w:tc>
        <w:tc>
          <w:tcPr>
            <w:tcW w:w="641" w:type="pct"/>
            <w:tcBorders>
              <w:tl2br w:val="nil"/>
              <w:tr2bl w:val="nil"/>
            </w:tcBorders>
            <w:noWrap/>
            <w:vAlign w:val="center"/>
          </w:tcPr>
          <w:p w14:paraId="14DDC820">
            <w:pPr>
              <w:pStyle w:val="19"/>
              <w:spacing w:before="120" w:after="120"/>
            </w:pPr>
            <w:r>
              <w:t>10/</w:t>
            </w:r>
            <w:r>
              <w:rPr>
                <w:rFonts w:hint="eastAsia"/>
              </w:rPr>
              <w:t>每套</w:t>
            </w:r>
          </w:p>
        </w:tc>
        <w:tc>
          <w:tcPr>
            <w:tcW w:w="654" w:type="pct"/>
            <w:tcBorders>
              <w:tl2br w:val="nil"/>
              <w:tr2bl w:val="nil"/>
            </w:tcBorders>
            <w:noWrap/>
            <w:vAlign w:val="center"/>
          </w:tcPr>
          <w:p w14:paraId="6834B5B5">
            <w:pPr>
              <w:pStyle w:val="19"/>
              <w:spacing w:before="120" w:after="120"/>
            </w:pPr>
            <w:r>
              <w:rPr>
                <w:rFonts w:hint="eastAsia"/>
              </w:rPr>
              <w:t>0</w:t>
            </w:r>
          </w:p>
        </w:tc>
      </w:tr>
      <w:tr w14:paraId="56056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9" w:type="pct"/>
            <w:vMerge w:val="continue"/>
            <w:tcBorders>
              <w:tl2br w:val="nil"/>
              <w:tr2bl w:val="nil"/>
            </w:tcBorders>
            <w:vAlign w:val="center"/>
          </w:tcPr>
          <w:p w14:paraId="12FCFE97">
            <w:pPr>
              <w:pStyle w:val="19"/>
              <w:spacing w:before="120" w:after="120"/>
            </w:pPr>
          </w:p>
        </w:tc>
        <w:tc>
          <w:tcPr>
            <w:tcW w:w="2984" w:type="pct"/>
            <w:tcBorders>
              <w:tl2br w:val="nil"/>
              <w:tr2bl w:val="nil"/>
            </w:tcBorders>
            <w:noWrap/>
            <w:vAlign w:val="center"/>
          </w:tcPr>
          <w:p w14:paraId="67E8D4E3">
            <w:pPr>
              <w:pStyle w:val="19"/>
              <w:spacing w:before="120" w:after="120"/>
            </w:pPr>
            <w:r>
              <w:t>无机酸制酸工艺、焦化工艺</w:t>
            </w:r>
          </w:p>
        </w:tc>
        <w:tc>
          <w:tcPr>
            <w:tcW w:w="641" w:type="pct"/>
            <w:tcBorders>
              <w:tl2br w:val="nil"/>
              <w:tr2bl w:val="nil"/>
            </w:tcBorders>
            <w:noWrap/>
            <w:vAlign w:val="center"/>
          </w:tcPr>
          <w:p w14:paraId="3FF7F253">
            <w:pPr>
              <w:pStyle w:val="19"/>
              <w:spacing w:before="120" w:after="120"/>
            </w:pPr>
            <w:r>
              <w:t>5/</w:t>
            </w:r>
            <w:r>
              <w:rPr>
                <w:rFonts w:hint="eastAsia"/>
              </w:rPr>
              <w:t>每套</w:t>
            </w:r>
          </w:p>
        </w:tc>
        <w:tc>
          <w:tcPr>
            <w:tcW w:w="654" w:type="pct"/>
            <w:tcBorders>
              <w:tl2br w:val="nil"/>
              <w:tr2bl w:val="nil"/>
            </w:tcBorders>
            <w:noWrap/>
            <w:vAlign w:val="center"/>
          </w:tcPr>
          <w:p w14:paraId="31753AD1">
            <w:pPr>
              <w:pStyle w:val="19"/>
              <w:spacing w:before="120" w:after="120"/>
            </w:pPr>
            <w:r>
              <w:rPr>
                <w:rFonts w:hint="eastAsia"/>
              </w:rPr>
              <w:t>0</w:t>
            </w:r>
          </w:p>
        </w:tc>
      </w:tr>
      <w:tr w14:paraId="6AB40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9" w:type="pct"/>
            <w:vMerge w:val="continue"/>
            <w:tcBorders>
              <w:tl2br w:val="nil"/>
              <w:tr2bl w:val="nil"/>
            </w:tcBorders>
            <w:vAlign w:val="center"/>
          </w:tcPr>
          <w:p w14:paraId="254965FE">
            <w:pPr>
              <w:pStyle w:val="19"/>
              <w:spacing w:before="120" w:after="120"/>
            </w:pPr>
          </w:p>
        </w:tc>
        <w:tc>
          <w:tcPr>
            <w:tcW w:w="2984" w:type="pct"/>
            <w:tcBorders>
              <w:tl2br w:val="nil"/>
              <w:tr2bl w:val="nil"/>
            </w:tcBorders>
            <w:noWrap/>
            <w:vAlign w:val="center"/>
          </w:tcPr>
          <w:p w14:paraId="74318301">
            <w:pPr>
              <w:pStyle w:val="19"/>
              <w:spacing w:before="120" w:after="120"/>
            </w:pPr>
            <w:r>
              <w:t>其他高温或高压</w:t>
            </w:r>
            <w:r>
              <w:rPr>
                <w:rFonts w:hint="eastAsia"/>
              </w:rPr>
              <w:t>，</w:t>
            </w:r>
            <w:r>
              <w:t>且涉及危险物质的工艺过程a</w:t>
            </w:r>
            <w:r>
              <w:rPr>
                <w:rFonts w:hint="eastAsia"/>
              </w:rPr>
              <w:t>，危险物质贮存罐区</w:t>
            </w:r>
          </w:p>
        </w:tc>
        <w:tc>
          <w:tcPr>
            <w:tcW w:w="641" w:type="pct"/>
            <w:tcBorders>
              <w:tl2br w:val="nil"/>
              <w:tr2bl w:val="nil"/>
            </w:tcBorders>
            <w:noWrap/>
            <w:vAlign w:val="center"/>
          </w:tcPr>
          <w:p w14:paraId="20279BE6">
            <w:pPr>
              <w:pStyle w:val="19"/>
              <w:spacing w:before="120" w:after="120"/>
            </w:pPr>
            <w:r>
              <w:t>5/</w:t>
            </w:r>
            <w:r>
              <w:rPr>
                <w:rFonts w:hint="eastAsia"/>
              </w:rPr>
              <w:t>每套</w:t>
            </w:r>
          </w:p>
          <w:p w14:paraId="47656B77">
            <w:pPr>
              <w:pStyle w:val="19"/>
              <w:spacing w:before="120" w:after="120"/>
            </w:pPr>
            <w:r>
              <w:t>（罐区</w:t>
            </w:r>
            <w:r>
              <w:rPr>
                <w:rFonts w:hint="eastAsia"/>
              </w:rPr>
              <w:t>）</w:t>
            </w:r>
          </w:p>
        </w:tc>
        <w:tc>
          <w:tcPr>
            <w:tcW w:w="654" w:type="pct"/>
            <w:tcBorders>
              <w:tl2br w:val="nil"/>
              <w:tr2bl w:val="nil"/>
            </w:tcBorders>
            <w:noWrap/>
            <w:vAlign w:val="center"/>
          </w:tcPr>
          <w:p w14:paraId="66FE51E1">
            <w:pPr>
              <w:pStyle w:val="19"/>
              <w:spacing w:before="120" w:after="120"/>
            </w:pPr>
            <w:r>
              <w:rPr>
                <w:rFonts w:hint="eastAsia"/>
              </w:rPr>
              <w:t>0</w:t>
            </w:r>
          </w:p>
        </w:tc>
      </w:tr>
      <w:tr w14:paraId="46E88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9" w:type="pct"/>
            <w:tcBorders>
              <w:tl2br w:val="nil"/>
              <w:tr2bl w:val="nil"/>
            </w:tcBorders>
            <w:noWrap/>
            <w:vAlign w:val="center"/>
          </w:tcPr>
          <w:p w14:paraId="314B3212">
            <w:pPr>
              <w:pStyle w:val="19"/>
              <w:spacing w:before="120" w:after="120"/>
            </w:pPr>
            <w:r>
              <w:t>管道、港口/</w:t>
            </w:r>
            <w:r>
              <w:rPr>
                <w:rFonts w:hint="eastAsia"/>
              </w:rPr>
              <w:t>码头等</w:t>
            </w:r>
          </w:p>
        </w:tc>
        <w:tc>
          <w:tcPr>
            <w:tcW w:w="2984" w:type="pct"/>
            <w:tcBorders>
              <w:tl2br w:val="nil"/>
              <w:tr2bl w:val="nil"/>
            </w:tcBorders>
            <w:noWrap/>
            <w:vAlign w:val="center"/>
          </w:tcPr>
          <w:p w14:paraId="0B86BFF4">
            <w:pPr>
              <w:pStyle w:val="19"/>
              <w:spacing w:before="120" w:after="120"/>
            </w:pPr>
            <w:r>
              <w:t>涉及危险物质管道运输项目、港口/</w:t>
            </w:r>
            <w:r>
              <w:rPr>
                <w:rFonts w:hint="eastAsia"/>
              </w:rPr>
              <w:t>码头等</w:t>
            </w:r>
          </w:p>
        </w:tc>
        <w:tc>
          <w:tcPr>
            <w:tcW w:w="641" w:type="pct"/>
            <w:tcBorders>
              <w:tl2br w:val="nil"/>
              <w:tr2bl w:val="nil"/>
            </w:tcBorders>
            <w:noWrap/>
            <w:vAlign w:val="center"/>
          </w:tcPr>
          <w:p w14:paraId="4425F7D0">
            <w:pPr>
              <w:pStyle w:val="19"/>
              <w:spacing w:before="120" w:after="120"/>
            </w:pPr>
            <w:r>
              <w:t>10</w:t>
            </w:r>
          </w:p>
        </w:tc>
        <w:tc>
          <w:tcPr>
            <w:tcW w:w="654" w:type="pct"/>
            <w:tcBorders>
              <w:tl2br w:val="nil"/>
              <w:tr2bl w:val="nil"/>
            </w:tcBorders>
            <w:noWrap/>
            <w:vAlign w:val="center"/>
          </w:tcPr>
          <w:p w14:paraId="3C536C1B">
            <w:pPr>
              <w:pStyle w:val="19"/>
              <w:spacing w:before="120" w:after="120"/>
            </w:pPr>
            <w:r>
              <w:rPr>
                <w:rFonts w:hint="eastAsia"/>
              </w:rPr>
              <w:t>0</w:t>
            </w:r>
          </w:p>
        </w:tc>
      </w:tr>
      <w:tr w14:paraId="2EE5A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9" w:type="pct"/>
            <w:tcBorders>
              <w:tl2br w:val="nil"/>
              <w:tr2bl w:val="nil"/>
            </w:tcBorders>
            <w:noWrap/>
            <w:vAlign w:val="center"/>
          </w:tcPr>
          <w:p w14:paraId="503B1391">
            <w:pPr>
              <w:pStyle w:val="19"/>
              <w:spacing w:before="120" w:after="120"/>
            </w:pPr>
            <w:r>
              <w:t>石油天</w:t>
            </w:r>
            <w:r>
              <w:rPr>
                <w:rFonts w:hint="eastAsia"/>
                <w:lang w:val="en-US" w:eastAsia="zh-CN"/>
              </w:rPr>
              <w:t>然</w:t>
            </w:r>
            <w:r>
              <w:t>气</w:t>
            </w:r>
          </w:p>
        </w:tc>
        <w:tc>
          <w:tcPr>
            <w:tcW w:w="2984" w:type="pct"/>
            <w:tcBorders>
              <w:tl2br w:val="nil"/>
              <w:tr2bl w:val="nil"/>
            </w:tcBorders>
            <w:noWrap/>
            <w:vAlign w:val="center"/>
          </w:tcPr>
          <w:p w14:paraId="17E68E6A">
            <w:pPr>
              <w:pStyle w:val="19"/>
              <w:spacing w:before="120" w:after="120"/>
            </w:pPr>
            <w:r>
              <w:t>石油、天</w:t>
            </w:r>
            <w:r>
              <w:rPr>
                <w:rFonts w:hint="eastAsia"/>
                <w:lang w:val="en-US" w:eastAsia="zh-CN"/>
              </w:rPr>
              <w:t>然</w:t>
            </w:r>
            <w:r>
              <w:t>气、页岩气开采（含净化</w:t>
            </w:r>
            <w:r>
              <w:rPr>
                <w:rFonts w:hint="eastAsia"/>
              </w:rPr>
              <w:t>），</w:t>
            </w:r>
            <w:r>
              <w:t>气库（不含加气站的气库</w:t>
            </w:r>
            <w:r>
              <w:rPr>
                <w:rFonts w:hint="eastAsia"/>
              </w:rPr>
              <w:t>），</w:t>
            </w:r>
            <w:r>
              <w:t>油库（不含加气站的油库</w:t>
            </w:r>
            <w:r>
              <w:rPr>
                <w:rFonts w:hint="eastAsia"/>
              </w:rPr>
              <w:t>）</w:t>
            </w:r>
            <w:r>
              <w:t>、油气管线b</w:t>
            </w:r>
            <w:r>
              <w:rPr>
                <w:rFonts w:hint="eastAsia"/>
              </w:rPr>
              <w:t>（不含城镇燃气管线）</w:t>
            </w:r>
          </w:p>
        </w:tc>
        <w:tc>
          <w:tcPr>
            <w:tcW w:w="641" w:type="pct"/>
            <w:tcBorders>
              <w:tl2br w:val="nil"/>
              <w:tr2bl w:val="nil"/>
            </w:tcBorders>
            <w:noWrap/>
            <w:vAlign w:val="center"/>
          </w:tcPr>
          <w:p w14:paraId="0D0C3D2A">
            <w:pPr>
              <w:pStyle w:val="19"/>
              <w:spacing w:before="120" w:after="120"/>
            </w:pPr>
            <w:r>
              <w:t>10</w:t>
            </w:r>
          </w:p>
        </w:tc>
        <w:tc>
          <w:tcPr>
            <w:tcW w:w="654" w:type="pct"/>
            <w:tcBorders>
              <w:tl2br w:val="nil"/>
              <w:tr2bl w:val="nil"/>
            </w:tcBorders>
            <w:noWrap/>
            <w:vAlign w:val="center"/>
          </w:tcPr>
          <w:p w14:paraId="5D6224B1">
            <w:pPr>
              <w:pStyle w:val="19"/>
              <w:spacing w:before="120" w:after="120"/>
            </w:pPr>
            <w:r>
              <w:rPr>
                <w:rFonts w:hint="eastAsia"/>
              </w:rPr>
              <w:t>0</w:t>
            </w:r>
          </w:p>
        </w:tc>
      </w:tr>
      <w:tr w14:paraId="05F2E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9" w:type="pct"/>
            <w:tcBorders>
              <w:tl2br w:val="nil"/>
              <w:tr2bl w:val="nil"/>
            </w:tcBorders>
            <w:noWrap/>
            <w:vAlign w:val="center"/>
          </w:tcPr>
          <w:p w14:paraId="49A0378C">
            <w:pPr>
              <w:pStyle w:val="19"/>
              <w:spacing w:before="120" w:after="120"/>
            </w:pPr>
            <w:r>
              <w:t>其他</w:t>
            </w:r>
          </w:p>
        </w:tc>
        <w:tc>
          <w:tcPr>
            <w:tcW w:w="2984" w:type="pct"/>
            <w:tcBorders>
              <w:tl2br w:val="nil"/>
              <w:tr2bl w:val="nil"/>
            </w:tcBorders>
            <w:noWrap/>
            <w:vAlign w:val="center"/>
          </w:tcPr>
          <w:p w14:paraId="246F93F4">
            <w:pPr>
              <w:pStyle w:val="19"/>
              <w:spacing w:before="120" w:after="120"/>
            </w:pPr>
            <w:r>
              <w:t>涉及危险物质使用、贮存的项目</w:t>
            </w:r>
          </w:p>
        </w:tc>
        <w:tc>
          <w:tcPr>
            <w:tcW w:w="641" w:type="pct"/>
            <w:tcBorders>
              <w:tl2br w:val="nil"/>
              <w:tr2bl w:val="nil"/>
            </w:tcBorders>
            <w:noWrap/>
            <w:vAlign w:val="center"/>
          </w:tcPr>
          <w:p w14:paraId="5AADD808">
            <w:pPr>
              <w:pStyle w:val="19"/>
              <w:spacing w:before="120" w:after="120"/>
            </w:pPr>
            <w:r>
              <w:t>5</w:t>
            </w:r>
          </w:p>
        </w:tc>
        <w:tc>
          <w:tcPr>
            <w:tcW w:w="654" w:type="pct"/>
            <w:tcBorders>
              <w:tl2br w:val="nil"/>
              <w:tr2bl w:val="nil"/>
            </w:tcBorders>
            <w:noWrap/>
            <w:vAlign w:val="center"/>
          </w:tcPr>
          <w:p w14:paraId="37EB1C07">
            <w:pPr>
              <w:pStyle w:val="19"/>
              <w:spacing w:before="120" w:after="120"/>
            </w:pPr>
            <w:r>
              <w:rPr>
                <w:rFonts w:hint="eastAsia"/>
              </w:rPr>
              <w:t>5</w:t>
            </w:r>
          </w:p>
        </w:tc>
      </w:tr>
      <w:tr w14:paraId="238FC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45" w:type="pct"/>
            <w:gridSpan w:val="3"/>
            <w:tcBorders>
              <w:tl2br w:val="nil"/>
              <w:tr2bl w:val="nil"/>
            </w:tcBorders>
            <w:noWrap/>
            <w:vAlign w:val="center"/>
          </w:tcPr>
          <w:p w14:paraId="7A47E738">
            <w:pPr>
              <w:pStyle w:val="19"/>
              <w:spacing w:before="120" w:after="120"/>
            </w:pPr>
            <w:r>
              <w:rPr>
                <w:rFonts w:hint="eastAsia"/>
              </w:rPr>
              <w:t>合计</w:t>
            </w:r>
          </w:p>
        </w:tc>
        <w:tc>
          <w:tcPr>
            <w:tcW w:w="654" w:type="pct"/>
            <w:tcBorders>
              <w:tl2br w:val="nil"/>
              <w:tr2bl w:val="nil"/>
            </w:tcBorders>
            <w:noWrap/>
            <w:vAlign w:val="center"/>
          </w:tcPr>
          <w:p w14:paraId="3AE241F1">
            <w:pPr>
              <w:pStyle w:val="19"/>
              <w:spacing w:before="120" w:after="120"/>
            </w:pPr>
            <w:r>
              <w:rPr>
                <w:rFonts w:hint="eastAsia"/>
              </w:rPr>
              <w:t>5</w:t>
            </w:r>
          </w:p>
        </w:tc>
      </w:tr>
      <w:tr w14:paraId="68122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tcBorders>
              <w:tl2br w:val="nil"/>
              <w:tr2bl w:val="nil"/>
            </w:tcBorders>
            <w:noWrap/>
            <w:vAlign w:val="center"/>
          </w:tcPr>
          <w:p w14:paraId="6FE25D5E">
            <w:pPr>
              <w:pStyle w:val="19"/>
              <w:spacing w:beforeLines="0" w:afterLines="0"/>
              <w:jc w:val="left"/>
              <w:rPr>
                <w:sz w:val="18"/>
                <w:szCs w:val="15"/>
              </w:rPr>
            </w:pPr>
            <w:r>
              <w:rPr>
                <w:sz w:val="18"/>
                <w:szCs w:val="15"/>
              </w:rPr>
              <w:t>a</w:t>
            </w:r>
            <w:r>
              <w:rPr>
                <w:rFonts w:hint="eastAsia"/>
                <w:sz w:val="18"/>
                <w:szCs w:val="15"/>
              </w:rPr>
              <w:t>高温指工艺温度</w:t>
            </w:r>
            <w:r>
              <w:rPr>
                <w:sz w:val="18"/>
                <w:szCs w:val="15"/>
              </w:rPr>
              <w:t>≥300</w:t>
            </w:r>
            <w:r>
              <w:rPr>
                <w:rFonts w:hint="eastAsia"/>
                <w:sz w:val="18"/>
                <w:szCs w:val="15"/>
              </w:rPr>
              <w:t>℃，高压指压力容器的设计压力（</w:t>
            </w:r>
            <w:r>
              <w:rPr>
                <w:sz w:val="18"/>
                <w:szCs w:val="15"/>
              </w:rPr>
              <w:t>p</w:t>
            </w:r>
            <w:r>
              <w:rPr>
                <w:rFonts w:hint="eastAsia"/>
                <w:sz w:val="18"/>
                <w:szCs w:val="15"/>
              </w:rPr>
              <w:t>）</w:t>
            </w:r>
            <w:r>
              <w:rPr>
                <w:sz w:val="18"/>
                <w:szCs w:val="15"/>
              </w:rPr>
              <w:t>≥10.0MPa</w:t>
            </w:r>
            <w:r>
              <w:rPr>
                <w:rFonts w:hint="eastAsia"/>
                <w:sz w:val="18"/>
                <w:szCs w:val="15"/>
              </w:rPr>
              <w:t>；</w:t>
            </w:r>
          </w:p>
          <w:p w14:paraId="2E2F7246">
            <w:pPr>
              <w:pStyle w:val="19"/>
              <w:spacing w:beforeLines="0" w:afterLines="0"/>
              <w:jc w:val="left"/>
            </w:pPr>
            <w:r>
              <w:rPr>
                <w:sz w:val="18"/>
                <w:szCs w:val="15"/>
              </w:rPr>
              <w:t>b</w:t>
            </w:r>
            <w:r>
              <w:rPr>
                <w:rFonts w:hint="eastAsia"/>
                <w:sz w:val="18"/>
                <w:szCs w:val="15"/>
              </w:rPr>
              <w:t>长输管道运输项目应按站场、管线分段进行评价。</w:t>
            </w:r>
          </w:p>
        </w:tc>
      </w:tr>
    </w:tbl>
    <w:p w14:paraId="20ABC3C0">
      <w:pPr>
        <w:ind w:firstLine="480"/>
      </w:pPr>
      <w:r>
        <w:rPr>
          <w:rFonts w:hint="eastAsia"/>
        </w:rPr>
        <w:t>本项目主要从事园区危险品运输车辆集中停车维护管理服务，公司行业及生产工艺值</w:t>
      </w:r>
      <w:r>
        <w:t>M=</w:t>
      </w:r>
      <w:r>
        <w:rPr>
          <w:rFonts w:hint="eastAsia"/>
        </w:rPr>
        <w:t>5，生产工艺情况为</w:t>
      </w:r>
      <w:r>
        <w:t>M</w:t>
      </w:r>
      <w:r>
        <w:rPr>
          <w:rFonts w:hint="eastAsia"/>
        </w:rPr>
        <w:t>4。</w:t>
      </w:r>
    </w:p>
    <w:p w14:paraId="4509F69D">
      <w:pPr>
        <w:ind w:firstLine="480"/>
      </w:pPr>
      <w:r>
        <w:rPr>
          <w:rFonts w:hint="eastAsia"/>
        </w:rPr>
        <w:t>③危险物质及工艺系统危险性（</w:t>
      </w:r>
      <w:r>
        <w:t>P</w:t>
      </w:r>
      <w:r>
        <w:rPr>
          <w:rFonts w:hint="eastAsia"/>
        </w:rPr>
        <w:t>）</w:t>
      </w:r>
    </w:p>
    <w:p w14:paraId="606F6676">
      <w:pPr>
        <w:ind w:firstLine="480"/>
      </w:pPr>
      <w:r>
        <w:rPr>
          <w:rFonts w:hint="eastAsia"/>
          <w:color w:val="000000"/>
        </w:rPr>
        <w:t>根据危险物质数量与临界量比值（</w:t>
      </w:r>
      <w:r>
        <w:rPr>
          <w:color w:val="000000"/>
        </w:rPr>
        <w:t>Q</w:t>
      </w:r>
      <w:r>
        <w:rPr>
          <w:rFonts w:hint="eastAsia"/>
          <w:color w:val="000000"/>
        </w:rPr>
        <w:t>）和行业及生产工艺（</w:t>
      </w:r>
      <w:r>
        <w:rPr>
          <w:color w:val="000000"/>
        </w:rPr>
        <w:t>M</w:t>
      </w:r>
      <w:r>
        <w:rPr>
          <w:rFonts w:hint="eastAsia"/>
          <w:color w:val="000000"/>
        </w:rPr>
        <w:t>），确定危险物质及工艺系统危险性等级（</w:t>
      </w:r>
      <w:r>
        <w:rPr>
          <w:color w:val="000000"/>
        </w:rPr>
        <w:t>P</w:t>
      </w:r>
      <w:r>
        <w:rPr>
          <w:rFonts w:hint="eastAsia"/>
          <w:color w:val="000000"/>
        </w:rPr>
        <w:t>），分别以</w:t>
      </w:r>
      <w:r>
        <w:rPr>
          <w:color w:val="000000"/>
        </w:rPr>
        <w:t>P1</w:t>
      </w:r>
      <w:r>
        <w:rPr>
          <w:rFonts w:hint="eastAsia"/>
          <w:color w:val="000000"/>
        </w:rPr>
        <w:t>、</w:t>
      </w:r>
      <w:r>
        <w:rPr>
          <w:color w:val="000000"/>
        </w:rPr>
        <w:t>P2</w:t>
      </w:r>
      <w:r>
        <w:rPr>
          <w:rFonts w:hint="eastAsia"/>
          <w:color w:val="000000"/>
        </w:rPr>
        <w:t>、</w:t>
      </w:r>
      <w:r>
        <w:rPr>
          <w:color w:val="000000"/>
        </w:rPr>
        <w:t>P3</w:t>
      </w:r>
      <w:r>
        <w:rPr>
          <w:rFonts w:hint="eastAsia"/>
          <w:color w:val="000000"/>
        </w:rPr>
        <w:t>、</w:t>
      </w:r>
      <w:r>
        <w:rPr>
          <w:color w:val="000000"/>
        </w:rPr>
        <w:t>P4</w:t>
      </w:r>
      <w:r>
        <w:rPr>
          <w:rFonts w:hint="eastAsia"/>
          <w:color w:val="000000"/>
        </w:rPr>
        <w:t>表示。判定条件如下：</w:t>
      </w:r>
    </w:p>
    <w:p w14:paraId="51D62159">
      <w:pPr>
        <w:pStyle w:val="19"/>
        <w:spacing w:before="120" w:after="120"/>
        <w:rPr>
          <w:b/>
          <w:bCs/>
        </w:rPr>
      </w:pPr>
      <w:r>
        <w:rPr>
          <w:rFonts w:hint="eastAsia"/>
          <w:b/>
          <w:bCs/>
        </w:rPr>
        <w:t xml:space="preserve">表3.2-3  </w:t>
      </w:r>
      <w:r>
        <w:rPr>
          <w:rFonts w:hint="eastAsia"/>
          <w:b/>
          <w:bCs/>
          <w:color w:val="000000"/>
        </w:rPr>
        <w:t>危险物质及工艺系统危险性等级（</w:t>
      </w:r>
      <w:r>
        <w:rPr>
          <w:b/>
          <w:bCs/>
          <w:color w:val="000000"/>
        </w:rPr>
        <w:t>P</w:t>
      </w:r>
      <w:r>
        <w:rPr>
          <w:rFonts w:hint="eastAsia"/>
          <w:b/>
          <w:bCs/>
          <w:color w:val="000000"/>
        </w:rPr>
        <w:t>）等级判定</w:t>
      </w:r>
    </w:p>
    <w:tbl>
      <w:tblPr>
        <w:tblStyle w:val="1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88"/>
        <w:gridCol w:w="1116"/>
        <w:gridCol w:w="1116"/>
        <w:gridCol w:w="1116"/>
        <w:gridCol w:w="1122"/>
      </w:tblGrid>
      <w:tr w14:paraId="52970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32" w:type="pct"/>
            <w:vMerge w:val="restart"/>
            <w:noWrap/>
            <w:vAlign w:val="center"/>
          </w:tcPr>
          <w:p w14:paraId="0BED372F">
            <w:pPr>
              <w:pStyle w:val="19"/>
              <w:spacing w:before="120" w:after="120"/>
            </w:pPr>
            <w:r>
              <w:t>危险物质数量与临界量比值（Q</w:t>
            </w:r>
            <w:r>
              <w:rPr>
                <w:rFonts w:hint="eastAsia"/>
              </w:rPr>
              <w:t>）</w:t>
            </w:r>
          </w:p>
        </w:tc>
        <w:tc>
          <w:tcPr>
            <w:tcW w:w="2467" w:type="pct"/>
            <w:gridSpan w:val="4"/>
            <w:noWrap/>
            <w:vAlign w:val="center"/>
          </w:tcPr>
          <w:p w14:paraId="455CDBDD">
            <w:pPr>
              <w:pStyle w:val="19"/>
              <w:spacing w:before="120" w:after="120"/>
            </w:pPr>
            <w:r>
              <w:t>行业及生产工艺（M</w:t>
            </w:r>
            <w:r>
              <w:rPr>
                <w:rFonts w:hint="eastAsia"/>
              </w:rPr>
              <w:t>）</w:t>
            </w:r>
          </w:p>
        </w:tc>
      </w:tr>
      <w:tr w14:paraId="72566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32" w:type="pct"/>
            <w:vMerge w:val="continue"/>
            <w:vAlign w:val="center"/>
          </w:tcPr>
          <w:p w14:paraId="63D8D703">
            <w:pPr>
              <w:pStyle w:val="19"/>
              <w:spacing w:before="120" w:after="120"/>
            </w:pPr>
          </w:p>
        </w:tc>
        <w:tc>
          <w:tcPr>
            <w:tcW w:w="616" w:type="pct"/>
            <w:noWrap/>
            <w:vAlign w:val="center"/>
          </w:tcPr>
          <w:p w14:paraId="6C39671D">
            <w:pPr>
              <w:pStyle w:val="19"/>
              <w:spacing w:before="120" w:after="120"/>
            </w:pPr>
            <w:r>
              <w:t>M1</w:t>
            </w:r>
          </w:p>
        </w:tc>
        <w:tc>
          <w:tcPr>
            <w:tcW w:w="616" w:type="pct"/>
            <w:noWrap/>
            <w:vAlign w:val="center"/>
          </w:tcPr>
          <w:p w14:paraId="54ADC819">
            <w:pPr>
              <w:pStyle w:val="19"/>
              <w:spacing w:before="120" w:after="120"/>
            </w:pPr>
            <w:r>
              <w:t>M2</w:t>
            </w:r>
          </w:p>
        </w:tc>
        <w:tc>
          <w:tcPr>
            <w:tcW w:w="616" w:type="pct"/>
            <w:noWrap/>
            <w:vAlign w:val="center"/>
          </w:tcPr>
          <w:p w14:paraId="5AB4EED9">
            <w:pPr>
              <w:pStyle w:val="19"/>
              <w:spacing w:before="120" w:after="120"/>
            </w:pPr>
            <w:r>
              <w:t>M3</w:t>
            </w:r>
          </w:p>
        </w:tc>
        <w:tc>
          <w:tcPr>
            <w:tcW w:w="617" w:type="pct"/>
            <w:noWrap/>
            <w:vAlign w:val="center"/>
          </w:tcPr>
          <w:p w14:paraId="4F5B2752">
            <w:pPr>
              <w:pStyle w:val="19"/>
              <w:spacing w:before="120" w:after="120"/>
            </w:pPr>
            <w:r>
              <w:t>M4</w:t>
            </w:r>
          </w:p>
        </w:tc>
      </w:tr>
      <w:tr w14:paraId="1DAA7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32" w:type="pct"/>
            <w:noWrap/>
            <w:vAlign w:val="center"/>
          </w:tcPr>
          <w:p w14:paraId="000A2260">
            <w:pPr>
              <w:pStyle w:val="19"/>
              <w:spacing w:before="120" w:after="120"/>
            </w:pPr>
            <w:r>
              <w:t>Q≥100</w:t>
            </w:r>
          </w:p>
        </w:tc>
        <w:tc>
          <w:tcPr>
            <w:tcW w:w="616" w:type="pct"/>
            <w:tcBorders>
              <w:bottom w:val="single" w:color="auto" w:sz="4" w:space="0"/>
            </w:tcBorders>
            <w:noWrap/>
            <w:vAlign w:val="center"/>
          </w:tcPr>
          <w:p w14:paraId="3F7AF070">
            <w:pPr>
              <w:pStyle w:val="19"/>
              <w:spacing w:before="120" w:after="120"/>
            </w:pPr>
            <w:r>
              <w:t>P1</w:t>
            </w:r>
          </w:p>
        </w:tc>
        <w:tc>
          <w:tcPr>
            <w:tcW w:w="616" w:type="pct"/>
            <w:noWrap/>
            <w:vAlign w:val="center"/>
          </w:tcPr>
          <w:p w14:paraId="582DF25F">
            <w:pPr>
              <w:pStyle w:val="19"/>
              <w:spacing w:before="120" w:after="120"/>
            </w:pPr>
            <w:r>
              <w:t>P1</w:t>
            </w:r>
          </w:p>
        </w:tc>
        <w:tc>
          <w:tcPr>
            <w:tcW w:w="616" w:type="pct"/>
            <w:noWrap/>
            <w:vAlign w:val="center"/>
          </w:tcPr>
          <w:p w14:paraId="478E6E22">
            <w:pPr>
              <w:pStyle w:val="19"/>
              <w:spacing w:before="120" w:after="120"/>
            </w:pPr>
            <w:r>
              <w:t>P2</w:t>
            </w:r>
          </w:p>
        </w:tc>
        <w:tc>
          <w:tcPr>
            <w:tcW w:w="617" w:type="pct"/>
            <w:noWrap/>
            <w:vAlign w:val="center"/>
          </w:tcPr>
          <w:p w14:paraId="0E15E091">
            <w:pPr>
              <w:pStyle w:val="19"/>
              <w:spacing w:before="120" w:after="120"/>
            </w:pPr>
            <w:r>
              <w:t>P3</w:t>
            </w:r>
          </w:p>
        </w:tc>
      </w:tr>
      <w:tr w14:paraId="7C148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32" w:type="pct"/>
            <w:shd w:val="clear" w:color="auto" w:fill="auto"/>
            <w:noWrap/>
            <w:vAlign w:val="center"/>
          </w:tcPr>
          <w:p w14:paraId="094ED16A">
            <w:pPr>
              <w:pStyle w:val="19"/>
              <w:spacing w:before="120" w:after="120"/>
            </w:pPr>
            <w:r>
              <w:t>10≤Q</w:t>
            </w:r>
            <w:r>
              <w:rPr>
                <w:rFonts w:hint="eastAsia"/>
              </w:rPr>
              <w:t>＜</w:t>
            </w:r>
            <w:r>
              <w:t>100</w:t>
            </w:r>
          </w:p>
        </w:tc>
        <w:tc>
          <w:tcPr>
            <w:tcW w:w="616" w:type="pct"/>
            <w:shd w:val="clear" w:color="auto" w:fill="auto"/>
            <w:noWrap/>
            <w:vAlign w:val="center"/>
          </w:tcPr>
          <w:p w14:paraId="1CBBBA13">
            <w:pPr>
              <w:pStyle w:val="19"/>
              <w:spacing w:before="120" w:after="120"/>
            </w:pPr>
            <w:r>
              <w:t>P1</w:t>
            </w:r>
          </w:p>
        </w:tc>
        <w:tc>
          <w:tcPr>
            <w:tcW w:w="616" w:type="pct"/>
            <w:shd w:val="clear" w:color="auto" w:fill="auto"/>
            <w:noWrap/>
            <w:vAlign w:val="center"/>
          </w:tcPr>
          <w:p w14:paraId="76163459">
            <w:pPr>
              <w:pStyle w:val="19"/>
              <w:spacing w:before="120" w:after="120"/>
            </w:pPr>
            <w:r>
              <w:t>P2</w:t>
            </w:r>
          </w:p>
        </w:tc>
        <w:tc>
          <w:tcPr>
            <w:tcW w:w="616" w:type="pct"/>
            <w:shd w:val="clear" w:color="auto" w:fill="auto"/>
            <w:noWrap/>
            <w:vAlign w:val="center"/>
          </w:tcPr>
          <w:p w14:paraId="0971BCE9">
            <w:pPr>
              <w:pStyle w:val="19"/>
              <w:spacing w:before="120" w:after="120"/>
            </w:pPr>
            <w:r>
              <w:t>P3</w:t>
            </w:r>
          </w:p>
        </w:tc>
        <w:tc>
          <w:tcPr>
            <w:tcW w:w="617" w:type="pct"/>
            <w:shd w:val="clear" w:color="auto" w:fill="BEBEBE"/>
            <w:noWrap/>
            <w:vAlign w:val="center"/>
          </w:tcPr>
          <w:p w14:paraId="179D69A2">
            <w:pPr>
              <w:pStyle w:val="19"/>
              <w:spacing w:before="120" w:after="120"/>
            </w:pPr>
            <w:r>
              <w:t>P4</w:t>
            </w:r>
          </w:p>
        </w:tc>
      </w:tr>
      <w:tr w14:paraId="1B3EC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32" w:type="pct"/>
            <w:noWrap/>
            <w:vAlign w:val="center"/>
          </w:tcPr>
          <w:p w14:paraId="57AE5372">
            <w:pPr>
              <w:pStyle w:val="19"/>
              <w:spacing w:before="120" w:after="120"/>
            </w:pPr>
            <w:r>
              <w:t>1≤Q</w:t>
            </w:r>
            <w:r>
              <w:rPr>
                <w:rFonts w:hint="eastAsia"/>
              </w:rPr>
              <w:t>＜</w:t>
            </w:r>
            <w:r>
              <w:t>10</w:t>
            </w:r>
          </w:p>
        </w:tc>
        <w:tc>
          <w:tcPr>
            <w:tcW w:w="616" w:type="pct"/>
            <w:noWrap/>
            <w:vAlign w:val="center"/>
          </w:tcPr>
          <w:p w14:paraId="02DA50A9">
            <w:pPr>
              <w:pStyle w:val="19"/>
              <w:spacing w:before="120" w:after="120"/>
            </w:pPr>
            <w:r>
              <w:t>P2</w:t>
            </w:r>
          </w:p>
        </w:tc>
        <w:tc>
          <w:tcPr>
            <w:tcW w:w="616" w:type="pct"/>
            <w:noWrap/>
            <w:vAlign w:val="center"/>
          </w:tcPr>
          <w:p w14:paraId="2AA067B1">
            <w:pPr>
              <w:pStyle w:val="19"/>
              <w:spacing w:before="120" w:after="120"/>
            </w:pPr>
            <w:r>
              <w:t>P3</w:t>
            </w:r>
          </w:p>
        </w:tc>
        <w:tc>
          <w:tcPr>
            <w:tcW w:w="616" w:type="pct"/>
            <w:noWrap/>
            <w:vAlign w:val="center"/>
          </w:tcPr>
          <w:p w14:paraId="244796F0">
            <w:pPr>
              <w:pStyle w:val="19"/>
              <w:spacing w:before="120" w:after="120"/>
            </w:pPr>
            <w:r>
              <w:t>P4</w:t>
            </w:r>
          </w:p>
        </w:tc>
        <w:tc>
          <w:tcPr>
            <w:tcW w:w="617" w:type="pct"/>
            <w:noWrap/>
            <w:vAlign w:val="center"/>
          </w:tcPr>
          <w:p w14:paraId="7AD453C7">
            <w:pPr>
              <w:pStyle w:val="19"/>
              <w:spacing w:before="120" w:after="120"/>
            </w:pPr>
            <w:r>
              <w:t>P4</w:t>
            </w:r>
          </w:p>
        </w:tc>
      </w:tr>
    </w:tbl>
    <w:p w14:paraId="58131E4F">
      <w:pPr>
        <w:ind w:firstLine="480"/>
      </w:pPr>
      <w:r>
        <w:rPr>
          <w:rFonts w:hint="eastAsia"/>
        </w:rPr>
        <w:t>综上，本项目危险物质及工艺系统危险性为</w:t>
      </w:r>
      <w:r>
        <w:t>P4</w:t>
      </w:r>
      <w:r>
        <w:rPr>
          <w:rFonts w:hint="eastAsia"/>
        </w:rPr>
        <w:t>。</w:t>
      </w:r>
    </w:p>
    <w:p w14:paraId="7AF20147">
      <w:pPr>
        <w:ind w:firstLine="480"/>
      </w:pPr>
      <w:r>
        <w:rPr>
          <w:rFonts w:hint="eastAsia"/>
        </w:rPr>
        <w:t>（3）环境敏感程度（</w:t>
      </w:r>
      <w:r>
        <w:t>E</w:t>
      </w:r>
      <w:r>
        <w:rPr>
          <w:rFonts w:hint="eastAsia"/>
        </w:rPr>
        <w:t>）</w:t>
      </w:r>
    </w:p>
    <w:p w14:paraId="09D64004">
      <w:pPr>
        <w:ind w:firstLine="480"/>
      </w:pPr>
      <w:r>
        <w:rPr>
          <w:rFonts w:hint="eastAsia"/>
        </w:rPr>
        <w:t>E</w:t>
      </w:r>
      <w:r>
        <w:t>的分级确定</w:t>
      </w:r>
      <w:r>
        <w:rPr>
          <w:rFonts w:hint="eastAsia"/>
        </w:rPr>
        <w:t>：分析危险物质在事故情形下的环境影响途径，如大气、地表水、地下水等，按照《建设项目环境风险评价技术导则》（</w:t>
      </w:r>
      <w:r>
        <w:t>HJ169-2018</w:t>
      </w:r>
      <w:r>
        <w:rPr>
          <w:rFonts w:hint="eastAsia"/>
        </w:rPr>
        <w:t>）附录</w:t>
      </w:r>
      <w:r>
        <w:t>D</w:t>
      </w:r>
      <w:r>
        <w:rPr>
          <w:rFonts w:hint="eastAsia"/>
        </w:rPr>
        <w:t>对建设项目各要素环境敏感程度（</w:t>
      </w:r>
      <w:r>
        <w:t>E</w:t>
      </w:r>
      <w:r>
        <w:rPr>
          <w:rFonts w:hint="eastAsia"/>
        </w:rPr>
        <w:t>）等级进行判断。</w:t>
      </w:r>
    </w:p>
    <w:p w14:paraId="243C59EA">
      <w:pPr>
        <w:ind w:firstLine="480"/>
      </w:pPr>
      <w:r>
        <w:rPr>
          <w:rFonts w:hint="eastAsia"/>
        </w:rPr>
        <w:t>①大气环境</w:t>
      </w:r>
    </w:p>
    <w:p w14:paraId="6B1073D3">
      <w:pPr>
        <w:ind w:firstLine="504"/>
        <w:rPr>
          <w:spacing w:val="6"/>
        </w:rPr>
      </w:pPr>
      <w:r>
        <w:rPr>
          <w:rFonts w:hint="eastAsia"/>
          <w:spacing w:val="6"/>
        </w:rPr>
        <w:t>依据环境敏感目标环境敏感性及人口密度划分环境风险受体的敏感性，共分三种类型，</w:t>
      </w:r>
      <w:r>
        <w:rPr>
          <w:spacing w:val="6"/>
        </w:rPr>
        <w:t>E1</w:t>
      </w:r>
      <w:r>
        <w:rPr>
          <w:rFonts w:hint="eastAsia"/>
          <w:spacing w:val="6"/>
        </w:rPr>
        <w:t>为环境高敏感区，</w:t>
      </w:r>
      <w:r>
        <w:rPr>
          <w:spacing w:val="6"/>
        </w:rPr>
        <w:t>E2</w:t>
      </w:r>
      <w:r>
        <w:rPr>
          <w:rFonts w:hint="eastAsia"/>
          <w:spacing w:val="6"/>
        </w:rPr>
        <w:t>为环境中度敏感区，</w:t>
      </w:r>
      <w:r>
        <w:rPr>
          <w:spacing w:val="6"/>
        </w:rPr>
        <w:t>E3</w:t>
      </w:r>
      <w:r>
        <w:rPr>
          <w:rFonts w:hint="eastAsia"/>
          <w:spacing w:val="6"/>
        </w:rPr>
        <w:t>为环境低度敏感区，本项目大气环境敏感程度分级见下表。</w:t>
      </w:r>
    </w:p>
    <w:p w14:paraId="61FA6188">
      <w:pPr>
        <w:pStyle w:val="19"/>
        <w:spacing w:before="120" w:after="120"/>
        <w:rPr>
          <w:b/>
          <w:bCs/>
        </w:rPr>
      </w:pPr>
      <w:r>
        <w:rPr>
          <w:rFonts w:hint="eastAsia"/>
          <w:b/>
          <w:bCs/>
        </w:rPr>
        <w:t xml:space="preserve">表3.2-4  </w:t>
      </w:r>
      <w:r>
        <w:rPr>
          <w:b/>
          <w:bCs/>
        </w:rPr>
        <w:t>大气环境敏感程度分级</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6"/>
        <w:gridCol w:w="6461"/>
        <w:gridCol w:w="2113"/>
      </w:tblGrid>
      <w:tr w14:paraId="670FB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8" w:type="pct"/>
            <w:tcBorders>
              <w:tl2br w:val="nil"/>
              <w:tr2bl w:val="nil"/>
            </w:tcBorders>
            <w:vAlign w:val="center"/>
          </w:tcPr>
          <w:p w14:paraId="593A663E">
            <w:pPr>
              <w:pStyle w:val="19"/>
              <w:spacing w:before="120" w:after="120"/>
            </w:pPr>
            <w:r>
              <w:rPr>
                <w:rFonts w:hint="eastAsia"/>
              </w:rPr>
              <w:t>分级</w:t>
            </w:r>
          </w:p>
        </w:tc>
        <w:tc>
          <w:tcPr>
            <w:tcW w:w="3565" w:type="pct"/>
            <w:tcBorders>
              <w:tl2br w:val="nil"/>
              <w:tr2bl w:val="nil"/>
            </w:tcBorders>
            <w:vAlign w:val="center"/>
          </w:tcPr>
          <w:p w14:paraId="789E3A79">
            <w:pPr>
              <w:pStyle w:val="19"/>
              <w:spacing w:before="120" w:after="120"/>
            </w:pPr>
            <w:r>
              <w:rPr>
                <w:rFonts w:hint="eastAsia"/>
              </w:rPr>
              <w:t>大气环境敏感性</w:t>
            </w:r>
          </w:p>
        </w:tc>
        <w:tc>
          <w:tcPr>
            <w:tcW w:w="1166" w:type="pct"/>
            <w:tcBorders>
              <w:tl2br w:val="nil"/>
              <w:tr2bl w:val="nil"/>
            </w:tcBorders>
            <w:vAlign w:val="center"/>
          </w:tcPr>
          <w:p w14:paraId="1753A6C9">
            <w:pPr>
              <w:pStyle w:val="19"/>
              <w:spacing w:before="120" w:after="120"/>
            </w:pPr>
            <w:r>
              <w:rPr>
                <w:rFonts w:hint="eastAsia"/>
              </w:rPr>
              <w:t>本项目</w:t>
            </w:r>
          </w:p>
        </w:tc>
      </w:tr>
      <w:tr w14:paraId="76D53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trPr>
        <w:tc>
          <w:tcPr>
            <w:tcW w:w="268" w:type="pct"/>
            <w:tcBorders>
              <w:tl2br w:val="nil"/>
              <w:tr2bl w:val="nil"/>
            </w:tcBorders>
            <w:vAlign w:val="center"/>
          </w:tcPr>
          <w:p w14:paraId="28C12C09">
            <w:pPr>
              <w:pStyle w:val="19"/>
              <w:spacing w:before="120" w:after="120"/>
            </w:pPr>
            <w:r>
              <w:t>E1</w:t>
            </w:r>
          </w:p>
        </w:tc>
        <w:tc>
          <w:tcPr>
            <w:tcW w:w="3565" w:type="pct"/>
            <w:tcBorders>
              <w:tl2br w:val="nil"/>
              <w:tr2bl w:val="nil"/>
            </w:tcBorders>
            <w:vAlign w:val="center"/>
          </w:tcPr>
          <w:p w14:paraId="5B69935B">
            <w:pPr>
              <w:pStyle w:val="19"/>
              <w:spacing w:before="120" w:after="120"/>
            </w:pPr>
            <w:r>
              <w:t>周边5km</w:t>
            </w:r>
            <w:r>
              <w:rPr>
                <w:rFonts w:hint="eastAsia"/>
              </w:rPr>
              <w:t>范围内居住区、医疗卫生、文化教育、科研、行政办公等机构人口总数大于</w:t>
            </w:r>
            <w:r>
              <w:t>5</w:t>
            </w:r>
            <w:r>
              <w:rPr>
                <w:rFonts w:hint="eastAsia"/>
              </w:rPr>
              <w:t>万人，或其他需要特殊保护区域；或周边</w:t>
            </w:r>
            <w:r>
              <w:t>500m</w:t>
            </w:r>
            <w:r>
              <w:rPr>
                <w:rFonts w:hint="eastAsia"/>
              </w:rPr>
              <w:t>范围内人口总数大于</w:t>
            </w:r>
            <w:r>
              <w:t>1000</w:t>
            </w:r>
            <w:r>
              <w:rPr>
                <w:rFonts w:hint="eastAsia"/>
              </w:rPr>
              <w:t>人；油气、化学品输送管线管段周边</w:t>
            </w:r>
            <w:r>
              <w:t>200m</w:t>
            </w:r>
            <w:r>
              <w:rPr>
                <w:rFonts w:hint="eastAsia"/>
              </w:rPr>
              <w:t>范围内，每千米管段人口数大于</w:t>
            </w:r>
            <w:r>
              <w:t>200</w:t>
            </w:r>
            <w:r>
              <w:rPr>
                <w:rFonts w:hint="eastAsia"/>
              </w:rPr>
              <w:t>人</w:t>
            </w:r>
          </w:p>
        </w:tc>
        <w:tc>
          <w:tcPr>
            <w:tcW w:w="1166" w:type="pct"/>
            <w:vMerge w:val="restart"/>
            <w:tcBorders>
              <w:tl2br w:val="nil"/>
              <w:tr2bl w:val="nil"/>
            </w:tcBorders>
            <w:vAlign w:val="center"/>
          </w:tcPr>
          <w:p w14:paraId="7BC39F87">
            <w:pPr>
              <w:pStyle w:val="19"/>
              <w:spacing w:before="120" w:after="120"/>
            </w:pPr>
            <w:r>
              <w:rPr>
                <w:rFonts w:hint="eastAsia"/>
              </w:rPr>
              <w:t>本项目位于蒙西工业园区，周边均为工业企业，距离蒙西镇5.42km，属于“居住区、医疗卫生、文化教育、科研、行政办公等机构总数小于</w:t>
            </w:r>
            <w:r>
              <w:t>1</w:t>
            </w:r>
            <w:r>
              <w:rPr>
                <w:rFonts w:hint="eastAsia"/>
              </w:rPr>
              <w:t>万人”，周边</w:t>
            </w:r>
            <w:r>
              <w:t>500m</w:t>
            </w:r>
            <w:r>
              <w:rPr>
                <w:rFonts w:hint="eastAsia"/>
              </w:rPr>
              <w:t>范围内现状为空地，人口总数小于</w:t>
            </w:r>
            <w:r>
              <w:t>500</w:t>
            </w:r>
            <w:r>
              <w:rPr>
                <w:rFonts w:hint="eastAsia"/>
              </w:rPr>
              <w:t>人，不涉及油气、化学品输送管线管段。</w:t>
            </w:r>
          </w:p>
        </w:tc>
      </w:tr>
      <w:tr w14:paraId="521E6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8" w:type="pct"/>
            <w:tcBorders>
              <w:tl2br w:val="nil"/>
              <w:tr2bl w:val="nil"/>
            </w:tcBorders>
            <w:vAlign w:val="center"/>
          </w:tcPr>
          <w:p w14:paraId="31BBE778">
            <w:pPr>
              <w:pStyle w:val="19"/>
              <w:spacing w:before="120" w:after="120"/>
            </w:pPr>
            <w:r>
              <w:t>E2</w:t>
            </w:r>
          </w:p>
        </w:tc>
        <w:tc>
          <w:tcPr>
            <w:tcW w:w="3565" w:type="pct"/>
            <w:tcBorders>
              <w:tl2br w:val="nil"/>
              <w:tr2bl w:val="nil"/>
            </w:tcBorders>
            <w:vAlign w:val="center"/>
          </w:tcPr>
          <w:p w14:paraId="620481AE">
            <w:pPr>
              <w:pStyle w:val="19"/>
              <w:spacing w:before="120" w:after="120"/>
            </w:pPr>
            <w:r>
              <w:t>周边5km</w:t>
            </w:r>
            <w:r>
              <w:rPr>
                <w:rFonts w:hint="eastAsia"/>
              </w:rPr>
              <w:t>范围内居住区、医疗卫生、文化教育、科研、行政办公等机构人口总数大于</w:t>
            </w:r>
            <w:r>
              <w:t>1</w:t>
            </w:r>
            <w:r>
              <w:rPr>
                <w:rFonts w:hint="eastAsia"/>
              </w:rPr>
              <w:t>万人，小于</w:t>
            </w:r>
            <w:r>
              <w:t>5</w:t>
            </w:r>
            <w:r>
              <w:rPr>
                <w:rFonts w:hint="eastAsia"/>
              </w:rPr>
              <w:t>万人；或周边</w:t>
            </w:r>
            <w:r>
              <w:t>500m</w:t>
            </w:r>
            <w:r>
              <w:rPr>
                <w:rFonts w:hint="eastAsia"/>
              </w:rPr>
              <w:t>范围内人口总数大于</w:t>
            </w:r>
            <w:r>
              <w:t>500</w:t>
            </w:r>
            <w:r>
              <w:rPr>
                <w:rFonts w:hint="eastAsia"/>
              </w:rPr>
              <w:t>人，小于</w:t>
            </w:r>
            <w:r>
              <w:t>1000</w:t>
            </w:r>
            <w:r>
              <w:rPr>
                <w:rFonts w:hint="eastAsia"/>
              </w:rPr>
              <w:t>人；油气、化学品输送管线管段周边</w:t>
            </w:r>
            <w:r>
              <w:t>200m</w:t>
            </w:r>
            <w:r>
              <w:rPr>
                <w:rFonts w:hint="eastAsia"/>
              </w:rPr>
              <w:t>范围内，每千米管段人口数大于</w:t>
            </w:r>
            <w:r>
              <w:t>100</w:t>
            </w:r>
            <w:r>
              <w:rPr>
                <w:rFonts w:hint="eastAsia"/>
              </w:rPr>
              <w:t>人，小于</w:t>
            </w:r>
            <w:r>
              <w:t>200</w:t>
            </w:r>
            <w:r>
              <w:rPr>
                <w:rFonts w:hint="eastAsia"/>
              </w:rPr>
              <w:t>人</w:t>
            </w:r>
          </w:p>
        </w:tc>
        <w:tc>
          <w:tcPr>
            <w:tcW w:w="1166" w:type="pct"/>
            <w:vMerge w:val="continue"/>
            <w:tcBorders>
              <w:tl2br w:val="nil"/>
              <w:tr2bl w:val="nil"/>
            </w:tcBorders>
            <w:vAlign w:val="center"/>
          </w:tcPr>
          <w:p w14:paraId="4CB9FCAD">
            <w:pPr>
              <w:pStyle w:val="19"/>
              <w:spacing w:before="120" w:after="120"/>
            </w:pPr>
          </w:p>
        </w:tc>
      </w:tr>
      <w:tr w14:paraId="7A91E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8" w:type="pct"/>
            <w:tcBorders>
              <w:tl2br w:val="nil"/>
              <w:tr2bl w:val="nil"/>
            </w:tcBorders>
            <w:vAlign w:val="center"/>
          </w:tcPr>
          <w:p w14:paraId="1DCAEAEC">
            <w:pPr>
              <w:pStyle w:val="19"/>
              <w:spacing w:before="120" w:after="120"/>
            </w:pPr>
            <w:r>
              <w:t>E3</w:t>
            </w:r>
          </w:p>
        </w:tc>
        <w:tc>
          <w:tcPr>
            <w:tcW w:w="3565" w:type="pct"/>
            <w:tcBorders>
              <w:tl2br w:val="nil"/>
              <w:tr2bl w:val="nil"/>
            </w:tcBorders>
            <w:vAlign w:val="center"/>
          </w:tcPr>
          <w:p w14:paraId="7DAD12E7">
            <w:pPr>
              <w:pStyle w:val="19"/>
              <w:spacing w:before="120" w:after="120"/>
            </w:pPr>
            <w:r>
              <w:t>周边5km</w:t>
            </w:r>
            <w:r>
              <w:rPr>
                <w:rFonts w:hint="eastAsia"/>
              </w:rPr>
              <w:t>范围内居住区、医疗卫生、文化教育、科研、行政办公等机构人口总数小于</w:t>
            </w:r>
            <w:r>
              <w:t>1</w:t>
            </w:r>
            <w:r>
              <w:rPr>
                <w:rFonts w:hint="eastAsia"/>
              </w:rPr>
              <w:t>万人；或周边</w:t>
            </w:r>
            <w:r>
              <w:t>500m</w:t>
            </w:r>
            <w:r>
              <w:rPr>
                <w:rFonts w:hint="eastAsia"/>
              </w:rPr>
              <w:t>范围内人口总数小于</w:t>
            </w:r>
            <w:r>
              <w:t>500</w:t>
            </w:r>
            <w:r>
              <w:rPr>
                <w:rFonts w:hint="eastAsia"/>
              </w:rPr>
              <w:t>人；油气、化学品输送管线管段周边</w:t>
            </w:r>
            <w:r>
              <w:t>200m</w:t>
            </w:r>
            <w:r>
              <w:rPr>
                <w:rFonts w:hint="eastAsia"/>
              </w:rPr>
              <w:t>范围内，每千米管段人口数小于</w:t>
            </w:r>
            <w:r>
              <w:t>100</w:t>
            </w:r>
            <w:r>
              <w:rPr>
                <w:rFonts w:hint="eastAsia"/>
              </w:rPr>
              <w:t>人</w:t>
            </w:r>
          </w:p>
        </w:tc>
        <w:tc>
          <w:tcPr>
            <w:tcW w:w="1166" w:type="pct"/>
            <w:vMerge w:val="continue"/>
            <w:tcBorders>
              <w:tl2br w:val="nil"/>
              <w:tr2bl w:val="nil"/>
            </w:tcBorders>
            <w:vAlign w:val="center"/>
          </w:tcPr>
          <w:p w14:paraId="3C9CD8E0">
            <w:pPr>
              <w:pStyle w:val="19"/>
              <w:spacing w:before="120" w:after="120"/>
            </w:pPr>
          </w:p>
        </w:tc>
      </w:tr>
    </w:tbl>
    <w:p w14:paraId="59FC076A">
      <w:pPr>
        <w:ind w:firstLine="504"/>
      </w:pPr>
      <w:r>
        <w:rPr>
          <w:rFonts w:hint="eastAsia"/>
          <w:spacing w:val="6"/>
        </w:rPr>
        <w:t>依据环境敏感目标环境敏感性及人口密度划分环境风险受体的敏感性</w:t>
      </w:r>
      <w:r>
        <w:t>判断</w:t>
      </w:r>
      <w:r>
        <w:rPr>
          <w:rFonts w:hint="eastAsia"/>
        </w:rPr>
        <w:t>，</w:t>
      </w:r>
      <w:r>
        <w:rPr>
          <w:rFonts w:hint="eastAsia"/>
          <w:spacing w:val="6"/>
        </w:rPr>
        <w:t>本项目大气环境敏感程度为E3，即环境低度敏感区</w:t>
      </w:r>
      <w:r>
        <w:t>。</w:t>
      </w:r>
    </w:p>
    <w:p w14:paraId="1466FEDF">
      <w:pPr>
        <w:ind w:firstLine="480"/>
      </w:pPr>
      <w:r>
        <w:rPr>
          <w:rFonts w:hint="eastAsia"/>
        </w:rPr>
        <w:t>②地表水环境</w:t>
      </w:r>
    </w:p>
    <w:p w14:paraId="2931A7A7">
      <w:pPr>
        <w:ind w:firstLine="480"/>
      </w:pPr>
      <w:r>
        <w:rPr>
          <w:rFonts w:hint="eastAsia"/>
        </w:rPr>
        <w:t>依据事故情况下危险物质泄漏到水体的排放点受纳地表水体功能敏感性，与下游环境敏感目标情况，共分为三级类型，</w:t>
      </w:r>
      <w:r>
        <w:t>E1</w:t>
      </w:r>
      <w:r>
        <w:rPr>
          <w:rFonts w:hint="eastAsia"/>
        </w:rPr>
        <w:t>为环境高敏感区，</w:t>
      </w:r>
      <w:r>
        <w:t>E2</w:t>
      </w:r>
      <w:r>
        <w:rPr>
          <w:rFonts w:hint="eastAsia"/>
        </w:rPr>
        <w:t>为环境中度敏感区，</w:t>
      </w:r>
      <w:r>
        <w:t>E3</w:t>
      </w:r>
      <w:r>
        <w:rPr>
          <w:rFonts w:hint="eastAsia"/>
        </w:rPr>
        <w:t>为环境低敏感区，</w:t>
      </w:r>
      <w:r>
        <w:t>地表水环境敏感程度分级、地表水功能敏感性分区和环境敏感目标分级分别见</w:t>
      </w:r>
      <w:r>
        <w:rPr>
          <w:rFonts w:hint="eastAsia"/>
        </w:rPr>
        <w:t>下</w:t>
      </w:r>
      <w:r>
        <w:t>表</w:t>
      </w:r>
      <w:r>
        <w:rPr>
          <w:rFonts w:hint="eastAsia"/>
        </w:rPr>
        <w:t>。</w:t>
      </w:r>
    </w:p>
    <w:p w14:paraId="7FBB253C">
      <w:pPr>
        <w:pStyle w:val="19"/>
        <w:spacing w:before="120" w:after="120"/>
        <w:rPr>
          <w:b/>
          <w:bCs/>
        </w:rPr>
      </w:pPr>
      <w:r>
        <w:rPr>
          <w:rFonts w:hint="eastAsia"/>
          <w:b/>
          <w:bCs/>
        </w:rPr>
        <w:t xml:space="preserve">表3.2-5  </w:t>
      </w:r>
      <w:r>
        <w:rPr>
          <w:b/>
          <w:bCs/>
        </w:rPr>
        <w:t>地表水环境敏感程度分级</w:t>
      </w:r>
    </w:p>
    <w:tbl>
      <w:tblPr>
        <w:tblStyle w:val="1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3"/>
        <w:gridCol w:w="2109"/>
        <w:gridCol w:w="2410"/>
        <w:gridCol w:w="2466"/>
      </w:tblGrid>
      <w:tr w14:paraId="3BF44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1144" w:type="pct"/>
            <w:vMerge w:val="restart"/>
            <w:vAlign w:val="center"/>
          </w:tcPr>
          <w:p w14:paraId="351B6304">
            <w:pPr>
              <w:pStyle w:val="19"/>
              <w:spacing w:before="120" w:after="120"/>
            </w:pPr>
            <w:r>
              <w:t>环境敏感目标</w:t>
            </w:r>
          </w:p>
        </w:tc>
        <w:tc>
          <w:tcPr>
            <w:tcW w:w="3855" w:type="pct"/>
            <w:gridSpan w:val="3"/>
            <w:vAlign w:val="center"/>
          </w:tcPr>
          <w:p w14:paraId="5F3F127F">
            <w:pPr>
              <w:pStyle w:val="19"/>
              <w:spacing w:before="120" w:after="120"/>
            </w:pPr>
            <w:r>
              <w:t>地表水功能敏感性</w:t>
            </w:r>
          </w:p>
        </w:tc>
      </w:tr>
      <w:tr w14:paraId="59334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1144" w:type="pct"/>
            <w:vMerge w:val="continue"/>
            <w:shd w:val="clear" w:color="auto" w:fill="auto"/>
            <w:vAlign w:val="center"/>
          </w:tcPr>
          <w:p w14:paraId="00C1AE5F">
            <w:pPr>
              <w:pStyle w:val="19"/>
              <w:spacing w:before="120" w:after="120"/>
            </w:pPr>
          </w:p>
        </w:tc>
        <w:tc>
          <w:tcPr>
            <w:tcW w:w="1164" w:type="pct"/>
            <w:shd w:val="clear" w:color="auto" w:fill="auto"/>
            <w:vAlign w:val="center"/>
          </w:tcPr>
          <w:p w14:paraId="76483577">
            <w:pPr>
              <w:pStyle w:val="19"/>
              <w:spacing w:before="120" w:after="120"/>
            </w:pPr>
            <w:r>
              <w:t>F1</w:t>
            </w:r>
          </w:p>
        </w:tc>
        <w:tc>
          <w:tcPr>
            <w:tcW w:w="1330" w:type="pct"/>
            <w:shd w:val="clear" w:color="auto" w:fill="auto"/>
            <w:vAlign w:val="center"/>
          </w:tcPr>
          <w:p w14:paraId="783D0F05">
            <w:pPr>
              <w:pStyle w:val="19"/>
              <w:spacing w:before="120" w:after="120"/>
            </w:pPr>
            <w:r>
              <w:t>F2</w:t>
            </w:r>
          </w:p>
        </w:tc>
        <w:tc>
          <w:tcPr>
            <w:tcW w:w="1361" w:type="pct"/>
            <w:shd w:val="clear" w:color="auto" w:fill="EEECE1"/>
            <w:vAlign w:val="center"/>
          </w:tcPr>
          <w:p w14:paraId="7929E9EE">
            <w:pPr>
              <w:pStyle w:val="19"/>
              <w:spacing w:before="120" w:after="120"/>
            </w:pPr>
            <w:r>
              <w:t>F3</w:t>
            </w:r>
          </w:p>
        </w:tc>
      </w:tr>
      <w:tr w14:paraId="5C2B9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144" w:type="pct"/>
            <w:vAlign w:val="center"/>
          </w:tcPr>
          <w:p w14:paraId="03D28E90">
            <w:pPr>
              <w:pStyle w:val="19"/>
              <w:spacing w:before="120" w:after="120"/>
            </w:pPr>
            <w:r>
              <w:t>S1</w:t>
            </w:r>
          </w:p>
        </w:tc>
        <w:tc>
          <w:tcPr>
            <w:tcW w:w="1164" w:type="pct"/>
            <w:vAlign w:val="center"/>
          </w:tcPr>
          <w:p w14:paraId="1B4F73B3">
            <w:pPr>
              <w:pStyle w:val="19"/>
              <w:spacing w:before="120" w:after="120"/>
            </w:pPr>
            <w:r>
              <w:t>E1</w:t>
            </w:r>
          </w:p>
        </w:tc>
        <w:tc>
          <w:tcPr>
            <w:tcW w:w="1330" w:type="pct"/>
            <w:vAlign w:val="center"/>
          </w:tcPr>
          <w:p w14:paraId="3486C0F3">
            <w:pPr>
              <w:pStyle w:val="19"/>
              <w:spacing w:before="120" w:after="120"/>
            </w:pPr>
            <w:r>
              <w:t>E1</w:t>
            </w:r>
          </w:p>
        </w:tc>
        <w:tc>
          <w:tcPr>
            <w:tcW w:w="1361" w:type="pct"/>
            <w:vAlign w:val="center"/>
          </w:tcPr>
          <w:p w14:paraId="5B3F4A67">
            <w:pPr>
              <w:pStyle w:val="19"/>
              <w:spacing w:before="120" w:after="120"/>
            </w:pPr>
            <w:r>
              <w:t>E2</w:t>
            </w:r>
          </w:p>
        </w:tc>
      </w:tr>
      <w:tr w14:paraId="7FB3C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144" w:type="pct"/>
            <w:vAlign w:val="center"/>
          </w:tcPr>
          <w:p w14:paraId="6432419D">
            <w:pPr>
              <w:pStyle w:val="19"/>
              <w:spacing w:before="120" w:after="120"/>
            </w:pPr>
            <w:r>
              <w:t>S2</w:t>
            </w:r>
          </w:p>
        </w:tc>
        <w:tc>
          <w:tcPr>
            <w:tcW w:w="1164" w:type="pct"/>
            <w:vAlign w:val="center"/>
          </w:tcPr>
          <w:p w14:paraId="4A743738">
            <w:pPr>
              <w:pStyle w:val="19"/>
              <w:spacing w:before="120" w:after="120"/>
            </w:pPr>
            <w:r>
              <w:t>E1</w:t>
            </w:r>
          </w:p>
        </w:tc>
        <w:tc>
          <w:tcPr>
            <w:tcW w:w="1330" w:type="pct"/>
            <w:vAlign w:val="center"/>
          </w:tcPr>
          <w:p w14:paraId="738B9E1E">
            <w:pPr>
              <w:pStyle w:val="19"/>
              <w:spacing w:before="120" w:after="120"/>
            </w:pPr>
            <w:r>
              <w:t>E2</w:t>
            </w:r>
          </w:p>
        </w:tc>
        <w:tc>
          <w:tcPr>
            <w:tcW w:w="1361" w:type="pct"/>
            <w:vAlign w:val="center"/>
          </w:tcPr>
          <w:p w14:paraId="3E1B85BD">
            <w:pPr>
              <w:pStyle w:val="19"/>
              <w:spacing w:before="120" w:after="120"/>
            </w:pPr>
            <w:r>
              <w:t>E3</w:t>
            </w:r>
          </w:p>
        </w:tc>
      </w:tr>
      <w:tr w14:paraId="2A30E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144" w:type="pct"/>
            <w:shd w:val="clear" w:color="auto" w:fill="EEECE1"/>
            <w:vAlign w:val="center"/>
          </w:tcPr>
          <w:p w14:paraId="3BD18124">
            <w:pPr>
              <w:pStyle w:val="19"/>
              <w:spacing w:before="120" w:after="120"/>
            </w:pPr>
            <w:r>
              <w:t>S3</w:t>
            </w:r>
          </w:p>
        </w:tc>
        <w:tc>
          <w:tcPr>
            <w:tcW w:w="1164" w:type="pct"/>
            <w:shd w:val="clear" w:color="auto" w:fill="auto"/>
            <w:vAlign w:val="center"/>
          </w:tcPr>
          <w:p w14:paraId="7DF97911">
            <w:pPr>
              <w:pStyle w:val="19"/>
              <w:spacing w:before="120" w:after="120"/>
            </w:pPr>
            <w:r>
              <w:t>E1</w:t>
            </w:r>
          </w:p>
        </w:tc>
        <w:tc>
          <w:tcPr>
            <w:tcW w:w="1330" w:type="pct"/>
            <w:shd w:val="clear" w:color="auto" w:fill="auto"/>
            <w:vAlign w:val="center"/>
          </w:tcPr>
          <w:p w14:paraId="38558433">
            <w:pPr>
              <w:pStyle w:val="19"/>
              <w:spacing w:before="120" w:after="120"/>
            </w:pPr>
            <w:r>
              <w:t>E2</w:t>
            </w:r>
          </w:p>
        </w:tc>
        <w:tc>
          <w:tcPr>
            <w:tcW w:w="1361" w:type="pct"/>
            <w:shd w:val="clear" w:color="auto" w:fill="EEECE1"/>
            <w:vAlign w:val="center"/>
          </w:tcPr>
          <w:p w14:paraId="0F27B7D0">
            <w:pPr>
              <w:pStyle w:val="19"/>
              <w:spacing w:before="120" w:after="120"/>
            </w:pPr>
            <w:r>
              <w:t>E3</w:t>
            </w:r>
          </w:p>
        </w:tc>
      </w:tr>
    </w:tbl>
    <w:p w14:paraId="4EB183E5">
      <w:pPr>
        <w:pStyle w:val="19"/>
        <w:spacing w:before="120" w:after="120"/>
        <w:rPr>
          <w:b/>
          <w:bCs/>
        </w:rPr>
      </w:pPr>
    </w:p>
    <w:p w14:paraId="0ACFBF26">
      <w:pPr>
        <w:pStyle w:val="19"/>
        <w:spacing w:before="120" w:after="120"/>
        <w:rPr>
          <w:b/>
          <w:bCs/>
        </w:rPr>
      </w:pPr>
    </w:p>
    <w:p w14:paraId="16D20A72">
      <w:pPr>
        <w:pStyle w:val="19"/>
        <w:spacing w:before="120" w:after="120"/>
        <w:rPr>
          <w:b/>
          <w:bCs/>
        </w:rPr>
      </w:pPr>
      <w:r>
        <w:rPr>
          <w:rFonts w:hint="eastAsia"/>
          <w:b/>
          <w:bCs/>
        </w:rPr>
        <w:t xml:space="preserve">表3.2-6  </w:t>
      </w:r>
      <w:r>
        <w:rPr>
          <w:b/>
          <w:bCs/>
        </w:rPr>
        <w:t>地表水功能敏感性分区</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8"/>
        <w:gridCol w:w="7150"/>
        <w:gridCol w:w="932"/>
      </w:tblGrid>
      <w:tr w14:paraId="47F64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40" w:type="pct"/>
            <w:tcBorders>
              <w:top w:val="single" w:color="auto" w:sz="4" w:space="0"/>
              <w:left w:val="single" w:color="auto" w:sz="4" w:space="0"/>
              <w:bottom w:val="single" w:color="auto" w:sz="4" w:space="0"/>
              <w:right w:val="single" w:color="auto" w:sz="4" w:space="0"/>
            </w:tcBorders>
            <w:vAlign w:val="center"/>
          </w:tcPr>
          <w:p w14:paraId="52898C7D">
            <w:pPr>
              <w:pStyle w:val="19"/>
              <w:spacing w:before="120" w:after="120"/>
            </w:pPr>
            <w:r>
              <w:t>敏感性</w:t>
            </w:r>
          </w:p>
        </w:tc>
        <w:tc>
          <w:tcPr>
            <w:tcW w:w="3944" w:type="pct"/>
            <w:tcBorders>
              <w:top w:val="single" w:color="auto" w:sz="4" w:space="0"/>
              <w:left w:val="single" w:color="auto" w:sz="4" w:space="0"/>
              <w:bottom w:val="single" w:color="auto" w:sz="4" w:space="0"/>
              <w:right w:val="single" w:color="auto" w:sz="4" w:space="0"/>
            </w:tcBorders>
            <w:vAlign w:val="center"/>
          </w:tcPr>
          <w:p w14:paraId="354D5959">
            <w:pPr>
              <w:pStyle w:val="19"/>
              <w:spacing w:before="120" w:after="120"/>
            </w:pPr>
            <w:r>
              <w:t>地表水环境敏感特征</w:t>
            </w:r>
          </w:p>
        </w:tc>
        <w:tc>
          <w:tcPr>
            <w:tcW w:w="514" w:type="pct"/>
            <w:tcBorders>
              <w:top w:val="single" w:color="auto" w:sz="4" w:space="0"/>
              <w:left w:val="single" w:color="auto" w:sz="4" w:space="0"/>
              <w:bottom w:val="single" w:color="auto" w:sz="4" w:space="0"/>
              <w:right w:val="single" w:color="auto" w:sz="4" w:space="0"/>
            </w:tcBorders>
            <w:vAlign w:val="center"/>
          </w:tcPr>
          <w:p w14:paraId="4A8FD0D0">
            <w:pPr>
              <w:pStyle w:val="19"/>
              <w:spacing w:before="120" w:after="120"/>
            </w:pPr>
            <w:r>
              <w:rPr>
                <w:rFonts w:hint="eastAsia"/>
              </w:rPr>
              <w:t>本项目</w:t>
            </w:r>
          </w:p>
        </w:tc>
      </w:tr>
      <w:tr w14:paraId="5AD84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0" w:type="pct"/>
            <w:tcBorders>
              <w:top w:val="single" w:color="auto" w:sz="4" w:space="0"/>
              <w:left w:val="single" w:color="auto" w:sz="4" w:space="0"/>
              <w:bottom w:val="single" w:color="auto" w:sz="4" w:space="0"/>
              <w:right w:val="single" w:color="auto" w:sz="4" w:space="0"/>
            </w:tcBorders>
            <w:vAlign w:val="center"/>
          </w:tcPr>
          <w:p w14:paraId="14990944">
            <w:pPr>
              <w:pStyle w:val="19"/>
              <w:spacing w:before="120" w:after="120"/>
            </w:pPr>
            <w:r>
              <w:t>敏感F1</w:t>
            </w:r>
          </w:p>
        </w:tc>
        <w:tc>
          <w:tcPr>
            <w:tcW w:w="3944" w:type="pct"/>
            <w:tcBorders>
              <w:top w:val="single" w:color="auto" w:sz="4" w:space="0"/>
              <w:left w:val="single" w:color="auto" w:sz="4" w:space="0"/>
              <w:bottom w:val="single" w:color="auto" w:sz="4" w:space="0"/>
              <w:right w:val="single" w:color="auto" w:sz="4" w:space="0"/>
            </w:tcBorders>
            <w:vAlign w:val="center"/>
          </w:tcPr>
          <w:p w14:paraId="6B1AAF14">
            <w:pPr>
              <w:pStyle w:val="19"/>
              <w:spacing w:before="120" w:after="120"/>
            </w:pPr>
            <w:r>
              <w:t>排放点进入地表水水域环境功能为</w:t>
            </w:r>
            <w:r>
              <w:rPr>
                <w:rFonts w:hint="eastAsia"/>
              </w:rPr>
              <w:t>Ⅱ类及以上，或海水水质分类第一类；或以发生事故时，危险物质泄漏到水体的排放点算起，排放进入受纳河流最大流速时，</w:t>
            </w:r>
            <w:r>
              <w:t>24h</w:t>
            </w:r>
            <w:r>
              <w:rPr>
                <w:rFonts w:hint="eastAsia"/>
              </w:rPr>
              <w:t>流经范围内涉跨国界的。</w:t>
            </w:r>
          </w:p>
        </w:tc>
        <w:tc>
          <w:tcPr>
            <w:tcW w:w="514" w:type="pct"/>
            <w:tcBorders>
              <w:top w:val="single" w:color="auto" w:sz="4" w:space="0"/>
              <w:left w:val="single" w:color="auto" w:sz="4" w:space="0"/>
              <w:bottom w:val="single" w:color="auto" w:sz="4" w:space="0"/>
              <w:right w:val="single" w:color="auto" w:sz="4" w:space="0"/>
            </w:tcBorders>
            <w:vAlign w:val="center"/>
          </w:tcPr>
          <w:p w14:paraId="48A3A99A">
            <w:pPr>
              <w:pStyle w:val="19"/>
              <w:spacing w:before="120" w:after="120"/>
            </w:pPr>
            <w:r>
              <w:rPr>
                <w:rFonts w:hint="eastAsia"/>
              </w:rPr>
              <w:t>不涉及</w:t>
            </w:r>
          </w:p>
        </w:tc>
      </w:tr>
      <w:tr w14:paraId="51540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0" w:type="pct"/>
            <w:tcBorders>
              <w:top w:val="single" w:color="auto" w:sz="4" w:space="0"/>
              <w:left w:val="single" w:color="auto" w:sz="4" w:space="0"/>
              <w:bottom w:val="single" w:color="auto" w:sz="4" w:space="0"/>
              <w:right w:val="single" w:color="auto" w:sz="4" w:space="0"/>
            </w:tcBorders>
            <w:vAlign w:val="center"/>
          </w:tcPr>
          <w:p w14:paraId="0563A512">
            <w:pPr>
              <w:pStyle w:val="19"/>
              <w:spacing w:before="120" w:after="120"/>
            </w:pPr>
            <w:r>
              <w:t>敏感F2</w:t>
            </w:r>
          </w:p>
        </w:tc>
        <w:tc>
          <w:tcPr>
            <w:tcW w:w="3944" w:type="pct"/>
            <w:tcBorders>
              <w:top w:val="single" w:color="auto" w:sz="4" w:space="0"/>
              <w:left w:val="single" w:color="auto" w:sz="4" w:space="0"/>
              <w:bottom w:val="single" w:color="auto" w:sz="4" w:space="0"/>
              <w:right w:val="single" w:color="auto" w:sz="4" w:space="0"/>
            </w:tcBorders>
            <w:vAlign w:val="center"/>
          </w:tcPr>
          <w:p w14:paraId="367C5F79">
            <w:pPr>
              <w:pStyle w:val="19"/>
              <w:spacing w:before="120" w:after="120"/>
            </w:pPr>
            <w:r>
              <w:t>排放点进入地表水水域环境功能为</w:t>
            </w:r>
            <w:r>
              <w:rPr>
                <w:rFonts w:hint="eastAsia"/>
              </w:rPr>
              <w:t>Ⅲ类，或海水水质分类第二类；或以发生事故时，危险物质泄漏到水体的排放点算起，排放进入受纳河流最大流速时，</w:t>
            </w:r>
            <w:r>
              <w:t>24h</w:t>
            </w:r>
            <w:r>
              <w:rPr>
                <w:rFonts w:hint="eastAsia"/>
              </w:rPr>
              <w:t>流经范围内涉跨省界的。</w:t>
            </w:r>
          </w:p>
        </w:tc>
        <w:tc>
          <w:tcPr>
            <w:tcW w:w="514" w:type="pct"/>
            <w:tcBorders>
              <w:top w:val="single" w:color="auto" w:sz="4" w:space="0"/>
              <w:left w:val="single" w:color="auto" w:sz="4" w:space="0"/>
              <w:bottom w:val="single" w:color="auto" w:sz="4" w:space="0"/>
              <w:right w:val="single" w:color="auto" w:sz="4" w:space="0"/>
            </w:tcBorders>
            <w:vAlign w:val="center"/>
          </w:tcPr>
          <w:p w14:paraId="65649566">
            <w:pPr>
              <w:pStyle w:val="19"/>
              <w:spacing w:before="120" w:after="120"/>
            </w:pPr>
            <w:r>
              <w:rPr>
                <w:rFonts w:hint="eastAsia"/>
              </w:rPr>
              <w:t>不涉及</w:t>
            </w:r>
          </w:p>
        </w:tc>
      </w:tr>
      <w:tr w14:paraId="282DC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0" w:type="pct"/>
            <w:tcBorders>
              <w:top w:val="single" w:color="auto" w:sz="4" w:space="0"/>
              <w:left w:val="single" w:color="auto" w:sz="4" w:space="0"/>
              <w:bottom w:val="single" w:color="auto" w:sz="4" w:space="0"/>
              <w:right w:val="single" w:color="auto" w:sz="4" w:space="0"/>
            </w:tcBorders>
            <w:shd w:val="clear" w:color="auto" w:fill="E0E0E0"/>
            <w:vAlign w:val="center"/>
          </w:tcPr>
          <w:p w14:paraId="329A7B7E">
            <w:pPr>
              <w:pStyle w:val="19"/>
              <w:spacing w:before="120" w:after="120"/>
            </w:pPr>
            <w:r>
              <w:t>敏感F3</w:t>
            </w:r>
          </w:p>
        </w:tc>
        <w:tc>
          <w:tcPr>
            <w:tcW w:w="3944" w:type="pct"/>
            <w:tcBorders>
              <w:top w:val="single" w:color="auto" w:sz="4" w:space="0"/>
              <w:left w:val="single" w:color="auto" w:sz="4" w:space="0"/>
              <w:bottom w:val="single" w:color="auto" w:sz="4" w:space="0"/>
              <w:right w:val="single" w:color="auto" w:sz="4" w:space="0"/>
            </w:tcBorders>
            <w:shd w:val="clear" w:color="auto" w:fill="E0E0E0"/>
            <w:vAlign w:val="center"/>
          </w:tcPr>
          <w:p w14:paraId="2A4B1C94">
            <w:pPr>
              <w:pStyle w:val="19"/>
              <w:spacing w:before="120" w:after="120"/>
            </w:pPr>
            <w:r>
              <w:t>上述地区之外的其他地区</w:t>
            </w:r>
          </w:p>
        </w:tc>
        <w:tc>
          <w:tcPr>
            <w:tcW w:w="514" w:type="pct"/>
            <w:tcBorders>
              <w:top w:val="single" w:color="auto" w:sz="4" w:space="0"/>
              <w:left w:val="single" w:color="auto" w:sz="4" w:space="0"/>
              <w:bottom w:val="single" w:color="auto" w:sz="4" w:space="0"/>
              <w:right w:val="single" w:color="auto" w:sz="4" w:space="0"/>
            </w:tcBorders>
            <w:shd w:val="clear" w:color="auto" w:fill="E0E0E0"/>
            <w:vAlign w:val="center"/>
          </w:tcPr>
          <w:p w14:paraId="0E3B228F">
            <w:pPr>
              <w:pStyle w:val="19"/>
              <w:spacing w:before="120" w:after="120"/>
            </w:pPr>
            <w:r>
              <w:rPr>
                <w:rFonts w:hint="eastAsia"/>
              </w:rPr>
              <w:t>属于</w:t>
            </w:r>
          </w:p>
        </w:tc>
      </w:tr>
    </w:tbl>
    <w:p w14:paraId="43F4CC92">
      <w:pPr>
        <w:pStyle w:val="19"/>
        <w:spacing w:before="120" w:after="120"/>
        <w:rPr>
          <w:b/>
          <w:bCs/>
        </w:rPr>
      </w:pPr>
      <w:r>
        <w:rPr>
          <w:rFonts w:hint="eastAsia"/>
          <w:b/>
          <w:bCs/>
        </w:rPr>
        <w:t xml:space="preserve">表3.2-7  </w:t>
      </w:r>
      <w:r>
        <w:rPr>
          <w:b/>
          <w:bCs/>
        </w:rPr>
        <w:t>环境敏感目标分级</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4"/>
        <w:gridCol w:w="8326"/>
      </w:tblGrid>
      <w:tr w14:paraId="73809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5" w:type="pct"/>
            <w:vAlign w:val="center"/>
          </w:tcPr>
          <w:p w14:paraId="01718D4B">
            <w:pPr>
              <w:pStyle w:val="19"/>
              <w:spacing w:before="120" w:after="120"/>
            </w:pPr>
            <w:r>
              <w:t>分级</w:t>
            </w:r>
          </w:p>
        </w:tc>
        <w:tc>
          <w:tcPr>
            <w:tcW w:w="4594" w:type="pct"/>
            <w:vAlign w:val="center"/>
          </w:tcPr>
          <w:p w14:paraId="6842AACF">
            <w:pPr>
              <w:pStyle w:val="19"/>
              <w:spacing w:before="120" w:after="120"/>
            </w:pPr>
            <w:r>
              <w:t>环境敏感目标</w:t>
            </w:r>
          </w:p>
        </w:tc>
      </w:tr>
      <w:tr w14:paraId="59C0F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05" w:type="pct"/>
            <w:vAlign w:val="center"/>
          </w:tcPr>
          <w:p w14:paraId="74563E64">
            <w:pPr>
              <w:pStyle w:val="19"/>
              <w:spacing w:before="120" w:after="120"/>
            </w:pPr>
            <w:r>
              <w:t>S1</w:t>
            </w:r>
          </w:p>
        </w:tc>
        <w:tc>
          <w:tcPr>
            <w:tcW w:w="4594" w:type="pct"/>
            <w:vAlign w:val="center"/>
          </w:tcPr>
          <w:p w14:paraId="1FE016F2">
            <w:pPr>
              <w:pStyle w:val="19"/>
              <w:spacing w:before="120" w:after="120"/>
            </w:pPr>
            <w:r>
              <w:t>发生事故时</w:t>
            </w:r>
            <w:r>
              <w:rPr>
                <w:rFonts w:hint="eastAsia"/>
              </w:rPr>
              <w:t>，</w:t>
            </w:r>
            <w:r>
              <w:t>危险物质泄漏到内陆水体的排放点下游（顺水流向</w:t>
            </w:r>
            <w:r>
              <w:rPr>
                <w:rFonts w:hint="eastAsia"/>
              </w:rPr>
              <w:t>）</w:t>
            </w:r>
            <w:r>
              <w:t>10km范围内、近岸海域一个潮周期水质点可能达到的最大水平距离的两倍范围内</w:t>
            </w:r>
            <w:r>
              <w:rPr>
                <w:rFonts w:hint="eastAsia"/>
              </w:rPr>
              <w:t>，</w:t>
            </w:r>
            <w:r>
              <w:t>有如下一类或多类环境风险受体：集中式地表水饮用水水源保护区（包括一级保护区、二级保护区及准保护区</w:t>
            </w:r>
            <w:r>
              <w:rPr>
                <w:rFonts w:hint="eastAsia"/>
              </w:rPr>
              <w:t>）</w:t>
            </w:r>
            <w:r>
              <w:t>；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別保护区；海上自然保护区；盐场保护区；海水浴场；海洋自然历史遗迹；风景名胜区；或其他特殊重要保护区域</w:t>
            </w:r>
          </w:p>
        </w:tc>
      </w:tr>
      <w:tr w14:paraId="138D2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05" w:type="pct"/>
            <w:vAlign w:val="center"/>
          </w:tcPr>
          <w:p w14:paraId="7317FFDD">
            <w:pPr>
              <w:pStyle w:val="19"/>
              <w:spacing w:before="120" w:after="120"/>
            </w:pPr>
            <w:r>
              <w:t>S2</w:t>
            </w:r>
          </w:p>
        </w:tc>
        <w:tc>
          <w:tcPr>
            <w:tcW w:w="4594" w:type="pct"/>
            <w:vAlign w:val="center"/>
          </w:tcPr>
          <w:p w14:paraId="71D0691A">
            <w:pPr>
              <w:pStyle w:val="19"/>
              <w:spacing w:before="120" w:after="120"/>
            </w:pPr>
            <w:r>
              <w:t>发生事故时</w:t>
            </w:r>
            <w:r>
              <w:rPr>
                <w:rFonts w:hint="eastAsia"/>
              </w:rPr>
              <w:t>，</w:t>
            </w:r>
            <w:r>
              <w:t>危险物质泄漏到内陆水体的排放点下游（顺水流向</w:t>
            </w:r>
            <w:r>
              <w:rPr>
                <w:rFonts w:hint="eastAsia"/>
              </w:rPr>
              <w:t>）</w:t>
            </w:r>
            <w:r>
              <w:t>10km范围内、近岸海域一个潮周期水质点可能达到的最大水平距离的两倍范围内</w:t>
            </w:r>
            <w:r>
              <w:rPr>
                <w:rFonts w:hint="eastAsia"/>
              </w:rPr>
              <w:t>，</w:t>
            </w:r>
            <w:r>
              <w:t>有如下一类或多类环境风险受体的：水产养殖区；天然渔场；森林公园；地质公园；海滨风景游览区；具有重要经济价值的海洋生物生存区域</w:t>
            </w:r>
          </w:p>
        </w:tc>
      </w:tr>
      <w:tr w14:paraId="783B7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05" w:type="pct"/>
            <w:vAlign w:val="center"/>
          </w:tcPr>
          <w:p w14:paraId="409584DB">
            <w:pPr>
              <w:pStyle w:val="19"/>
              <w:spacing w:before="120" w:after="120"/>
            </w:pPr>
            <w:r>
              <w:t>S3</w:t>
            </w:r>
          </w:p>
        </w:tc>
        <w:tc>
          <w:tcPr>
            <w:tcW w:w="4594" w:type="pct"/>
            <w:vAlign w:val="center"/>
          </w:tcPr>
          <w:p w14:paraId="39F07A02">
            <w:pPr>
              <w:pStyle w:val="19"/>
              <w:spacing w:before="120" w:after="120"/>
            </w:pPr>
            <w:r>
              <w:t>排放点下游（顺水流向</w:t>
            </w:r>
            <w:r>
              <w:rPr>
                <w:rFonts w:hint="eastAsia"/>
              </w:rPr>
              <w:t>）</w:t>
            </w:r>
            <w:r>
              <w:t>10km范围、近岸海域一个潮周期水质点可能达到的最大水平距离的两倍范围内无上述类型1和类型2包括的敏感保护目标</w:t>
            </w:r>
          </w:p>
        </w:tc>
      </w:tr>
    </w:tbl>
    <w:p w14:paraId="0CB6557B">
      <w:pPr>
        <w:ind w:firstLine="480"/>
      </w:pPr>
      <w:r>
        <w:rPr>
          <w:rFonts w:hint="eastAsia"/>
        </w:rPr>
        <w:t>本项目运营期生活污水满足《污水综合排放标准》（GB8978-1996）三级标准及</w:t>
      </w:r>
      <w:r>
        <w:t>园区生活污水处理厂接管标准后</w:t>
      </w:r>
      <w:r>
        <w:rPr>
          <w:rFonts w:hint="eastAsia"/>
        </w:rPr>
        <w:t>，排入园区生活污水管网，园区配套生活污水处理厂为蒙西污水处理厂，蒙西污水处理厂采用</w:t>
      </w:r>
      <w:r>
        <w:t>CASS</w:t>
      </w:r>
      <w:r>
        <w:rPr>
          <w:rFonts w:hint="eastAsia"/>
        </w:rPr>
        <w:t>法处理工艺，处理后的中水全部用于园区内北电旧灰场和鑫诺物流洒水抑尘，不属于</w:t>
      </w:r>
      <w:r>
        <w:t>地表水环境敏感特征</w:t>
      </w:r>
      <w:r>
        <w:rPr>
          <w:rFonts w:hint="eastAsia"/>
        </w:rPr>
        <w:t>中“</w:t>
      </w:r>
      <w:r>
        <w:t>敏感F1</w:t>
      </w:r>
      <w:r>
        <w:rPr>
          <w:rFonts w:hint="eastAsia"/>
        </w:rPr>
        <w:t>”、“</w:t>
      </w:r>
      <w:r>
        <w:t>敏感F</w:t>
      </w:r>
      <w:r>
        <w:rPr>
          <w:rFonts w:hint="eastAsia"/>
        </w:rPr>
        <w:t>2”情况，</w:t>
      </w:r>
      <w:r>
        <w:t>地表水环境敏感特征</w:t>
      </w:r>
      <w:r>
        <w:rPr>
          <w:rFonts w:hint="eastAsia"/>
        </w:rPr>
        <w:t>为F3，</w:t>
      </w:r>
      <w:r>
        <w:t>环境敏感目标分级</w:t>
      </w:r>
      <w:r>
        <w:rPr>
          <w:rFonts w:hint="eastAsia"/>
        </w:rPr>
        <w:t>为</w:t>
      </w:r>
      <w:r>
        <w:t>S3</w:t>
      </w:r>
      <w:r>
        <w:rPr>
          <w:rFonts w:hint="eastAsia"/>
        </w:rPr>
        <w:t>，因此本项目</w:t>
      </w:r>
      <w:r>
        <w:t>地表水环境敏感程度分级为E</w:t>
      </w:r>
      <w:r>
        <w:rPr>
          <w:rFonts w:hint="eastAsia"/>
        </w:rPr>
        <w:t>3，即</w:t>
      </w:r>
      <w:r>
        <w:t>环境</w:t>
      </w:r>
      <w:r>
        <w:rPr>
          <w:rFonts w:hint="eastAsia"/>
        </w:rPr>
        <w:t>低</w:t>
      </w:r>
      <w:r>
        <w:t>敏感区。</w:t>
      </w:r>
    </w:p>
    <w:p w14:paraId="38742A4F">
      <w:pPr>
        <w:ind w:firstLine="480"/>
      </w:pPr>
      <w:r>
        <w:rPr>
          <w:rFonts w:hint="eastAsia"/>
        </w:rPr>
        <w:t>③</w:t>
      </w:r>
      <w:r>
        <w:t>地下水环境</w:t>
      </w:r>
    </w:p>
    <w:p w14:paraId="31641096">
      <w:pPr>
        <w:ind w:firstLine="480"/>
      </w:pPr>
      <w:r>
        <w:t>依据地下水功能敏感性与包气带防污性能</w:t>
      </w:r>
      <w:r>
        <w:rPr>
          <w:rFonts w:hint="eastAsia"/>
        </w:rPr>
        <w:t>，</w:t>
      </w:r>
      <w:r>
        <w:t>共分为三种类型</w:t>
      </w:r>
      <w:r>
        <w:rPr>
          <w:rFonts w:hint="eastAsia"/>
        </w:rPr>
        <w:t>，</w:t>
      </w:r>
      <w:r>
        <w:t>E1为环境高度敏感区</w:t>
      </w:r>
      <w:r>
        <w:rPr>
          <w:rFonts w:hint="eastAsia"/>
        </w:rPr>
        <w:t>，</w:t>
      </w:r>
      <w:r>
        <w:t>E2为环境中度敏感区</w:t>
      </w:r>
      <w:r>
        <w:rPr>
          <w:rFonts w:hint="eastAsia"/>
        </w:rPr>
        <w:t>，</w:t>
      </w:r>
      <w:r>
        <w:t>E3为环境低度敏感区</w:t>
      </w:r>
      <w:r>
        <w:rPr>
          <w:rFonts w:hint="eastAsia"/>
        </w:rPr>
        <w:t>，分级原则见下表。</w:t>
      </w:r>
    </w:p>
    <w:p w14:paraId="2D419EB6">
      <w:pPr>
        <w:pStyle w:val="19"/>
        <w:spacing w:before="120" w:after="120"/>
        <w:rPr>
          <w:b/>
          <w:bCs/>
        </w:rPr>
      </w:pPr>
    </w:p>
    <w:p w14:paraId="15020974">
      <w:pPr>
        <w:pStyle w:val="19"/>
        <w:spacing w:before="120" w:after="120"/>
        <w:rPr>
          <w:b/>
          <w:bCs/>
        </w:rPr>
      </w:pPr>
      <w:r>
        <w:rPr>
          <w:rFonts w:hint="eastAsia"/>
          <w:b/>
          <w:bCs/>
        </w:rPr>
        <w:t>表3.2-8  地下水环境敏感程度分级</w:t>
      </w:r>
    </w:p>
    <w:tbl>
      <w:tblPr>
        <w:tblStyle w:val="1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2"/>
        <w:gridCol w:w="1598"/>
        <w:gridCol w:w="1596"/>
        <w:gridCol w:w="1602"/>
      </w:tblGrid>
      <w:tr w14:paraId="5E4EE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blHeader/>
          <w:jc w:val="center"/>
        </w:trPr>
        <w:tc>
          <w:tcPr>
            <w:tcW w:w="2352" w:type="pct"/>
            <w:vMerge w:val="restart"/>
            <w:vAlign w:val="center"/>
          </w:tcPr>
          <w:p w14:paraId="41721A7E">
            <w:pPr>
              <w:pStyle w:val="19"/>
              <w:spacing w:before="120" w:after="120"/>
            </w:pPr>
            <w:r>
              <w:t>包气带防污性能</w:t>
            </w:r>
          </w:p>
        </w:tc>
        <w:tc>
          <w:tcPr>
            <w:tcW w:w="2647" w:type="pct"/>
            <w:gridSpan w:val="3"/>
            <w:vAlign w:val="center"/>
          </w:tcPr>
          <w:p w14:paraId="59505C6E">
            <w:pPr>
              <w:pStyle w:val="19"/>
              <w:spacing w:before="120" w:after="120"/>
            </w:pPr>
            <w:r>
              <w:t>地下水功能敏感性</w:t>
            </w:r>
          </w:p>
        </w:tc>
      </w:tr>
      <w:tr w14:paraId="5B92A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blHeader/>
          <w:jc w:val="center"/>
        </w:trPr>
        <w:tc>
          <w:tcPr>
            <w:tcW w:w="2352" w:type="pct"/>
            <w:vMerge w:val="continue"/>
            <w:shd w:val="clear" w:color="auto" w:fill="auto"/>
            <w:vAlign w:val="center"/>
          </w:tcPr>
          <w:p w14:paraId="513B2FA2">
            <w:pPr>
              <w:pStyle w:val="19"/>
              <w:spacing w:before="120" w:after="120"/>
            </w:pPr>
          </w:p>
        </w:tc>
        <w:tc>
          <w:tcPr>
            <w:tcW w:w="882" w:type="pct"/>
            <w:shd w:val="clear" w:color="auto" w:fill="auto"/>
            <w:vAlign w:val="center"/>
          </w:tcPr>
          <w:p w14:paraId="69496DBA">
            <w:pPr>
              <w:pStyle w:val="19"/>
              <w:spacing w:before="120" w:after="120"/>
            </w:pPr>
            <w:r>
              <w:t>G1</w:t>
            </w:r>
          </w:p>
        </w:tc>
        <w:tc>
          <w:tcPr>
            <w:tcW w:w="881" w:type="pct"/>
            <w:shd w:val="clear" w:color="auto" w:fill="auto"/>
            <w:vAlign w:val="center"/>
          </w:tcPr>
          <w:p w14:paraId="6DC53936">
            <w:pPr>
              <w:pStyle w:val="19"/>
              <w:spacing w:before="120" w:after="120"/>
            </w:pPr>
            <w:r>
              <w:t>G2</w:t>
            </w:r>
          </w:p>
        </w:tc>
        <w:tc>
          <w:tcPr>
            <w:tcW w:w="883" w:type="pct"/>
            <w:shd w:val="clear" w:color="auto" w:fill="E7E6E6"/>
            <w:vAlign w:val="center"/>
          </w:tcPr>
          <w:p w14:paraId="564F210D">
            <w:pPr>
              <w:pStyle w:val="19"/>
              <w:spacing w:before="120" w:after="120"/>
            </w:pPr>
            <w:r>
              <w:t>G3</w:t>
            </w:r>
          </w:p>
        </w:tc>
      </w:tr>
      <w:tr w14:paraId="13B75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52" w:type="pct"/>
            <w:vAlign w:val="center"/>
          </w:tcPr>
          <w:p w14:paraId="4887E933">
            <w:pPr>
              <w:pStyle w:val="19"/>
              <w:spacing w:before="120" w:after="120"/>
            </w:pPr>
            <w:r>
              <w:t>D1</w:t>
            </w:r>
          </w:p>
        </w:tc>
        <w:tc>
          <w:tcPr>
            <w:tcW w:w="882" w:type="pct"/>
            <w:vAlign w:val="center"/>
          </w:tcPr>
          <w:p w14:paraId="182798F5">
            <w:pPr>
              <w:pStyle w:val="19"/>
              <w:spacing w:before="120" w:after="120"/>
            </w:pPr>
            <w:r>
              <w:t>E1</w:t>
            </w:r>
          </w:p>
        </w:tc>
        <w:tc>
          <w:tcPr>
            <w:tcW w:w="881" w:type="pct"/>
            <w:vAlign w:val="center"/>
          </w:tcPr>
          <w:p w14:paraId="50429596">
            <w:pPr>
              <w:pStyle w:val="19"/>
              <w:spacing w:before="120" w:after="120"/>
            </w:pPr>
            <w:r>
              <w:t>E1</w:t>
            </w:r>
          </w:p>
        </w:tc>
        <w:tc>
          <w:tcPr>
            <w:tcW w:w="883" w:type="pct"/>
            <w:vAlign w:val="center"/>
          </w:tcPr>
          <w:p w14:paraId="53D23FBE">
            <w:pPr>
              <w:pStyle w:val="19"/>
              <w:spacing w:before="120" w:after="120"/>
            </w:pPr>
            <w:r>
              <w:t>E2</w:t>
            </w:r>
          </w:p>
        </w:tc>
      </w:tr>
      <w:tr w14:paraId="258F9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2352" w:type="pct"/>
            <w:shd w:val="clear" w:color="auto" w:fill="E7E6E6"/>
            <w:vAlign w:val="center"/>
          </w:tcPr>
          <w:p w14:paraId="01D8BC3D">
            <w:pPr>
              <w:pStyle w:val="19"/>
              <w:spacing w:before="120" w:after="120"/>
            </w:pPr>
            <w:r>
              <w:t>D2</w:t>
            </w:r>
          </w:p>
        </w:tc>
        <w:tc>
          <w:tcPr>
            <w:tcW w:w="882" w:type="pct"/>
            <w:shd w:val="clear" w:color="auto" w:fill="auto"/>
            <w:vAlign w:val="center"/>
          </w:tcPr>
          <w:p w14:paraId="5C0D53CD">
            <w:pPr>
              <w:pStyle w:val="19"/>
              <w:spacing w:before="120" w:after="120"/>
            </w:pPr>
            <w:r>
              <w:t>E1</w:t>
            </w:r>
          </w:p>
        </w:tc>
        <w:tc>
          <w:tcPr>
            <w:tcW w:w="881" w:type="pct"/>
            <w:shd w:val="clear" w:color="auto" w:fill="auto"/>
            <w:vAlign w:val="center"/>
          </w:tcPr>
          <w:p w14:paraId="5BBFB84B">
            <w:pPr>
              <w:pStyle w:val="19"/>
              <w:spacing w:before="120" w:after="120"/>
            </w:pPr>
            <w:r>
              <w:t>E2</w:t>
            </w:r>
          </w:p>
        </w:tc>
        <w:tc>
          <w:tcPr>
            <w:tcW w:w="883" w:type="pct"/>
            <w:shd w:val="clear" w:color="auto" w:fill="E7E6E6"/>
            <w:vAlign w:val="center"/>
          </w:tcPr>
          <w:p w14:paraId="183C936C">
            <w:pPr>
              <w:pStyle w:val="19"/>
              <w:spacing w:before="120" w:after="120"/>
            </w:pPr>
            <w:r>
              <w:t>E3</w:t>
            </w:r>
          </w:p>
        </w:tc>
      </w:tr>
      <w:tr w14:paraId="477DF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52" w:type="pct"/>
            <w:vAlign w:val="center"/>
          </w:tcPr>
          <w:p w14:paraId="204A757A">
            <w:pPr>
              <w:pStyle w:val="19"/>
              <w:spacing w:before="120" w:after="120"/>
            </w:pPr>
            <w:r>
              <w:t>D3</w:t>
            </w:r>
          </w:p>
        </w:tc>
        <w:tc>
          <w:tcPr>
            <w:tcW w:w="882" w:type="pct"/>
            <w:vAlign w:val="center"/>
          </w:tcPr>
          <w:p w14:paraId="00B95621">
            <w:pPr>
              <w:pStyle w:val="19"/>
              <w:spacing w:before="120" w:after="120"/>
            </w:pPr>
            <w:r>
              <w:t>E1</w:t>
            </w:r>
          </w:p>
        </w:tc>
        <w:tc>
          <w:tcPr>
            <w:tcW w:w="881" w:type="pct"/>
            <w:vAlign w:val="center"/>
          </w:tcPr>
          <w:p w14:paraId="0888A56E">
            <w:pPr>
              <w:pStyle w:val="19"/>
              <w:spacing w:before="120" w:after="120"/>
            </w:pPr>
            <w:r>
              <w:t>E2</w:t>
            </w:r>
          </w:p>
        </w:tc>
        <w:tc>
          <w:tcPr>
            <w:tcW w:w="883" w:type="pct"/>
            <w:vAlign w:val="center"/>
          </w:tcPr>
          <w:p w14:paraId="7FE8555E">
            <w:pPr>
              <w:pStyle w:val="19"/>
              <w:spacing w:before="120" w:after="120"/>
            </w:pPr>
            <w:r>
              <w:t>E3</w:t>
            </w:r>
          </w:p>
        </w:tc>
      </w:tr>
    </w:tbl>
    <w:p w14:paraId="19CD1E71">
      <w:pPr>
        <w:ind w:firstLine="480"/>
      </w:pPr>
      <w:r>
        <w:t>其中地下水功能敏感性分区和包气带防污性能分级分别见表</w:t>
      </w:r>
      <w:r>
        <w:rPr>
          <w:rFonts w:hint="eastAsia"/>
        </w:rPr>
        <w:t>3.2-9</w:t>
      </w:r>
      <w:r>
        <w:t>和表</w:t>
      </w:r>
      <w:r>
        <w:rPr>
          <w:rFonts w:hint="eastAsia"/>
        </w:rPr>
        <w:t>3.2-10，</w:t>
      </w:r>
      <w:r>
        <w:t>当同一建设项目涉及两个G分区或D分级及以上时</w:t>
      </w:r>
      <w:r>
        <w:rPr>
          <w:rFonts w:hint="eastAsia"/>
        </w:rPr>
        <w:t>，</w:t>
      </w:r>
      <w:r>
        <w:t>取相对高值。</w:t>
      </w:r>
    </w:p>
    <w:p w14:paraId="60F285BA">
      <w:pPr>
        <w:pStyle w:val="19"/>
        <w:spacing w:before="120" w:after="120"/>
        <w:rPr>
          <w:b/>
          <w:bCs/>
        </w:rPr>
      </w:pPr>
      <w:r>
        <w:rPr>
          <w:rFonts w:hint="eastAsia"/>
          <w:b/>
          <w:bCs/>
        </w:rPr>
        <w:t>表3.2-9  地下水功能敏感性分区</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8"/>
        <w:gridCol w:w="7842"/>
      </w:tblGrid>
      <w:tr w14:paraId="4210A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672" w:type="pct"/>
            <w:vAlign w:val="center"/>
          </w:tcPr>
          <w:p w14:paraId="68E10714">
            <w:pPr>
              <w:pStyle w:val="19"/>
              <w:spacing w:before="120" w:after="120"/>
            </w:pPr>
            <w:r>
              <w:t>敏感性</w:t>
            </w:r>
          </w:p>
        </w:tc>
        <w:tc>
          <w:tcPr>
            <w:tcW w:w="4327" w:type="pct"/>
            <w:vAlign w:val="center"/>
          </w:tcPr>
          <w:p w14:paraId="5328B8B9">
            <w:pPr>
              <w:pStyle w:val="19"/>
              <w:spacing w:before="120" w:after="120"/>
            </w:pPr>
            <w:r>
              <w:t>地下水环境敏感特征</w:t>
            </w:r>
          </w:p>
        </w:tc>
      </w:tr>
      <w:tr w14:paraId="3D41A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2" w:type="pct"/>
            <w:vAlign w:val="center"/>
          </w:tcPr>
          <w:p w14:paraId="406BB285">
            <w:pPr>
              <w:pStyle w:val="19"/>
              <w:spacing w:before="120" w:after="120"/>
            </w:pPr>
            <w:r>
              <w:t>敏感G1</w:t>
            </w:r>
          </w:p>
        </w:tc>
        <w:tc>
          <w:tcPr>
            <w:tcW w:w="4327" w:type="pct"/>
            <w:vAlign w:val="center"/>
          </w:tcPr>
          <w:p w14:paraId="050F7337">
            <w:pPr>
              <w:pStyle w:val="19"/>
              <w:spacing w:before="120" w:after="120"/>
            </w:pPr>
            <w:r>
              <w:t>集中式饮用水水源（包括已建成的在用、备用、应急水源</w:t>
            </w:r>
            <w:r>
              <w:rPr>
                <w:rFonts w:hint="eastAsia"/>
              </w:rPr>
              <w:t>，</w:t>
            </w:r>
            <w:r>
              <w:t>在建和规划的饮用水水源</w:t>
            </w:r>
            <w:r>
              <w:rPr>
                <w:rFonts w:hint="eastAsia"/>
              </w:rPr>
              <w:t>）</w:t>
            </w:r>
            <w:r>
              <w:t>准保护区；除集中式饮用水水源以外的国家或地方政府设定的与地下水环境相关的其他保护区</w:t>
            </w:r>
            <w:r>
              <w:rPr>
                <w:rFonts w:hint="eastAsia"/>
              </w:rPr>
              <w:t>，</w:t>
            </w:r>
            <w:r>
              <w:t>如热水、矿泉水、温泉等特殊地下水资源保护区</w:t>
            </w:r>
          </w:p>
        </w:tc>
      </w:tr>
      <w:tr w14:paraId="63E22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2" w:type="pct"/>
            <w:vAlign w:val="center"/>
          </w:tcPr>
          <w:p w14:paraId="4E676E6C">
            <w:pPr>
              <w:pStyle w:val="19"/>
              <w:spacing w:before="120" w:after="120"/>
            </w:pPr>
            <w:r>
              <w:t>较敏感G2</w:t>
            </w:r>
          </w:p>
        </w:tc>
        <w:tc>
          <w:tcPr>
            <w:tcW w:w="4327" w:type="pct"/>
            <w:vAlign w:val="center"/>
          </w:tcPr>
          <w:p w14:paraId="3512FC94">
            <w:pPr>
              <w:pStyle w:val="19"/>
              <w:spacing w:before="120" w:after="120"/>
            </w:pPr>
            <w:r>
              <w:t>集中式饮用水水源（包括已建成的在用、备用、应急水源</w:t>
            </w:r>
            <w:r>
              <w:rPr>
                <w:rFonts w:hint="eastAsia"/>
              </w:rPr>
              <w:t>，</w:t>
            </w:r>
            <w:r>
              <w:t>在建和规划的饮用水水源</w:t>
            </w:r>
            <w:r>
              <w:rPr>
                <w:rFonts w:hint="eastAsia"/>
              </w:rPr>
              <w:t>）</w:t>
            </w:r>
            <w:r>
              <w:t>准保护区以外的补给径流区；未划定准保护区的集中式饮用水水源</w:t>
            </w:r>
            <w:r>
              <w:rPr>
                <w:rFonts w:hint="eastAsia"/>
              </w:rPr>
              <w:t>，</w:t>
            </w:r>
            <w:r>
              <w:t>其保护区以外的补给径流区；分散式饮用水水源地；特殊地下水资源（如热水、矿泉水、温泉等</w:t>
            </w:r>
            <w:r>
              <w:rPr>
                <w:rFonts w:hint="eastAsia"/>
              </w:rPr>
              <w:t>）</w:t>
            </w:r>
            <w:r>
              <w:t>保护区以外的分布区等其他未列入上述敏感分级的环境敏感区a</w:t>
            </w:r>
          </w:p>
        </w:tc>
      </w:tr>
      <w:tr w14:paraId="644BF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2" w:type="pct"/>
            <w:vAlign w:val="center"/>
          </w:tcPr>
          <w:p w14:paraId="452781B2">
            <w:pPr>
              <w:pStyle w:val="19"/>
              <w:spacing w:before="120" w:after="120"/>
            </w:pPr>
            <w:r>
              <w:t>低敏感G3</w:t>
            </w:r>
          </w:p>
        </w:tc>
        <w:tc>
          <w:tcPr>
            <w:tcW w:w="4327" w:type="pct"/>
            <w:vAlign w:val="center"/>
          </w:tcPr>
          <w:p w14:paraId="26863959">
            <w:pPr>
              <w:pStyle w:val="19"/>
              <w:spacing w:before="120" w:after="120"/>
            </w:pPr>
            <w:r>
              <w:t>上述地区之外的其他地区</w:t>
            </w:r>
          </w:p>
        </w:tc>
      </w:tr>
      <w:tr w14:paraId="6C2CC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000" w:type="pct"/>
            <w:gridSpan w:val="2"/>
            <w:vAlign w:val="center"/>
          </w:tcPr>
          <w:p w14:paraId="6EC7D60E">
            <w:pPr>
              <w:pStyle w:val="19"/>
              <w:spacing w:before="120" w:after="120"/>
              <w:jc w:val="left"/>
            </w:pPr>
            <w:r>
              <w:rPr>
                <w:sz w:val="20"/>
                <w:szCs w:val="16"/>
              </w:rPr>
              <w:t>A</w:t>
            </w:r>
            <w:r>
              <w:rPr>
                <w:rFonts w:hint="eastAsia"/>
                <w:sz w:val="20"/>
                <w:szCs w:val="16"/>
              </w:rPr>
              <w:t>“</w:t>
            </w:r>
            <w:r>
              <w:rPr>
                <w:sz w:val="20"/>
                <w:szCs w:val="16"/>
              </w:rPr>
              <w:t>环境敏感区</w:t>
            </w:r>
            <w:r>
              <w:rPr>
                <w:rFonts w:hint="eastAsia"/>
                <w:sz w:val="20"/>
                <w:szCs w:val="16"/>
              </w:rPr>
              <w:t>”</w:t>
            </w:r>
            <w:r>
              <w:rPr>
                <w:sz w:val="20"/>
                <w:szCs w:val="16"/>
              </w:rPr>
              <w:t>是指《建设项目环境影响评价分类管理名录》中所界定的涉及地下水的环境敏感区</w:t>
            </w:r>
          </w:p>
        </w:tc>
      </w:tr>
    </w:tbl>
    <w:p w14:paraId="528D2AA9">
      <w:pPr>
        <w:pStyle w:val="19"/>
        <w:spacing w:before="120" w:after="120"/>
        <w:rPr>
          <w:b/>
          <w:bCs/>
        </w:rPr>
      </w:pPr>
      <w:r>
        <w:rPr>
          <w:rFonts w:hint="eastAsia"/>
          <w:b/>
          <w:bCs/>
        </w:rPr>
        <w:t>表3.2-10  包气带防污性能分级</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2"/>
        <w:gridCol w:w="4639"/>
        <w:gridCol w:w="3649"/>
      </w:tblGrid>
      <w:tr w14:paraId="1A793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 w:type="pct"/>
            <w:vAlign w:val="center"/>
          </w:tcPr>
          <w:p w14:paraId="66DA1C66">
            <w:pPr>
              <w:pStyle w:val="19"/>
              <w:spacing w:before="120" w:after="120"/>
            </w:pPr>
            <w:r>
              <w:t>分级</w:t>
            </w:r>
          </w:p>
        </w:tc>
        <w:tc>
          <w:tcPr>
            <w:tcW w:w="2560" w:type="pct"/>
            <w:vAlign w:val="center"/>
          </w:tcPr>
          <w:p w14:paraId="72E319FC">
            <w:pPr>
              <w:pStyle w:val="19"/>
              <w:spacing w:before="120" w:after="120"/>
            </w:pPr>
            <w:r>
              <w:t>包气带岩土的渗透性能</w:t>
            </w:r>
          </w:p>
        </w:tc>
        <w:tc>
          <w:tcPr>
            <w:tcW w:w="2013" w:type="pct"/>
            <w:vAlign w:val="center"/>
          </w:tcPr>
          <w:p w14:paraId="0B1D9893">
            <w:pPr>
              <w:pStyle w:val="19"/>
              <w:spacing w:before="120" w:after="120"/>
            </w:pPr>
            <w:r>
              <w:rPr>
                <w:rFonts w:hint="eastAsia"/>
              </w:rPr>
              <w:t>本项目</w:t>
            </w:r>
          </w:p>
        </w:tc>
      </w:tr>
      <w:tr w14:paraId="59F2D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 w:type="pct"/>
            <w:vAlign w:val="center"/>
          </w:tcPr>
          <w:p w14:paraId="15F6E5BC">
            <w:pPr>
              <w:pStyle w:val="19"/>
              <w:spacing w:before="120" w:after="120"/>
            </w:pPr>
            <w:r>
              <w:t>D3</w:t>
            </w:r>
          </w:p>
        </w:tc>
        <w:tc>
          <w:tcPr>
            <w:tcW w:w="2560" w:type="pct"/>
            <w:vAlign w:val="center"/>
          </w:tcPr>
          <w:p w14:paraId="33042C27">
            <w:pPr>
              <w:pStyle w:val="19"/>
              <w:spacing w:before="120" w:after="120"/>
            </w:pPr>
            <w:r>
              <w:t>Mb≥1.0m</w:t>
            </w:r>
            <w:r>
              <w:rPr>
                <w:rFonts w:hint="eastAsia"/>
              </w:rPr>
              <w:t>，</w:t>
            </w:r>
            <w:r>
              <w:t>K≤1.0×10</w:t>
            </w:r>
            <w:r>
              <w:rPr>
                <w:vertAlign w:val="superscript"/>
              </w:rPr>
              <w:t>-6</w:t>
            </w:r>
            <w:r>
              <w:t>cm/s</w:t>
            </w:r>
            <w:r>
              <w:rPr>
                <w:rFonts w:hint="eastAsia"/>
              </w:rPr>
              <w:t>，</w:t>
            </w:r>
            <w:r>
              <w:t>且分布连续、稳定</w:t>
            </w:r>
          </w:p>
        </w:tc>
        <w:tc>
          <w:tcPr>
            <w:tcW w:w="2013" w:type="pct"/>
            <w:vMerge w:val="restart"/>
            <w:vAlign w:val="center"/>
          </w:tcPr>
          <w:p w14:paraId="0951FAA7">
            <w:pPr>
              <w:pStyle w:val="19"/>
              <w:spacing w:before="120" w:after="120"/>
            </w:pPr>
            <w:r>
              <w:rPr>
                <w:rFonts w:hint="eastAsia"/>
              </w:rPr>
              <w:t>根据《内蒙古鄂尔多斯鄂托克经济开发区蒙西产业园环境影响区域评估报告》，区域地层岩性和结构特征划分岩土体类型砂性土和岩性土两类，</w:t>
            </w:r>
            <w:r>
              <w:rPr>
                <w:rFonts w:hint="eastAsia" w:hAnsi="宋体"/>
              </w:rPr>
              <w:t>场地包气带土层分布连续、稳定，场地天然包气带防污性能一般，</w:t>
            </w:r>
            <w:r>
              <w:t>包气带岩土的渗透性能</w:t>
            </w:r>
            <w:r>
              <w:rPr>
                <w:rFonts w:hint="eastAsia" w:hAnsi="宋体"/>
              </w:rPr>
              <w:t>取值</w:t>
            </w:r>
            <w:r>
              <w:rPr>
                <w:rFonts w:hAnsi="宋体"/>
              </w:rPr>
              <w:t>D2</w:t>
            </w:r>
            <w:r>
              <w:rPr>
                <w:rFonts w:hint="eastAsia" w:hAnsi="宋体"/>
              </w:rPr>
              <w:t>。</w:t>
            </w:r>
          </w:p>
        </w:tc>
      </w:tr>
      <w:tr w14:paraId="5C9D9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 w:type="pct"/>
            <w:vAlign w:val="center"/>
          </w:tcPr>
          <w:p w14:paraId="77585EBD">
            <w:pPr>
              <w:pStyle w:val="19"/>
              <w:spacing w:before="120" w:after="120"/>
            </w:pPr>
            <w:r>
              <w:t>D2</w:t>
            </w:r>
          </w:p>
        </w:tc>
        <w:tc>
          <w:tcPr>
            <w:tcW w:w="2560" w:type="pct"/>
            <w:vAlign w:val="center"/>
          </w:tcPr>
          <w:p w14:paraId="184665A3">
            <w:pPr>
              <w:pStyle w:val="19"/>
              <w:spacing w:before="120" w:after="120"/>
            </w:pPr>
            <w:r>
              <w:t>0.5m≤Mb＜1.0m</w:t>
            </w:r>
            <w:r>
              <w:rPr>
                <w:rFonts w:hint="eastAsia"/>
              </w:rPr>
              <w:t>，</w:t>
            </w:r>
            <w:r>
              <w:t>K≤1.0×10</w:t>
            </w:r>
            <w:r>
              <w:rPr>
                <w:vertAlign w:val="superscript"/>
              </w:rPr>
              <w:t>-6</w:t>
            </w:r>
            <w:r>
              <w:t>cm/s</w:t>
            </w:r>
            <w:r>
              <w:rPr>
                <w:rFonts w:hint="eastAsia"/>
              </w:rPr>
              <w:t>，</w:t>
            </w:r>
            <w:r>
              <w:t>且分布连续、稳定</w:t>
            </w:r>
          </w:p>
          <w:p w14:paraId="19D83DB3">
            <w:pPr>
              <w:pStyle w:val="19"/>
              <w:spacing w:before="120" w:after="120"/>
            </w:pPr>
            <w:r>
              <w:t>Mb≥1.0m</w:t>
            </w:r>
            <w:r>
              <w:rPr>
                <w:rFonts w:hint="eastAsia"/>
              </w:rPr>
              <w:t>，</w:t>
            </w:r>
            <w:r>
              <w:t>1.0×10</w:t>
            </w:r>
            <w:r>
              <w:rPr>
                <w:vertAlign w:val="superscript"/>
              </w:rPr>
              <w:t>-6</w:t>
            </w:r>
            <w:r>
              <w:t>cm/s＜K≤1.0×10</w:t>
            </w:r>
            <w:r>
              <w:rPr>
                <w:vertAlign w:val="superscript"/>
              </w:rPr>
              <w:t>-4</w:t>
            </w:r>
            <w:r>
              <w:t>cm/s</w:t>
            </w:r>
            <w:r>
              <w:rPr>
                <w:rFonts w:hint="eastAsia"/>
              </w:rPr>
              <w:t>，</w:t>
            </w:r>
            <w:r>
              <w:t>且分布连续、稳定</w:t>
            </w:r>
          </w:p>
        </w:tc>
        <w:tc>
          <w:tcPr>
            <w:tcW w:w="2013" w:type="pct"/>
            <w:vMerge w:val="continue"/>
            <w:vAlign w:val="center"/>
          </w:tcPr>
          <w:p w14:paraId="302CC7E8">
            <w:pPr>
              <w:pStyle w:val="19"/>
              <w:spacing w:before="120" w:after="120"/>
            </w:pPr>
          </w:p>
        </w:tc>
      </w:tr>
      <w:tr w14:paraId="5798B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 w:type="pct"/>
            <w:vAlign w:val="center"/>
          </w:tcPr>
          <w:p w14:paraId="56D38A2E">
            <w:pPr>
              <w:pStyle w:val="19"/>
              <w:spacing w:before="120" w:after="120"/>
            </w:pPr>
            <w:r>
              <w:t>D1</w:t>
            </w:r>
          </w:p>
        </w:tc>
        <w:tc>
          <w:tcPr>
            <w:tcW w:w="2560" w:type="pct"/>
            <w:vAlign w:val="center"/>
          </w:tcPr>
          <w:p w14:paraId="68E746D7">
            <w:pPr>
              <w:pStyle w:val="19"/>
              <w:spacing w:before="120" w:after="120"/>
            </w:pPr>
            <w:r>
              <w:t>岩（土</w:t>
            </w:r>
            <w:r>
              <w:rPr>
                <w:rFonts w:hint="eastAsia"/>
              </w:rPr>
              <w:t>）</w:t>
            </w:r>
            <w:r>
              <w:t>层不满足上述</w:t>
            </w:r>
            <w:r>
              <w:rPr>
                <w:rFonts w:hint="eastAsia"/>
              </w:rPr>
              <w:t>“</w:t>
            </w:r>
            <w:r>
              <w:t>D2</w:t>
            </w:r>
            <w:r>
              <w:rPr>
                <w:rFonts w:hint="eastAsia"/>
              </w:rPr>
              <w:t>”</w:t>
            </w:r>
            <w:r>
              <w:t>和</w:t>
            </w:r>
            <w:r>
              <w:rPr>
                <w:rFonts w:hint="eastAsia"/>
              </w:rPr>
              <w:t>“</w:t>
            </w:r>
            <w:r>
              <w:t>D3</w:t>
            </w:r>
            <w:r>
              <w:rPr>
                <w:rFonts w:hint="eastAsia"/>
              </w:rPr>
              <w:t>”</w:t>
            </w:r>
            <w:r>
              <w:t>条件</w:t>
            </w:r>
          </w:p>
        </w:tc>
        <w:tc>
          <w:tcPr>
            <w:tcW w:w="2013" w:type="pct"/>
            <w:vMerge w:val="continue"/>
            <w:vAlign w:val="center"/>
          </w:tcPr>
          <w:p w14:paraId="4FB10858">
            <w:pPr>
              <w:pStyle w:val="19"/>
              <w:spacing w:before="120" w:after="120"/>
            </w:pPr>
          </w:p>
        </w:tc>
      </w:tr>
      <w:tr w14:paraId="091BD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3"/>
            <w:vAlign w:val="center"/>
          </w:tcPr>
          <w:p w14:paraId="43E8FDEB">
            <w:pPr>
              <w:pStyle w:val="19"/>
              <w:spacing w:before="120" w:after="120"/>
              <w:jc w:val="left"/>
            </w:pPr>
            <w:r>
              <w:rPr>
                <w:sz w:val="21"/>
                <w:szCs w:val="18"/>
              </w:rPr>
              <w:t>Mb：岩土层单层厚度。K：渗透系数</w:t>
            </w:r>
          </w:p>
        </w:tc>
      </w:tr>
    </w:tbl>
    <w:p w14:paraId="3A4C4CFB">
      <w:pPr>
        <w:ind w:firstLine="480"/>
      </w:pPr>
      <w:r>
        <w:rPr>
          <w:rFonts w:hint="eastAsia"/>
        </w:rPr>
        <w:t>综上，本项目区域地下水功能敏感性分区为</w:t>
      </w:r>
      <w:r>
        <w:t>低敏感G3</w:t>
      </w:r>
      <w:r>
        <w:rPr>
          <w:rFonts w:hint="eastAsia"/>
        </w:rPr>
        <w:t>，包气带防污性能分级为</w:t>
      </w:r>
      <w:r>
        <w:t>D2</w:t>
      </w:r>
      <w:r>
        <w:rPr>
          <w:rFonts w:hint="eastAsia"/>
        </w:rPr>
        <w:t>，</w:t>
      </w:r>
      <w:r>
        <w:t>地</w:t>
      </w:r>
      <w:r>
        <w:rPr>
          <w:rFonts w:hint="eastAsia"/>
        </w:rPr>
        <w:t>下水</w:t>
      </w:r>
      <w:r>
        <w:t>环境敏感程度分级为E</w:t>
      </w:r>
      <w:r>
        <w:rPr>
          <w:rFonts w:hint="eastAsia"/>
        </w:rPr>
        <w:t>3，即</w:t>
      </w:r>
      <w:r>
        <w:t>环境低度敏感区。</w:t>
      </w:r>
    </w:p>
    <w:p w14:paraId="34F7AE50">
      <w:pPr>
        <w:ind w:firstLine="480"/>
      </w:pPr>
      <w:r>
        <w:rPr>
          <w:rFonts w:hint="eastAsia"/>
        </w:rPr>
        <w:t>（4）</w:t>
      </w:r>
      <w:r>
        <w:t>环境风险潜势</w:t>
      </w:r>
      <w:r>
        <w:rPr>
          <w:rFonts w:hint="eastAsia"/>
        </w:rPr>
        <w:t>判定</w:t>
      </w:r>
    </w:p>
    <w:p w14:paraId="12C84AA5">
      <w:pPr>
        <w:ind w:firstLine="480"/>
      </w:pPr>
      <w:r>
        <w:rPr>
          <w:rFonts w:hint="eastAsia"/>
        </w:rPr>
        <w:t>根据本项目涉及的物质和工艺系统的危险性及其所在地的环境敏感程度，结合事故情形下环境影响途径，对潜在环境危害程度进行概化分析，确定各要素环境风险潜势等级，详见下表：</w:t>
      </w:r>
    </w:p>
    <w:p w14:paraId="432484D7">
      <w:pPr>
        <w:pStyle w:val="19"/>
        <w:spacing w:before="120" w:after="120"/>
        <w:rPr>
          <w:b/>
          <w:bCs/>
        </w:rPr>
      </w:pPr>
      <w:r>
        <w:rPr>
          <w:rFonts w:hint="eastAsia"/>
          <w:b/>
          <w:bCs/>
        </w:rPr>
        <w:t>表3.2-11  各要素环境风险潜势等级判定情况</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9"/>
        <w:gridCol w:w="1748"/>
        <w:gridCol w:w="1715"/>
        <w:gridCol w:w="2346"/>
        <w:gridCol w:w="2002"/>
      </w:tblGrid>
      <w:tr w14:paraId="0E53D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689" w:type="pct"/>
            <w:vAlign w:val="center"/>
          </w:tcPr>
          <w:p w14:paraId="6EF102F2">
            <w:pPr>
              <w:pStyle w:val="19"/>
              <w:spacing w:before="120" w:after="120"/>
            </w:pPr>
            <w:r>
              <w:t>环境要素</w:t>
            </w:r>
          </w:p>
        </w:tc>
        <w:tc>
          <w:tcPr>
            <w:tcW w:w="964" w:type="pct"/>
            <w:vAlign w:val="center"/>
          </w:tcPr>
          <w:p w14:paraId="44557643">
            <w:pPr>
              <w:pStyle w:val="19"/>
              <w:spacing w:before="120" w:after="120"/>
            </w:pPr>
            <w:r>
              <w:t>敏感程度分级E</w:t>
            </w:r>
          </w:p>
        </w:tc>
        <w:tc>
          <w:tcPr>
            <w:tcW w:w="946" w:type="pct"/>
            <w:vAlign w:val="center"/>
          </w:tcPr>
          <w:p w14:paraId="4D61808A">
            <w:pPr>
              <w:pStyle w:val="19"/>
              <w:spacing w:before="120" w:after="120"/>
            </w:pPr>
            <w:r>
              <w:t>危险物质及工艺系统危险性P</w:t>
            </w:r>
          </w:p>
        </w:tc>
        <w:tc>
          <w:tcPr>
            <w:tcW w:w="1294" w:type="pct"/>
            <w:vAlign w:val="center"/>
          </w:tcPr>
          <w:p w14:paraId="531BA647">
            <w:pPr>
              <w:pStyle w:val="19"/>
              <w:spacing w:before="120" w:after="120"/>
            </w:pPr>
            <w:r>
              <w:t>环境风险潜势判断</w:t>
            </w:r>
          </w:p>
        </w:tc>
        <w:tc>
          <w:tcPr>
            <w:tcW w:w="1104" w:type="pct"/>
            <w:vAlign w:val="center"/>
          </w:tcPr>
          <w:p w14:paraId="662C66EA">
            <w:pPr>
              <w:pStyle w:val="19"/>
              <w:spacing w:before="120" w:after="120"/>
            </w:pPr>
            <w:r>
              <w:rPr>
                <w:rFonts w:hint="eastAsia"/>
              </w:rPr>
              <w:t>本项目环境风险潜势综合等级</w:t>
            </w:r>
          </w:p>
        </w:tc>
      </w:tr>
      <w:tr w14:paraId="58A1D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9" w:type="pct"/>
            <w:vAlign w:val="center"/>
          </w:tcPr>
          <w:p w14:paraId="01073AE6">
            <w:pPr>
              <w:pStyle w:val="19"/>
              <w:spacing w:before="120" w:after="120"/>
            </w:pPr>
            <w:r>
              <w:t>大气</w:t>
            </w:r>
            <w:r>
              <w:rPr>
                <w:rFonts w:hint="eastAsia"/>
              </w:rPr>
              <w:t>环境</w:t>
            </w:r>
          </w:p>
        </w:tc>
        <w:tc>
          <w:tcPr>
            <w:tcW w:w="964" w:type="pct"/>
            <w:vAlign w:val="center"/>
          </w:tcPr>
          <w:p w14:paraId="4BA498DE">
            <w:pPr>
              <w:pStyle w:val="19"/>
              <w:spacing w:before="120" w:after="120"/>
            </w:pPr>
            <w:r>
              <w:t>E</w:t>
            </w:r>
            <w:r>
              <w:rPr>
                <w:rFonts w:hint="eastAsia"/>
              </w:rPr>
              <w:t>3</w:t>
            </w:r>
          </w:p>
        </w:tc>
        <w:tc>
          <w:tcPr>
            <w:tcW w:w="946" w:type="pct"/>
            <w:vMerge w:val="restart"/>
            <w:vAlign w:val="center"/>
          </w:tcPr>
          <w:p w14:paraId="4F64471B">
            <w:pPr>
              <w:pStyle w:val="19"/>
              <w:spacing w:before="120" w:after="120"/>
            </w:pPr>
            <w:r>
              <w:t>P</w:t>
            </w:r>
            <w:r>
              <w:rPr>
                <w:rFonts w:hint="eastAsia"/>
              </w:rPr>
              <w:t>4</w:t>
            </w:r>
          </w:p>
        </w:tc>
        <w:tc>
          <w:tcPr>
            <w:tcW w:w="1294" w:type="pct"/>
            <w:vAlign w:val="center"/>
          </w:tcPr>
          <w:p w14:paraId="1BFF4360">
            <w:pPr>
              <w:pStyle w:val="19"/>
              <w:spacing w:before="120" w:after="120"/>
            </w:pPr>
            <w:r>
              <w:t>I</w:t>
            </w:r>
          </w:p>
        </w:tc>
        <w:tc>
          <w:tcPr>
            <w:tcW w:w="1104" w:type="pct"/>
            <w:vMerge w:val="restart"/>
            <w:vAlign w:val="center"/>
          </w:tcPr>
          <w:p w14:paraId="34EBAF85">
            <w:pPr>
              <w:pStyle w:val="19"/>
              <w:spacing w:before="120" w:after="120"/>
            </w:pPr>
            <w:r>
              <w:t>I</w:t>
            </w:r>
          </w:p>
        </w:tc>
      </w:tr>
      <w:tr w14:paraId="3B89A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9" w:type="pct"/>
            <w:vAlign w:val="center"/>
          </w:tcPr>
          <w:p w14:paraId="15B505B1">
            <w:pPr>
              <w:pStyle w:val="19"/>
              <w:spacing w:before="120" w:after="120"/>
            </w:pPr>
            <w:r>
              <w:t>地表水</w:t>
            </w:r>
          </w:p>
        </w:tc>
        <w:tc>
          <w:tcPr>
            <w:tcW w:w="964" w:type="pct"/>
            <w:vAlign w:val="center"/>
          </w:tcPr>
          <w:p w14:paraId="098B2B15">
            <w:pPr>
              <w:pStyle w:val="19"/>
              <w:spacing w:before="120" w:after="120"/>
            </w:pPr>
            <w:r>
              <w:t>E</w:t>
            </w:r>
            <w:r>
              <w:rPr>
                <w:rFonts w:hint="eastAsia"/>
              </w:rPr>
              <w:t>3</w:t>
            </w:r>
          </w:p>
        </w:tc>
        <w:tc>
          <w:tcPr>
            <w:tcW w:w="946" w:type="pct"/>
            <w:vMerge w:val="continue"/>
            <w:vAlign w:val="center"/>
          </w:tcPr>
          <w:p w14:paraId="4DDC6969">
            <w:pPr>
              <w:pStyle w:val="19"/>
              <w:spacing w:before="120" w:after="120"/>
            </w:pPr>
          </w:p>
        </w:tc>
        <w:tc>
          <w:tcPr>
            <w:tcW w:w="1294" w:type="pct"/>
            <w:vAlign w:val="center"/>
          </w:tcPr>
          <w:p w14:paraId="44DE715B">
            <w:pPr>
              <w:pStyle w:val="19"/>
              <w:spacing w:before="120" w:after="120"/>
            </w:pPr>
            <w:r>
              <w:t>I</w:t>
            </w:r>
          </w:p>
        </w:tc>
        <w:tc>
          <w:tcPr>
            <w:tcW w:w="1104" w:type="pct"/>
            <w:vMerge w:val="continue"/>
            <w:vAlign w:val="center"/>
          </w:tcPr>
          <w:p w14:paraId="3EC0C94A">
            <w:pPr>
              <w:pStyle w:val="19"/>
              <w:spacing w:before="120" w:after="120"/>
            </w:pPr>
          </w:p>
        </w:tc>
      </w:tr>
      <w:tr w14:paraId="33F26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9" w:type="pct"/>
            <w:vAlign w:val="center"/>
          </w:tcPr>
          <w:p w14:paraId="0AB82076">
            <w:pPr>
              <w:pStyle w:val="19"/>
              <w:spacing w:before="120" w:after="120"/>
            </w:pPr>
            <w:r>
              <w:t>地下水</w:t>
            </w:r>
          </w:p>
        </w:tc>
        <w:tc>
          <w:tcPr>
            <w:tcW w:w="964" w:type="pct"/>
            <w:vAlign w:val="center"/>
          </w:tcPr>
          <w:p w14:paraId="79E10733">
            <w:pPr>
              <w:pStyle w:val="19"/>
              <w:spacing w:before="120" w:after="120"/>
            </w:pPr>
            <w:r>
              <w:t>E3</w:t>
            </w:r>
          </w:p>
        </w:tc>
        <w:tc>
          <w:tcPr>
            <w:tcW w:w="946" w:type="pct"/>
            <w:vMerge w:val="continue"/>
            <w:vAlign w:val="center"/>
          </w:tcPr>
          <w:p w14:paraId="209F27EB">
            <w:pPr>
              <w:pStyle w:val="19"/>
              <w:spacing w:before="120" w:after="120"/>
            </w:pPr>
          </w:p>
        </w:tc>
        <w:tc>
          <w:tcPr>
            <w:tcW w:w="1294" w:type="pct"/>
            <w:vAlign w:val="center"/>
          </w:tcPr>
          <w:p w14:paraId="5337C11E">
            <w:pPr>
              <w:pStyle w:val="19"/>
              <w:spacing w:before="120" w:after="120"/>
            </w:pPr>
            <w:r>
              <w:t>I</w:t>
            </w:r>
          </w:p>
        </w:tc>
        <w:tc>
          <w:tcPr>
            <w:tcW w:w="1104" w:type="pct"/>
            <w:vMerge w:val="continue"/>
            <w:vAlign w:val="center"/>
          </w:tcPr>
          <w:p w14:paraId="0C2E3F3C">
            <w:pPr>
              <w:pStyle w:val="19"/>
              <w:spacing w:before="120" w:after="120"/>
            </w:pPr>
          </w:p>
        </w:tc>
      </w:tr>
    </w:tbl>
    <w:p w14:paraId="332F065A">
      <w:pPr>
        <w:pStyle w:val="3"/>
        <w:ind w:firstLine="480"/>
      </w:pPr>
      <w:bookmarkStart w:id="175" w:name="_Toc13962"/>
      <w:bookmarkStart w:id="176" w:name="_Toc29356"/>
      <w:r>
        <w:rPr>
          <w:rFonts w:hint="eastAsia"/>
        </w:rPr>
        <w:t>3.3评价等级判定</w:t>
      </w:r>
      <w:bookmarkEnd w:id="175"/>
      <w:bookmarkEnd w:id="176"/>
    </w:p>
    <w:p w14:paraId="1AF6433F">
      <w:pPr>
        <w:ind w:firstLine="480"/>
      </w:pPr>
      <w:r>
        <w:rPr>
          <w:rFonts w:hint="eastAsia"/>
        </w:rPr>
        <w:t>环境风险评价工作等级划分为一级、二级、三级。根据建设项目涉及的物质及工艺系统危险性和所在地的环境敏感性确定环境风险潜势，风险潜势为Ⅳ及以上，进行一级评价；风险潜势为Ⅲ，进行二级评价；风险潜势为Ⅱ，进行三级评价；风险潜势为Ⅰ，可开展简单分析。环境</w:t>
      </w:r>
      <w:r>
        <w:t>风险评价工作等级划分</w:t>
      </w:r>
      <w:r>
        <w:rPr>
          <w:rFonts w:hint="eastAsia"/>
        </w:rPr>
        <w:t>依据见下表。</w:t>
      </w:r>
    </w:p>
    <w:p w14:paraId="655E7D00">
      <w:pPr>
        <w:pStyle w:val="19"/>
        <w:spacing w:before="120" w:after="120"/>
        <w:rPr>
          <w:b/>
          <w:bCs/>
        </w:rPr>
      </w:pPr>
      <w:r>
        <w:rPr>
          <w:rFonts w:hint="eastAsia"/>
          <w:b/>
          <w:bCs/>
        </w:rPr>
        <w:t>表3.2-1  环境</w:t>
      </w:r>
      <w:r>
        <w:rPr>
          <w:b/>
          <w:bCs/>
        </w:rPr>
        <w:t>风险评价工作等级划分</w:t>
      </w:r>
    </w:p>
    <w:tbl>
      <w:tblPr>
        <w:tblStyle w:val="15"/>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070"/>
        <w:gridCol w:w="2048"/>
        <w:gridCol w:w="871"/>
        <w:gridCol w:w="871"/>
        <w:gridCol w:w="2195"/>
      </w:tblGrid>
      <w:tr w14:paraId="7C32CA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trPr>
        <w:tc>
          <w:tcPr>
            <w:tcW w:w="1695" w:type="pct"/>
            <w:tcBorders>
              <w:top w:val="single" w:color="auto" w:sz="4" w:space="0"/>
              <w:left w:val="single" w:color="auto" w:sz="4" w:space="0"/>
            </w:tcBorders>
            <w:vAlign w:val="center"/>
          </w:tcPr>
          <w:p w14:paraId="68DCBF5F">
            <w:pPr>
              <w:pStyle w:val="19"/>
              <w:spacing w:before="120" w:after="120"/>
            </w:pPr>
            <w:r>
              <w:t>环境风险潜势</w:t>
            </w:r>
          </w:p>
        </w:tc>
        <w:tc>
          <w:tcPr>
            <w:tcW w:w="1131" w:type="pct"/>
            <w:tcBorders>
              <w:top w:val="single" w:color="auto" w:sz="4" w:space="0"/>
            </w:tcBorders>
            <w:vAlign w:val="center"/>
          </w:tcPr>
          <w:p w14:paraId="2FD9E0F4">
            <w:pPr>
              <w:pStyle w:val="19"/>
              <w:spacing w:before="120" w:after="120"/>
            </w:pPr>
            <w:r>
              <w:fldChar w:fldCharType="begin"/>
            </w:r>
            <w:r>
              <w:instrText xml:space="preserve"> = 4 \* ROMAN \* MERGEFORMAT </w:instrText>
            </w:r>
            <w:r>
              <w:fldChar w:fldCharType="separate"/>
            </w:r>
            <w:r>
              <w:t>IV</w:t>
            </w:r>
            <w:r>
              <w:fldChar w:fldCharType="end"/>
            </w:r>
            <w:r>
              <w:t>、</w:t>
            </w:r>
            <w:r>
              <w:fldChar w:fldCharType="begin"/>
            </w:r>
            <w:r>
              <w:instrText xml:space="preserve"> = 4 \* ROMAN \* MERGEFORMAT </w:instrText>
            </w:r>
            <w:r>
              <w:fldChar w:fldCharType="separate"/>
            </w:r>
            <w:r>
              <w:t>IV</w:t>
            </w:r>
            <w:r>
              <w:fldChar w:fldCharType="end"/>
            </w:r>
            <w:r>
              <w:rPr>
                <w:vertAlign w:val="superscript"/>
              </w:rPr>
              <w:t>+</w:t>
            </w:r>
          </w:p>
        </w:tc>
        <w:tc>
          <w:tcPr>
            <w:tcW w:w="481" w:type="pct"/>
            <w:tcBorders>
              <w:top w:val="single" w:color="auto" w:sz="4" w:space="0"/>
            </w:tcBorders>
            <w:vAlign w:val="center"/>
          </w:tcPr>
          <w:p w14:paraId="5D0DD967">
            <w:pPr>
              <w:pStyle w:val="19"/>
              <w:spacing w:before="120" w:after="120"/>
            </w:pPr>
            <w:r>
              <w:fldChar w:fldCharType="begin"/>
            </w:r>
            <w:r>
              <w:instrText xml:space="preserve"> = 3 \* ROMAN \* MERGEFORMAT </w:instrText>
            </w:r>
            <w:r>
              <w:fldChar w:fldCharType="separate"/>
            </w:r>
            <w:r>
              <w:t>III</w:t>
            </w:r>
            <w:r>
              <w:fldChar w:fldCharType="end"/>
            </w:r>
          </w:p>
        </w:tc>
        <w:tc>
          <w:tcPr>
            <w:tcW w:w="481" w:type="pct"/>
            <w:tcBorders>
              <w:top w:val="single" w:color="auto" w:sz="4" w:space="0"/>
            </w:tcBorders>
            <w:vAlign w:val="center"/>
          </w:tcPr>
          <w:p w14:paraId="2D41C086">
            <w:pPr>
              <w:pStyle w:val="19"/>
              <w:spacing w:before="120" w:after="120"/>
            </w:pPr>
            <w:r>
              <w:fldChar w:fldCharType="begin"/>
            </w:r>
            <w:r>
              <w:instrText xml:space="preserve"> = 2 \* ROMAN \* MERGEFORMAT </w:instrText>
            </w:r>
            <w:r>
              <w:fldChar w:fldCharType="separate"/>
            </w:r>
            <w:r>
              <w:t>II</w:t>
            </w:r>
            <w:r>
              <w:fldChar w:fldCharType="end"/>
            </w:r>
          </w:p>
        </w:tc>
        <w:tc>
          <w:tcPr>
            <w:tcW w:w="1209" w:type="pct"/>
            <w:tcBorders>
              <w:top w:val="single" w:color="auto" w:sz="4" w:space="0"/>
              <w:right w:val="single" w:color="auto" w:sz="4" w:space="0"/>
            </w:tcBorders>
            <w:vAlign w:val="center"/>
          </w:tcPr>
          <w:p w14:paraId="679A4A0B">
            <w:pPr>
              <w:pStyle w:val="19"/>
              <w:spacing w:before="120" w:after="120"/>
            </w:pPr>
            <w:r>
              <w:fldChar w:fldCharType="begin"/>
            </w:r>
            <w:r>
              <w:instrText xml:space="preserve"> = 1 \* ROMAN \* MERGEFORMAT </w:instrText>
            </w:r>
            <w:r>
              <w:fldChar w:fldCharType="separate"/>
            </w:r>
            <w:r>
              <w:t>I</w:t>
            </w:r>
            <w:r>
              <w:fldChar w:fldCharType="end"/>
            </w:r>
          </w:p>
        </w:tc>
      </w:tr>
      <w:tr w14:paraId="59E175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5" w:type="pct"/>
            <w:tcBorders>
              <w:left w:val="single" w:color="auto" w:sz="4" w:space="0"/>
            </w:tcBorders>
            <w:vAlign w:val="center"/>
          </w:tcPr>
          <w:p w14:paraId="24C8F101">
            <w:pPr>
              <w:pStyle w:val="19"/>
              <w:spacing w:before="120" w:after="120"/>
            </w:pPr>
            <w:r>
              <w:t>评价工作等级</w:t>
            </w:r>
          </w:p>
        </w:tc>
        <w:tc>
          <w:tcPr>
            <w:tcW w:w="1131" w:type="pct"/>
            <w:vAlign w:val="center"/>
          </w:tcPr>
          <w:p w14:paraId="5B6FCE8D">
            <w:pPr>
              <w:pStyle w:val="19"/>
              <w:spacing w:before="120" w:after="120"/>
            </w:pPr>
            <w:r>
              <w:t>一</w:t>
            </w:r>
          </w:p>
        </w:tc>
        <w:tc>
          <w:tcPr>
            <w:tcW w:w="481" w:type="pct"/>
            <w:vAlign w:val="center"/>
          </w:tcPr>
          <w:p w14:paraId="70399763">
            <w:pPr>
              <w:pStyle w:val="19"/>
              <w:spacing w:before="120" w:after="120"/>
            </w:pPr>
            <w:r>
              <w:t>二</w:t>
            </w:r>
          </w:p>
        </w:tc>
        <w:tc>
          <w:tcPr>
            <w:tcW w:w="481" w:type="pct"/>
            <w:vAlign w:val="center"/>
          </w:tcPr>
          <w:p w14:paraId="004464C8">
            <w:pPr>
              <w:pStyle w:val="19"/>
              <w:spacing w:before="120" w:after="120"/>
            </w:pPr>
            <w:r>
              <w:t>三</w:t>
            </w:r>
          </w:p>
        </w:tc>
        <w:tc>
          <w:tcPr>
            <w:tcW w:w="1209" w:type="pct"/>
            <w:tcBorders>
              <w:right w:val="single" w:color="auto" w:sz="4" w:space="0"/>
            </w:tcBorders>
            <w:vAlign w:val="center"/>
          </w:tcPr>
          <w:p w14:paraId="3A483EB8">
            <w:pPr>
              <w:pStyle w:val="19"/>
              <w:spacing w:before="120" w:after="120"/>
            </w:pPr>
            <w:r>
              <w:t>简单分析</w:t>
            </w:r>
            <w:r>
              <w:rPr>
                <w:rFonts w:hint="eastAsia"/>
                <w:vertAlign w:val="superscript"/>
              </w:rPr>
              <w:t>a</w:t>
            </w:r>
          </w:p>
        </w:tc>
      </w:tr>
      <w:tr w14:paraId="46972F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5"/>
            <w:tcBorders>
              <w:left w:val="single" w:color="auto" w:sz="4" w:space="0"/>
              <w:bottom w:val="single" w:color="auto" w:sz="4" w:space="0"/>
              <w:right w:val="single" w:color="auto" w:sz="4" w:space="0"/>
            </w:tcBorders>
            <w:vAlign w:val="center"/>
          </w:tcPr>
          <w:p w14:paraId="6CCF8B93">
            <w:pPr>
              <w:pStyle w:val="19"/>
              <w:spacing w:beforeLines="0" w:afterLines="0"/>
              <w:jc w:val="left"/>
            </w:pPr>
            <w:r>
              <w:rPr>
                <w:sz w:val="20"/>
                <w:szCs w:val="16"/>
              </w:rPr>
              <w:t>a</w:t>
            </w:r>
            <w:r>
              <w:rPr>
                <w:rFonts w:hint="eastAsia"/>
                <w:sz w:val="20"/>
                <w:szCs w:val="16"/>
              </w:rPr>
              <w:t>是相对于详细评价工作内容而言，在描述危险物质、环境影响途径、环境危害后果、风险防范措施等方面给出定性的说明。见附录</w:t>
            </w:r>
            <w:r>
              <w:rPr>
                <w:sz w:val="20"/>
                <w:szCs w:val="16"/>
              </w:rPr>
              <w:t>A</w:t>
            </w:r>
            <w:r>
              <w:rPr>
                <w:rFonts w:hint="eastAsia"/>
                <w:sz w:val="20"/>
                <w:szCs w:val="16"/>
              </w:rPr>
              <w:t>。</w:t>
            </w:r>
          </w:p>
        </w:tc>
      </w:tr>
    </w:tbl>
    <w:p w14:paraId="2CAA3F4B">
      <w:pPr>
        <w:ind w:firstLine="480"/>
      </w:pPr>
      <w:r>
        <w:rPr>
          <w:rFonts w:hint="eastAsia"/>
        </w:rPr>
        <w:t>根据环境风险潜势结果，确定本项目环境</w:t>
      </w:r>
      <w:r>
        <w:t>风险评价工作等级</w:t>
      </w:r>
      <w:r>
        <w:rPr>
          <w:rFonts w:hint="eastAsia"/>
        </w:rPr>
        <w:t>为</w:t>
      </w:r>
      <w:r>
        <w:fldChar w:fldCharType="begin"/>
      </w:r>
      <w:r>
        <w:instrText xml:space="preserve"> = 1 \* ROMAN \* MERGEFORMAT </w:instrText>
      </w:r>
      <w:r>
        <w:fldChar w:fldCharType="separate"/>
      </w:r>
      <w:r>
        <w:t>I</w:t>
      </w:r>
      <w:r>
        <w:fldChar w:fldCharType="end"/>
      </w:r>
      <w:r>
        <w:rPr>
          <w:rFonts w:hint="eastAsia"/>
        </w:rPr>
        <w:t>，开展简单分析。</w:t>
      </w:r>
    </w:p>
    <w:p w14:paraId="3CF64DDC">
      <w:pPr>
        <w:pStyle w:val="3"/>
        <w:ind w:firstLine="480"/>
      </w:pPr>
      <w:bookmarkStart w:id="177" w:name="_Toc28208"/>
      <w:bookmarkStart w:id="178" w:name="_Toc25391"/>
      <w:r>
        <w:rPr>
          <w:rFonts w:hint="eastAsia"/>
        </w:rPr>
        <w:t>3.4评价内容</w:t>
      </w:r>
      <w:bookmarkEnd w:id="177"/>
      <w:bookmarkEnd w:id="178"/>
    </w:p>
    <w:p w14:paraId="0EDBACEF">
      <w:pPr>
        <w:ind w:firstLine="480"/>
      </w:pPr>
      <w:r>
        <w:rPr>
          <w:rFonts w:hint="eastAsia"/>
        </w:rPr>
        <w:t>根据《建设项目环境风险评价技术导则》（</w:t>
      </w:r>
      <w:r>
        <w:t>HJ169-2018</w:t>
      </w:r>
      <w:r>
        <w:rPr>
          <w:rFonts w:hint="eastAsia"/>
        </w:rPr>
        <w:t>）附录A，环境</w:t>
      </w:r>
      <w:r>
        <w:t>风险评价</w:t>
      </w:r>
      <w:r>
        <w:rPr>
          <w:rFonts w:hint="eastAsia"/>
        </w:rPr>
        <w:t>简单分析除风险潜势初判、评价等级判定等内容外，还应包括以下内容：</w:t>
      </w:r>
    </w:p>
    <w:p w14:paraId="1D681426">
      <w:pPr>
        <w:numPr>
          <w:ilvl w:val="0"/>
          <w:numId w:val="15"/>
        </w:numPr>
        <w:ind w:firstLine="480"/>
      </w:pPr>
      <w:r>
        <w:t>环境敏感目标概况</w:t>
      </w:r>
      <w:r>
        <w:rPr>
          <w:rFonts w:hint="eastAsia"/>
        </w:rPr>
        <w:t>；</w:t>
      </w:r>
    </w:p>
    <w:p w14:paraId="0C72C355">
      <w:pPr>
        <w:numPr>
          <w:ilvl w:val="0"/>
          <w:numId w:val="15"/>
        </w:numPr>
        <w:ind w:firstLine="480"/>
      </w:pPr>
      <w:r>
        <w:t>环境风险识别</w:t>
      </w:r>
      <w:r>
        <w:rPr>
          <w:rFonts w:hint="eastAsia"/>
        </w:rPr>
        <w:t>；</w:t>
      </w:r>
    </w:p>
    <w:p w14:paraId="776BF0B0">
      <w:pPr>
        <w:numPr>
          <w:ilvl w:val="0"/>
          <w:numId w:val="15"/>
        </w:numPr>
        <w:ind w:firstLine="480"/>
      </w:pPr>
      <w:r>
        <w:t>环境风险分析</w:t>
      </w:r>
      <w:r>
        <w:rPr>
          <w:rFonts w:hint="eastAsia"/>
        </w:rPr>
        <w:t>；</w:t>
      </w:r>
    </w:p>
    <w:p w14:paraId="41EA9882">
      <w:pPr>
        <w:numPr>
          <w:ilvl w:val="0"/>
          <w:numId w:val="15"/>
        </w:numPr>
        <w:ind w:firstLine="480"/>
      </w:pPr>
      <w:r>
        <w:t>环境风险防范措施及应急要求</w:t>
      </w:r>
      <w:r>
        <w:rPr>
          <w:rFonts w:hint="eastAsia"/>
        </w:rPr>
        <w:t>；</w:t>
      </w:r>
    </w:p>
    <w:p w14:paraId="6CA35894">
      <w:pPr>
        <w:numPr>
          <w:ilvl w:val="0"/>
          <w:numId w:val="15"/>
        </w:numPr>
        <w:ind w:firstLine="480"/>
        <w:sectPr>
          <w:pgSz w:w="11906" w:h="16838"/>
          <w:pgMar w:top="1701" w:right="1531" w:bottom="1701" w:left="1531" w:header="851" w:footer="851" w:gutter="0"/>
          <w:pgNumType w:fmt="numberInDash"/>
          <w:cols w:space="720" w:num="1"/>
          <w:docGrid w:linePitch="312" w:charSpace="0"/>
        </w:sectPr>
      </w:pPr>
      <w:r>
        <w:t>分析结论</w:t>
      </w:r>
      <w:r>
        <w:rPr>
          <w:rFonts w:hint="eastAsia"/>
        </w:rPr>
        <w:t>。</w:t>
      </w:r>
    </w:p>
    <w:p w14:paraId="6993952A">
      <w:pPr>
        <w:pStyle w:val="2"/>
        <w:numPr>
          <w:ilvl w:val="0"/>
          <w:numId w:val="14"/>
        </w:numPr>
        <w:jc w:val="left"/>
      </w:pPr>
      <w:bookmarkStart w:id="179" w:name="_Toc2264"/>
      <w:bookmarkStart w:id="180" w:name="_Toc6126"/>
      <w:r>
        <w:t>环境敏感目标概况</w:t>
      </w:r>
      <w:bookmarkEnd w:id="179"/>
      <w:bookmarkEnd w:id="180"/>
    </w:p>
    <w:p w14:paraId="18C2F274">
      <w:pPr>
        <w:ind w:firstLine="480"/>
      </w:pPr>
      <w:r>
        <w:rPr>
          <w:rFonts w:hint="eastAsia"/>
        </w:rPr>
        <w:t>本项目位于鄂托克经济开发区蒙西产业园，根据现场调查，本项目拟建区域不涉及环境敏感区，评价区内无濒危动植物、水源地、名胜古迹、自然保护区、温泉、疗养地等特殊环境敏感区。</w:t>
      </w:r>
    </w:p>
    <w:p w14:paraId="79CD6033">
      <w:pPr>
        <w:ind w:firstLine="480"/>
      </w:pPr>
      <w:r>
        <w:rPr>
          <w:rFonts w:hint="eastAsia"/>
        </w:rPr>
        <w:t>根据</w:t>
      </w:r>
      <w:r>
        <w:t>建设项目环境影响报告表编制技术指南</w:t>
      </w:r>
      <w:r>
        <w:rPr>
          <w:rFonts w:hint="eastAsia"/>
        </w:rPr>
        <w:t>（污染影响类）（试行）》相关要求，本次评价设置大气环境保护目标范围为厂界外500m范围内，</w:t>
      </w:r>
      <w:r>
        <w:t>声环境</w:t>
      </w:r>
      <w:r>
        <w:rPr>
          <w:rFonts w:hint="eastAsia"/>
        </w:rPr>
        <w:t>保护</w:t>
      </w:r>
      <w:r>
        <w:t>目标为</w:t>
      </w:r>
      <w:r>
        <w:rPr>
          <w:rFonts w:hint="eastAsia"/>
        </w:rPr>
        <w:t>厂界外</w:t>
      </w:r>
      <w:r>
        <w:t>50m范围内</w:t>
      </w:r>
      <w:r>
        <w:rPr>
          <w:rFonts w:hint="eastAsia"/>
        </w:rPr>
        <w:t>，地下水环境保护目标范围为厂界外500m范围内，</w:t>
      </w:r>
      <w:r>
        <w:t>土壤</w:t>
      </w:r>
      <w:r>
        <w:rPr>
          <w:rFonts w:hint="eastAsia"/>
        </w:rPr>
        <w:t>环境保护目标范围为厂界外500m范围内。</w:t>
      </w:r>
    </w:p>
    <w:p w14:paraId="72814C3B">
      <w:pPr>
        <w:ind w:firstLine="480"/>
      </w:pPr>
      <w:r>
        <w:rPr>
          <w:rFonts w:hint="eastAsia"/>
        </w:rPr>
        <w:t>评价范围内各环境要素的主要环境敏感目标见下表。</w:t>
      </w:r>
    </w:p>
    <w:p w14:paraId="4CA8CC2E">
      <w:pPr>
        <w:pStyle w:val="19"/>
        <w:spacing w:before="120" w:after="120"/>
        <w:rPr>
          <w:bCs/>
          <w:kern w:val="44"/>
          <w:szCs w:val="30"/>
        </w:rPr>
      </w:pPr>
      <w:r>
        <w:rPr>
          <w:b/>
          <w:bCs/>
        </w:rPr>
        <w:t>表</w:t>
      </w:r>
      <w:r>
        <w:rPr>
          <w:rFonts w:hint="eastAsia"/>
          <w:b/>
          <w:bCs/>
        </w:rPr>
        <w:t xml:space="preserve">4.1-1  </w:t>
      </w:r>
      <w:r>
        <w:rPr>
          <w:b/>
          <w:bCs/>
        </w:rPr>
        <w:t>各环境要素环境保护目标一览表</w:t>
      </w:r>
    </w:p>
    <w:tbl>
      <w:tblPr>
        <w:tblStyle w:val="1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17"/>
        <w:gridCol w:w="1684"/>
        <w:gridCol w:w="965"/>
        <w:gridCol w:w="965"/>
        <w:gridCol w:w="953"/>
        <w:gridCol w:w="3065"/>
      </w:tblGrid>
      <w:tr w14:paraId="1595E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4" w:hRule="atLeast"/>
          <w:jc w:val="center"/>
        </w:trPr>
        <w:tc>
          <w:tcPr>
            <w:tcW w:w="688" w:type="pct"/>
            <w:tcBorders>
              <w:tl2br w:val="nil"/>
              <w:tr2bl w:val="nil"/>
            </w:tcBorders>
            <w:vAlign w:val="center"/>
          </w:tcPr>
          <w:p w14:paraId="640FC892">
            <w:pPr>
              <w:pStyle w:val="19"/>
              <w:spacing w:before="120" w:after="120"/>
            </w:pPr>
            <w:r>
              <w:t>环境要素</w:t>
            </w:r>
          </w:p>
        </w:tc>
        <w:tc>
          <w:tcPr>
            <w:tcW w:w="951" w:type="pct"/>
            <w:tcBorders>
              <w:tl2br w:val="nil"/>
              <w:tr2bl w:val="nil"/>
            </w:tcBorders>
            <w:vAlign w:val="center"/>
          </w:tcPr>
          <w:p w14:paraId="065FFE31">
            <w:pPr>
              <w:pStyle w:val="19"/>
              <w:spacing w:before="120" w:after="120"/>
            </w:pPr>
            <w:r>
              <w:t>保护目标名称</w:t>
            </w:r>
          </w:p>
        </w:tc>
        <w:tc>
          <w:tcPr>
            <w:tcW w:w="545" w:type="pct"/>
            <w:tcBorders>
              <w:tl2br w:val="nil"/>
              <w:tr2bl w:val="nil"/>
            </w:tcBorders>
            <w:vAlign w:val="center"/>
          </w:tcPr>
          <w:p w14:paraId="3E478316">
            <w:pPr>
              <w:pStyle w:val="19"/>
              <w:spacing w:before="120" w:after="120"/>
            </w:pPr>
            <w:r>
              <w:t>方位</w:t>
            </w:r>
          </w:p>
        </w:tc>
        <w:tc>
          <w:tcPr>
            <w:tcW w:w="545" w:type="pct"/>
            <w:tcBorders>
              <w:tl2br w:val="nil"/>
              <w:tr2bl w:val="nil"/>
            </w:tcBorders>
            <w:vAlign w:val="center"/>
          </w:tcPr>
          <w:p w14:paraId="0CCE198F">
            <w:pPr>
              <w:pStyle w:val="19"/>
              <w:spacing w:before="120" w:after="120"/>
            </w:pPr>
            <w:r>
              <w:t>距离</w:t>
            </w:r>
            <w:r>
              <w:rPr>
                <w:rFonts w:hint="eastAsia"/>
              </w:rPr>
              <w:t>（</w:t>
            </w:r>
            <w:r>
              <w:t>m</w:t>
            </w:r>
            <w:r>
              <w:rPr>
                <w:rFonts w:hint="eastAsia"/>
              </w:rPr>
              <w:t>）</w:t>
            </w:r>
          </w:p>
        </w:tc>
        <w:tc>
          <w:tcPr>
            <w:tcW w:w="536" w:type="pct"/>
            <w:tcBorders>
              <w:tl2br w:val="nil"/>
              <w:tr2bl w:val="nil"/>
            </w:tcBorders>
            <w:vAlign w:val="center"/>
          </w:tcPr>
          <w:p w14:paraId="3C2B6652">
            <w:pPr>
              <w:pStyle w:val="19"/>
              <w:spacing w:before="120" w:after="120"/>
            </w:pPr>
            <w:r>
              <w:t>人数（人</w:t>
            </w:r>
            <w:r>
              <w:rPr>
                <w:rFonts w:hint="eastAsia"/>
              </w:rPr>
              <w:t>）</w:t>
            </w:r>
          </w:p>
        </w:tc>
        <w:tc>
          <w:tcPr>
            <w:tcW w:w="1731" w:type="pct"/>
            <w:tcBorders>
              <w:tl2br w:val="nil"/>
              <w:tr2bl w:val="nil"/>
            </w:tcBorders>
            <w:vAlign w:val="center"/>
          </w:tcPr>
          <w:p w14:paraId="4A0354D4">
            <w:pPr>
              <w:pStyle w:val="19"/>
              <w:spacing w:before="120" w:after="120"/>
            </w:pPr>
            <w:r>
              <w:t>保护级别</w:t>
            </w:r>
          </w:p>
        </w:tc>
      </w:tr>
      <w:tr w14:paraId="2E6A7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88" w:type="pct"/>
            <w:tcBorders>
              <w:tl2br w:val="nil"/>
              <w:tr2bl w:val="nil"/>
            </w:tcBorders>
            <w:vAlign w:val="center"/>
          </w:tcPr>
          <w:p w14:paraId="33EE9ED4">
            <w:pPr>
              <w:pStyle w:val="19"/>
              <w:spacing w:before="120" w:after="120"/>
            </w:pPr>
            <w:r>
              <w:t>大气环境</w:t>
            </w:r>
          </w:p>
        </w:tc>
        <w:tc>
          <w:tcPr>
            <w:tcW w:w="2579" w:type="pct"/>
            <w:gridSpan w:val="4"/>
            <w:tcBorders>
              <w:tl2br w:val="nil"/>
              <w:tr2bl w:val="nil"/>
            </w:tcBorders>
            <w:vAlign w:val="center"/>
          </w:tcPr>
          <w:p w14:paraId="52296631">
            <w:pPr>
              <w:pStyle w:val="19"/>
              <w:spacing w:before="120" w:after="120"/>
            </w:pPr>
            <w:r>
              <w:t>厂界外500m范围内</w:t>
            </w:r>
            <w:r>
              <w:rPr>
                <w:rFonts w:hint="eastAsia"/>
              </w:rPr>
              <w:t>，</w:t>
            </w:r>
            <w:r>
              <w:t>无环境敏感目标</w:t>
            </w:r>
          </w:p>
        </w:tc>
        <w:tc>
          <w:tcPr>
            <w:tcW w:w="1731" w:type="pct"/>
            <w:tcBorders>
              <w:tl2br w:val="nil"/>
              <w:tr2bl w:val="nil"/>
            </w:tcBorders>
            <w:vAlign w:val="center"/>
          </w:tcPr>
          <w:p w14:paraId="2DBD8A5C">
            <w:pPr>
              <w:pStyle w:val="19"/>
              <w:spacing w:before="120" w:after="120"/>
            </w:pPr>
            <w:r>
              <w:t>《环境空气质量标准》（GB3095-2012</w:t>
            </w:r>
            <w:r>
              <w:rPr>
                <w:rFonts w:hint="eastAsia"/>
              </w:rPr>
              <w:t>）</w:t>
            </w:r>
            <w:r>
              <w:t>及修改单二级标准</w:t>
            </w:r>
          </w:p>
        </w:tc>
      </w:tr>
      <w:tr w14:paraId="187C5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9" w:hRule="atLeast"/>
          <w:jc w:val="center"/>
        </w:trPr>
        <w:tc>
          <w:tcPr>
            <w:tcW w:w="688" w:type="pct"/>
            <w:tcBorders>
              <w:tl2br w:val="nil"/>
              <w:tr2bl w:val="nil"/>
            </w:tcBorders>
            <w:vAlign w:val="center"/>
          </w:tcPr>
          <w:p w14:paraId="020826C5">
            <w:pPr>
              <w:pStyle w:val="19"/>
              <w:spacing w:before="120" w:after="120"/>
            </w:pPr>
            <w:r>
              <w:t>声环境</w:t>
            </w:r>
          </w:p>
        </w:tc>
        <w:tc>
          <w:tcPr>
            <w:tcW w:w="2579" w:type="pct"/>
            <w:gridSpan w:val="4"/>
            <w:tcBorders>
              <w:tl2br w:val="nil"/>
              <w:tr2bl w:val="nil"/>
            </w:tcBorders>
            <w:vAlign w:val="center"/>
          </w:tcPr>
          <w:p w14:paraId="0D15BBA7">
            <w:pPr>
              <w:pStyle w:val="19"/>
              <w:spacing w:before="120" w:after="120"/>
            </w:pPr>
            <w:r>
              <w:t>厂界外50m范围内</w:t>
            </w:r>
            <w:r>
              <w:rPr>
                <w:rFonts w:hint="eastAsia"/>
              </w:rPr>
              <w:t>，</w:t>
            </w:r>
            <w:r>
              <w:t>无声环境敏感目标</w:t>
            </w:r>
          </w:p>
        </w:tc>
        <w:tc>
          <w:tcPr>
            <w:tcW w:w="1731" w:type="pct"/>
            <w:tcBorders>
              <w:tl2br w:val="nil"/>
              <w:tr2bl w:val="nil"/>
            </w:tcBorders>
            <w:vAlign w:val="center"/>
          </w:tcPr>
          <w:p w14:paraId="77E705D9">
            <w:pPr>
              <w:pStyle w:val="19"/>
              <w:spacing w:before="120" w:after="120"/>
            </w:pPr>
            <w:r>
              <w:t>《声环境质量标准》（GB3096-2008</w:t>
            </w:r>
            <w:r>
              <w:rPr>
                <w:rFonts w:hint="eastAsia"/>
              </w:rPr>
              <w:t>）</w:t>
            </w:r>
            <w:r>
              <w:t>3类区标准</w:t>
            </w:r>
          </w:p>
        </w:tc>
      </w:tr>
      <w:tr w14:paraId="10E87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88" w:type="pct"/>
            <w:tcBorders>
              <w:tl2br w:val="nil"/>
              <w:tr2bl w:val="nil"/>
            </w:tcBorders>
            <w:vAlign w:val="center"/>
          </w:tcPr>
          <w:p w14:paraId="19E6ADD1">
            <w:pPr>
              <w:pStyle w:val="19"/>
              <w:spacing w:before="120" w:after="120"/>
            </w:pPr>
            <w:r>
              <w:t>地下水</w:t>
            </w:r>
            <w:r>
              <w:rPr>
                <w:rFonts w:hint="eastAsia"/>
              </w:rPr>
              <w:t>环境</w:t>
            </w:r>
          </w:p>
        </w:tc>
        <w:tc>
          <w:tcPr>
            <w:tcW w:w="2579" w:type="pct"/>
            <w:gridSpan w:val="4"/>
            <w:tcBorders>
              <w:tl2br w:val="nil"/>
              <w:tr2bl w:val="nil"/>
            </w:tcBorders>
            <w:vAlign w:val="center"/>
          </w:tcPr>
          <w:p w14:paraId="0F447E2B">
            <w:pPr>
              <w:pStyle w:val="19"/>
              <w:spacing w:before="120" w:after="120"/>
            </w:pPr>
            <w:r>
              <w:rPr>
                <w:rFonts w:hint="eastAsia"/>
              </w:rPr>
              <w:t>厂</w:t>
            </w:r>
            <w:r>
              <w:t>界外500m范围内</w:t>
            </w:r>
            <w:r>
              <w:rPr>
                <w:rFonts w:hint="eastAsia"/>
              </w:rPr>
              <w:t>，</w:t>
            </w:r>
            <w:r>
              <w:t>无环境敏感目标</w:t>
            </w:r>
          </w:p>
        </w:tc>
        <w:tc>
          <w:tcPr>
            <w:tcW w:w="1731" w:type="pct"/>
            <w:tcBorders>
              <w:tl2br w:val="nil"/>
              <w:tr2bl w:val="nil"/>
            </w:tcBorders>
            <w:vAlign w:val="center"/>
          </w:tcPr>
          <w:p w14:paraId="20CB68B0">
            <w:pPr>
              <w:pStyle w:val="19"/>
              <w:spacing w:before="120" w:after="120"/>
            </w:pPr>
            <w:r>
              <w:t>《地下水质量标准》（GB/T14848-2017</w:t>
            </w:r>
            <w:r>
              <w:rPr>
                <w:rFonts w:hint="eastAsia"/>
              </w:rPr>
              <w:t>）</w:t>
            </w:r>
            <w:r>
              <w:fldChar w:fldCharType="begin"/>
            </w:r>
            <w:r>
              <w:instrText xml:space="preserve"> = 3 \* ROMAN \* MERGEFORMAT </w:instrText>
            </w:r>
            <w:r>
              <w:fldChar w:fldCharType="separate"/>
            </w:r>
            <w:r>
              <w:t>III</w:t>
            </w:r>
            <w:r>
              <w:fldChar w:fldCharType="end"/>
            </w:r>
            <w:r>
              <w:t>类标准</w:t>
            </w:r>
          </w:p>
        </w:tc>
      </w:tr>
      <w:tr w14:paraId="5A48A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688" w:type="pct"/>
            <w:tcBorders>
              <w:tl2br w:val="nil"/>
              <w:tr2bl w:val="nil"/>
            </w:tcBorders>
            <w:vAlign w:val="center"/>
          </w:tcPr>
          <w:p w14:paraId="13FC80F1">
            <w:pPr>
              <w:pStyle w:val="19"/>
              <w:spacing w:before="120" w:after="120"/>
            </w:pPr>
            <w:r>
              <w:t>土壤</w:t>
            </w:r>
            <w:r>
              <w:rPr>
                <w:rFonts w:hint="eastAsia"/>
              </w:rPr>
              <w:t>环境</w:t>
            </w:r>
          </w:p>
        </w:tc>
        <w:tc>
          <w:tcPr>
            <w:tcW w:w="2579" w:type="pct"/>
            <w:gridSpan w:val="4"/>
            <w:tcBorders>
              <w:tl2br w:val="nil"/>
              <w:tr2bl w:val="nil"/>
            </w:tcBorders>
            <w:vAlign w:val="center"/>
          </w:tcPr>
          <w:p w14:paraId="27A66E75">
            <w:pPr>
              <w:pStyle w:val="19"/>
              <w:spacing w:before="120" w:after="120"/>
            </w:pPr>
            <w:r>
              <w:rPr>
                <w:rFonts w:hint="eastAsia"/>
              </w:rPr>
              <w:t>厂</w:t>
            </w:r>
            <w:r>
              <w:t>界外500m范围内</w:t>
            </w:r>
            <w:r>
              <w:rPr>
                <w:rFonts w:hint="eastAsia"/>
              </w:rPr>
              <w:t>，</w:t>
            </w:r>
            <w:r>
              <w:t>无环境敏感目标</w:t>
            </w:r>
          </w:p>
        </w:tc>
        <w:tc>
          <w:tcPr>
            <w:tcW w:w="1731" w:type="pct"/>
            <w:tcBorders>
              <w:tl2br w:val="nil"/>
              <w:tr2bl w:val="nil"/>
            </w:tcBorders>
            <w:vAlign w:val="center"/>
          </w:tcPr>
          <w:p w14:paraId="43651B49">
            <w:pPr>
              <w:pStyle w:val="19"/>
              <w:spacing w:before="120" w:after="120"/>
            </w:pPr>
            <w:r>
              <w:t>《建设用地土壤污染风险管控标准（试行</w:t>
            </w:r>
            <w:r>
              <w:rPr>
                <w:rFonts w:hint="eastAsia"/>
              </w:rPr>
              <w:t>）</w:t>
            </w:r>
            <w:r>
              <w:t>》（GB26600-2018</w:t>
            </w:r>
            <w:r>
              <w:rPr>
                <w:rFonts w:hint="eastAsia"/>
              </w:rPr>
              <w:t>）</w:t>
            </w:r>
            <w:r>
              <w:t>第二类建设用地的筛选值</w:t>
            </w:r>
          </w:p>
        </w:tc>
      </w:tr>
    </w:tbl>
    <w:p w14:paraId="4B1F5188">
      <w:pPr>
        <w:ind w:firstLine="480"/>
      </w:pPr>
    </w:p>
    <w:p w14:paraId="6FE13970">
      <w:pPr>
        <w:ind w:firstLine="480"/>
      </w:pPr>
    </w:p>
    <w:p w14:paraId="17FB25BB">
      <w:pPr>
        <w:ind w:firstLine="480"/>
      </w:pPr>
    </w:p>
    <w:p w14:paraId="61EF85AD">
      <w:pPr>
        <w:ind w:firstLine="480"/>
        <w:sectPr>
          <w:pgSz w:w="11906" w:h="16838"/>
          <w:pgMar w:top="1701" w:right="1531" w:bottom="1701" w:left="1531" w:header="851" w:footer="851" w:gutter="0"/>
          <w:pgNumType w:fmt="numberInDash"/>
          <w:cols w:space="720" w:num="1"/>
          <w:docGrid w:linePitch="312" w:charSpace="0"/>
        </w:sectPr>
      </w:pPr>
    </w:p>
    <w:p w14:paraId="537AA613">
      <w:pPr>
        <w:pStyle w:val="2"/>
        <w:numPr>
          <w:ilvl w:val="0"/>
          <w:numId w:val="14"/>
        </w:numPr>
        <w:jc w:val="left"/>
      </w:pPr>
      <w:bookmarkStart w:id="181" w:name="_Toc6082"/>
      <w:bookmarkStart w:id="182" w:name="_Toc24640"/>
      <w:r>
        <w:t>环境风险识别</w:t>
      </w:r>
      <w:bookmarkEnd w:id="181"/>
      <w:bookmarkEnd w:id="182"/>
    </w:p>
    <w:p w14:paraId="6EF3A099">
      <w:pPr>
        <w:ind w:firstLine="480"/>
      </w:pPr>
      <w:r>
        <w:rPr>
          <w:rFonts w:hint="eastAsia"/>
        </w:rPr>
        <w:t>根据《建设项目环境风险评价技术导则》（HJ169-2018），风险识别的内容包括物质危险性识别、生产系统危险性识别和危险物质向环境转移的途径识别。</w:t>
      </w:r>
    </w:p>
    <w:p w14:paraId="503DDF8B">
      <w:pPr>
        <w:ind w:firstLine="480"/>
      </w:pPr>
      <w:r>
        <w:rPr>
          <w:rFonts w:hint="eastAsia"/>
        </w:rPr>
        <w:t>物质风险识别包括主要原辅材料、燃料、中间产品、副产品、最终产品、污染物、火灾和爆炸伴生/次生物等。</w:t>
      </w:r>
    </w:p>
    <w:p w14:paraId="1274F54A">
      <w:pPr>
        <w:ind w:firstLine="480"/>
      </w:pPr>
      <w:r>
        <w:rPr>
          <w:rFonts w:hint="eastAsia"/>
        </w:rPr>
        <w:t>生产系统危险性识别包括主要生产装置、储运设施、公用工程和辅助生产设施，以及环境保护设施等。</w:t>
      </w:r>
    </w:p>
    <w:p w14:paraId="2DF099D6">
      <w:pPr>
        <w:ind w:firstLine="480"/>
      </w:pPr>
      <w:r>
        <w:rPr>
          <w:rFonts w:hint="eastAsia"/>
        </w:rPr>
        <w:t>危险物质向环境转移的途径识别，包括分析危险物质特性及可能的环境风险类型，识别危险物质影响环境的途径，分析可能影响的环境敏感目标。</w:t>
      </w:r>
    </w:p>
    <w:p w14:paraId="39753BD4">
      <w:pPr>
        <w:pStyle w:val="3"/>
        <w:ind w:firstLine="480"/>
      </w:pPr>
      <w:bookmarkStart w:id="183" w:name="_Toc30487"/>
      <w:bookmarkStart w:id="184" w:name="_Toc27470"/>
      <w:r>
        <w:rPr>
          <w:rFonts w:hint="eastAsia"/>
        </w:rPr>
        <w:t>5.1物质风险识别</w:t>
      </w:r>
      <w:bookmarkEnd w:id="183"/>
      <w:bookmarkEnd w:id="184"/>
    </w:p>
    <w:p w14:paraId="7BE735B0">
      <w:pPr>
        <w:ind w:firstLine="480"/>
        <w:rPr>
          <w:color w:val="000000"/>
        </w:rPr>
      </w:pPr>
      <w:r>
        <w:rPr>
          <w:rFonts w:hint="eastAsia"/>
        </w:rPr>
        <w:t>物质风险识别按《建设项目环境风险评价技术导则》（HJ169-2018）附录B，对项目涉及的有毒有害、易燃易爆物质进行危险性识别和综合评价，筛选出风险评价因子。根据《危险化学品重大危险源辨识》（GB18218-2021）和《企业突发环境事件风险分级方法》（HJ941-2018）附录A等相关标准，对运输车辆运输、存储的物质的有毒有害性、易燃易爆性进行识别。</w:t>
      </w:r>
      <w:r>
        <w:rPr>
          <w:rFonts w:hint="eastAsia"/>
          <w:color w:val="000000"/>
        </w:rPr>
        <w:t>物质危险性判定标准见下表：</w:t>
      </w:r>
    </w:p>
    <w:p w14:paraId="583E34F7">
      <w:pPr>
        <w:pStyle w:val="19"/>
        <w:spacing w:before="120" w:after="120"/>
        <w:rPr>
          <w:b/>
          <w:bCs/>
        </w:rPr>
      </w:pPr>
      <w:r>
        <w:rPr>
          <w:rFonts w:hint="eastAsia"/>
          <w:b/>
          <w:bCs/>
        </w:rPr>
        <w:t>表5.1-1  物质危险性标准</w:t>
      </w:r>
    </w:p>
    <w:tbl>
      <w:tblPr>
        <w:tblStyle w:val="15"/>
        <w:tblW w:w="505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99"/>
        <w:gridCol w:w="747"/>
        <w:gridCol w:w="2087"/>
        <w:gridCol w:w="2297"/>
        <w:gridCol w:w="2927"/>
      </w:tblGrid>
      <w:tr w14:paraId="75F58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jc w:val="center"/>
        </w:trPr>
        <w:tc>
          <w:tcPr>
            <w:tcW w:w="502" w:type="pct"/>
            <w:shd w:val="clear" w:color="auto" w:fill="FFFFFF"/>
            <w:vAlign w:val="center"/>
          </w:tcPr>
          <w:p w14:paraId="3B4979DE">
            <w:pPr>
              <w:pStyle w:val="19"/>
              <w:spacing w:before="120" w:after="120"/>
            </w:pPr>
            <w:r>
              <w:rPr>
                <w:rFonts w:hint="eastAsia"/>
              </w:rPr>
              <w:t>物质类别</w:t>
            </w:r>
          </w:p>
        </w:tc>
        <w:tc>
          <w:tcPr>
            <w:tcW w:w="416" w:type="pct"/>
            <w:shd w:val="clear" w:color="auto" w:fill="FFFFFF"/>
            <w:vAlign w:val="center"/>
          </w:tcPr>
          <w:p w14:paraId="0F754948">
            <w:pPr>
              <w:pStyle w:val="19"/>
              <w:spacing w:before="120" w:after="120"/>
            </w:pPr>
            <w:r>
              <w:rPr>
                <w:rFonts w:hint="eastAsia"/>
              </w:rPr>
              <w:t>等级</w:t>
            </w:r>
          </w:p>
        </w:tc>
        <w:tc>
          <w:tcPr>
            <w:tcW w:w="1165" w:type="pct"/>
            <w:shd w:val="clear" w:color="auto" w:fill="FFFFFF"/>
            <w:vAlign w:val="center"/>
          </w:tcPr>
          <w:p w14:paraId="3FD98E30">
            <w:pPr>
              <w:pStyle w:val="19"/>
              <w:spacing w:before="120" w:after="120"/>
            </w:pPr>
            <w:r>
              <w:t>LD</w:t>
            </w:r>
            <w:r>
              <w:rPr>
                <w:rFonts w:hint="eastAsia"/>
                <w:vertAlign w:val="subscript"/>
              </w:rPr>
              <w:t>50</w:t>
            </w:r>
            <w:r>
              <w:rPr>
                <w:rFonts w:hint="eastAsia"/>
              </w:rPr>
              <w:t>（大鼠经口</w:t>
            </w:r>
            <w:r>
              <w:t>)g/kg</w:t>
            </w:r>
          </w:p>
        </w:tc>
        <w:tc>
          <w:tcPr>
            <w:tcW w:w="1282" w:type="pct"/>
            <w:shd w:val="clear" w:color="auto" w:fill="FFFFFF"/>
            <w:vAlign w:val="center"/>
          </w:tcPr>
          <w:p w14:paraId="0DE66E0D">
            <w:pPr>
              <w:pStyle w:val="19"/>
              <w:spacing w:before="120" w:after="120"/>
            </w:pPr>
            <w:r>
              <w:t>LD</w:t>
            </w:r>
            <w:r>
              <w:rPr>
                <w:rFonts w:hint="eastAsia"/>
                <w:vertAlign w:val="subscript"/>
              </w:rPr>
              <w:t>50</w:t>
            </w:r>
            <w:r>
              <w:rPr>
                <w:rFonts w:hint="eastAsia"/>
              </w:rPr>
              <w:t>（大鼠经皮）</w:t>
            </w:r>
            <w:r>
              <w:t>mg/kg</w:t>
            </w:r>
          </w:p>
        </w:tc>
        <w:tc>
          <w:tcPr>
            <w:tcW w:w="1632" w:type="pct"/>
            <w:shd w:val="clear" w:color="auto" w:fill="FFFFFF"/>
            <w:vAlign w:val="center"/>
          </w:tcPr>
          <w:p w14:paraId="3DE8C57D">
            <w:pPr>
              <w:pStyle w:val="19"/>
              <w:spacing w:before="120" w:after="120"/>
            </w:pPr>
            <w:r>
              <w:t>LC</w:t>
            </w:r>
            <w:r>
              <w:rPr>
                <w:rFonts w:hint="eastAsia"/>
                <w:vertAlign w:val="subscript"/>
              </w:rPr>
              <w:t>50</w:t>
            </w:r>
            <w:r>
              <w:rPr>
                <w:rFonts w:hint="eastAsia"/>
              </w:rPr>
              <w:t>（小鼠吸入、</w:t>
            </w:r>
            <w:r>
              <w:t>4</w:t>
            </w:r>
            <w:r>
              <w:rPr>
                <w:rFonts w:hint="eastAsia"/>
              </w:rPr>
              <w:t>小时）</w:t>
            </w:r>
            <w:r>
              <w:t>mg/L</w:t>
            </w:r>
          </w:p>
        </w:tc>
      </w:tr>
      <w:tr w14:paraId="60096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2" w:type="pct"/>
            <w:vMerge w:val="restart"/>
            <w:shd w:val="clear" w:color="auto" w:fill="FFFFFF"/>
            <w:vAlign w:val="center"/>
          </w:tcPr>
          <w:p w14:paraId="2C09CF5D">
            <w:pPr>
              <w:pStyle w:val="19"/>
              <w:spacing w:before="120" w:after="120"/>
            </w:pPr>
            <w:r>
              <w:rPr>
                <w:rFonts w:hint="eastAsia"/>
              </w:rPr>
              <w:t>有毒物质</w:t>
            </w:r>
          </w:p>
        </w:tc>
        <w:tc>
          <w:tcPr>
            <w:tcW w:w="416" w:type="pct"/>
            <w:shd w:val="clear" w:color="auto" w:fill="FFFFFF"/>
            <w:vAlign w:val="center"/>
          </w:tcPr>
          <w:p w14:paraId="5085DE1F">
            <w:pPr>
              <w:pStyle w:val="19"/>
              <w:spacing w:before="120" w:after="120"/>
            </w:pPr>
            <w:r>
              <w:t>1</w:t>
            </w:r>
          </w:p>
        </w:tc>
        <w:tc>
          <w:tcPr>
            <w:tcW w:w="1165" w:type="pct"/>
            <w:shd w:val="clear" w:color="auto" w:fill="FFFFFF"/>
            <w:vAlign w:val="center"/>
          </w:tcPr>
          <w:p w14:paraId="1C3658EF">
            <w:pPr>
              <w:pStyle w:val="19"/>
              <w:spacing w:before="120" w:after="120"/>
            </w:pPr>
            <w:r>
              <w:t>&lt;5</w:t>
            </w:r>
          </w:p>
        </w:tc>
        <w:tc>
          <w:tcPr>
            <w:tcW w:w="1282" w:type="pct"/>
            <w:shd w:val="clear" w:color="auto" w:fill="FFFFFF"/>
            <w:vAlign w:val="center"/>
          </w:tcPr>
          <w:p w14:paraId="736B2A8F">
            <w:pPr>
              <w:pStyle w:val="19"/>
              <w:spacing w:before="120" w:after="120"/>
            </w:pPr>
            <w:r>
              <w:t>&lt;1</w:t>
            </w:r>
          </w:p>
        </w:tc>
        <w:tc>
          <w:tcPr>
            <w:tcW w:w="1632" w:type="pct"/>
            <w:shd w:val="clear" w:color="auto" w:fill="FFFFFF"/>
            <w:vAlign w:val="center"/>
          </w:tcPr>
          <w:p w14:paraId="301A594C">
            <w:pPr>
              <w:pStyle w:val="19"/>
              <w:spacing w:before="120" w:after="120"/>
            </w:pPr>
            <w:r>
              <w:t>&lt;0.01</w:t>
            </w:r>
          </w:p>
        </w:tc>
      </w:tr>
      <w:tr w14:paraId="1C863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2" w:type="pct"/>
            <w:vMerge w:val="continue"/>
            <w:shd w:val="clear" w:color="auto" w:fill="FFFFFF"/>
            <w:vAlign w:val="center"/>
          </w:tcPr>
          <w:p w14:paraId="3AC2A1E1">
            <w:pPr>
              <w:pStyle w:val="19"/>
              <w:spacing w:before="120" w:after="120"/>
            </w:pPr>
          </w:p>
        </w:tc>
        <w:tc>
          <w:tcPr>
            <w:tcW w:w="416" w:type="pct"/>
            <w:shd w:val="clear" w:color="auto" w:fill="FFFFFF"/>
            <w:vAlign w:val="center"/>
          </w:tcPr>
          <w:p w14:paraId="34EB709A">
            <w:pPr>
              <w:pStyle w:val="19"/>
              <w:spacing w:before="120" w:after="120"/>
            </w:pPr>
            <w:r>
              <w:t>2</w:t>
            </w:r>
          </w:p>
        </w:tc>
        <w:tc>
          <w:tcPr>
            <w:tcW w:w="1165" w:type="pct"/>
            <w:shd w:val="clear" w:color="auto" w:fill="FFFFFF"/>
            <w:vAlign w:val="center"/>
          </w:tcPr>
          <w:p w14:paraId="6E686508">
            <w:pPr>
              <w:pStyle w:val="19"/>
              <w:spacing w:before="120" w:after="120"/>
            </w:pPr>
            <w:r>
              <w:t>5&lt;LD</w:t>
            </w:r>
            <w:r>
              <w:rPr>
                <w:rFonts w:hint="eastAsia"/>
                <w:vertAlign w:val="subscript"/>
              </w:rPr>
              <w:t>50</w:t>
            </w:r>
            <w:r>
              <w:t>&lt;25</w:t>
            </w:r>
          </w:p>
        </w:tc>
        <w:tc>
          <w:tcPr>
            <w:tcW w:w="1282" w:type="pct"/>
            <w:shd w:val="clear" w:color="auto" w:fill="FFFFFF"/>
            <w:vAlign w:val="center"/>
          </w:tcPr>
          <w:p w14:paraId="773A8EA5">
            <w:pPr>
              <w:pStyle w:val="19"/>
              <w:spacing w:before="120" w:after="120"/>
            </w:pPr>
            <w:r>
              <w:t>10&lt;LD</w:t>
            </w:r>
            <w:r>
              <w:rPr>
                <w:rFonts w:hint="eastAsia"/>
                <w:vertAlign w:val="subscript"/>
              </w:rPr>
              <w:t>50</w:t>
            </w:r>
            <w:r>
              <w:t>&lt;50</w:t>
            </w:r>
          </w:p>
        </w:tc>
        <w:tc>
          <w:tcPr>
            <w:tcW w:w="1632" w:type="pct"/>
            <w:shd w:val="clear" w:color="auto" w:fill="FFFFFF"/>
            <w:vAlign w:val="center"/>
          </w:tcPr>
          <w:p w14:paraId="27834DC5">
            <w:pPr>
              <w:pStyle w:val="19"/>
              <w:spacing w:before="120" w:after="120"/>
            </w:pPr>
            <w:r>
              <w:t>0.1&lt;LD</w:t>
            </w:r>
            <w:r>
              <w:rPr>
                <w:rFonts w:hint="eastAsia"/>
                <w:vertAlign w:val="subscript"/>
              </w:rPr>
              <w:t>50</w:t>
            </w:r>
            <w:r>
              <w:t>&lt;0.5</w:t>
            </w:r>
          </w:p>
        </w:tc>
      </w:tr>
      <w:tr w14:paraId="7BE76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2" w:type="pct"/>
            <w:vMerge w:val="continue"/>
            <w:shd w:val="clear" w:color="auto" w:fill="FFFFFF"/>
            <w:vAlign w:val="center"/>
          </w:tcPr>
          <w:p w14:paraId="00645EC8">
            <w:pPr>
              <w:pStyle w:val="19"/>
              <w:spacing w:before="120" w:after="120"/>
            </w:pPr>
          </w:p>
        </w:tc>
        <w:tc>
          <w:tcPr>
            <w:tcW w:w="416" w:type="pct"/>
            <w:shd w:val="clear" w:color="auto" w:fill="FFFFFF"/>
            <w:vAlign w:val="center"/>
          </w:tcPr>
          <w:p w14:paraId="2C078BCB">
            <w:pPr>
              <w:pStyle w:val="19"/>
              <w:spacing w:before="120" w:after="120"/>
            </w:pPr>
            <w:r>
              <w:t>3</w:t>
            </w:r>
          </w:p>
        </w:tc>
        <w:tc>
          <w:tcPr>
            <w:tcW w:w="1165" w:type="pct"/>
            <w:shd w:val="clear" w:color="auto" w:fill="FFFFFF"/>
            <w:vAlign w:val="center"/>
          </w:tcPr>
          <w:p w14:paraId="734F1510">
            <w:pPr>
              <w:pStyle w:val="19"/>
              <w:spacing w:before="120" w:after="120"/>
            </w:pPr>
            <w:r>
              <w:t>25&lt;LD</w:t>
            </w:r>
            <w:r>
              <w:rPr>
                <w:rFonts w:hint="eastAsia"/>
                <w:vertAlign w:val="subscript"/>
              </w:rPr>
              <w:t>50</w:t>
            </w:r>
            <w:r>
              <w:t>&lt;200</w:t>
            </w:r>
          </w:p>
        </w:tc>
        <w:tc>
          <w:tcPr>
            <w:tcW w:w="1282" w:type="pct"/>
            <w:shd w:val="clear" w:color="auto" w:fill="FFFFFF"/>
            <w:vAlign w:val="center"/>
          </w:tcPr>
          <w:p w14:paraId="03DC886D">
            <w:pPr>
              <w:pStyle w:val="19"/>
              <w:spacing w:before="120" w:after="120"/>
            </w:pPr>
            <w:r>
              <w:t>50&lt;LD</w:t>
            </w:r>
            <w:r>
              <w:rPr>
                <w:rFonts w:hint="eastAsia"/>
                <w:vertAlign w:val="subscript"/>
              </w:rPr>
              <w:t>50</w:t>
            </w:r>
            <w:r>
              <w:t>&lt;400</w:t>
            </w:r>
          </w:p>
        </w:tc>
        <w:tc>
          <w:tcPr>
            <w:tcW w:w="1632" w:type="pct"/>
            <w:shd w:val="clear" w:color="auto" w:fill="FFFFFF"/>
            <w:vAlign w:val="center"/>
          </w:tcPr>
          <w:p w14:paraId="371DE8D3">
            <w:pPr>
              <w:pStyle w:val="19"/>
              <w:spacing w:before="120" w:after="120"/>
            </w:pPr>
            <w:r>
              <w:t>0.5&lt;LD</w:t>
            </w:r>
            <w:r>
              <w:rPr>
                <w:rFonts w:hint="eastAsia"/>
                <w:vertAlign w:val="subscript"/>
              </w:rPr>
              <w:t>50</w:t>
            </w:r>
            <w:r>
              <w:t>&lt;2</w:t>
            </w:r>
          </w:p>
        </w:tc>
      </w:tr>
      <w:tr w14:paraId="37302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2" w:type="pct"/>
            <w:vMerge w:val="restart"/>
            <w:shd w:val="clear" w:color="auto" w:fill="FFFFFF"/>
            <w:vAlign w:val="center"/>
          </w:tcPr>
          <w:p w14:paraId="4E54FA46">
            <w:pPr>
              <w:pStyle w:val="19"/>
              <w:spacing w:before="120" w:after="120"/>
            </w:pPr>
            <w:r>
              <w:rPr>
                <w:rFonts w:hint="eastAsia"/>
              </w:rPr>
              <w:t>易燃物质</w:t>
            </w:r>
          </w:p>
        </w:tc>
        <w:tc>
          <w:tcPr>
            <w:tcW w:w="416" w:type="pct"/>
            <w:shd w:val="clear" w:color="auto" w:fill="FFFFFF"/>
            <w:vAlign w:val="center"/>
          </w:tcPr>
          <w:p w14:paraId="669B153B">
            <w:pPr>
              <w:pStyle w:val="19"/>
              <w:spacing w:before="120" w:after="120"/>
            </w:pPr>
            <w:r>
              <w:t>1</w:t>
            </w:r>
          </w:p>
        </w:tc>
        <w:tc>
          <w:tcPr>
            <w:tcW w:w="4080" w:type="pct"/>
            <w:gridSpan w:val="3"/>
            <w:shd w:val="clear" w:color="auto" w:fill="FFFFFF"/>
            <w:vAlign w:val="center"/>
          </w:tcPr>
          <w:p w14:paraId="5590E7D8">
            <w:pPr>
              <w:pStyle w:val="19"/>
              <w:spacing w:before="120" w:after="120"/>
            </w:pPr>
            <w:r>
              <w:rPr>
                <w:rFonts w:hint="eastAsia"/>
              </w:rPr>
              <w:t>可燃气体——在常压下以气态存在并与空气混合形成可燃混合物：其沸点（常压下）是</w:t>
            </w:r>
            <w:r>
              <w:t>20</w:t>
            </w:r>
            <w:r>
              <w:rPr>
                <w:rFonts w:hint="eastAsia"/>
              </w:rPr>
              <w:t>℃或</w:t>
            </w:r>
            <w:r>
              <w:t>20</w:t>
            </w:r>
            <w:r>
              <w:rPr>
                <w:rFonts w:hint="eastAsia"/>
              </w:rPr>
              <w:t>℃以下的物质</w:t>
            </w:r>
          </w:p>
        </w:tc>
      </w:tr>
      <w:tr w14:paraId="09843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2" w:type="pct"/>
            <w:vMerge w:val="continue"/>
            <w:shd w:val="clear" w:color="auto" w:fill="FFFFFF"/>
            <w:vAlign w:val="center"/>
          </w:tcPr>
          <w:p w14:paraId="7A4EB25A">
            <w:pPr>
              <w:pStyle w:val="19"/>
              <w:spacing w:before="120" w:after="120"/>
            </w:pPr>
          </w:p>
        </w:tc>
        <w:tc>
          <w:tcPr>
            <w:tcW w:w="416" w:type="pct"/>
            <w:shd w:val="clear" w:color="auto" w:fill="FFFFFF"/>
            <w:vAlign w:val="center"/>
          </w:tcPr>
          <w:p w14:paraId="66F5EC3E">
            <w:pPr>
              <w:pStyle w:val="19"/>
              <w:spacing w:before="120" w:after="120"/>
            </w:pPr>
            <w:r>
              <w:t>2</w:t>
            </w:r>
          </w:p>
        </w:tc>
        <w:tc>
          <w:tcPr>
            <w:tcW w:w="4080" w:type="pct"/>
            <w:gridSpan w:val="3"/>
            <w:shd w:val="clear" w:color="auto" w:fill="FFFFFF"/>
            <w:vAlign w:val="center"/>
          </w:tcPr>
          <w:p w14:paraId="62366F26">
            <w:pPr>
              <w:pStyle w:val="19"/>
              <w:spacing w:before="120" w:after="120"/>
            </w:pPr>
            <w:r>
              <w:rPr>
                <w:rFonts w:hint="eastAsia"/>
              </w:rPr>
              <w:t>易燃液体——闪点低子</w:t>
            </w:r>
            <w:r>
              <w:t>2</w:t>
            </w:r>
            <w:r>
              <w:rPr>
                <w:rFonts w:hint="eastAsia"/>
              </w:rPr>
              <w:t>1℃，沸点高于</w:t>
            </w:r>
            <w:r>
              <w:t>20</w:t>
            </w:r>
            <w:r>
              <w:rPr>
                <w:rFonts w:hint="eastAsia"/>
              </w:rPr>
              <w:t>℃的物质</w:t>
            </w:r>
          </w:p>
        </w:tc>
      </w:tr>
      <w:tr w14:paraId="720A9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02" w:type="pct"/>
            <w:vMerge w:val="continue"/>
            <w:shd w:val="clear" w:color="auto" w:fill="FFFFFF"/>
            <w:vAlign w:val="center"/>
          </w:tcPr>
          <w:p w14:paraId="15F66B59">
            <w:pPr>
              <w:pStyle w:val="19"/>
              <w:spacing w:before="120" w:after="120"/>
            </w:pPr>
          </w:p>
        </w:tc>
        <w:tc>
          <w:tcPr>
            <w:tcW w:w="416" w:type="pct"/>
            <w:shd w:val="clear" w:color="auto" w:fill="FFFFFF"/>
            <w:vAlign w:val="center"/>
          </w:tcPr>
          <w:p w14:paraId="0E1F3DE3">
            <w:pPr>
              <w:pStyle w:val="19"/>
              <w:spacing w:before="120" w:after="120"/>
            </w:pPr>
            <w:r>
              <w:t>3</w:t>
            </w:r>
          </w:p>
        </w:tc>
        <w:tc>
          <w:tcPr>
            <w:tcW w:w="4080" w:type="pct"/>
            <w:gridSpan w:val="3"/>
            <w:shd w:val="clear" w:color="auto" w:fill="FFFFFF"/>
            <w:vAlign w:val="center"/>
          </w:tcPr>
          <w:p w14:paraId="1DC0ABCB">
            <w:pPr>
              <w:pStyle w:val="19"/>
              <w:spacing w:before="120" w:after="120"/>
            </w:pPr>
            <w:r>
              <w:rPr>
                <w:rFonts w:hint="eastAsia"/>
              </w:rPr>
              <w:t>可燃液体闪点低于</w:t>
            </w:r>
            <w:r>
              <w:t>55</w:t>
            </w:r>
            <w:r>
              <w:rPr>
                <w:rFonts w:hint="eastAsia"/>
              </w:rPr>
              <w:t>℃，压力下保持液态，在实际操作条件下（高温高压下）可引起重大亊故的物质</w:t>
            </w:r>
          </w:p>
        </w:tc>
      </w:tr>
      <w:tr w14:paraId="61CE9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19" w:type="pct"/>
            <w:gridSpan w:val="2"/>
            <w:shd w:val="clear" w:color="auto" w:fill="FFFFFF"/>
            <w:vAlign w:val="center"/>
          </w:tcPr>
          <w:p w14:paraId="2B5D6F90">
            <w:pPr>
              <w:pStyle w:val="19"/>
              <w:spacing w:before="120" w:after="120"/>
            </w:pPr>
            <w:r>
              <w:rPr>
                <w:rFonts w:hint="eastAsia"/>
              </w:rPr>
              <w:t>爆炸性物质</w:t>
            </w:r>
          </w:p>
        </w:tc>
        <w:tc>
          <w:tcPr>
            <w:tcW w:w="4080" w:type="pct"/>
            <w:gridSpan w:val="3"/>
            <w:shd w:val="clear" w:color="auto" w:fill="FFFFFF"/>
            <w:vAlign w:val="center"/>
          </w:tcPr>
          <w:p w14:paraId="40ED4053">
            <w:pPr>
              <w:pStyle w:val="19"/>
              <w:spacing w:before="120" w:after="120"/>
            </w:pPr>
            <w:r>
              <w:rPr>
                <w:rFonts w:hint="eastAsia"/>
              </w:rPr>
              <w:t>在火焰影响下可以爆炸，或者对冲击、摩擦比硝基苯更为敏感的物质</w:t>
            </w:r>
          </w:p>
        </w:tc>
      </w:tr>
      <w:tr w14:paraId="0EB04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00" w:type="pct"/>
            <w:gridSpan w:val="5"/>
            <w:shd w:val="clear" w:color="auto" w:fill="FFFFFF"/>
            <w:vAlign w:val="center"/>
          </w:tcPr>
          <w:p w14:paraId="6013972E">
            <w:pPr>
              <w:pStyle w:val="19"/>
              <w:spacing w:beforeLines="0" w:afterLines="0"/>
            </w:pPr>
            <w:r>
              <w:rPr>
                <w:rFonts w:hint="eastAsia"/>
                <w:sz w:val="18"/>
                <w:szCs w:val="15"/>
              </w:rPr>
              <w:t>注：</w:t>
            </w:r>
            <w:r>
              <w:rPr>
                <w:rFonts w:hint="eastAsia"/>
                <w:color w:val="000000"/>
                <w:sz w:val="18"/>
                <w:szCs w:val="15"/>
              </w:rPr>
              <w:t>（1）有毒物质判定标准序号为</w:t>
            </w:r>
            <w:r>
              <w:rPr>
                <w:color w:val="000000"/>
                <w:sz w:val="18"/>
                <w:szCs w:val="15"/>
              </w:rPr>
              <w:t>1</w:t>
            </w:r>
            <w:r>
              <w:rPr>
                <w:rFonts w:hint="eastAsia"/>
                <w:color w:val="000000"/>
                <w:sz w:val="18"/>
                <w:szCs w:val="15"/>
              </w:rPr>
              <w:t>、</w:t>
            </w:r>
            <w:r>
              <w:rPr>
                <w:color w:val="000000"/>
                <w:sz w:val="18"/>
                <w:szCs w:val="15"/>
              </w:rPr>
              <w:t>2</w:t>
            </w:r>
            <w:r>
              <w:rPr>
                <w:rFonts w:hint="eastAsia"/>
                <w:color w:val="000000"/>
                <w:sz w:val="18"/>
                <w:szCs w:val="15"/>
              </w:rPr>
              <w:t>的物质属于剧毒物质：符合有毒物质判定标准序号</w:t>
            </w:r>
            <w:r>
              <w:rPr>
                <w:color w:val="000000"/>
                <w:sz w:val="18"/>
                <w:szCs w:val="15"/>
              </w:rPr>
              <w:t>3</w:t>
            </w:r>
            <w:r>
              <w:rPr>
                <w:rFonts w:hint="eastAsia"/>
                <w:color w:val="000000"/>
                <w:sz w:val="18"/>
                <w:szCs w:val="15"/>
              </w:rPr>
              <w:t>的属于一般毒物：（2）凡符合表中易燃物质和爆炸性物质标准的物质，均视为火灾、爆炸危险物质。</w:t>
            </w:r>
          </w:p>
        </w:tc>
      </w:tr>
    </w:tbl>
    <w:p w14:paraId="0E7DBCD4">
      <w:pPr>
        <w:pStyle w:val="19"/>
        <w:spacing w:before="120" w:after="120"/>
        <w:rPr>
          <w:b/>
          <w:bCs/>
        </w:rPr>
      </w:pPr>
      <w:r>
        <w:rPr>
          <w:rFonts w:hint="eastAsia"/>
          <w:b/>
          <w:bCs/>
        </w:rPr>
        <w:t>表5.1-2  可燃气体的火灾危险性分类</w:t>
      </w:r>
    </w:p>
    <w:tbl>
      <w:tblPr>
        <w:tblStyle w:val="1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59"/>
        <w:gridCol w:w="7793"/>
      </w:tblGrid>
      <w:tr w14:paraId="3C6CA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98" w:type="pct"/>
            <w:shd w:val="clear" w:color="auto" w:fill="FFFFFF"/>
            <w:vAlign w:val="center"/>
          </w:tcPr>
          <w:p w14:paraId="577A46C8">
            <w:pPr>
              <w:pStyle w:val="19"/>
              <w:spacing w:before="120" w:after="120"/>
            </w:pPr>
            <w:r>
              <w:rPr>
                <w:rFonts w:hint="eastAsia"/>
              </w:rPr>
              <w:t>类别</w:t>
            </w:r>
          </w:p>
        </w:tc>
        <w:tc>
          <w:tcPr>
            <w:tcW w:w="4401" w:type="pct"/>
            <w:shd w:val="clear" w:color="auto" w:fill="FFFFFF"/>
            <w:vAlign w:val="center"/>
          </w:tcPr>
          <w:p w14:paraId="4E5010B8">
            <w:pPr>
              <w:pStyle w:val="19"/>
              <w:spacing w:before="120" w:after="120"/>
            </w:pPr>
            <w:r>
              <w:rPr>
                <w:rFonts w:hint="eastAsia"/>
              </w:rPr>
              <w:t>可燃气体与空气混合物的爆炸下限</w:t>
            </w:r>
          </w:p>
        </w:tc>
      </w:tr>
      <w:tr w14:paraId="3CD0C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98" w:type="pct"/>
            <w:shd w:val="clear" w:color="auto" w:fill="FFFFFF"/>
            <w:vAlign w:val="center"/>
          </w:tcPr>
          <w:p w14:paraId="22A50D73">
            <w:pPr>
              <w:pStyle w:val="19"/>
              <w:spacing w:before="120" w:after="120"/>
            </w:pPr>
            <w:r>
              <w:rPr>
                <w:rFonts w:hint="eastAsia"/>
              </w:rPr>
              <w:t>甲</w:t>
            </w:r>
          </w:p>
        </w:tc>
        <w:tc>
          <w:tcPr>
            <w:tcW w:w="4401" w:type="pct"/>
            <w:shd w:val="clear" w:color="auto" w:fill="FFFFFF"/>
            <w:vAlign w:val="center"/>
          </w:tcPr>
          <w:p w14:paraId="1CE426EF">
            <w:pPr>
              <w:pStyle w:val="19"/>
              <w:spacing w:before="120" w:after="120"/>
            </w:pPr>
            <w:r>
              <w:t>&lt;10%</w:t>
            </w:r>
            <w:r>
              <w:rPr>
                <w:rFonts w:hint="eastAsia"/>
              </w:rPr>
              <w:t>（</w:t>
            </w:r>
            <w:r>
              <w:rPr>
                <w:rFonts w:hint="eastAsia"/>
                <w:lang w:val="en-US" w:eastAsia="zh-CN"/>
              </w:rPr>
              <w:t>体积</w:t>
            </w:r>
            <w:r>
              <w:rPr>
                <w:rFonts w:hint="eastAsia"/>
              </w:rPr>
              <w:t>）</w:t>
            </w:r>
          </w:p>
        </w:tc>
      </w:tr>
      <w:tr w14:paraId="329CB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98" w:type="pct"/>
            <w:shd w:val="clear" w:color="auto" w:fill="FFFFFF"/>
            <w:vAlign w:val="center"/>
          </w:tcPr>
          <w:p w14:paraId="340C9CFD">
            <w:pPr>
              <w:pStyle w:val="19"/>
              <w:spacing w:before="120" w:after="120"/>
            </w:pPr>
            <w:r>
              <w:rPr>
                <w:rFonts w:hint="eastAsia"/>
              </w:rPr>
              <w:t>乙</w:t>
            </w:r>
          </w:p>
        </w:tc>
        <w:tc>
          <w:tcPr>
            <w:tcW w:w="4401" w:type="pct"/>
            <w:shd w:val="clear" w:color="auto" w:fill="FFFFFF"/>
            <w:vAlign w:val="center"/>
          </w:tcPr>
          <w:p w14:paraId="0A9DFC33">
            <w:pPr>
              <w:pStyle w:val="19"/>
              <w:spacing w:before="120" w:after="120"/>
            </w:pPr>
            <w:r>
              <w:t>&gt;10%</w:t>
            </w:r>
            <w:r>
              <w:rPr>
                <w:rFonts w:hint="eastAsia"/>
              </w:rPr>
              <w:t>（</w:t>
            </w:r>
            <w:r>
              <w:rPr>
                <w:rFonts w:hint="eastAsia"/>
                <w:lang w:val="en-US" w:eastAsia="zh-CN"/>
              </w:rPr>
              <w:t>体积</w:t>
            </w:r>
            <w:bookmarkStart w:id="239" w:name="_GoBack"/>
            <w:bookmarkEnd w:id="239"/>
            <w:r>
              <w:rPr>
                <w:rFonts w:hint="eastAsia"/>
              </w:rPr>
              <w:t>）</w:t>
            </w:r>
          </w:p>
        </w:tc>
      </w:tr>
    </w:tbl>
    <w:p w14:paraId="08E3EC96">
      <w:pPr>
        <w:pStyle w:val="19"/>
        <w:spacing w:before="120" w:after="120"/>
        <w:rPr>
          <w:b/>
          <w:bCs/>
        </w:rPr>
      </w:pPr>
      <w:r>
        <w:rPr>
          <w:rFonts w:hint="eastAsia"/>
          <w:b/>
          <w:bCs/>
        </w:rPr>
        <w:t>表5.1-3  液化烃、可燃液体的火灾危险性分类</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45"/>
        <w:gridCol w:w="576"/>
        <w:gridCol w:w="1340"/>
        <w:gridCol w:w="6293"/>
      </w:tblGrid>
      <w:tr w14:paraId="20A23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88" w:type="pct"/>
            <w:gridSpan w:val="2"/>
            <w:shd w:val="clear" w:color="auto" w:fill="FFFFFF"/>
            <w:vAlign w:val="center"/>
          </w:tcPr>
          <w:p w14:paraId="79CBF72E">
            <w:pPr>
              <w:pStyle w:val="19"/>
              <w:spacing w:before="120" w:after="120"/>
            </w:pPr>
            <w:r>
              <w:rPr>
                <w:rFonts w:hint="eastAsia"/>
              </w:rPr>
              <w:t>类别</w:t>
            </w:r>
          </w:p>
        </w:tc>
        <w:tc>
          <w:tcPr>
            <w:tcW w:w="757" w:type="pct"/>
            <w:shd w:val="clear" w:color="auto" w:fill="FFFFFF"/>
            <w:vAlign w:val="center"/>
          </w:tcPr>
          <w:p w14:paraId="63264641">
            <w:pPr>
              <w:pStyle w:val="19"/>
              <w:spacing w:before="120" w:after="120"/>
            </w:pPr>
            <w:r>
              <w:rPr>
                <w:rFonts w:hint="eastAsia"/>
              </w:rPr>
              <w:t>名称</w:t>
            </w:r>
          </w:p>
        </w:tc>
        <w:tc>
          <w:tcPr>
            <w:tcW w:w="3555" w:type="pct"/>
            <w:shd w:val="clear" w:color="auto" w:fill="FFFFFF"/>
            <w:vAlign w:val="center"/>
          </w:tcPr>
          <w:p w14:paraId="38AB5960">
            <w:pPr>
              <w:pStyle w:val="19"/>
              <w:spacing w:before="120" w:after="120"/>
            </w:pPr>
            <w:r>
              <w:rPr>
                <w:rFonts w:hint="eastAsia"/>
              </w:rPr>
              <w:t>特征</w:t>
            </w:r>
          </w:p>
        </w:tc>
      </w:tr>
      <w:tr w14:paraId="0E1F9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4" w:type="pct"/>
            <w:vMerge w:val="restart"/>
            <w:shd w:val="clear" w:color="auto" w:fill="FFFFFF"/>
            <w:vAlign w:val="center"/>
          </w:tcPr>
          <w:p w14:paraId="4832BEB8">
            <w:pPr>
              <w:pStyle w:val="19"/>
              <w:spacing w:before="120" w:after="120"/>
            </w:pPr>
            <w:r>
              <w:rPr>
                <w:rFonts w:hint="eastAsia"/>
              </w:rPr>
              <w:t>甲</w:t>
            </w:r>
          </w:p>
        </w:tc>
        <w:tc>
          <w:tcPr>
            <w:tcW w:w="325" w:type="pct"/>
            <w:shd w:val="clear" w:color="auto" w:fill="FFFFFF"/>
            <w:vAlign w:val="center"/>
          </w:tcPr>
          <w:p w14:paraId="0708D5C6">
            <w:pPr>
              <w:pStyle w:val="19"/>
              <w:spacing w:before="120" w:after="120"/>
            </w:pPr>
            <w:r>
              <w:rPr>
                <w:rFonts w:hint="eastAsia"/>
              </w:rPr>
              <w:t>A</w:t>
            </w:r>
          </w:p>
        </w:tc>
        <w:tc>
          <w:tcPr>
            <w:tcW w:w="757" w:type="pct"/>
            <w:shd w:val="clear" w:color="auto" w:fill="FFFFFF"/>
            <w:vAlign w:val="center"/>
          </w:tcPr>
          <w:p w14:paraId="13CE2847">
            <w:pPr>
              <w:pStyle w:val="19"/>
              <w:spacing w:before="120" w:after="120"/>
            </w:pPr>
            <w:r>
              <w:rPr>
                <w:rFonts w:hint="eastAsia"/>
              </w:rPr>
              <w:t>液化烃</w:t>
            </w:r>
          </w:p>
        </w:tc>
        <w:tc>
          <w:tcPr>
            <w:tcW w:w="3555" w:type="pct"/>
            <w:shd w:val="clear" w:color="auto" w:fill="FFFFFF"/>
            <w:vAlign w:val="center"/>
          </w:tcPr>
          <w:p w14:paraId="74C7FFD8">
            <w:pPr>
              <w:pStyle w:val="19"/>
              <w:spacing w:before="120" w:after="120"/>
            </w:pPr>
            <w:r>
              <w:rPr>
                <w:rFonts w:hint="eastAsia"/>
              </w:rPr>
              <w:t>15℃时的蒸汽压力XUMPa的烃类液体及其他类似的液体</w:t>
            </w:r>
          </w:p>
        </w:tc>
      </w:tr>
      <w:tr w14:paraId="6DC1E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4" w:type="pct"/>
            <w:vMerge w:val="continue"/>
            <w:shd w:val="clear" w:color="auto" w:fill="FFFFFF"/>
            <w:vAlign w:val="center"/>
          </w:tcPr>
          <w:p w14:paraId="4D616EEF">
            <w:pPr>
              <w:pStyle w:val="19"/>
              <w:spacing w:before="120" w:after="120"/>
            </w:pPr>
          </w:p>
        </w:tc>
        <w:tc>
          <w:tcPr>
            <w:tcW w:w="325" w:type="pct"/>
            <w:shd w:val="clear" w:color="auto" w:fill="FFFFFF"/>
            <w:vAlign w:val="center"/>
          </w:tcPr>
          <w:p w14:paraId="5E09A8FE">
            <w:pPr>
              <w:pStyle w:val="19"/>
              <w:spacing w:before="120" w:after="120"/>
            </w:pPr>
            <w:r>
              <w:rPr>
                <w:rFonts w:hint="eastAsia"/>
              </w:rPr>
              <w:t>B</w:t>
            </w:r>
          </w:p>
        </w:tc>
        <w:tc>
          <w:tcPr>
            <w:tcW w:w="757" w:type="pct"/>
            <w:vMerge w:val="restart"/>
            <w:shd w:val="clear" w:color="auto" w:fill="FFFFFF"/>
            <w:vAlign w:val="center"/>
          </w:tcPr>
          <w:p w14:paraId="6EA87C3E">
            <w:pPr>
              <w:pStyle w:val="19"/>
              <w:spacing w:before="120" w:after="120"/>
            </w:pPr>
            <w:r>
              <w:rPr>
                <w:rFonts w:hint="eastAsia"/>
              </w:rPr>
              <w:t>可燃液体</w:t>
            </w:r>
          </w:p>
        </w:tc>
        <w:tc>
          <w:tcPr>
            <w:tcW w:w="3555" w:type="pct"/>
            <w:shd w:val="clear" w:color="auto" w:fill="FFFFFF"/>
            <w:vAlign w:val="center"/>
          </w:tcPr>
          <w:p w14:paraId="5F0B6293">
            <w:pPr>
              <w:pStyle w:val="19"/>
              <w:spacing w:before="120" w:after="120"/>
            </w:pPr>
            <w:r>
              <w:rPr>
                <w:rFonts w:hint="eastAsia"/>
              </w:rPr>
              <w:t>甲A类以外，闪点&lt;28℃</w:t>
            </w:r>
          </w:p>
        </w:tc>
      </w:tr>
      <w:tr w14:paraId="1F8EF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4" w:type="pct"/>
            <w:vMerge w:val="restart"/>
            <w:shd w:val="clear" w:color="auto" w:fill="FFFFFF"/>
            <w:vAlign w:val="center"/>
          </w:tcPr>
          <w:p w14:paraId="56E98C4E">
            <w:pPr>
              <w:pStyle w:val="19"/>
              <w:spacing w:before="120" w:after="120"/>
            </w:pPr>
            <w:r>
              <w:rPr>
                <w:rFonts w:hint="eastAsia"/>
              </w:rPr>
              <w:t>乙</w:t>
            </w:r>
          </w:p>
        </w:tc>
        <w:tc>
          <w:tcPr>
            <w:tcW w:w="325" w:type="pct"/>
            <w:shd w:val="clear" w:color="auto" w:fill="FFFFFF"/>
            <w:vAlign w:val="center"/>
          </w:tcPr>
          <w:p w14:paraId="69A6A623">
            <w:pPr>
              <w:pStyle w:val="19"/>
              <w:spacing w:before="120" w:after="120"/>
            </w:pPr>
            <w:r>
              <w:rPr>
                <w:rFonts w:hint="eastAsia"/>
              </w:rPr>
              <w:t>A</w:t>
            </w:r>
          </w:p>
        </w:tc>
        <w:tc>
          <w:tcPr>
            <w:tcW w:w="757" w:type="pct"/>
            <w:vMerge w:val="continue"/>
            <w:shd w:val="clear" w:color="auto" w:fill="FFFFFF"/>
            <w:vAlign w:val="center"/>
          </w:tcPr>
          <w:p w14:paraId="076E1516">
            <w:pPr>
              <w:pStyle w:val="19"/>
              <w:spacing w:before="120" w:after="120"/>
            </w:pPr>
          </w:p>
        </w:tc>
        <w:tc>
          <w:tcPr>
            <w:tcW w:w="3555" w:type="pct"/>
            <w:shd w:val="clear" w:color="auto" w:fill="FFFFFF"/>
            <w:vAlign w:val="center"/>
          </w:tcPr>
          <w:p w14:paraId="0C10AA93">
            <w:pPr>
              <w:pStyle w:val="19"/>
              <w:spacing w:before="120" w:after="120"/>
            </w:pPr>
            <w:r>
              <w:rPr>
                <w:rFonts w:hint="eastAsia"/>
              </w:rPr>
              <w:t>闪点至S45℃</w:t>
            </w:r>
          </w:p>
        </w:tc>
      </w:tr>
      <w:tr w14:paraId="79E6A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4" w:type="pct"/>
            <w:vMerge w:val="continue"/>
            <w:shd w:val="clear" w:color="auto" w:fill="FFFFFF"/>
            <w:vAlign w:val="center"/>
          </w:tcPr>
          <w:p w14:paraId="065BB262">
            <w:pPr>
              <w:pStyle w:val="19"/>
              <w:spacing w:before="120" w:after="120"/>
            </w:pPr>
          </w:p>
        </w:tc>
        <w:tc>
          <w:tcPr>
            <w:tcW w:w="325" w:type="pct"/>
            <w:shd w:val="clear" w:color="auto" w:fill="FFFFFF"/>
            <w:vAlign w:val="center"/>
          </w:tcPr>
          <w:p w14:paraId="1578DE7B">
            <w:pPr>
              <w:pStyle w:val="19"/>
              <w:spacing w:before="120" w:after="120"/>
            </w:pPr>
            <w:r>
              <w:rPr>
                <w:rFonts w:hint="eastAsia"/>
              </w:rPr>
              <w:t>B</w:t>
            </w:r>
          </w:p>
        </w:tc>
        <w:tc>
          <w:tcPr>
            <w:tcW w:w="757" w:type="pct"/>
            <w:vMerge w:val="continue"/>
            <w:shd w:val="clear" w:color="auto" w:fill="FFFFFF"/>
            <w:vAlign w:val="center"/>
          </w:tcPr>
          <w:p w14:paraId="220FA54D">
            <w:pPr>
              <w:pStyle w:val="19"/>
              <w:spacing w:before="120" w:after="120"/>
            </w:pPr>
          </w:p>
        </w:tc>
        <w:tc>
          <w:tcPr>
            <w:tcW w:w="3555" w:type="pct"/>
            <w:shd w:val="clear" w:color="auto" w:fill="FFFFFF"/>
            <w:vAlign w:val="center"/>
          </w:tcPr>
          <w:p w14:paraId="0A93AD98">
            <w:pPr>
              <w:pStyle w:val="19"/>
              <w:spacing w:before="120" w:after="120"/>
            </w:pPr>
            <w:r>
              <w:rPr>
                <w:rFonts w:hint="eastAsia"/>
              </w:rPr>
              <w:t>闪点&gt;45℃至&lt;60℃</w:t>
            </w:r>
          </w:p>
        </w:tc>
      </w:tr>
      <w:tr w14:paraId="58A6D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4" w:type="pct"/>
            <w:vMerge w:val="restart"/>
            <w:shd w:val="clear" w:color="auto" w:fill="FFFFFF"/>
            <w:vAlign w:val="center"/>
          </w:tcPr>
          <w:p w14:paraId="22D52BA6">
            <w:pPr>
              <w:pStyle w:val="19"/>
              <w:spacing w:before="120" w:after="120"/>
            </w:pPr>
            <w:r>
              <w:rPr>
                <w:rFonts w:hint="eastAsia"/>
              </w:rPr>
              <w:t>丙</w:t>
            </w:r>
          </w:p>
        </w:tc>
        <w:tc>
          <w:tcPr>
            <w:tcW w:w="325" w:type="pct"/>
            <w:shd w:val="clear" w:color="auto" w:fill="FFFFFF"/>
            <w:vAlign w:val="center"/>
          </w:tcPr>
          <w:p w14:paraId="526ADB8C">
            <w:pPr>
              <w:pStyle w:val="19"/>
              <w:spacing w:before="120" w:after="120"/>
            </w:pPr>
            <w:r>
              <w:rPr>
                <w:rFonts w:hint="eastAsia"/>
              </w:rPr>
              <w:t>A</w:t>
            </w:r>
          </w:p>
        </w:tc>
        <w:tc>
          <w:tcPr>
            <w:tcW w:w="757" w:type="pct"/>
            <w:vMerge w:val="continue"/>
            <w:shd w:val="clear" w:color="auto" w:fill="FFFFFF"/>
            <w:vAlign w:val="center"/>
          </w:tcPr>
          <w:p w14:paraId="2A54C38E">
            <w:pPr>
              <w:pStyle w:val="19"/>
              <w:spacing w:before="120" w:after="120"/>
            </w:pPr>
          </w:p>
        </w:tc>
        <w:tc>
          <w:tcPr>
            <w:tcW w:w="3555" w:type="pct"/>
            <w:shd w:val="clear" w:color="auto" w:fill="FFFFFF"/>
            <w:vAlign w:val="center"/>
          </w:tcPr>
          <w:p w14:paraId="5557C9B9">
            <w:pPr>
              <w:pStyle w:val="19"/>
              <w:spacing w:before="120" w:after="120"/>
            </w:pPr>
            <w:r>
              <w:rPr>
                <w:rFonts w:hint="eastAsia"/>
              </w:rPr>
              <w:t>闪点260℃至S120℃</w:t>
            </w:r>
          </w:p>
        </w:tc>
      </w:tr>
      <w:tr w14:paraId="618FB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4" w:type="pct"/>
            <w:vMerge w:val="continue"/>
            <w:shd w:val="clear" w:color="auto" w:fill="FFFFFF"/>
            <w:vAlign w:val="center"/>
          </w:tcPr>
          <w:p w14:paraId="5A6A589C">
            <w:pPr>
              <w:pStyle w:val="19"/>
              <w:spacing w:before="120" w:after="120"/>
            </w:pPr>
          </w:p>
        </w:tc>
        <w:tc>
          <w:tcPr>
            <w:tcW w:w="325" w:type="pct"/>
            <w:shd w:val="clear" w:color="auto" w:fill="FFFFFF"/>
            <w:vAlign w:val="center"/>
          </w:tcPr>
          <w:p w14:paraId="419E78CB">
            <w:pPr>
              <w:pStyle w:val="19"/>
              <w:spacing w:before="120" w:after="120"/>
            </w:pPr>
            <w:r>
              <w:rPr>
                <w:rFonts w:hint="eastAsia"/>
              </w:rPr>
              <w:t>B</w:t>
            </w:r>
          </w:p>
        </w:tc>
        <w:tc>
          <w:tcPr>
            <w:tcW w:w="757" w:type="pct"/>
            <w:vMerge w:val="continue"/>
            <w:shd w:val="clear" w:color="auto" w:fill="FFFFFF"/>
            <w:vAlign w:val="center"/>
          </w:tcPr>
          <w:p w14:paraId="76960979">
            <w:pPr>
              <w:pStyle w:val="19"/>
              <w:spacing w:before="120" w:after="120"/>
            </w:pPr>
          </w:p>
        </w:tc>
        <w:tc>
          <w:tcPr>
            <w:tcW w:w="3555" w:type="pct"/>
            <w:shd w:val="clear" w:color="auto" w:fill="FFFFFF"/>
            <w:vAlign w:val="center"/>
          </w:tcPr>
          <w:p w14:paraId="519969A9">
            <w:pPr>
              <w:pStyle w:val="19"/>
              <w:spacing w:before="120" w:after="120"/>
            </w:pPr>
            <w:r>
              <w:rPr>
                <w:rFonts w:hint="eastAsia"/>
              </w:rPr>
              <w:t>闪点&gt;120℃</w:t>
            </w:r>
          </w:p>
        </w:tc>
      </w:tr>
    </w:tbl>
    <w:p w14:paraId="105796E4">
      <w:pPr>
        <w:ind w:firstLine="480"/>
      </w:pPr>
      <w:r>
        <w:rPr>
          <w:rFonts w:hint="eastAsia"/>
        </w:rPr>
        <w:t>本项目为鄂托克经济开发区蒙西产业园危险化学品运输车辆专用停车场项目，</w:t>
      </w:r>
      <w:r>
        <w:rPr>
          <w:rFonts w:hint="eastAsia"/>
          <w:color w:val="000000"/>
        </w:rPr>
        <w:t>涉及风险物质主要来源于停车区内停泊车辆承载物及其运载化学品后残余物质。</w:t>
      </w:r>
      <w:r>
        <w:rPr>
          <w:rFonts w:hint="eastAsia"/>
        </w:rPr>
        <w:t>根据《鄂托克经济开发区蒙西产业园危险化学品运输车辆专用停车场项目可行性研究报告》，</w:t>
      </w:r>
      <w:r>
        <w:t>蒙西产业园</w:t>
      </w:r>
      <w:r>
        <w:rPr>
          <w:rFonts w:hint="eastAsia"/>
        </w:rPr>
        <w:t>目前</w:t>
      </w:r>
      <w:r>
        <w:t>共有49个重大危险源</w:t>
      </w:r>
      <w:r>
        <w:rPr>
          <w:rFonts w:hint="eastAsia"/>
        </w:rPr>
        <w:t>，其中</w:t>
      </w:r>
      <w:r>
        <w:t>一级3个、二级1个、三级25个、四级20个</w:t>
      </w:r>
      <w:r>
        <w:rPr>
          <w:rFonts w:hint="eastAsia"/>
        </w:rPr>
        <w:t>，</w:t>
      </w:r>
      <w:r>
        <w:t>重点监管危险化工工艺</w:t>
      </w:r>
      <w:r>
        <w:rPr>
          <w:rFonts w:hint="eastAsia"/>
        </w:rPr>
        <w:t>为</w:t>
      </w:r>
      <w:r>
        <w:t>6种</w:t>
      </w:r>
      <w:r>
        <w:rPr>
          <w:rFonts w:hint="eastAsia"/>
        </w:rPr>
        <w:t>，共</w:t>
      </w:r>
      <w:r>
        <w:t>14个；重点监管危险化学品</w:t>
      </w:r>
      <w:r>
        <w:rPr>
          <w:rFonts w:hint="eastAsia"/>
        </w:rPr>
        <w:t>为</w:t>
      </w:r>
      <w:r>
        <w:t>17种</w:t>
      </w:r>
      <w:r>
        <w:rPr>
          <w:rFonts w:hint="eastAsia"/>
        </w:rPr>
        <w:t>，共</w:t>
      </w:r>
      <w:r>
        <w:t>33个</w:t>
      </w:r>
      <w:r>
        <w:rPr>
          <w:rFonts w:hint="eastAsia"/>
        </w:rPr>
        <w:t>。根据</w:t>
      </w:r>
      <w:r>
        <w:t>园区危险化学品运输情况</w:t>
      </w:r>
      <w:r>
        <w:rPr>
          <w:rFonts w:hint="eastAsia"/>
        </w:rPr>
        <w:t>统计数据，</w:t>
      </w:r>
      <w:r>
        <w:t>主要危险化学品</w:t>
      </w:r>
      <w:r>
        <w:rPr>
          <w:rFonts w:hint="eastAsia"/>
        </w:rPr>
        <w:t>运输</w:t>
      </w:r>
      <w:r>
        <w:t>情况</w:t>
      </w:r>
      <w:r>
        <w:rPr>
          <w:rFonts w:hint="eastAsia"/>
        </w:rPr>
        <w:t>见下表。</w:t>
      </w:r>
    </w:p>
    <w:p w14:paraId="23250E6B">
      <w:pPr>
        <w:pStyle w:val="19"/>
        <w:spacing w:before="120" w:after="120"/>
        <w:rPr>
          <w:b/>
          <w:bCs/>
        </w:rPr>
      </w:pPr>
      <w:r>
        <w:rPr>
          <w:b/>
          <w:bCs/>
        </w:rPr>
        <w:t>表</w:t>
      </w:r>
      <w:r>
        <w:rPr>
          <w:rFonts w:hint="eastAsia"/>
          <w:b/>
          <w:bCs/>
        </w:rPr>
        <w:t>5.1</w:t>
      </w:r>
      <w:r>
        <w:rPr>
          <w:b/>
          <w:bCs/>
        </w:rPr>
        <w:t>-</w:t>
      </w:r>
      <w:r>
        <w:rPr>
          <w:rFonts w:hint="eastAsia"/>
          <w:b/>
          <w:bCs/>
        </w:rPr>
        <w:t xml:space="preserve">4  </w:t>
      </w:r>
      <w:r>
        <w:rPr>
          <w:b/>
          <w:bCs/>
        </w:rPr>
        <w:t>主要危险化学品</w:t>
      </w:r>
      <w:r>
        <w:rPr>
          <w:rFonts w:hint="eastAsia"/>
          <w:b/>
          <w:bCs/>
        </w:rPr>
        <w:t>运输</w:t>
      </w:r>
      <w:r>
        <w:rPr>
          <w:b/>
          <w:bCs/>
        </w:rPr>
        <w:t>情况</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8"/>
        <w:gridCol w:w="3601"/>
        <w:gridCol w:w="2801"/>
      </w:tblGrid>
      <w:tr w14:paraId="7686C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8" w:type="dxa"/>
          </w:tcPr>
          <w:p w14:paraId="342FD7C3">
            <w:pPr>
              <w:pStyle w:val="19"/>
              <w:spacing w:before="120" w:after="120"/>
            </w:pPr>
            <w:r>
              <w:rPr>
                <w:rFonts w:hint="eastAsia"/>
              </w:rPr>
              <w:t>序号</w:t>
            </w:r>
          </w:p>
        </w:tc>
        <w:tc>
          <w:tcPr>
            <w:tcW w:w="3601" w:type="dxa"/>
          </w:tcPr>
          <w:p w14:paraId="537D8B59">
            <w:pPr>
              <w:pStyle w:val="19"/>
              <w:spacing w:before="120" w:after="120"/>
            </w:pPr>
            <w:r>
              <w:rPr>
                <w:rFonts w:hint="eastAsia"/>
              </w:rPr>
              <w:t>类别</w:t>
            </w:r>
          </w:p>
        </w:tc>
        <w:tc>
          <w:tcPr>
            <w:tcW w:w="2801" w:type="dxa"/>
          </w:tcPr>
          <w:p w14:paraId="6270857D">
            <w:pPr>
              <w:pStyle w:val="19"/>
              <w:spacing w:before="120" w:after="120"/>
            </w:pPr>
            <w:r>
              <w:rPr>
                <w:rFonts w:hint="eastAsia"/>
              </w:rPr>
              <w:t>合计运输量</w:t>
            </w:r>
          </w:p>
        </w:tc>
      </w:tr>
      <w:tr w14:paraId="6FBEC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8" w:type="dxa"/>
          </w:tcPr>
          <w:p w14:paraId="6CD7156C">
            <w:pPr>
              <w:pStyle w:val="19"/>
              <w:spacing w:before="120" w:after="120"/>
            </w:pPr>
            <w:r>
              <w:rPr>
                <w:rFonts w:hint="eastAsia"/>
              </w:rPr>
              <w:t>1</w:t>
            </w:r>
          </w:p>
        </w:tc>
        <w:tc>
          <w:tcPr>
            <w:tcW w:w="3601" w:type="dxa"/>
          </w:tcPr>
          <w:p w14:paraId="4E2E7120">
            <w:pPr>
              <w:pStyle w:val="19"/>
              <w:spacing w:before="120" w:after="120"/>
            </w:pPr>
            <w:r>
              <w:rPr>
                <w:rFonts w:hint="eastAsia"/>
              </w:rPr>
              <w:t>非易燃无毒气体</w:t>
            </w:r>
          </w:p>
        </w:tc>
        <w:tc>
          <w:tcPr>
            <w:tcW w:w="2801" w:type="dxa"/>
          </w:tcPr>
          <w:p w14:paraId="7CF84663">
            <w:pPr>
              <w:pStyle w:val="19"/>
              <w:spacing w:before="120" w:after="120"/>
            </w:pPr>
            <w:r>
              <w:rPr>
                <w:rFonts w:hint="eastAsia"/>
              </w:rPr>
              <w:t>10车/天</w:t>
            </w:r>
          </w:p>
        </w:tc>
      </w:tr>
      <w:tr w14:paraId="68AF7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8" w:type="dxa"/>
          </w:tcPr>
          <w:p w14:paraId="0DAB4652">
            <w:pPr>
              <w:pStyle w:val="19"/>
              <w:spacing w:before="120" w:after="120"/>
            </w:pPr>
            <w:r>
              <w:rPr>
                <w:rFonts w:hint="eastAsia"/>
              </w:rPr>
              <w:t>2</w:t>
            </w:r>
          </w:p>
        </w:tc>
        <w:tc>
          <w:tcPr>
            <w:tcW w:w="3601" w:type="dxa"/>
          </w:tcPr>
          <w:p w14:paraId="71C43606">
            <w:pPr>
              <w:pStyle w:val="19"/>
              <w:spacing w:before="120" w:after="120"/>
            </w:pPr>
            <w:r>
              <w:t>毒性气体</w:t>
            </w:r>
          </w:p>
        </w:tc>
        <w:tc>
          <w:tcPr>
            <w:tcW w:w="2801" w:type="dxa"/>
          </w:tcPr>
          <w:p w14:paraId="0E28C98C">
            <w:pPr>
              <w:pStyle w:val="19"/>
              <w:spacing w:before="120" w:after="120"/>
            </w:pPr>
            <w:r>
              <w:rPr>
                <w:rFonts w:hint="eastAsia"/>
              </w:rPr>
              <w:t>7车/天</w:t>
            </w:r>
          </w:p>
        </w:tc>
      </w:tr>
      <w:tr w14:paraId="5A095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8" w:type="dxa"/>
          </w:tcPr>
          <w:p w14:paraId="0F04954D">
            <w:pPr>
              <w:pStyle w:val="19"/>
              <w:spacing w:before="120" w:after="120"/>
            </w:pPr>
            <w:r>
              <w:rPr>
                <w:rFonts w:hint="eastAsia"/>
              </w:rPr>
              <w:t>3</w:t>
            </w:r>
          </w:p>
        </w:tc>
        <w:tc>
          <w:tcPr>
            <w:tcW w:w="3601" w:type="dxa"/>
          </w:tcPr>
          <w:p w14:paraId="77055CA2">
            <w:pPr>
              <w:pStyle w:val="19"/>
              <w:spacing w:before="120" w:after="120"/>
            </w:pPr>
            <w:r>
              <w:rPr>
                <w:rFonts w:hint="eastAsia"/>
              </w:rPr>
              <w:t>易燃液体</w:t>
            </w:r>
          </w:p>
        </w:tc>
        <w:tc>
          <w:tcPr>
            <w:tcW w:w="2801" w:type="dxa"/>
          </w:tcPr>
          <w:p w14:paraId="7869A231">
            <w:pPr>
              <w:pStyle w:val="19"/>
              <w:spacing w:before="120" w:after="120"/>
            </w:pPr>
            <w:r>
              <w:rPr>
                <w:rFonts w:hint="eastAsia"/>
              </w:rPr>
              <w:t>68车/天</w:t>
            </w:r>
          </w:p>
        </w:tc>
      </w:tr>
      <w:tr w14:paraId="3D33D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8" w:type="dxa"/>
          </w:tcPr>
          <w:p w14:paraId="3C7377DA">
            <w:pPr>
              <w:pStyle w:val="19"/>
              <w:spacing w:before="120" w:after="120"/>
            </w:pPr>
            <w:r>
              <w:rPr>
                <w:rFonts w:hint="eastAsia"/>
              </w:rPr>
              <w:t>4</w:t>
            </w:r>
          </w:p>
        </w:tc>
        <w:tc>
          <w:tcPr>
            <w:tcW w:w="3601" w:type="dxa"/>
          </w:tcPr>
          <w:p w14:paraId="624D82B1">
            <w:pPr>
              <w:pStyle w:val="19"/>
              <w:spacing w:before="120" w:after="120"/>
            </w:pPr>
            <w:r>
              <w:rPr>
                <w:rFonts w:hint="eastAsia"/>
              </w:rPr>
              <w:t>易燃固体</w:t>
            </w:r>
          </w:p>
        </w:tc>
        <w:tc>
          <w:tcPr>
            <w:tcW w:w="2801" w:type="dxa"/>
          </w:tcPr>
          <w:p w14:paraId="4CCE8C97">
            <w:pPr>
              <w:pStyle w:val="19"/>
              <w:spacing w:before="120" w:after="120"/>
            </w:pPr>
            <w:r>
              <w:rPr>
                <w:rFonts w:hint="eastAsia"/>
              </w:rPr>
              <w:t>10车/天</w:t>
            </w:r>
          </w:p>
        </w:tc>
      </w:tr>
      <w:tr w14:paraId="0E789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8" w:type="dxa"/>
          </w:tcPr>
          <w:p w14:paraId="5938535C">
            <w:pPr>
              <w:pStyle w:val="19"/>
              <w:spacing w:before="120" w:after="120"/>
            </w:pPr>
            <w:r>
              <w:rPr>
                <w:rFonts w:hint="eastAsia"/>
              </w:rPr>
              <w:t>5</w:t>
            </w:r>
          </w:p>
        </w:tc>
        <w:tc>
          <w:tcPr>
            <w:tcW w:w="3601" w:type="dxa"/>
          </w:tcPr>
          <w:p w14:paraId="2C7D0988">
            <w:pPr>
              <w:pStyle w:val="19"/>
              <w:spacing w:before="120" w:after="120"/>
            </w:pPr>
            <w:r>
              <w:t>遇水放出易燃气体的物质</w:t>
            </w:r>
          </w:p>
        </w:tc>
        <w:tc>
          <w:tcPr>
            <w:tcW w:w="2801" w:type="dxa"/>
          </w:tcPr>
          <w:p w14:paraId="71BC477B">
            <w:pPr>
              <w:pStyle w:val="19"/>
              <w:spacing w:before="120" w:after="120"/>
            </w:pPr>
            <w:r>
              <w:rPr>
                <w:rFonts w:hint="eastAsia"/>
              </w:rPr>
              <w:t>62车/天</w:t>
            </w:r>
          </w:p>
        </w:tc>
      </w:tr>
      <w:tr w14:paraId="7A393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8" w:type="dxa"/>
          </w:tcPr>
          <w:p w14:paraId="537D5AA2">
            <w:pPr>
              <w:pStyle w:val="19"/>
              <w:spacing w:before="120" w:after="120"/>
            </w:pPr>
            <w:r>
              <w:rPr>
                <w:rFonts w:hint="eastAsia"/>
              </w:rPr>
              <w:t>6</w:t>
            </w:r>
          </w:p>
        </w:tc>
        <w:tc>
          <w:tcPr>
            <w:tcW w:w="3601" w:type="dxa"/>
          </w:tcPr>
          <w:p w14:paraId="1ECA94C6">
            <w:pPr>
              <w:pStyle w:val="19"/>
              <w:spacing w:before="120" w:after="120"/>
            </w:pPr>
            <w:r>
              <w:t>氧化性物质</w:t>
            </w:r>
          </w:p>
        </w:tc>
        <w:tc>
          <w:tcPr>
            <w:tcW w:w="2801" w:type="dxa"/>
          </w:tcPr>
          <w:p w14:paraId="51C1DBAD">
            <w:pPr>
              <w:pStyle w:val="19"/>
              <w:spacing w:before="120" w:after="120"/>
            </w:pPr>
            <w:r>
              <w:rPr>
                <w:rFonts w:hint="eastAsia"/>
              </w:rPr>
              <w:t>1车/周</w:t>
            </w:r>
          </w:p>
        </w:tc>
      </w:tr>
      <w:tr w14:paraId="2B735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8" w:type="dxa"/>
          </w:tcPr>
          <w:p w14:paraId="1F397295">
            <w:pPr>
              <w:pStyle w:val="19"/>
              <w:spacing w:before="120" w:after="120"/>
            </w:pPr>
            <w:r>
              <w:rPr>
                <w:rFonts w:hint="eastAsia"/>
              </w:rPr>
              <w:t>7</w:t>
            </w:r>
          </w:p>
        </w:tc>
        <w:tc>
          <w:tcPr>
            <w:tcW w:w="3601" w:type="dxa"/>
          </w:tcPr>
          <w:p w14:paraId="3FB3F1CE">
            <w:pPr>
              <w:pStyle w:val="19"/>
              <w:spacing w:before="120" w:after="120"/>
            </w:pPr>
            <w:r>
              <w:t>腐蚀性物质</w:t>
            </w:r>
          </w:p>
        </w:tc>
        <w:tc>
          <w:tcPr>
            <w:tcW w:w="2801" w:type="dxa"/>
          </w:tcPr>
          <w:p w14:paraId="1D96F325">
            <w:pPr>
              <w:pStyle w:val="19"/>
              <w:spacing w:before="120" w:after="120"/>
            </w:pPr>
            <w:r>
              <w:rPr>
                <w:rFonts w:hint="eastAsia"/>
              </w:rPr>
              <w:t>159车/天</w:t>
            </w:r>
          </w:p>
        </w:tc>
      </w:tr>
    </w:tbl>
    <w:p w14:paraId="5FD3FC10">
      <w:pPr>
        <w:pStyle w:val="3"/>
        <w:ind w:firstLine="480"/>
      </w:pPr>
      <w:bookmarkStart w:id="185" w:name="_Toc17118"/>
      <w:bookmarkStart w:id="186" w:name="_Toc22782"/>
      <w:r>
        <w:rPr>
          <w:rFonts w:hint="eastAsia"/>
        </w:rPr>
        <w:t>5.2</w:t>
      </w:r>
      <w:r>
        <w:t>生产系统危险性识别</w:t>
      </w:r>
      <w:bookmarkEnd w:id="185"/>
      <w:bookmarkEnd w:id="186"/>
    </w:p>
    <w:p w14:paraId="1A103886">
      <w:pPr>
        <w:ind w:firstLine="480"/>
      </w:pPr>
      <w:r>
        <w:rPr>
          <w:rFonts w:hint="eastAsia"/>
        </w:rPr>
        <w:t>（1）危险化学品储运系统</w:t>
      </w:r>
    </w:p>
    <w:p w14:paraId="7126E025">
      <w:pPr>
        <w:ind w:firstLine="480"/>
      </w:pPr>
      <w:r>
        <w:rPr>
          <w:rFonts w:hint="eastAsia"/>
        </w:rPr>
        <w:t>根据事故分析可知，本项目风险评价的关键系统为危险化学品储运系统，停车场内满载运输车</w:t>
      </w:r>
      <w:r>
        <w:rPr>
          <w:rFonts w:hint="eastAsia"/>
          <w:lang w:val="en-US" w:eastAsia="zh-CN"/>
        </w:rPr>
        <w:t>辆</w:t>
      </w:r>
      <w:r>
        <w:rPr>
          <w:rFonts w:hint="eastAsia"/>
        </w:rPr>
        <w:t>行驶和停放过程中，满载车辆的槽罐或货厢均有可能导致物质的释放与泄漏，发生毒害事故。</w:t>
      </w:r>
    </w:p>
    <w:p w14:paraId="00DB0AAB">
      <w:pPr>
        <w:ind w:firstLine="480"/>
      </w:pPr>
      <w:r>
        <w:rPr>
          <w:rFonts w:hint="eastAsia"/>
        </w:rPr>
        <w:t>（2）环保工程存在的危险、有害性</w:t>
      </w:r>
    </w:p>
    <w:p w14:paraId="16CD6B35">
      <w:pPr>
        <w:ind w:firstLine="480"/>
      </w:pPr>
      <w:r>
        <w:t>本公司不涉及生产，环保设施</w:t>
      </w:r>
      <w:r>
        <w:rPr>
          <w:rFonts w:hint="eastAsia"/>
        </w:rPr>
        <w:t>有危废暂存间、消防</w:t>
      </w:r>
      <w:r>
        <w:t>水池</w:t>
      </w:r>
      <w:r>
        <w:rPr>
          <w:rFonts w:hint="eastAsia"/>
        </w:rPr>
        <w:t>、事故水池和初期雨水池、一体化</w:t>
      </w:r>
      <w:r>
        <w:t>污</w:t>
      </w:r>
      <w:r>
        <w:rPr>
          <w:rFonts w:hint="eastAsia"/>
        </w:rPr>
        <w:t>水处理设施等</w:t>
      </w:r>
      <w:r>
        <w:t>，环保设施风险主要有：</w:t>
      </w:r>
      <w:r>
        <w:rPr>
          <w:rFonts w:hint="eastAsia"/>
        </w:rPr>
        <w:t>事故水池</w:t>
      </w:r>
      <w:r>
        <w:t>故障</w:t>
      </w:r>
      <w:r>
        <w:rPr>
          <w:rFonts w:hint="eastAsia"/>
        </w:rPr>
        <w:t>，</w:t>
      </w:r>
      <w:r>
        <w:t>造成部分应急事故废水非正常排放。</w:t>
      </w:r>
    </w:p>
    <w:p w14:paraId="3428D49E">
      <w:pPr>
        <w:ind w:firstLine="480"/>
      </w:pPr>
      <w:r>
        <w:rPr>
          <w:rFonts w:hint="eastAsia"/>
        </w:rPr>
        <w:t>（3）事故中的伴生/次生危害</w:t>
      </w:r>
    </w:p>
    <w:p w14:paraId="234F53AF">
      <w:pPr>
        <w:ind w:firstLine="480"/>
      </w:pPr>
      <w:r>
        <w:rPr>
          <w:rFonts w:hint="eastAsia"/>
        </w:rPr>
        <w:t>事故中发生的伴生/次生事故，主要决定于物质性质和事故类型。物质性质是事故中物质可能通过氧化、水解、热解、物料间反应过程产生对环境污染的危害性；事故类型不同，可能产生反应过程不同，例如燃烧可能产生物料氧化、热解过程，泄漏冲洗可能发生水解过程，物料不相容过程等。本项目的伴生/次生风险主要为火灾烟气、废气迁移和事故废水的影响。</w:t>
      </w:r>
    </w:p>
    <w:p w14:paraId="035EEC34">
      <w:pPr>
        <w:ind w:firstLine="480"/>
      </w:pPr>
      <w:r>
        <w:rPr>
          <w:rFonts w:hint="eastAsia"/>
        </w:rPr>
        <w:t>①火灾烟气</w:t>
      </w:r>
    </w:p>
    <w:p w14:paraId="53D4E7D0">
      <w:pPr>
        <w:ind w:firstLine="480"/>
      </w:pPr>
      <w:r>
        <w:rPr>
          <w:rFonts w:hint="eastAsia"/>
        </w:rPr>
        <w:t>当发生火灾爆炸事故时，除CO</w:t>
      </w:r>
      <w:r>
        <w:rPr>
          <w:rFonts w:hint="eastAsia"/>
          <w:vertAlign w:val="subscript"/>
        </w:rPr>
        <w:t>2</w:t>
      </w:r>
      <w:r>
        <w:rPr>
          <w:rFonts w:hint="eastAsia"/>
        </w:rPr>
        <w:t>和H</w:t>
      </w:r>
      <w:r>
        <w:rPr>
          <w:rFonts w:hint="eastAsia"/>
          <w:vertAlign w:val="subscript"/>
        </w:rPr>
        <w:t>2</w:t>
      </w:r>
      <w:r>
        <w:rPr>
          <w:rFonts w:hint="eastAsia"/>
        </w:rPr>
        <w:t>O等燃烧产物外，在不完全燃烧的条件下可能产生少量具有毒害作用的CO等，对空气环境及人群健康造成一定影响。</w:t>
      </w:r>
    </w:p>
    <w:p w14:paraId="11B0EA9D">
      <w:pPr>
        <w:ind w:firstLine="480"/>
      </w:pPr>
      <w:r>
        <w:rPr>
          <w:rFonts w:hint="eastAsia"/>
        </w:rPr>
        <w:t>②废气迁移</w:t>
      </w:r>
    </w:p>
    <w:p w14:paraId="514C4C8D">
      <w:pPr>
        <w:ind w:firstLine="480"/>
      </w:pPr>
      <w:r>
        <w:rPr>
          <w:rFonts w:hint="eastAsia"/>
        </w:rPr>
        <w:t>本项目发生泄漏事故后，少量的有机物挥发至空气中，或在空气中迁移、或进入水体、或进入土壤，泄漏事故源附近局部区域会因少量物料沉积或渗透降至土壤或地下水，造成土壤和地下水有机物浓度升高，可能会对周围局部区域的植物生长造成影响。</w:t>
      </w:r>
    </w:p>
    <w:p w14:paraId="00F61581">
      <w:pPr>
        <w:ind w:firstLine="480"/>
      </w:pPr>
      <w:r>
        <w:rPr>
          <w:rFonts w:hint="eastAsia"/>
        </w:rPr>
        <w:t>③事故废水</w:t>
      </w:r>
    </w:p>
    <w:p w14:paraId="302F12EF">
      <w:pPr>
        <w:ind w:firstLine="480"/>
      </w:pPr>
      <w:r>
        <w:rPr>
          <w:rFonts w:hint="eastAsia"/>
        </w:rPr>
        <w:t>物料泄漏事故处理过程中，可能产生冲洗废水，如发生火灾爆炸事故，会产生大量的消防废水，事故处理过程中产生的洗消废水中会含有一定量的有机物料。</w:t>
      </w:r>
    </w:p>
    <w:p w14:paraId="08FE3807">
      <w:pPr>
        <w:ind w:firstLine="480"/>
      </w:pPr>
      <w:r>
        <w:rPr>
          <w:rFonts w:hint="eastAsia"/>
        </w:rPr>
        <w:t>因此，本项目没有生产设施，仅在运营过程中涉及重载车辆停车场等场所的泄漏/火灾爆炸事故。</w:t>
      </w:r>
    </w:p>
    <w:p w14:paraId="089FF01C">
      <w:pPr>
        <w:pStyle w:val="3"/>
        <w:ind w:firstLine="480"/>
      </w:pPr>
      <w:bookmarkStart w:id="187" w:name="_Toc28722"/>
      <w:bookmarkStart w:id="188" w:name="_Toc29349"/>
      <w:r>
        <w:rPr>
          <w:rFonts w:hint="eastAsia"/>
        </w:rPr>
        <w:t>5.3环境风险类型及危害分析</w:t>
      </w:r>
      <w:bookmarkEnd w:id="187"/>
      <w:bookmarkEnd w:id="188"/>
    </w:p>
    <w:p w14:paraId="7C0A68F3">
      <w:pPr>
        <w:ind w:firstLine="480"/>
      </w:pPr>
      <w:r>
        <w:rPr>
          <w:rFonts w:hint="eastAsia"/>
        </w:rPr>
        <w:t>环境风险类型包括危险物质泄漏和火灾等引发的伴生/次生污染排放。</w:t>
      </w:r>
    </w:p>
    <w:p w14:paraId="66328FF3">
      <w:pPr>
        <w:ind w:firstLine="480"/>
      </w:pPr>
      <w:r>
        <w:rPr>
          <w:rFonts w:hint="eastAsia"/>
        </w:rPr>
        <w:t>①泄漏和火灾爆炸事故</w:t>
      </w:r>
    </w:p>
    <w:p w14:paraId="377ECEA2">
      <w:pPr>
        <w:ind w:firstLine="480"/>
      </w:pPr>
      <w:r>
        <w:rPr>
          <w:rFonts w:hint="eastAsia"/>
        </w:rPr>
        <w:t>危险化学品槽罐破裂、管理不善或操作失误，可能会引发危化品泄漏事故，并会直接威胁人身及现场设备的安全，同时对周围环境造成污染，可能发生人员酸碱灼伤、烧伤、中毒、窒息，造成周围空气和水环境造成污染。</w:t>
      </w:r>
    </w:p>
    <w:p w14:paraId="1E7D440B">
      <w:pPr>
        <w:ind w:firstLine="480"/>
      </w:pPr>
      <w:r>
        <w:rPr>
          <w:rFonts w:hint="eastAsia"/>
        </w:rPr>
        <w:t>②事故引发的伴生/次生污染排放</w:t>
      </w:r>
    </w:p>
    <w:p w14:paraId="16E29728">
      <w:pPr>
        <w:ind w:firstLine="480"/>
      </w:pPr>
      <w:r>
        <w:rPr>
          <w:rFonts w:hint="eastAsia"/>
        </w:rPr>
        <w:t>事故中发生的伴生/次生事故，主要决定于物质性质和事故类型。物质性质是事故中物质可能通过氧化、水解、热解、物料间反应过程产生对环境污染的危害性；事故类型不同，可能产生反应过程不同，例如燃烧可能产生物料氧化、热解过程，泄漏冲洗可能发生水解过程，物料不相容过程等。本项目的伴生/次生风险主要为火灾烟气、废气迁移和事故废水的影响。</w:t>
      </w:r>
    </w:p>
    <w:p w14:paraId="27DF0C5F">
      <w:pPr>
        <w:pStyle w:val="19"/>
        <w:spacing w:before="120" w:after="120"/>
      </w:pPr>
      <w:r>
        <w:rPr>
          <w:rFonts w:hint="eastAsia"/>
          <w:b/>
          <w:bCs/>
        </w:rPr>
        <w:t>表5.3-1  风险途径识别表</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2085"/>
        <w:gridCol w:w="3145"/>
        <w:gridCol w:w="3076"/>
      </w:tblGrid>
      <w:tr w14:paraId="5357E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416" w:type="pct"/>
            <w:tcBorders>
              <w:top w:val="single" w:color="auto" w:sz="4" w:space="0"/>
              <w:left w:val="single" w:color="auto" w:sz="4" w:space="0"/>
              <w:bottom w:val="single" w:color="auto" w:sz="4" w:space="0"/>
              <w:right w:val="single" w:color="auto" w:sz="4" w:space="0"/>
            </w:tcBorders>
            <w:vAlign w:val="center"/>
          </w:tcPr>
          <w:p w14:paraId="483FD18D">
            <w:pPr>
              <w:pStyle w:val="19"/>
              <w:spacing w:before="120" w:after="120"/>
            </w:pPr>
            <w:r>
              <w:rPr>
                <w:rFonts w:hint="eastAsia"/>
              </w:rPr>
              <w:t>事故类型</w:t>
            </w:r>
          </w:p>
        </w:tc>
        <w:tc>
          <w:tcPr>
            <w:tcW w:w="1150" w:type="pct"/>
            <w:tcBorders>
              <w:top w:val="single" w:color="auto" w:sz="4" w:space="0"/>
              <w:left w:val="nil"/>
              <w:bottom w:val="single" w:color="auto" w:sz="4" w:space="0"/>
              <w:right w:val="single" w:color="auto" w:sz="4" w:space="0"/>
            </w:tcBorders>
            <w:vAlign w:val="center"/>
          </w:tcPr>
          <w:p w14:paraId="45A98F86">
            <w:pPr>
              <w:pStyle w:val="19"/>
              <w:spacing w:before="120" w:after="120"/>
            </w:pPr>
            <w:r>
              <w:rPr>
                <w:rFonts w:hint="eastAsia"/>
              </w:rPr>
              <w:t>风险影响/途径</w:t>
            </w:r>
          </w:p>
        </w:tc>
        <w:tc>
          <w:tcPr>
            <w:tcW w:w="1735" w:type="pct"/>
            <w:tcBorders>
              <w:top w:val="single" w:color="auto" w:sz="4" w:space="0"/>
              <w:left w:val="nil"/>
              <w:bottom w:val="single" w:color="auto" w:sz="4" w:space="0"/>
              <w:right w:val="single" w:color="auto" w:sz="4" w:space="0"/>
            </w:tcBorders>
            <w:vAlign w:val="center"/>
          </w:tcPr>
          <w:p w14:paraId="76544281">
            <w:pPr>
              <w:pStyle w:val="19"/>
              <w:spacing w:before="120" w:after="120"/>
            </w:pPr>
            <w:r>
              <w:rPr>
                <w:rFonts w:hint="eastAsia"/>
              </w:rPr>
              <w:t>伴生事故</w:t>
            </w:r>
          </w:p>
        </w:tc>
        <w:tc>
          <w:tcPr>
            <w:tcW w:w="1697" w:type="pct"/>
            <w:tcBorders>
              <w:top w:val="single" w:color="auto" w:sz="4" w:space="0"/>
              <w:left w:val="nil"/>
              <w:bottom w:val="single" w:color="auto" w:sz="4" w:space="0"/>
              <w:right w:val="single" w:color="auto" w:sz="4" w:space="0"/>
            </w:tcBorders>
            <w:vAlign w:val="center"/>
          </w:tcPr>
          <w:p w14:paraId="2B3AF45E">
            <w:pPr>
              <w:pStyle w:val="19"/>
              <w:spacing w:before="120" w:after="120"/>
            </w:pPr>
            <w:r>
              <w:rPr>
                <w:rFonts w:hint="eastAsia"/>
              </w:rPr>
              <w:t>伴生事故风险影响/途径</w:t>
            </w:r>
          </w:p>
        </w:tc>
      </w:tr>
      <w:tr w14:paraId="1579D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6" w:type="pct"/>
            <w:tcBorders>
              <w:top w:val="single" w:color="auto" w:sz="4" w:space="0"/>
              <w:left w:val="single" w:color="auto" w:sz="4" w:space="0"/>
              <w:bottom w:val="single" w:color="auto" w:sz="4" w:space="0"/>
              <w:right w:val="single" w:color="auto" w:sz="4" w:space="0"/>
            </w:tcBorders>
            <w:vAlign w:val="center"/>
          </w:tcPr>
          <w:p w14:paraId="2543ACEF">
            <w:pPr>
              <w:pStyle w:val="19"/>
              <w:spacing w:before="120" w:after="120"/>
            </w:pPr>
            <w:r>
              <w:rPr>
                <w:rFonts w:hint="eastAsia"/>
              </w:rPr>
              <w:t>火灾</w:t>
            </w:r>
          </w:p>
        </w:tc>
        <w:tc>
          <w:tcPr>
            <w:tcW w:w="1150" w:type="pct"/>
            <w:tcBorders>
              <w:top w:val="single" w:color="auto" w:sz="4" w:space="0"/>
              <w:left w:val="nil"/>
              <w:bottom w:val="single" w:color="auto" w:sz="4" w:space="0"/>
              <w:right w:val="single" w:color="auto" w:sz="4" w:space="0"/>
            </w:tcBorders>
            <w:vAlign w:val="center"/>
          </w:tcPr>
          <w:p w14:paraId="730B5C2A">
            <w:pPr>
              <w:pStyle w:val="19"/>
              <w:spacing w:before="120" w:after="120"/>
              <w:jc w:val="left"/>
            </w:pPr>
            <w:r>
              <w:rPr>
                <w:rFonts w:hint="eastAsia"/>
              </w:rPr>
              <w:t>1.热辐射：空气</w:t>
            </w:r>
          </w:p>
          <w:p w14:paraId="733462E5">
            <w:pPr>
              <w:pStyle w:val="19"/>
              <w:spacing w:before="120" w:after="120"/>
              <w:jc w:val="left"/>
            </w:pPr>
            <w:r>
              <w:rPr>
                <w:rFonts w:hint="eastAsia"/>
              </w:rPr>
              <w:t>2.浓烟：空气</w:t>
            </w:r>
          </w:p>
        </w:tc>
        <w:tc>
          <w:tcPr>
            <w:tcW w:w="1735" w:type="pct"/>
            <w:tcBorders>
              <w:top w:val="single" w:color="auto" w:sz="4" w:space="0"/>
              <w:left w:val="nil"/>
              <w:bottom w:val="single" w:color="auto" w:sz="4" w:space="0"/>
              <w:right w:val="single" w:color="auto" w:sz="4" w:space="0"/>
            </w:tcBorders>
            <w:vAlign w:val="center"/>
          </w:tcPr>
          <w:p w14:paraId="238847ED">
            <w:pPr>
              <w:pStyle w:val="19"/>
              <w:spacing w:before="120" w:after="120"/>
              <w:jc w:val="left"/>
            </w:pPr>
            <w:r>
              <w:rPr>
                <w:rFonts w:hint="eastAsia"/>
              </w:rPr>
              <w:t>1.其它装置的火灾</w:t>
            </w:r>
          </w:p>
          <w:p w14:paraId="273A5E7E">
            <w:pPr>
              <w:pStyle w:val="19"/>
              <w:spacing w:before="120" w:after="120"/>
              <w:jc w:val="left"/>
            </w:pPr>
            <w:r>
              <w:rPr>
                <w:rFonts w:hint="eastAsia"/>
              </w:rPr>
              <w:t>2.物料泄漏和流失发生不希望的化学反应生成有毒物（如CO等）或产生爆炸</w:t>
            </w:r>
          </w:p>
          <w:p w14:paraId="20AC671E">
            <w:pPr>
              <w:pStyle w:val="19"/>
              <w:spacing w:before="120" w:after="120"/>
              <w:jc w:val="left"/>
            </w:pPr>
            <w:r>
              <w:rPr>
                <w:rFonts w:hint="eastAsia"/>
              </w:rPr>
              <w:t>3.有毒物料进入排水系统或大气系统</w:t>
            </w:r>
          </w:p>
        </w:tc>
        <w:tc>
          <w:tcPr>
            <w:tcW w:w="1697" w:type="pct"/>
            <w:tcBorders>
              <w:top w:val="single" w:color="auto" w:sz="4" w:space="0"/>
              <w:left w:val="nil"/>
              <w:bottom w:val="single" w:color="auto" w:sz="4" w:space="0"/>
              <w:right w:val="single" w:color="auto" w:sz="4" w:space="0"/>
            </w:tcBorders>
            <w:vAlign w:val="center"/>
          </w:tcPr>
          <w:p w14:paraId="2F57D84F">
            <w:pPr>
              <w:pStyle w:val="19"/>
              <w:spacing w:before="120" w:after="120"/>
              <w:jc w:val="left"/>
            </w:pPr>
            <w:r>
              <w:rPr>
                <w:rFonts w:hint="eastAsia"/>
              </w:rPr>
              <w:t>1.热辐射：空气；浓烟：空气</w:t>
            </w:r>
          </w:p>
          <w:p w14:paraId="48F6D532">
            <w:pPr>
              <w:pStyle w:val="19"/>
              <w:spacing w:before="120" w:after="120"/>
              <w:jc w:val="left"/>
            </w:pPr>
            <w:r>
              <w:rPr>
                <w:rFonts w:hint="eastAsia"/>
              </w:rPr>
              <w:t>2.毒害：空气或排水系统；爆炸事故风险影响/途径</w:t>
            </w:r>
          </w:p>
          <w:p w14:paraId="78010877">
            <w:pPr>
              <w:pStyle w:val="19"/>
              <w:spacing w:before="120" w:after="120"/>
              <w:jc w:val="left"/>
            </w:pPr>
            <w:r>
              <w:rPr>
                <w:rFonts w:hint="eastAsia"/>
              </w:rPr>
              <w:t>3.毒害：排水系统或空气</w:t>
            </w:r>
          </w:p>
        </w:tc>
      </w:tr>
      <w:tr w14:paraId="789B6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6" w:type="pct"/>
            <w:tcBorders>
              <w:top w:val="single" w:color="auto" w:sz="4" w:space="0"/>
              <w:left w:val="single" w:color="auto" w:sz="4" w:space="0"/>
              <w:bottom w:val="single" w:color="auto" w:sz="4" w:space="0"/>
              <w:right w:val="single" w:color="auto" w:sz="4" w:space="0"/>
            </w:tcBorders>
            <w:vAlign w:val="center"/>
          </w:tcPr>
          <w:p w14:paraId="241C05DA">
            <w:pPr>
              <w:pStyle w:val="19"/>
              <w:spacing w:before="120" w:after="120"/>
            </w:pPr>
            <w:r>
              <w:rPr>
                <w:rFonts w:hint="eastAsia"/>
              </w:rPr>
              <w:t>爆炸</w:t>
            </w:r>
          </w:p>
        </w:tc>
        <w:tc>
          <w:tcPr>
            <w:tcW w:w="1150" w:type="pct"/>
            <w:tcBorders>
              <w:top w:val="single" w:color="auto" w:sz="4" w:space="0"/>
              <w:left w:val="nil"/>
              <w:bottom w:val="single" w:color="auto" w:sz="4" w:space="0"/>
              <w:right w:val="single" w:color="auto" w:sz="4" w:space="0"/>
            </w:tcBorders>
            <w:vAlign w:val="center"/>
          </w:tcPr>
          <w:p w14:paraId="4EFAB0BD">
            <w:pPr>
              <w:pStyle w:val="19"/>
              <w:spacing w:before="120" w:after="120"/>
              <w:jc w:val="left"/>
            </w:pPr>
            <w:r>
              <w:rPr>
                <w:rFonts w:hint="eastAsia"/>
              </w:rPr>
              <w:t>1.超压爆炸：空气</w:t>
            </w:r>
          </w:p>
          <w:p w14:paraId="596E139D">
            <w:pPr>
              <w:pStyle w:val="19"/>
              <w:spacing w:before="120" w:after="120"/>
              <w:jc w:val="left"/>
            </w:pPr>
            <w:r>
              <w:rPr>
                <w:rFonts w:hint="eastAsia"/>
              </w:rPr>
              <w:t>2.冲击波：空气</w:t>
            </w:r>
          </w:p>
          <w:p w14:paraId="66AF060A">
            <w:pPr>
              <w:pStyle w:val="19"/>
              <w:spacing w:before="120" w:after="120"/>
              <w:jc w:val="left"/>
            </w:pPr>
            <w:r>
              <w:rPr>
                <w:rFonts w:hint="eastAsia"/>
              </w:rPr>
              <w:t>3.碎片冲击、机械伤害：空气</w:t>
            </w:r>
          </w:p>
        </w:tc>
        <w:tc>
          <w:tcPr>
            <w:tcW w:w="1735" w:type="pct"/>
            <w:tcBorders>
              <w:top w:val="single" w:color="auto" w:sz="4" w:space="0"/>
              <w:left w:val="nil"/>
              <w:bottom w:val="single" w:color="auto" w:sz="4" w:space="0"/>
              <w:right w:val="single" w:color="auto" w:sz="4" w:space="0"/>
            </w:tcBorders>
            <w:vAlign w:val="center"/>
          </w:tcPr>
          <w:p w14:paraId="0AD3FE81">
            <w:pPr>
              <w:pStyle w:val="19"/>
              <w:spacing w:before="120" w:after="120"/>
              <w:jc w:val="left"/>
            </w:pPr>
            <w:r>
              <w:rPr>
                <w:rFonts w:hint="eastAsia"/>
              </w:rPr>
              <w:t>1.其它装置的爆炸</w:t>
            </w:r>
          </w:p>
          <w:p w14:paraId="099E8A7F">
            <w:pPr>
              <w:pStyle w:val="19"/>
              <w:spacing w:before="120" w:after="120"/>
              <w:jc w:val="left"/>
            </w:pPr>
            <w:r>
              <w:rPr>
                <w:rFonts w:hint="eastAsia"/>
              </w:rPr>
              <w:t>2.物料泄漏和流失发生不希望的化学反应生成剧毒物质或产生爆炸</w:t>
            </w:r>
          </w:p>
          <w:p w14:paraId="17D43E59">
            <w:pPr>
              <w:pStyle w:val="19"/>
              <w:spacing w:before="120" w:after="120"/>
              <w:jc w:val="left"/>
            </w:pPr>
            <w:r>
              <w:rPr>
                <w:rFonts w:hint="eastAsia"/>
              </w:rPr>
              <w:t>3.有毒物料进入排水系统或大气系统</w:t>
            </w:r>
          </w:p>
        </w:tc>
        <w:tc>
          <w:tcPr>
            <w:tcW w:w="1697" w:type="pct"/>
            <w:tcBorders>
              <w:top w:val="single" w:color="auto" w:sz="4" w:space="0"/>
              <w:left w:val="nil"/>
              <w:bottom w:val="single" w:color="auto" w:sz="4" w:space="0"/>
              <w:right w:val="single" w:color="auto" w:sz="4" w:space="0"/>
            </w:tcBorders>
            <w:vAlign w:val="center"/>
          </w:tcPr>
          <w:p w14:paraId="6AED8E8C">
            <w:pPr>
              <w:pStyle w:val="19"/>
              <w:spacing w:before="120" w:after="120"/>
              <w:jc w:val="left"/>
            </w:pPr>
            <w:r>
              <w:rPr>
                <w:rFonts w:hint="eastAsia"/>
              </w:rPr>
              <w:t>1.爆炸同事故风险影响/途径；</w:t>
            </w:r>
          </w:p>
          <w:p w14:paraId="4233AD8A">
            <w:pPr>
              <w:pStyle w:val="19"/>
              <w:spacing w:before="120" w:after="120"/>
              <w:jc w:val="left"/>
            </w:pPr>
            <w:r>
              <w:rPr>
                <w:rFonts w:hint="eastAsia"/>
              </w:rPr>
              <w:t>2.毒害：空气或排水系统；爆炸同事故风险影响/途径；</w:t>
            </w:r>
          </w:p>
          <w:p w14:paraId="3371B377">
            <w:pPr>
              <w:pStyle w:val="19"/>
              <w:spacing w:before="120" w:after="120"/>
              <w:jc w:val="left"/>
            </w:pPr>
            <w:r>
              <w:rPr>
                <w:rFonts w:hint="eastAsia"/>
              </w:rPr>
              <w:t>3.毒害：排水系统或空气</w:t>
            </w:r>
          </w:p>
        </w:tc>
      </w:tr>
      <w:tr w14:paraId="6A75F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6" w:type="pct"/>
            <w:tcBorders>
              <w:top w:val="single" w:color="auto" w:sz="4" w:space="0"/>
              <w:left w:val="single" w:color="auto" w:sz="4" w:space="0"/>
              <w:bottom w:val="single" w:color="auto" w:sz="4" w:space="0"/>
              <w:right w:val="single" w:color="auto" w:sz="4" w:space="0"/>
            </w:tcBorders>
            <w:vAlign w:val="center"/>
          </w:tcPr>
          <w:p w14:paraId="151DC890">
            <w:pPr>
              <w:pStyle w:val="19"/>
              <w:spacing w:before="120" w:after="120"/>
            </w:pPr>
            <w:r>
              <w:rPr>
                <w:rFonts w:hint="eastAsia"/>
              </w:rPr>
              <w:t>有害液体物料泄漏</w:t>
            </w:r>
          </w:p>
        </w:tc>
        <w:tc>
          <w:tcPr>
            <w:tcW w:w="1150" w:type="pct"/>
            <w:tcBorders>
              <w:top w:val="single" w:color="auto" w:sz="4" w:space="0"/>
              <w:left w:val="nil"/>
              <w:bottom w:val="single" w:color="auto" w:sz="4" w:space="0"/>
              <w:right w:val="single" w:color="auto" w:sz="4" w:space="0"/>
            </w:tcBorders>
            <w:vAlign w:val="center"/>
          </w:tcPr>
          <w:p w14:paraId="14B893A8">
            <w:pPr>
              <w:pStyle w:val="19"/>
              <w:spacing w:before="120" w:after="120"/>
              <w:jc w:val="left"/>
            </w:pPr>
            <w:r>
              <w:rPr>
                <w:rFonts w:hint="eastAsia"/>
              </w:rPr>
              <w:t>1.毒害：排水系统</w:t>
            </w:r>
          </w:p>
          <w:p w14:paraId="7414114E">
            <w:pPr>
              <w:pStyle w:val="19"/>
              <w:spacing w:before="120" w:after="120"/>
              <w:jc w:val="left"/>
            </w:pPr>
            <w:r>
              <w:rPr>
                <w:rFonts w:hint="eastAsia"/>
              </w:rPr>
              <w:t>2.经地表径流，污染地表水环境。</w:t>
            </w:r>
          </w:p>
        </w:tc>
        <w:tc>
          <w:tcPr>
            <w:tcW w:w="1735" w:type="pct"/>
            <w:tcBorders>
              <w:top w:val="single" w:color="auto" w:sz="4" w:space="0"/>
              <w:left w:val="nil"/>
              <w:bottom w:val="single" w:color="auto" w:sz="4" w:space="0"/>
              <w:right w:val="single" w:color="auto" w:sz="4" w:space="0"/>
            </w:tcBorders>
            <w:vAlign w:val="center"/>
          </w:tcPr>
          <w:p w14:paraId="4D960AD8">
            <w:pPr>
              <w:pStyle w:val="19"/>
              <w:spacing w:before="120" w:after="120"/>
              <w:jc w:val="left"/>
            </w:pPr>
            <w:r>
              <w:rPr>
                <w:rFonts w:hint="eastAsia"/>
              </w:rPr>
              <w:t>1.挥发性气体逸散</w:t>
            </w:r>
          </w:p>
          <w:p w14:paraId="55197FDB">
            <w:pPr>
              <w:pStyle w:val="19"/>
              <w:spacing w:before="120" w:after="120"/>
              <w:jc w:val="left"/>
            </w:pPr>
            <w:r>
              <w:rPr>
                <w:rFonts w:hint="eastAsia"/>
              </w:rPr>
              <w:t>2.引起火灾爆炸</w:t>
            </w:r>
          </w:p>
        </w:tc>
        <w:tc>
          <w:tcPr>
            <w:tcW w:w="1697" w:type="pct"/>
            <w:tcBorders>
              <w:top w:val="single" w:color="auto" w:sz="4" w:space="0"/>
              <w:left w:val="nil"/>
              <w:bottom w:val="single" w:color="auto" w:sz="4" w:space="0"/>
              <w:right w:val="single" w:color="auto" w:sz="4" w:space="0"/>
            </w:tcBorders>
            <w:vAlign w:val="center"/>
          </w:tcPr>
          <w:p w14:paraId="1D9E31E6">
            <w:pPr>
              <w:pStyle w:val="19"/>
              <w:spacing w:before="120" w:after="120"/>
              <w:jc w:val="left"/>
            </w:pPr>
            <w:r>
              <w:rPr>
                <w:rFonts w:hint="eastAsia"/>
              </w:rPr>
              <w:t>1.通过空气扩散</w:t>
            </w:r>
          </w:p>
          <w:p w14:paraId="24A0076D">
            <w:pPr>
              <w:pStyle w:val="19"/>
              <w:spacing w:before="120" w:after="120"/>
              <w:jc w:val="left"/>
            </w:pPr>
            <w:r>
              <w:rPr>
                <w:rFonts w:hint="eastAsia"/>
              </w:rPr>
              <w:t>2.火灾爆炸同事故风险影响/途径</w:t>
            </w:r>
          </w:p>
          <w:p w14:paraId="639B3ECE">
            <w:pPr>
              <w:pStyle w:val="19"/>
              <w:spacing w:before="120" w:after="120"/>
              <w:jc w:val="left"/>
            </w:pPr>
            <w:r>
              <w:rPr>
                <w:rFonts w:hint="eastAsia"/>
              </w:rPr>
              <w:t>3.渗漏进入地下，污染地下水土壤环境。</w:t>
            </w:r>
          </w:p>
        </w:tc>
      </w:tr>
    </w:tbl>
    <w:p w14:paraId="68AA5804">
      <w:pPr>
        <w:ind w:firstLine="480"/>
      </w:pPr>
    </w:p>
    <w:p w14:paraId="2C0AF85E">
      <w:pPr>
        <w:ind w:firstLine="480"/>
        <w:sectPr>
          <w:pgSz w:w="11906" w:h="16838"/>
          <w:pgMar w:top="1701" w:right="1531" w:bottom="1701" w:left="1531" w:header="851" w:footer="851" w:gutter="0"/>
          <w:pgNumType w:fmt="numberInDash"/>
          <w:cols w:space="720" w:num="1"/>
          <w:docGrid w:linePitch="312" w:charSpace="0"/>
        </w:sectPr>
      </w:pPr>
    </w:p>
    <w:p w14:paraId="4D3F75A7">
      <w:pPr>
        <w:pStyle w:val="2"/>
        <w:numPr>
          <w:ilvl w:val="0"/>
          <w:numId w:val="14"/>
        </w:numPr>
        <w:jc w:val="left"/>
      </w:pPr>
      <w:bookmarkStart w:id="189" w:name="_Toc6060"/>
      <w:bookmarkStart w:id="190" w:name="_Toc27261"/>
      <w:r>
        <w:t>环境风险分析</w:t>
      </w:r>
      <w:bookmarkEnd w:id="189"/>
      <w:bookmarkEnd w:id="190"/>
    </w:p>
    <w:p w14:paraId="5F191B83">
      <w:pPr>
        <w:ind w:firstLine="480"/>
      </w:pPr>
      <w:r>
        <w:t>根据《建设项目环境风险评价技术导则》（HJ169-2018）的要求，风险事故情形的设定是在风险识别的基础上，选择对环境影响较大并具有代表性的事故类型，设定风险事故情形。根据风险识别结果，同时泄露频率参考风险导HJ169-2018附录E，本项目风险事故情形设定如下：</w:t>
      </w:r>
    </w:p>
    <w:p w14:paraId="1186CA3B">
      <w:pPr>
        <w:numPr>
          <w:ilvl w:val="0"/>
          <w:numId w:val="16"/>
        </w:numPr>
        <w:ind w:firstLine="480"/>
        <w:rPr>
          <w:color w:val="000000"/>
        </w:rPr>
      </w:pPr>
      <w:r>
        <w:rPr>
          <w:rFonts w:hint="eastAsia"/>
          <w:color w:val="000000"/>
        </w:rPr>
        <w:t>危险化学品</w:t>
      </w:r>
      <w:r>
        <w:rPr>
          <w:color w:val="000000"/>
        </w:rPr>
        <w:t>泄漏事件</w:t>
      </w:r>
      <w:r>
        <w:rPr>
          <w:rFonts w:hint="eastAsia"/>
          <w:color w:val="000000"/>
        </w:rPr>
        <w:t>；</w:t>
      </w:r>
    </w:p>
    <w:p w14:paraId="169EB6F9">
      <w:pPr>
        <w:numPr>
          <w:ilvl w:val="0"/>
          <w:numId w:val="16"/>
        </w:numPr>
        <w:ind w:firstLine="480"/>
      </w:pPr>
      <w:r>
        <w:rPr>
          <w:color w:val="000000"/>
        </w:rPr>
        <w:t>火灾、爆炸引发的次生环境事件。</w:t>
      </w:r>
    </w:p>
    <w:p w14:paraId="668EE021">
      <w:pPr>
        <w:pStyle w:val="3"/>
        <w:ind w:firstLine="480"/>
        <w:rPr>
          <w:color w:val="auto"/>
        </w:rPr>
      </w:pPr>
      <w:bookmarkStart w:id="191" w:name="_Toc11924"/>
      <w:bookmarkStart w:id="192" w:name="_Toc11711"/>
      <w:r>
        <w:rPr>
          <w:rFonts w:hint="eastAsia"/>
          <w:color w:val="auto"/>
        </w:rPr>
        <w:t>6.1危险化学品</w:t>
      </w:r>
      <w:r>
        <w:rPr>
          <w:color w:val="auto"/>
        </w:rPr>
        <w:t>泄漏事件</w:t>
      </w:r>
      <w:bookmarkEnd w:id="191"/>
      <w:bookmarkEnd w:id="192"/>
    </w:p>
    <w:p w14:paraId="233953F3">
      <w:pPr>
        <w:ind w:firstLine="480"/>
        <w:rPr>
          <w:color w:val="auto"/>
        </w:rPr>
      </w:pPr>
      <w:r>
        <w:rPr>
          <w:rFonts w:hint="eastAsia"/>
          <w:color w:val="auto"/>
        </w:rPr>
        <w:t>本项目为鄂托克经济开发区蒙西产业园危险化学品运输车辆专用停车场项目，主要功能为危险化学品车辆停车、</w:t>
      </w:r>
      <w:r>
        <w:rPr>
          <w:rFonts w:hint="eastAsia"/>
          <w:color w:val="auto"/>
          <w:lang w:val="en-US" w:eastAsia="zh-CN"/>
        </w:rPr>
        <w:t>候</w:t>
      </w:r>
      <w:r>
        <w:rPr>
          <w:rFonts w:hint="eastAsia"/>
          <w:color w:val="auto"/>
        </w:rPr>
        <w:t>检、过磅、车辆简单清洗和检修，涉及风险物质主要来源于停车区内停泊车辆承载物及其运载化学品后残余物质。根据《鄂托克经济开发区蒙西产业园危险化学品运输车辆专用停车场项目可行性研究报告》，园区车辆运输物质以易燃液体、遇水释放易燃</w:t>
      </w:r>
      <w:r>
        <w:rPr>
          <w:color w:val="auto"/>
        </w:rPr>
        <w:t>气体的物质和腐蚀性物质为主</w:t>
      </w:r>
      <w:r>
        <w:rPr>
          <w:rFonts w:hint="eastAsia"/>
          <w:color w:val="auto"/>
        </w:rPr>
        <w:t>。</w:t>
      </w:r>
    </w:p>
    <w:p w14:paraId="60342BEA">
      <w:pPr>
        <w:ind w:firstLine="480"/>
        <w:rPr>
          <w:color w:val="auto"/>
        </w:rPr>
      </w:pPr>
      <w:r>
        <w:rPr>
          <w:rFonts w:hint="eastAsia"/>
          <w:color w:val="auto"/>
        </w:rPr>
        <w:t>若发生危险化学品</w:t>
      </w:r>
      <w:r>
        <w:rPr>
          <w:color w:val="auto"/>
        </w:rPr>
        <w:t>泄漏事件</w:t>
      </w:r>
      <w:r>
        <w:rPr>
          <w:rFonts w:hint="eastAsia"/>
          <w:color w:val="auto"/>
        </w:rPr>
        <w:t>，首先可利用围堰将重载停车区泄露的危险化学品收集，同时场区设有消防</w:t>
      </w:r>
      <w:r>
        <w:rPr>
          <w:color w:val="auto"/>
        </w:rPr>
        <w:t>水池</w:t>
      </w:r>
      <w:r>
        <w:rPr>
          <w:rFonts w:hint="eastAsia"/>
          <w:color w:val="auto"/>
        </w:rPr>
        <w:t>、事故水池和初期雨水池，可将事故废水（车载化学品）有效收集，防止事故废水（车载化学品）外排对外环境造成不良影响。若事故废水（车载化学品）未及时收集，事故废水（车载化学品）将有可能由雨水管道流出造成污染。因此建设单位应做到加强雨水排放口的管理，保证事故状态下雨水口阀门为关闭状态，做好事故状态下的应急响应，尽量将事故废水控制在厂区范围予以收集处理。</w:t>
      </w:r>
    </w:p>
    <w:p w14:paraId="75400C84">
      <w:pPr>
        <w:ind w:firstLine="480"/>
        <w:rPr>
          <w:color w:val="auto"/>
        </w:rPr>
      </w:pPr>
      <w:r>
        <w:rPr>
          <w:rFonts w:hint="eastAsia"/>
          <w:color w:val="auto"/>
        </w:rPr>
        <w:t>本项目涉及液氯罐车管理，</w:t>
      </w:r>
      <w:r>
        <w:rPr>
          <w:color w:val="auto"/>
        </w:rPr>
        <w:t>液氯由氯气压缩或低温液化而成，</w:t>
      </w:r>
      <w:r>
        <w:rPr>
          <w:rFonts w:hint="eastAsia"/>
          <w:color w:val="auto"/>
        </w:rPr>
        <w:t>广泛应用于造纸、纺织、农药、有机合成、金属冶炼、化工原料等行业，还可用于生活用水消毒。液氯一旦发生泄露，会在空气中迅速</w:t>
      </w:r>
      <w:r>
        <w:rPr>
          <w:color w:val="auto"/>
        </w:rPr>
        <w:t>汽化为有强烈刺激气味</w:t>
      </w:r>
      <w:r>
        <w:rPr>
          <w:rFonts w:hint="eastAsia"/>
          <w:color w:val="auto"/>
        </w:rPr>
        <w:t>的有毒气体——氯气。氯气在标况下的密度为3.21kg/m</w:t>
      </w:r>
      <w:r>
        <w:rPr>
          <w:rFonts w:hint="eastAsia"/>
          <w:color w:val="auto"/>
          <w:vertAlign w:val="superscript"/>
        </w:rPr>
        <w:t>3</w:t>
      </w:r>
      <w:r>
        <w:rPr>
          <w:rFonts w:hint="eastAsia"/>
          <w:color w:val="auto"/>
        </w:rPr>
        <w:t>，不燃但助燃，在日光下与其它易燃气体混合会发生燃烧和爆炸；腐蚀性强，对大部分金属、非金属有腐蚀作用；有强烈刺激性，对眼、呼吸道粘膜有刺激作用；有毒性，急性轻度中毒者有流泪、胸闷、咳嗽、咳痰、气管炎、支气管炎等表现，急性中度中毒者有呼吸困难、轻度紫绀、支气管肺炎加重、局限性肺泡性肺水肿等症状，急性重度中毒者有肺水肿、昏迷、休克、气胸、纵隔气肿等症状，吸入极高浓度氯气，可引起心跳骤停或“电击样”死亡；对水生环境存在急性危害风险。因此，液氯在生产、运输、储存、使用过程中应当采取措施减少或避免风险事故发生，并在事故发生时及时采取快速有效的应急救援行动，控制事故危害的扩大。</w:t>
      </w:r>
    </w:p>
    <w:p w14:paraId="0183D504">
      <w:pPr>
        <w:ind w:firstLine="480"/>
        <w:rPr>
          <w:color w:val="auto"/>
        </w:rPr>
      </w:pPr>
      <w:r>
        <w:rPr>
          <w:rFonts w:hint="eastAsia"/>
          <w:color w:val="auto"/>
        </w:rPr>
        <w:t>根据《建设项目环境风险评价技术导则》（HJ169-2018）推荐的两相流泄漏公式计算泄漏速率可知液氯两相混合物泄漏速率为0.3949kg/s，考虑到液态部分会不断气化为氯气，故氯气扩散速率取0.3949kg/s，液氯10分钟的泄漏量为236.94kg。</w:t>
      </w:r>
    </w:p>
    <w:p w14:paraId="7CF53A50">
      <w:pPr>
        <w:ind w:firstLine="480"/>
        <w:rPr>
          <w:color w:val="auto"/>
        </w:rPr>
      </w:pPr>
      <w:r>
        <w:rPr>
          <w:rFonts w:hint="eastAsia"/>
          <w:color w:val="auto"/>
        </w:rPr>
        <w:t>常温常压下，氯气密度大于空气密度，且根据《建设项目环境风险评价技术导则》（HJ169-2018）附录G中的G2连续排放理查德森数Ri计算公式，计算出氯气烟团理查德森数≥1/6，为重质气体，所以氯气泄漏扩散属于重质气体扩散，预测模型采用《建设项目环境风险评价技术导则》（HJ169-2018）</w:t>
      </w:r>
      <w:r>
        <w:rPr>
          <w:color w:val="auto"/>
        </w:rPr>
        <w:t>推荐的SLAB模型</w:t>
      </w:r>
      <w:r>
        <w:rPr>
          <w:rFonts w:hint="eastAsia"/>
          <w:color w:val="auto"/>
        </w:rPr>
        <w:t>，</w:t>
      </w:r>
      <w:r>
        <w:rPr>
          <w:color w:val="auto"/>
        </w:rPr>
        <w:t>预测软件采用尚云环境科技有限公司开发的EIAProA2</w:t>
      </w:r>
      <w:r>
        <w:rPr>
          <w:rFonts w:hint="eastAsia"/>
          <w:color w:val="auto"/>
        </w:rPr>
        <w:t>，预测地点选在本项目重载车辆停放区，气象条件选择最常见气象条件，即由1年的连续气象观测资料统计分析出的出现频率最高的稳定度，该稳定度下的气象参数。</w:t>
      </w:r>
      <w:r>
        <w:rPr>
          <w:color w:val="auto"/>
        </w:rPr>
        <w:t>鄂尔多斯属北温带半干旱大陆性气候区，多年平均气温6.2℃，多年平均降水348.3</w:t>
      </w:r>
      <w:r>
        <w:rPr>
          <w:rFonts w:hint="eastAsia"/>
          <w:color w:val="auto"/>
        </w:rPr>
        <w:t>mm</w:t>
      </w:r>
      <w:r>
        <w:rPr>
          <w:color w:val="auto"/>
        </w:rPr>
        <w:t>，多年平均蒸发量2506.3</w:t>
      </w:r>
      <w:r>
        <w:rPr>
          <w:rFonts w:hint="eastAsia"/>
          <w:color w:val="auto"/>
        </w:rPr>
        <w:t>mm</w:t>
      </w:r>
      <w:r>
        <w:rPr>
          <w:color w:val="auto"/>
        </w:rPr>
        <w:t>，全年多盛行西风及北偏西风，年平均风速3.6</w:t>
      </w:r>
      <w:r>
        <w:rPr>
          <w:rFonts w:hint="eastAsia"/>
          <w:color w:val="auto"/>
        </w:rPr>
        <w:t>m</w:t>
      </w:r>
      <w:r>
        <w:rPr>
          <w:color w:val="auto"/>
        </w:rPr>
        <w:t>/</w:t>
      </w:r>
      <w:r>
        <w:rPr>
          <w:rFonts w:hint="eastAsia"/>
          <w:color w:val="auto"/>
        </w:rPr>
        <w:t>s</w:t>
      </w:r>
      <w:r>
        <w:rPr>
          <w:color w:val="auto"/>
        </w:rPr>
        <w:t>，最大风速可达22</w:t>
      </w:r>
      <w:r>
        <w:rPr>
          <w:rFonts w:hint="eastAsia"/>
          <w:color w:val="auto"/>
        </w:rPr>
        <w:t>m</w:t>
      </w:r>
      <w:r>
        <w:rPr>
          <w:color w:val="auto"/>
        </w:rPr>
        <w:t>/</w:t>
      </w:r>
      <w:r>
        <w:rPr>
          <w:rFonts w:hint="eastAsia"/>
          <w:color w:val="auto"/>
        </w:rPr>
        <w:t>s</w:t>
      </w:r>
      <w:r>
        <w:rPr>
          <w:color w:val="auto"/>
        </w:rPr>
        <w:t>，最大风速的风压0.6</w:t>
      </w:r>
      <w:r>
        <w:rPr>
          <w:rFonts w:hint="eastAsia"/>
          <w:color w:val="auto"/>
        </w:rPr>
        <w:t>kN</w:t>
      </w:r>
      <w:r>
        <w:rPr>
          <w:color w:val="auto"/>
        </w:rPr>
        <w:t>/</w:t>
      </w:r>
      <w:r>
        <w:rPr>
          <w:rFonts w:hint="eastAsia"/>
          <w:color w:val="auto"/>
        </w:rPr>
        <w:t>m</w:t>
      </w:r>
      <w:r>
        <w:rPr>
          <w:rFonts w:hint="eastAsia"/>
          <w:color w:val="auto"/>
          <w:vertAlign w:val="superscript"/>
        </w:rPr>
        <w:t>2</w:t>
      </w:r>
      <w:r>
        <w:rPr>
          <w:color w:val="auto"/>
        </w:rPr>
        <w:t>。</w:t>
      </w:r>
    </w:p>
    <w:p w14:paraId="096A439F">
      <w:pPr>
        <w:ind w:firstLine="480"/>
        <w:rPr>
          <w:color w:val="auto"/>
        </w:rPr>
      </w:pPr>
      <w:r>
        <w:rPr>
          <w:rFonts w:hint="eastAsia"/>
          <w:color w:val="auto"/>
        </w:rPr>
        <w:t>氯气对环境空气质量的影响评价浓度参考《环境影响评价技术导则 大气环境》</w:t>
      </w:r>
      <w:r>
        <w:rPr>
          <w:color w:val="auto"/>
        </w:rPr>
        <w:t>（HJ2.2-2018</w:t>
      </w:r>
      <w:r>
        <w:rPr>
          <w:rFonts w:hint="eastAsia"/>
          <w:color w:val="auto"/>
        </w:rPr>
        <w:t>）附录D中1小时平均浓度，0.1mg/m</w:t>
      </w:r>
      <w:r>
        <w:rPr>
          <w:rFonts w:hint="eastAsia"/>
          <w:color w:val="auto"/>
          <w:vertAlign w:val="superscript"/>
        </w:rPr>
        <w:t>3</w:t>
      </w:r>
      <w:r>
        <w:rPr>
          <w:rFonts w:hint="eastAsia"/>
          <w:color w:val="auto"/>
        </w:rPr>
        <w:t>。氯气对人群健康的影响评价标准浓度选用《建设项目环境风险评价技术导则》（HJ169-2018）推荐的大气毒性终点浓度-1，为58mg/m</w:t>
      </w:r>
      <w:r>
        <w:rPr>
          <w:rFonts w:hint="eastAsia"/>
          <w:color w:val="auto"/>
          <w:vertAlign w:val="superscript"/>
        </w:rPr>
        <w:t>3</w:t>
      </w:r>
      <w:r>
        <w:rPr>
          <w:rFonts w:hint="eastAsia"/>
          <w:color w:val="auto"/>
        </w:rPr>
        <w:t>，即当大气中危险物质浓度低于该限值时，绝大多数人员暴露1h不会对生命造成威胁，当超过该限值时，有可能对人群造成3生命威胁；大气毒性终点浓度-2，为5.8mg/m</w:t>
      </w:r>
      <w:r>
        <w:rPr>
          <w:rFonts w:hint="eastAsia"/>
          <w:color w:val="auto"/>
          <w:vertAlign w:val="superscript"/>
        </w:rPr>
        <w:t>3</w:t>
      </w:r>
      <w:r>
        <w:rPr>
          <w:rFonts w:hint="eastAsia"/>
          <w:color w:val="auto"/>
        </w:rPr>
        <w:t>，即当大气中危险物质浓度低于该限值时，暴露1h一般不会对人体造成不可逆的伤害，或出现的症状一般不会损伤该个体采取有效防护措施的能力。</w:t>
      </w:r>
    </w:p>
    <w:p w14:paraId="1FC4E072">
      <w:pPr>
        <w:ind w:firstLine="480"/>
        <w:rPr>
          <w:color w:val="auto"/>
        </w:rPr>
      </w:pPr>
      <w:r>
        <w:rPr>
          <w:color w:val="auto"/>
        </w:rPr>
        <w:t>在常见气象条件下液氯泄漏源下风向10m处氯气的最高峰浓度为8165</w:t>
      </w:r>
      <w:r>
        <w:rPr>
          <w:rFonts w:hint="eastAsia"/>
          <w:color w:val="auto"/>
        </w:rPr>
        <w:t>mg/m</w:t>
      </w:r>
      <w:r>
        <w:rPr>
          <w:rFonts w:hint="eastAsia"/>
          <w:color w:val="auto"/>
          <w:vertAlign w:val="superscript"/>
        </w:rPr>
        <w:t>3</w:t>
      </w:r>
      <w:r>
        <w:rPr>
          <w:color w:val="auto"/>
        </w:rPr>
        <w:t>，</w:t>
      </w:r>
      <w:r>
        <w:rPr>
          <w:rFonts w:hint="eastAsia"/>
          <w:color w:val="auto"/>
        </w:rPr>
        <w:t>出现时刻为泄漏后5分钟，最高浓度远超氯气浓度环境空气质量影响评价标准限值以及氯气对人群健康的影响评价标准浓度。预测浓度高于0.1mg/m</w:t>
      </w:r>
      <w:r>
        <w:rPr>
          <w:rFonts w:hint="eastAsia"/>
          <w:color w:val="auto"/>
          <w:vertAlign w:val="superscript"/>
        </w:rPr>
        <w:t>3</w:t>
      </w:r>
      <w:r>
        <w:rPr>
          <w:rFonts w:hint="eastAsia"/>
          <w:color w:val="auto"/>
        </w:rPr>
        <w:t>的范围小于17650m；预测浓度高于5.8mg/m</w:t>
      </w:r>
      <w:r>
        <w:rPr>
          <w:rFonts w:hint="eastAsia"/>
          <w:color w:val="auto"/>
          <w:vertAlign w:val="superscript"/>
        </w:rPr>
        <w:t>3</w:t>
      </w:r>
      <w:r>
        <w:rPr>
          <w:rFonts w:hint="eastAsia"/>
          <w:color w:val="auto"/>
        </w:rPr>
        <w:t>的范围小于17650m；预测浓度高于5.8mg/m</w:t>
      </w:r>
      <w:r>
        <w:rPr>
          <w:rFonts w:hint="eastAsia"/>
          <w:color w:val="auto"/>
          <w:vertAlign w:val="superscript"/>
        </w:rPr>
        <w:t>3</w:t>
      </w:r>
      <w:r>
        <w:rPr>
          <w:rFonts w:hint="eastAsia"/>
          <w:color w:val="auto"/>
        </w:rPr>
        <w:t>的范围小于460m，可见液氯泄漏事故对环境空气影响程度大、范围广。液氯罐车泄露，氯气扩散，下风向不同距离处的最大预测浓度与距离近乎呈倍数替减关系，离事故源越远，最大预测浓度越小，预测浓度超过大气毒性终点浓度-1、大气毒性终点浓度-2的持续时间越短。</w:t>
      </w:r>
    </w:p>
    <w:p w14:paraId="39D3DBA5">
      <w:pPr>
        <w:ind w:firstLine="480"/>
        <w:rPr>
          <w:color w:val="auto"/>
        </w:rPr>
      </w:pPr>
      <w:r>
        <w:rPr>
          <w:rFonts w:hint="eastAsia"/>
          <w:color w:val="auto"/>
        </w:rPr>
        <w:t>本项目位于蒙西工业园区，周边均为工业企业，距离蒙西镇5.42km，属于“居住区、医疗卫生、文化教育、科研、行政办公等机构总数小于</w:t>
      </w:r>
      <w:r>
        <w:rPr>
          <w:color w:val="auto"/>
        </w:rPr>
        <w:t>1</w:t>
      </w:r>
      <w:r>
        <w:rPr>
          <w:rFonts w:hint="eastAsia"/>
          <w:color w:val="auto"/>
        </w:rPr>
        <w:t>万人”，周边</w:t>
      </w:r>
      <w:r>
        <w:rPr>
          <w:color w:val="auto"/>
        </w:rPr>
        <w:t>500m</w:t>
      </w:r>
      <w:r>
        <w:rPr>
          <w:rFonts w:hint="eastAsia"/>
          <w:color w:val="auto"/>
        </w:rPr>
        <w:t>范围内现状为空地，人口总数小于</w:t>
      </w:r>
      <w:r>
        <w:rPr>
          <w:color w:val="auto"/>
        </w:rPr>
        <w:t>500</w:t>
      </w:r>
      <w:r>
        <w:rPr>
          <w:rFonts w:hint="eastAsia"/>
          <w:color w:val="auto"/>
        </w:rPr>
        <w:t>人，不涉及油气、化学品输送管线管段，</w:t>
      </w:r>
      <w:r>
        <w:rPr>
          <w:rFonts w:hint="eastAsia"/>
          <w:color w:val="auto"/>
          <w:spacing w:val="6"/>
        </w:rPr>
        <w:t>依据环境敏感目标环境敏感性及人口密度划分环境风险受体的敏感性</w:t>
      </w:r>
      <w:r>
        <w:rPr>
          <w:color w:val="auto"/>
        </w:rPr>
        <w:t>判断</w:t>
      </w:r>
      <w:r>
        <w:rPr>
          <w:rFonts w:hint="eastAsia"/>
          <w:color w:val="auto"/>
        </w:rPr>
        <w:t>，</w:t>
      </w:r>
      <w:r>
        <w:rPr>
          <w:rFonts w:hint="eastAsia"/>
          <w:color w:val="auto"/>
          <w:spacing w:val="6"/>
        </w:rPr>
        <w:t>本项目大气环境敏感程度为E3，即环境低度敏感区，危险化学品泄漏导致的</w:t>
      </w:r>
      <w:r>
        <w:rPr>
          <w:rFonts w:hint="eastAsia"/>
          <w:color w:val="auto"/>
        </w:rPr>
        <w:t>突发环境风险事件接受能力较强</w:t>
      </w:r>
      <w:r>
        <w:rPr>
          <w:rFonts w:hint="eastAsia"/>
          <w:color w:val="auto"/>
          <w:spacing w:val="6"/>
        </w:rPr>
        <w:t>。根据预测结果，</w:t>
      </w:r>
      <w:r>
        <w:rPr>
          <w:rFonts w:hint="eastAsia"/>
          <w:color w:val="auto"/>
        </w:rPr>
        <w:t>在泄漏源得到控制、液氯停止泄漏后的10min内，氯气浓度可扩散、稀释至现状水平，企业应急处理能力越强，液氯泄漏事故应急处理时间越快。</w:t>
      </w:r>
    </w:p>
    <w:p w14:paraId="2AF8F475">
      <w:pPr>
        <w:pStyle w:val="3"/>
        <w:ind w:firstLine="480"/>
        <w:rPr>
          <w:color w:val="auto"/>
        </w:rPr>
      </w:pPr>
      <w:bookmarkStart w:id="193" w:name="_Toc11975"/>
      <w:bookmarkStart w:id="194" w:name="_Toc14346"/>
      <w:r>
        <w:rPr>
          <w:rFonts w:hint="eastAsia"/>
          <w:color w:val="auto"/>
        </w:rPr>
        <w:t>6.2</w:t>
      </w:r>
      <w:r>
        <w:rPr>
          <w:color w:val="auto"/>
        </w:rPr>
        <w:t>火灾、爆炸引发的次生环境事件</w:t>
      </w:r>
      <w:bookmarkEnd w:id="193"/>
      <w:bookmarkEnd w:id="194"/>
    </w:p>
    <w:p w14:paraId="787594D4">
      <w:pPr>
        <w:ind w:firstLine="480"/>
        <w:rPr>
          <w:color w:val="auto"/>
        </w:rPr>
      </w:pPr>
      <w:r>
        <w:rPr>
          <w:rFonts w:hint="eastAsia"/>
          <w:color w:val="auto"/>
        </w:rPr>
        <w:t>本项目为鄂托克经济开发区蒙西产业园危险化学品运输车辆专用停车场项目，主要功能为危险化学品车辆停车、</w:t>
      </w:r>
      <w:r>
        <w:rPr>
          <w:rFonts w:hint="eastAsia"/>
          <w:color w:val="auto"/>
          <w:lang w:val="en-US" w:eastAsia="zh-CN"/>
        </w:rPr>
        <w:t>候</w:t>
      </w:r>
      <w:r>
        <w:rPr>
          <w:rFonts w:hint="eastAsia"/>
          <w:color w:val="auto"/>
        </w:rPr>
        <w:t>检、过磅、车辆简单清洗和检修，涉及风险物质主要来源于停车区内停泊车辆承载物及其运载化学品后残余物质。根据《鄂托克经济开发区蒙西产业园危险化学品运输车辆专用停车场项目可行性研究报告》，园区车辆运输物质以易燃液体、遇水释放易燃气体的物质和腐蚀性物质为主，其中危险化学品运输易燃液体包括甲醇、乙醛、乙酸、醋酸甲酯、醋酸乙烯酯、苯、甲苯、邻二甲苯、粗苯、液体工业萘和焦油，易燃固体为电石，使用重载车辆停车位约为3个。重载车区场所如遇具有易燃、易爆特性的物质泄漏，遇明火、高热会引起燃烧甚至爆炸。各种设备会因金属材料受介质的腐蚀变薄或局部腐蚀，机械强度降低。</w:t>
      </w:r>
      <w:r>
        <w:rPr>
          <w:color w:val="auto"/>
        </w:rPr>
        <w:t>一旦发生火灾，公司应立即通知区域内的人员以及区域其他作业人员进行疏散，撤离时应做好安全防护措施，防止中毒。火灾、爆炸</w:t>
      </w:r>
      <w:r>
        <w:rPr>
          <w:rFonts w:hint="eastAsia"/>
          <w:color w:val="auto"/>
        </w:rPr>
        <w:t>引发</w:t>
      </w:r>
      <w:r>
        <w:rPr>
          <w:color w:val="auto"/>
        </w:rPr>
        <w:t>的大气次生环境事件主要是由于机油燃烧产生</w:t>
      </w:r>
      <w:r>
        <w:rPr>
          <w:rFonts w:hint="eastAsia"/>
          <w:color w:val="auto"/>
        </w:rPr>
        <w:t>浓烟、</w:t>
      </w:r>
      <w:r>
        <w:rPr>
          <w:color w:val="auto"/>
        </w:rPr>
        <w:t>一氧化碳</w:t>
      </w:r>
      <w:r>
        <w:rPr>
          <w:rFonts w:hint="eastAsia"/>
          <w:color w:val="auto"/>
        </w:rPr>
        <w:t>、</w:t>
      </w:r>
      <w:r>
        <w:rPr>
          <w:color w:val="auto"/>
        </w:rPr>
        <w:t>二氧化硫等污染物，燃烧产生的</w:t>
      </w:r>
      <w:r>
        <w:rPr>
          <w:rFonts w:hint="eastAsia"/>
          <w:color w:val="auto"/>
        </w:rPr>
        <w:t>污染物</w:t>
      </w:r>
      <w:r>
        <w:rPr>
          <w:color w:val="auto"/>
        </w:rPr>
        <w:t>可能会对周边的大气环境造成一定的影响。火灾发生后，发现有浓烟和异味后，建议鸣哨通知</w:t>
      </w:r>
      <w:r>
        <w:rPr>
          <w:rFonts w:hint="eastAsia"/>
          <w:color w:val="auto"/>
        </w:rPr>
        <w:t>员工</w:t>
      </w:r>
      <w:r>
        <w:rPr>
          <w:color w:val="auto"/>
        </w:rPr>
        <w:t>进行撤离</w:t>
      </w:r>
      <w:r>
        <w:rPr>
          <w:rFonts w:hint="eastAsia"/>
          <w:color w:val="auto"/>
        </w:rPr>
        <w:t>，</w:t>
      </w:r>
      <w:r>
        <w:rPr>
          <w:color w:val="auto"/>
        </w:rPr>
        <w:t>撤离时应做好安全防护措施。</w:t>
      </w:r>
    </w:p>
    <w:p w14:paraId="1EF88821">
      <w:pPr>
        <w:ind w:firstLine="480"/>
        <w:rPr>
          <w:color w:val="auto"/>
        </w:rPr>
      </w:pPr>
      <w:r>
        <w:rPr>
          <w:rFonts w:hint="eastAsia"/>
          <w:color w:val="auto"/>
        </w:rPr>
        <w:t>火灾爆炸安全风险事件的次生环境风险事件主要考虑消防废水及泄漏液体影响，场区设有消防</w:t>
      </w:r>
      <w:r>
        <w:rPr>
          <w:color w:val="auto"/>
        </w:rPr>
        <w:t>水池</w:t>
      </w:r>
      <w:r>
        <w:rPr>
          <w:rFonts w:hint="eastAsia"/>
          <w:color w:val="auto"/>
        </w:rPr>
        <w:t>、事故水池和初期雨水池，可将消防废水及泄漏液体有效收集，防止事故废水（车载化学品）外排对外环境造成不良影响。</w:t>
      </w:r>
    </w:p>
    <w:p w14:paraId="7B042549">
      <w:pPr>
        <w:ind w:firstLine="480"/>
        <w:rPr>
          <w:color w:val="auto"/>
        </w:rPr>
        <w:sectPr>
          <w:pgSz w:w="11906" w:h="16838"/>
          <w:pgMar w:top="1701" w:right="1531" w:bottom="1701" w:left="1531" w:header="851" w:footer="851" w:gutter="0"/>
          <w:pgNumType w:fmt="numberInDash"/>
          <w:cols w:space="720" w:num="1"/>
          <w:docGrid w:linePitch="312" w:charSpace="0"/>
        </w:sectPr>
      </w:pPr>
    </w:p>
    <w:p w14:paraId="5E7237DA">
      <w:pPr>
        <w:pStyle w:val="2"/>
        <w:numPr>
          <w:ilvl w:val="0"/>
          <w:numId w:val="14"/>
        </w:numPr>
        <w:jc w:val="left"/>
        <w:rPr>
          <w:color w:val="auto"/>
        </w:rPr>
      </w:pPr>
      <w:bookmarkStart w:id="195" w:name="_Toc24487"/>
      <w:bookmarkStart w:id="196" w:name="_Toc22679"/>
      <w:r>
        <w:rPr>
          <w:color w:val="auto"/>
        </w:rPr>
        <w:t>环境风险防范措施及应急要求</w:t>
      </w:r>
      <w:bookmarkEnd w:id="195"/>
      <w:bookmarkEnd w:id="196"/>
    </w:p>
    <w:p w14:paraId="78F57893">
      <w:pPr>
        <w:ind w:firstLine="480"/>
        <w:rPr>
          <w:color w:val="auto"/>
        </w:rPr>
      </w:pPr>
      <w:r>
        <w:rPr>
          <w:rFonts w:hint="eastAsia"/>
          <w:color w:val="auto"/>
        </w:rPr>
        <w:t>本项目主要从事园区危险品运输车辆专业停车场管理服务，提升区内重要风险源以及危险化学品使用、储运、车辆清洗的管控措施，为园区物流提供公共服务，可作为片区的配套服务行业，主要环境风险事故为停车场内车载化学品槽罐泄漏</w:t>
      </w:r>
      <w:r>
        <w:rPr>
          <w:color w:val="auto"/>
        </w:rPr>
        <w:t>，</w:t>
      </w:r>
      <w:r>
        <w:rPr>
          <w:rFonts w:hint="eastAsia"/>
          <w:color w:val="auto"/>
        </w:rPr>
        <w:t>具体防控如下表所示。</w:t>
      </w:r>
    </w:p>
    <w:p w14:paraId="04C182AD">
      <w:pPr>
        <w:pStyle w:val="19"/>
        <w:spacing w:before="120" w:after="120"/>
        <w:rPr>
          <w:color w:val="auto"/>
        </w:rPr>
      </w:pPr>
      <w:r>
        <w:rPr>
          <w:rFonts w:hint="eastAsia"/>
          <w:b/>
          <w:bCs/>
          <w:color w:val="auto"/>
        </w:rPr>
        <w:t>表7.1-1  项目重点防控区及防控重点</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37"/>
        <w:gridCol w:w="3495"/>
        <w:gridCol w:w="3628"/>
      </w:tblGrid>
      <w:tr w14:paraId="23A10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69" w:type="pct"/>
            <w:tcBorders>
              <w:top w:val="single" w:color="auto" w:sz="4" w:space="0"/>
              <w:left w:val="single" w:color="auto" w:sz="4" w:space="0"/>
              <w:bottom w:val="single" w:color="auto" w:sz="4" w:space="0"/>
              <w:right w:val="single" w:color="auto" w:sz="4" w:space="0"/>
            </w:tcBorders>
            <w:vAlign w:val="center"/>
          </w:tcPr>
          <w:p w14:paraId="0F6527CC">
            <w:pPr>
              <w:pStyle w:val="19"/>
              <w:spacing w:before="120" w:after="120"/>
              <w:rPr>
                <w:color w:val="auto"/>
              </w:rPr>
            </w:pPr>
            <w:r>
              <w:rPr>
                <w:rFonts w:hint="eastAsia"/>
                <w:color w:val="auto"/>
              </w:rPr>
              <w:t>重点防控区</w:t>
            </w:r>
          </w:p>
        </w:tc>
        <w:tc>
          <w:tcPr>
            <w:tcW w:w="1929" w:type="pct"/>
            <w:tcBorders>
              <w:top w:val="single" w:color="auto" w:sz="4" w:space="0"/>
              <w:left w:val="nil"/>
              <w:bottom w:val="single" w:color="auto" w:sz="4" w:space="0"/>
              <w:right w:val="single" w:color="auto" w:sz="4" w:space="0"/>
            </w:tcBorders>
            <w:vAlign w:val="center"/>
          </w:tcPr>
          <w:p w14:paraId="12516917">
            <w:pPr>
              <w:pStyle w:val="19"/>
              <w:spacing w:before="120" w:after="120"/>
              <w:rPr>
                <w:color w:val="auto"/>
              </w:rPr>
            </w:pPr>
            <w:r>
              <w:rPr>
                <w:rFonts w:hint="eastAsia"/>
                <w:color w:val="auto"/>
              </w:rPr>
              <w:t>主要环境风险事故</w:t>
            </w:r>
          </w:p>
        </w:tc>
        <w:tc>
          <w:tcPr>
            <w:tcW w:w="2002" w:type="pct"/>
            <w:tcBorders>
              <w:top w:val="single" w:color="auto" w:sz="4" w:space="0"/>
              <w:left w:val="nil"/>
              <w:bottom w:val="single" w:color="auto" w:sz="4" w:space="0"/>
              <w:right w:val="single" w:color="auto" w:sz="4" w:space="0"/>
            </w:tcBorders>
            <w:vAlign w:val="center"/>
          </w:tcPr>
          <w:p w14:paraId="3CC05AEA">
            <w:pPr>
              <w:pStyle w:val="19"/>
              <w:spacing w:before="120" w:after="120"/>
              <w:rPr>
                <w:color w:val="auto"/>
              </w:rPr>
            </w:pPr>
            <w:r>
              <w:rPr>
                <w:rFonts w:hint="eastAsia"/>
                <w:color w:val="auto"/>
              </w:rPr>
              <w:t>应急防控重点</w:t>
            </w:r>
          </w:p>
        </w:tc>
      </w:tr>
      <w:tr w14:paraId="0080F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69" w:type="pct"/>
            <w:tcBorders>
              <w:top w:val="single" w:color="auto" w:sz="4" w:space="0"/>
              <w:left w:val="single" w:color="auto" w:sz="4" w:space="0"/>
              <w:bottom w:val="single" w:color="auto" w:sz="4" w:space="0"/>
              <w:right w:val="single" w:color="auto" w:sz="4" w:space="0"/>
            </w:tcBorders>
            <w:vAlign w:val="center"/>
          </w:tcPr>
          <w:p w14:paraId="3382201F">
            <w:pPr>
              <w:pStyle w:val="19"/>
              <w:spacing w:before="120" w:after="120"/>
              <w:rPr>
                <w:color w:val="auto"/>
              </w:rPr>
            </w:pPr>
            <w:r>
              <w:rPr>
                <w:rFonts w:hint="eastAsia"/>
                <w:color w:val="auto"/>
              </w:rPr>
              <w:t>重载停车区</w:t>
            </w:r>
          </w:p>
        </w:tc>
        <w:tc>
          <w:tcPr>
            <w:tcW w:w="1929" w:type="pct"/>
            <w:tcBorders>
              <w:top w:val="single" w:color="auto" w:sz="4" w:space="0"/>
              <w:left w:val="nil"/>
              <w:bottom w:val="single" w:color="auto" w:sz="4" w:space="0"/>
              <w:right w:val="single" w:color="auto" w:sz="4" w:space="0"/>
            </w:tcBorders>
            <w:vAlign w:val="center"/>
          </w:tcPr>
          <w:p w14:paraId="5C30674A">
            <w:pPr>
              <w:pStyle w:val="19"/>
              <w:spacing w:before="120" w:after="120"/>
              <w:rPr>
                <w:color w:val="auto"/>
              </w:rPr>
            </w:pPr>
            <w:r>
              <w:rPr>
                <w:rFonts w:hint="eastAsia"/>
                <w:color w:val="auto"/>
              </w:rPr>
              <w:t>车载化学品槽</w:t>
            </w:r>
            <w:r>
              <w:rPr>
                <w:color w:val="auto"/>
              </w:rPr>
              <w:t>罐泄漏</w:t>
            </w:r>
          </w:p>
        </w:tc>
        <w:tc>
          <w:tcPr>
            <w:tcW w:w="2002" w:type="pct"/>
            <w:tcBorders>
              <w:top w:val="single" w:color="auto" w:sz="4" w:space="0"/>
              <w:left w:val="nil"/>
              <w:bottom w:val="single" w:color="auto" w:sz="4" w:space="0"/>
              <w:right w:val="single" w:color="auto" w:sz="4" w:space="0"/>
            </w:tcBorders>
            <w:vAlign w:val="center"/>
          </w:tcPr>
          <w:p w14:paraId="4D1F9927">
            <w:pPr>
              <w:pStyle w:val="19"/>
              <w:spacing w:before="120" w:after="120"/>
              <w:rPr>
                <w:color w:val="auto"/>
              </w:rPr>
            </w:pPr>
            <w:r>
              <w:rPr>
                <w:rFonts w:hint="eastAsia"/>
                <w:color w:val="auto"/>
              </w:rPr>
              <w:t>防泄漏</w:t>
            </w:r>
          </w:p>
        </w:tc>
      </w:tr>
    </w:tbl>
    <w:p w14:paraId="614A68BB">
      <w:pPr>
        <w:pStyle w:val="3"/>
        <w:ind w:firstLine="480"/>
        <w:rPr>
          <w:color w:val="auto"/>
        </w:rPr>
      </w:pPr>
      <w:bookmarkStart w:id="197" w:name="_Toc3399"/>
      <w:bookmarkStart w:id="198" w:name="_Toc12377"/>
      <w:r>
        <w:rPr>
          <w:rFonts w:hint="eastAsia"/>
          <w:color w:val="auto"/>
        </w:rPr>
        <w:t>7.1停车场组织机构设置</w:t>
      </w:r>
      <w:bookmarkEnd w:id="197"/>
      <w:bookmarkEnd w:id="198"/>
    </w:p>
    <w:p w14:paraId="0058B688">
      <w:pPr>
        <w:ind w:firstLine="480"/>
        <w:rPr>
          <w:color w:val="auto"/>
        </w:rPr>
      </w:pPr>
      <w:r>
        <w:rPr>
          <w:rFonts w:hint="eastAsia"/>
          <w:color w:val="auto"/>
        </w:rPr>
        <w:t>企</w:t>
      </w:r>
      <w:r>
        <w:rPr>
          <w:color w:val="auto"/>
        </w:rPr>
        <w:t>业</w:t>
      </w:r>
      <w:r>
        <w:rPr>
          <w:rFonts w:hint="eastAsia"/>
          <w:color w:val="auto"/>
        </w:rPr>
        <w:t>设</w:t>
      </w:r>
      <w:r>
        <w:rPr>
          <w:color w:val="auto"/>
        </w:rPr>
        <w:t>立</w:t>
      </w:r>
      <w:r>
        <w:rPr>
          <w:rFonts w:hint="eastAsia"/>
          <w:color w:val="auto"/>
        </w:rPr>
        <w:t>安全环保科</w:t>
      </w:r>
      <w:r>
        <w:rPr>
          <w:color w:val="auto"/>
        </w:rPr>
        <w:t>，并</w:t>
      </w:r>
      <w:r>
        <w:rPr>
          <w:rFonts w:hint="eastAsia"/>
          <w:color w:val="auto"/>
        </w:rPr>
        <w:t>配备专业管理人员，制订突</w:t>
      </w:r>
      <w:r>
        <w:rPr>
          <w:color w:val="auto"/>
        </w:rPr>
        <w:t>发环境事件应急预案</w:t>
      </w:r>
      <w:r>
        <w:rPr>
          <w:rFonts w:hint="eastAsia"/>
          <w:color w:val="auto"/>
        </w:rPr>
        <w:t>，并</w:t>
      </w:r>
      <w:r>
        <w:rPr>
          <w:color w:val="auto"/>
        </w:rPr>
        <w:t>定期开展</w:t>
      </w:r>
      <w:r>
        <w:rPr>
          <w:rFonts w:hint="eastAsia"/>
          <w:color w:val="auto"/>
        </w:rPr>
        <w:t>相关</w:t>
      </w:r>
      <w:r>
        <w:rPr>
          <w:color w:val="auto"/>
        </w:rPr>
        <w:t>培训</w:t>
      </w:r>
      <w:r>
        <w:rPr>
          <w:rFonts w:hint="eastAsia"/>
          <w:color w:val="auto"/>
        </w:rPr>
        <w:t>，</w:t>
      </w:r>
      <w:r>
        <w:rPr>
          <w:color w:val="auto"/>
        </w:rPr>
        <w:t>制定</w:t>
      </w:r>
      <w:r>
        <w:rPr>
          <w:rFonts w:hint="eastAsia"/>
          <w:color w:val="auto"/>
        </w:rPr>
        <w:t>有各项安全生产管理制度和生产操作规程，</w:t>
      </w:r>
      <w:r>
        <w:rPr>
          <w:color w:val="auto"/>
        </w:rPr>
        <w:t>项目建成后需</w:t>
      </w:r>
      <w:r>
        <w:rPr>
          <w:rFonts w:hint="eastAsia"/>
          <w:color w:val="auto"/>
        </w:rPr>
        <w:t>加强安全教育，进</w:t>
      </w:r>
      <w:r>
        <w:rPr>
          <w:color w:val="auto"/>
        </w:rPr>
        <w:t>一步</w:t>
      </w:r>
      <w:r>
        <w:rPr>
          <w:rFonts w:hint="eastAsia"/>
          <w:color w:val="auto"/>
        </w:rPr>
        <w:t>提高职工的安全意识和安全防范能力。</w:t>
      </w:r>
    </w:p>
    <w:p w14:paraId="08B0D308">
      <w:pPr>
        <w:pStyle w:val="3"/>
        <w:ind w:firstLine="480"/>
      </w:pPr>
      <w:bookmarkStart w:id="199" w:name="_Toc27698"/>
      <w:bookmarkStart w:id="200" w:name="_Toc28461"/>
      <w:r>
        <w:rPr>
          <w:rFonts w:hint="eastAsia"/>
        </w:rPr>
        <w:t>7.2停车场选址、总图布置和建筑安全防范措施</w:t>
      </w:r>
      <w:bookmarkEnd w:id="199"/>
      <w:bookmarkEnd w:id="200"/>
    </w:p>
    <w:p w14:paraId="6B10509A">
      <w:pPr>
        <w:ind w:firstLine="480"/>
      </w:pPr>
      <w:r>
        <w:rPr>
          <w:rFonts w:hint="eastAsia"/>
        </w:rPr>
        <w:t>（1）选址、总图布置</w:t>
      </w:r>
    </w:p>
    <w:p w14:paraId="02E05233">
      <w:pPr>
        <w:ind w:firstLine="480"/>
      </w:pPr>
      <w:r>
        <w:rPr>
          <w:rFonts w:hint="eastAsia"/>
        </w:rPr>
        <w:t>建设项目在停车场总平面布置方面，严格执行相关规范要求，所有建、构筑物之间或与其它场所之间留有足够的防火间距，防止在火灾或爆炸时相互影响；严格按生产使用的物料特性，对厂区进行危险区划分。</w:t>
      </w:r>
    </w:p>
    <w:p w14:paraId="3A89816C">
      <w:pPr>
        <w:ind w:firstLine="480"/>
      </w:pPr>
      <w:r>
        <w:rPr>
          <w:rFonts w:hint="eastAsia"/>
        </w:rPr>
        <w:t>停车场道路实行人、货流分开（划分人行区域和车辆行驶区域、不重叠），划出专用车辆行驶路线、限速标志等并严格执行；在总平面布置中配套建设应急救援设施、救援通道、应急疏散避难所等防护设施。按《安全标志》规定在装置区设置有关的安全标志。</w:t>
      </w:r>
    </w:p>
    <w:p w14:paraId="3318C4E4">
      <w:pPr>
        <w:ind w:firstLine="480"/>
      </w:pPr>
      <w:r>
        <w:rPr>
          <w:rFonts w:hint="eastAsia"/>
        </w:rPr>
        <w:t>（2）建筑安全防范</w:t>
      </w:r>
    </w:p>
    <w:p w14:paraId="209C3BC8">
      <w:pPr>
        <w:ind w:firstLine="480"/>
      </w:pPr>
      <w:r>
        <w:rPr>
          <w:rFonts w:hint="eastAsia"/>
        </w:rPr>
        <w:t>根据火灾危险性等级和防火、防爆要求，建筑物的防火等级均采用国家现行规范要求按一、二级耐火等级设计，满足建筑防火要求。禁火区设置明显标志牌。运输易燃易爆化学品的运输车辆远离火源，避免与强氧化剂接触，不允许任何人员随便启动，操作全部在控制室进行。安全出口及安全疏散距离应符合《建筑设计防火规范》（GB50016-2006）的要求。</w:t>
      </w:r>
    </w:p>
    <w:p w14:paraId="329EF347">
      <w:pPr>
        <w:pStyle w:val="3"/>
        <w:ind w:firstLine="480"/>
      </w:pPr>
      <w:bookmarkStart w:id="201" w:name="_Toc16534"/>
      <w:bookmarkStart w:id="202" w:name="_Toc26430"/>
      <w:r>
        <w:rPr>
          <w:rFonts w:hint="eastAsia"/>
        </w:rPr>
        <w:t>7.3运输过程风险防范措施</w:t>
      </w:r>
      <w:bookmarkEnd w:id="201"/>
      <w:bookmarkEnd w:id="202"/>
    </w:p>
    <w:p w14:paraId="13EC857E">
      <w:pPr>
        <w:ind w:firstLine="480"/>
      </w:pPr>
      <w:r>
        <w:rPr>
          <w:rFonts w:hint="eastAsia"/>
        </w:rPr>
        <w:t>由于危险品的运输较其它货物的运输有更大的危险性，因此在运输过程中应小心谨慎，确保安全。为此注意以下几个问题：</w:t>
      </w:r>
    </w:p>
    <w:p w14:paraId="4ADB1B31">
      <w:pPr>
        <w:ind w:firstLine="480"/>
      </w:pPr>
      <w:r>
        <w:rPr>
          <w:rFonts w:hint="eastAsia"/>
        </w:rPr>
        <w:t>（1）合理规划运输路线及运输时间。</w:t>
      </w:r>
    </w:p>
    <w:p w14:paraId="79EBBDBE">
      <w:pPr>
        <w:ind w:firstLine="480"/>
      </w:pPr>
      <w:r>
        <w:rPr>
          <w:rFonts w:hint="eastAsia"/>
        </w:rPr>
        <w:t>（2）危险品的装运应做到定车、定人。</w:t>
      </w:r>
    </w:p>
    <w:p w14:paraId="47AE1994">
      <w:pPr>
        <w:ind w:firstLine="480"/>
      </w:pPr>
      <w:r>
        <w:rPr>
          <w:rFonts w:hint="eastAsia"/>
        </w:rPr>
        <w:t>（3）被装运的危险物品必须在其外包装的明显部位按《危险货物包装标志》（GB190-90)规定的危险物品标志，包装标志要粘牢固、正确。具有易燃、有毒等多种危险特性的化学品，则应该根据其不同危险特性而同时粘贴相应的几个包装标志，以便一旦发生问题，可以进行多种防护。</w:t>
      </w:r>
    </w:p>
    <w:p w14:paraId="6F4F450E">
      <w:pPr>
        <w:ind w:firstLine="480"/>
      </w:pPr>
      <w:r>
        <w:rPr>
          <w:rFonts w:hint="eastAsia"/>
        </w:rPr>
        <w:t>（4）在危险品运输过程中，一旦发生意外，在采取应急处理的同时，迅速报告公安机关和</w:t>
      </w:r>
      <w:r>
        <w:rPr>
          <w:rFonts w:hint="eastAsia"/>
          <w:lang w:val="en-US" w:eastAsia="zh-CN"/>
        </w:rPr>
        <w:t>生态环境</w:t>
      </w:r>
      <w:r>
        <w:rPr>
          <w:rFonts w:hint="eastAsia"/>
        </w:rPr>
        <w:t>部门等有关部门，疏散群众，防止事态进一步扩大，并积极协助前来救助的公安交通和消防人员抢救伤者和物资，是损失降低到最低范围。</w:t>
      </w:r>
    </w:p>
    <w:p w14:paraId="05F0C56C">
      <w:pPr>
        <w:ind w:firstLine="480"/>
      </w:pPr>
      <w:r>
        <w:rPr>
          <w:rFonts w:hint="eastAsia"/>
        </w:rPr>
        <w:t>（5）运输有毒和腐蚀性物品汽车的驾驶员和押运人员，在出车前必须检查防毒、防护用品和检查是否携带齐全有效，在运输途中发现泄漏时应当主动采取处理措施，防止事态进一步扩大，在切断泄漏源后，将情况及时向当地公安机关和有关部门报告，若处理不了，立即报告当地公安机关和有关部门，请求支援。</w:t>
      </w:r>
    </w:p>
    <w:p w14:paraId="7466183C">
      <w:pPr>
        <w:pStyle w:val="3"/>
        <w:ind w:firstLine="480"/>
      </w:pPr>
      <w:bookmarkStart w:id="203" w:name="_Toc17024"/>
      <w:bookmarkStart w:id="204" w:name="_Toc187"/>
      <w:r>
        <w:rPr>
          <w:rFonts w:hint="eastAsia"/>
        </w:rPr>
        <w:t>7.4危化品泄漏事故的防范措施</w:t>
      </w:r>
      <w:bookmarkEnd w:id="203"/>
      <w:bookmarkEnd w:id="204"/>
    </w:p>
    <w:p w14:paraId="643A1A36">
      <w:pPr>
        <w:ind w:firstLine="480"/>
      </w:pPr>
      <w:r>
        <w:rPr>
          <w:rFonts w:hint="eastAsia"/>
        </w:rPr>
        <w:t>泄漏事故的预防是储运过程中最重要的环节，发生泄漏事故可能引起火灾和爆炸等一系列重大事故。经验表明：设备失灵和人为的操作失误是引发泄漏的主要原因。因此，认真的管理和驾驶人员的责任心是减少泄漏事故的关键。本项目主要采取以下物料泄漏事故的预防：</w:t>
      </w:r>
    </w:p>
    <w:p w14:paraId="2514F816">
      <w:pPr>
        <w:ind w:firstLine="480"/>
      </w:pPr>
      <w:r>
        <w:rPr>
          <w:rFonts w:hint="eastAsia"/>
        </w:rPr>
        <w:t>（1）在满载运输车临时停车区域四周周设置警示牌、安装烟感报警器、可燃气体报警仪、有毒气体报警器以及监控摄像头等预警装置，以便及早发现泄漏、及早处理；</w:t>
      </w:r>
    </w:p>
    <w:p w14:paraId="2DC177F8">
      <w:pPr>
        <w:ind w:firstLine="480"/>
      </w:pPr>
      <w:r>
        <w:rPr>
          <w:rFonts w:hint="eastAsia"/>
        </w:rPr>
        <w:t>（2）在满载运输车临时修停车区配备专人定期巡检，一方面对满载车停车区域四周、满载车辆底部进行检查，若发现泄漏情况及早处理，一方面对靠近满载运输车辆区域的人员进行确认，严禁非工作人员、非驾驶人员随意靠近；</w:t>
      </w:r>
    </w:p>
    <w:p w14:paraId="6B5B4BC1">
      <w:pPr>
        <w:ind w:firstLine="480"/>
      </w:pPr>
      <w:r>
        <w:rPr>
          <w:rFonts w:hint="eastAsia"/>
        </w:rPr>
        <w:t>（3）停车场内道路设置道路指示标志、限速标志、警示标志等，并配备专门管理人员在停车场内引导满载运输车</w:t>
      </w:r>
      <w:r>
        <w:rPr>
          <w:rFonts w:hint="eastAsia"/>
          <w:lang w:val="en-US" w:eastAsia="zh-CN"/>
        </w:rPr>
        <w:t>辆</w:t>
      </w:r>
      <w:r>
        <w:rPr>
          <w:rFonts w:hint="eastAsia"/>
        </w:rPr>
        <w:t>慢速、匀速行驶至指定停车区，避免急停、碰撞等事故的发生，严禁驾驶人员违规驾驶和停放；</w:t>
      </w:r>
    </w:p>
    <w:p w14:paraId="5D1C5330">
      <w:pPr>
        <w:ind w:firstLine="480"/>
      </w:pPr>
      <w:r>
        <w:rPr>
          <w:rFonts w:hint="eastAsia"/>
        </w:rPr>
        <w:t>（4）满载运输车辆停车区周围设置围堰，车辆驶入的一面应设置一定的坡度，防止运输车辆内的危险化学品泄漏事故发生时泄漏物料四处逸散；</w:t>
      </w:r>
    </w:p>
    <w:p w14:paraId="0D1B6225">
      <w:pPr>
        <w:ind w:firstLine="480"/>
      </w:pPr>
      <w:r>
        <w:rPr>
          <w:rFonts w:hint="eastAsia"/>
        </w:rPr>
        <w:t>（5）进出停车场的运输车辆上均应根据运输物料种类配备相应的GPS定位、烟感、可燃气体、有毒气体报警装置，以便及早发现泄漏、及早处理；</w:t>
      </w:r>
    </w:p>
    <w:p w14:paraId="6BA25705">
      <w:pPr>
        <w:ind w:firstLine="480"/>
      </w:pPr>
      <w:r>
        <w:rPr>
          <w:rFonts w:hint="eastAsia"/>
        </w:rPr>
        <w:t>（6）停车场内出入口设置围挡、摄像头、进出口标志等，并设置门卫安排专人对进出车辆进行管理；</w:t>
      </w:r>
    </w:p>
    <w:p w14:paraId="6294AE1E">
      <w:pPr>
        <w:ind w:firstLine="480"/>
      </w:pPr>
      <w:r>
        <w:rPr>
          <w:rFonts w:hint="eastAsia"/>
        </w:rPr>
        <w:t>（7）停车场围墙四周尽量设置监控摄像头和警示标志，禁止无关人员随意进出停车场内。</w:t>
      </w:r>
    </w:p>
    <w:p w14:paraId="4CDD13BC">
      <w:pPr>
        <w:pStyle w:val="3"/>
        <w:ind w:firstLine="480"/>
      </w:pPr>
      <w:bookmarkStart w:id="205" w:name="_Toc757"/>
      <w:bookmarkStart w:id="206" w:name="_Toc5662"/>
      <w:r>
        <w:rPr>
          <w:rFonts w:hint="eastAsia"/>
        </w:rPr>
        <w:t>7.5火灾和爆炸事故的防范措施</w:t>
      </w:r>
      <w:bookmarkEnd w:id="205"/>
      <w:bookmarkEnd w:id="206"/>
    </w:p>
    <w:p w14:paraId="71922D65">
      <w:pPr>
        <w:ind w:firstLine="480"/>
      </w:pPr>
      <w:r>
        <w:rPr>
          <w:rFonts w:hint="eastAsia"/>
        </w:rPr>
        <w:t>当运输车辆发生泄漏事故时，若不及时采取措施，可能引起火灾和爆炸等一系列重大事故。本项目主要采取以下火灾爆炸事故的预防：</w:t>
      </w:r>
    </w:p>
    <w:p w14:paraId="5D3E53CE">
      <w:pPr>
        <w:ind w:firstLine="480"/>
      </w:pPr>
      <w:r>
        <w:rPr>
          <w:rFonts w:hint="eastAsia"/>
        </w:rPr>
        <w:t>（1）严禁吸烟、携带火种、穿带钉皮鞋等进入运输车停车区；</w:t>
      </w:r>
    </w:p>
    <w:p w14:paraId="4E09D0C5">
      <w:pPr>
        <w:ind w:firstLine="480"/>
      </w:pPr>
      <w:r>
        <w:rPr>
          <w:rFonts w:hint="eastAsia"/>
        </w:rPr>
        <w:t>（2）满载停车区周围安装避雷装置、设置警示牌、安装烟感报警器、可燃气体报警仪、有毒气体报警器以及监控摄像头等预警装置；</w:t>
      </w:r>
    </w:p>
    <w:p w14:paraId="1AC10491">
      <w:pPr>
        <w:ind w:firstLine="480"/>
      </w:pPr>
      <w:r>
        <w:rPr>
          <w:rFonts w:hint="eastAsia"/>
        </w:rPr>
        <w:t>（3）对运输车辆定期进行检查、维修、保养；</w:t>
      </w:r>
    </w:p>
    <w:p w14:paraId="0E1F211E">
      <w:pPr>
        <w:ind w:firstLine="480"/>
      </w:pPr>
      <w:r>
        <w:rPr>
          <w:rFonts w:hint="eastAsia"/>
        </w:rPr>
        <w:t>（4）遵守各项规章制度和操作规程，严格执行岗位责任制；</w:t>
      </w:r>
    </w:p>
    <w:p w14:paraId="713CF1AE">
      <w:pPr>
        <w:ind w:firstLine="480"/>
      </w:pPr>
      <w:r>
        <w:rPr>
          <w:rFonts w:hint="eastAsia"/>
        </w:rPr>
        <w:t>（5）停车区配备专人坚持巡回检查，发现问题及时处理；</w:t>
      </w:r>
    </w:p>
    <w:p w14:paraId="6A757809">
      <w:pPr>
        <w:ind w:firstLine="480"/>
      </w:pPr>
      <w:r>
        <w:rPr>
          <w:rFonts w:hint="eastAsia"/>
        </w:rPr>
        <w:t>（6）加强停车场内管理人员和运输车从业人员培训、教育和考核工作；</w:t>
      </w:r>
    </w:p>
    <w:p w14:paraId="481B05F6">
      <w:pPr>
        <w:ind w:firstLine="480"/>
      </w:pPr>
      <w:r>
        <w:rPr>
          <w:rFonts w:hint="eastAsia"/>
        </w:rPr>
        <w:t>（7）停车场内应配备一定的消防、堵漏等应急物资，有专人对应急物资进行管理。</w:t>
      </w:r>
    </w:p>
    <w:p w14:paraId="7FA203B5">
      <w:pPr>
        <w:ind w:firstLine="480"/>
      </w:pPr>
      <w:r>
        <w:rPr>
          <w:rFonts w:hint="eastAsia"/>
        </w:rPr>
        <w:t>（8）消防及火灾报系统：停车场内的满载运输车辆停车区应设置若干数量的烟感、可燃气体、火灾报警器等，分布在满载运输车停车区域四周。全厂区配备必要的消防设施，包括泡沫灭火器、消防水栓、泡沫消火栓、干粉灭火器、消防泵等。在辅助用房内设置一台备用的柴油发电机。</w:t>
      </w:r>
    </w:p>
    <w:p w14:paraId="6C841F34">
      <w:pPr>
        <w:ind w:firstLine="480"/>
      </w:pPr>
      <w:r>
        <w:rPr>
          <w:rFonts w:hint="eastAsia"/>
        </w:rPr>
        <w:t>停车区消防采用以水消防、泡沫灭火为主，干粉灭火次之，其它消防为辅的消防方案。消防给水管网按环状布置，管网上设置室外地上式消火栓，消火栓旁设置钢制消防箱。根据《消防给水及消火栓系统技术规范》（GB50974-2014）和《建筑设计防火规范》GB50016-2014（2018年版）的规定，本项目消防给水采用临时高压消防给水系统，停车场内同一时间内的火灾次数按一次考虑。本项目消防用水量最大处为重载车辆停车场，场区设有消防水池及消防水泵，满足消防要求。</w:t>
      </w:r>
    </w:p>
    <w:p w14:paraId="1523C575">
      <w:pPr>
        <w:pStyle w:val="3"/>
        <w:ind w:firstLine="480"/>
      </w:pPr>
      <w:bookmarkStart w:id="207" w:name="_Toc15284"/>
      <w:bookmarkStart w:id="208" w:name="_Toc25752"/>
      <w:r>
        <w:rPr>
          <w:rFonts w:hint="eastAsia"/>
        </w:rPr>
        <w:t>7.6废水事故排放防范及应急措施</w:t>
      </w:r>
      <w:bookmarkEnd w:id="207"/>
      <w:bookmarkEnd w:id="208"/>
    </w:p>
    <w:p w14:paraId="681C43DA">
      <w:pPr>
        <w:ind w:firstLine="480"/>
      </w:pPr>
      <w:r>
        <w:rPr>
          <w:rFonts w:hint="eastAsia"/>
        </w:rPr>
        <w:t>（1）总体要求</w:t>
      </w:r>
    </w:p>
    <w:p w14:paraId="7B2C4A01">
      <w:pPr>
        <w:ind w:firstLine="480"/>
        <w:rPr>
          <w:color w:val="000000"/>
          <w:u w:val="double"/>
        </w:rPr>
      </w:pPr>
      <w:r>
        <w:rPr>
          <w:rFonts w:hint="eastAsia"/>
        </w:rPr>
        <w:t>厂区内设置消防</w:t>
      </w:r>
      <w:r>
        <w:t>水池</w:t>
      </w:r>
      <w:r>
        <w:rPr>
          <w:rFonts w:hint="eastAsia"/>
        </w:rPr>
        <w:t>、事故水池和初期雨水池，用于事故状态下危险化学品的收集。雨水和污水接管口分别设置截流阀，发生泄露、火灾或爆炸事故时，泄露物、事故伴生、次生消防水流入收集系统，紧急关闭截流阀，可将泄露物、消防水截流在厂区内，若厂内污水处理装置不能处理泄露物，必须委托有资质的单位安全处置，杜绝以任何形式直接进入园区的污水管网和雨水管网。</w:t>
      </w:r>
    </w:p>
    <w:p w14:paraId="645958DE">
      <w:pPr>
        <w:ind w:firstLine="480"/>
      </w:pPr>
      <w:r>
        <w:rPr>
          <w:rFonts w:hint="eastAsia"/>
        </w:rPr>
        <w:t>（2）事故水池设计</w:t>
      </w:r>
    </w:p>
    <w:p w14:paraId="7865E449">
      <w:pPr>
        <w:ind w:firstLine="480"/>
      </w:pPr>
      <w:r>
        <w:rPr>
          <w:rFonts w:hint="eastAsia"/>
        </w:rPr>
        <w:t>依《化工建设项目环境保护工程设计标准》（GB/T 50483-2019）第6.6.3条和《石油化工企业设计防火规范》（GB50160-2008）（2018年版）第7.3.10条要求，应设置事故水池。事故水池容量根据事故的设备容量、事故时消防用水量及可能进入应急事故水池的降雨量等因素综合确定。</w:t>
      </w:r>
    </w:p>
    <w:p w14:paraId="6A01F265">
      <w:pPr>
        <w:ind w:firstLine="480"/>
      </w:pPr>
      <w:r>
        <w:rPr>
          <w:rFonts w:hint="eastAsia"/>
        </w:rPr>
        <w:t>（3）事故废水收集说明：</w:t>
      </w:r>
    </w:p>
    <w:p w14:paraId="40B07257">
      <w:pPr>
        <w:ind w:firstLine="480"/>
      </w:pPr>
      <w:r>
        <w:rPr>
          <w:rFonts w:hint="eastAsia"/>
        </w:rPr>
        <w:t>①全厂实施雨污分流。</w:t>
      </w:r>
    </w:p>
    <w:p w14:paraId="45C84129">
      <w:pPr>
        <w:ind w:firstLine="480"/>
      </w:pPr>
      <w:r>
        <w:rPr>
          <w:rFonts w:hint="eastAsia"/>
        </w:rPr>
        <w:t>②当污水处理设施出水水质超标或发生事故无法正常运行时，将污水处理设施出水排到事故水池暂存，当污水处理设施恢复运行或出水水质达标后再将事故水池废水达到污水处理设施进一步处理。</w:t>
      </w:r>
    </w:p>
    <w:p w14:paraId="0B99D8D5">
      <w:pPr>
        <w:pStyle w:val="3"/>
        <w:ind w:firstLine="480"/>
      </w:pPr>
      <w:bookmarkStart w:id="209" w:name="_Toc18847"/>
      <w:bookmarkStart w:id="210" w:name="_Toc9251"/>
      <w:r>
        <w:rPr>
          <w:rFonts w:hint="eastAsia"/>
        </w:rPr>
        <w:t>7.7环境风险应急预案建议</w:t>
      </w:r>
      <w:bookmarkEnd w:id="209"/>
      <w:bookmarkEnd w:id="210"/>
    </w:p>
    <w:p w14:paraId="33351401">
      <w:pPr>
        <w:ind w:firstLine="480"/>
      </w:pPr>
      <w:r>
        <w:rPr>
          <w:rFonts w:hint="eastAsia"/>
        </w:rPr>
        <w:t>随着近年来各行业出现的环保事故，建设单位应按照关于印发《企业事业单位突发环境事件应急预案备案管理办法（试行）》的通知</w:t>
      </w:r>
      <w:r>
        <w:t>要求</w:t>
      </w:r>
      <w:r>
        <w:rPr>
          <w:rFonts w:hint="eastAsia"/>
        </w:rPr>
        <w:t>编制突发环境事件</w:t>
      </w:r>
      <w:r>
        <w:t>应急预案，经评审后报</w:t>
      </w:r>
      <w:r>
        <w:rPr>
          <w:rFonts w:hint="eastAsia"/>
        </w:rPr>
        <w:t>当地主管</w:t>
      </w:r>
      <w:r>
        <w:t>部门评</w:t>
      </w:r>
      <w:r>
        <w:rPr>
          <w:rFonts w:hint="eastAsia"/>
        </w:rPr>
        <w:t>审、备案，本评价结论可作为应急预案编制参照意见之一，本评价与应急预案有冲突部分应以应急预案为准。</w:t>
      </w:r>
    </w:p>
    <w:p w14:paraId="1A0C6475">
      <w:pPr>
        <w:ind w:firstLine="480"/>
      </w:pPr>
      <w:r>
        <w:rPr>
          <w:rFonts w:hint="eastAsia"/>
        </w:rPr>
        <w:t>根据《建设项目环境风险评价技术导则》（HJ169-2018）的要求，环境风险应急预案应包括内容见表：</w:t>
      </w:r>
    </w:p>
    <w:p w14:paraId="62FFB029">
      <w:pPr>
        <w:pStyle w:val="19"/>
        <w:spacing w:before="120" w:after="120"/>
        <w:rPr>
          <w:b/>
          <w:bCs/>
        </w:rPr>
      </w:pPr>
      <w:r>
        <w:rPr>
          <w:rFonts w:hint="eastAsia"/>
          <w:b/>
          <w:bCs/>
        </w:rPr>
        <w:t>表7.7-1  应急预案框架表</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2"/>
        <w:gridCol w:w="1499"/>
        <w:gridCol w:w="6819"/>
      </w:tblGrid>
      <w:tr w14:paraId="19525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 w:type="pct"/>
            <w:tcBorders>
              <w:top w:val="single" w:color="auto" w:sz="4" w:space="0"/>
              <w:left w:val="single" w:color="auto" w:sz="4" w:space="0"/>
              <w:bottom w:val="single" w:color="auto" w:sz="4" w:space="0"/>
              <w:right w:val="single" w:color="auto" w:sz="4" w:space="0"/>
            </w:tcBorders>
            <w:noWrap/>
            <w:tcMar>
              <w:top w:w="0" w:type="dxa"/>
              <w:left w:w="28" w:type="dxa"/>
              <w:bottom w:w="0" w:type="dxa"/>
              <w:right w:w="28" w:type="dxa"/>
            </w:tcMar>
            <w:vAlign w:val="center"/>
          </w:tcPr>
          <w:p w14:paraId="29F9BC8C">
            <w:pPr>
              <w:pStyle w:val="19"/>
              <w:spacing w:before="120" w:after="120"/>
            </w:pPr>
            <w:r>
              <w:rPr>
                <w:rFonts w:hint="eastAsia"/>
              </w:rPr>
              <w:t>序号</w:t>
            </w:r>
          </w:p>
        </w:tc>
        <w:tc>
          <w:tcPr>
            <w:tcW w:w="842"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2116B159">
            <w:pPr>
              <w:pStyle w:val="19"/>
              <w:spacing w:before="120" w:after="120"/>
            </w:pPr>
            <w:r>
              <w:rPr>
                <w:rFonts w:hint="eastAsia"/>
              </w:rPr>
              <w:t>项目</w:t>
            </w:r>
          </w:p>
        </w:tc>
        <w:tc>
          <w:tcPr>
            <w:tcW w:w="3829"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3A6CFADF">
            <w:pPr>
              <w:pStyle w:val="19"/>
              <w:spacing w:before="120" w:after="120"/>
            </w:pPr>
            <w:r>
              <w:rPr>
                <w:rFonts w:hint="eastAsia"/>
              </w:rPr>
              <w:t>内容及要求</w:t>
            </w:r>
          </w:p>
        </w:tc>
      </w:tr>
      <w:tr w14:paraId="6FD34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 w:type="pct"/>
            <w:tcBorders>
              <w:top w:val="single" w:color="auto" w:sz="4" w:space="0"/>
              <w:left w:val="single" w:color="auto" w:sz="4" w:space="0"/>
              <w:bottom w:val="single" w:color="auto" w:sz="4" w:space="0"/>
              <w:right w:val="single" w:color="auto" w:sz="4" w:space="0"/>
            </w:tcBorders>
            <w:noWrap/>
            <w:tcMar>
              <w:top w:w="0" w:type="dxa"/>
              <w:left w:w="28" w:type="dxa"/>
              <w:bottom w:w="0" w:type="dxa"/>
              <w:right w:w="28" w:type="dxa"/>
            </w:tcMar>
            <w:vAlign w:val="center"/>
          </w:tcPr>
          <w:p w14:paraId="6C733EDC">
            <w:pPr>
              <w:pStyle w:val="19"/>
              <w:spacing w:before="120" w:after="120"/>
            </w:pPr>
            <w:r>
              <w:t>1</w:t>
            </w:r>
          </w:p>
        </w:tc>
        <w:tc>
          <w:tcPr>
            <w:tcW w:w="842"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7A0878FF">
            <w:pPr>
              <w:pStyle w:val="19"/>
              <w:spacing w:before="120" w:after="120"/>
            </w:pPr>
            <w:r>
              <w:rPr>
                <w:rFonts w:hint="eastAsia"/>
              </w:rPr>
              <w:t>总则</w:t>
            </w:r>
          </w:p>
        </w:tc>
        <w:tc>
          <w:tcPr>
            <w:tcW w:w="3829"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38A58DC5">
            <w:pPr>
              <w:pStyle w:val="19"/>
              <w:spacing w:before="120" w:after="120"/>
            </w:pPr>
            <w:r>
              <w:rPr>
                <w:rFonts w:hint="eastAsia"/>
              </w:rPr>
              <w:t>简述应急预案编制目的、依据、事件分级、适用范围、工作原则及应急预案关系说明</w:t>
            </w:r>
          </w:p>
        </w:tc>
      </w:tr>
      <w:tr w14:paraId="2024D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 w:type="pct"/>
            <w:tcBorders>
              <w:top w:val="single" w:color="auto" w:sz="4" w:space="0"/>
              <w:left w:val="single" w:color="auto" w:sz="4" w:space="0"/>
              <w:bottom w:val="single" w:color="auto" w:sz="4" w:space="0"/>
              <w:right w:val="single" w:color="auto" w:sz="4" w:space="0"/>
            </w:tcBorders>
            <w:noWrap/>
            <w:tcMar>
              <w:top w:w="0" w:type="dxa"/>
              <w:left w:w="28" w:type="dxa"/>
              <w:bottom w:w="0" w:type="dxa"/>
              <w:right w:w="28" w:type="dxa"/>
            </w:tcMar>
            <w:vAlign w:val="center"/>
          </w:tcPr>
          <w:p w14:paraId="0DA145D9">
            <w:pPr>
              <w:pStyle w:val="19"/>
              <w:spacing w:before="120" w:after="120"/>
            </w:pPr>
            <w:r>
              <w:t>2</w:t>
            </w:r>
          </w:p>
        </w:tc>
        <w:tc>
          <w:tcPr>
            <w:tcW w:w="842"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2C7A06C9">
            <w:pPr>
              <w:pStyle w:val="19"/>
              <w:spacing w:before="120" w:after="120"/>
            </w:pPr>
            <w:r>
              <w:rPr>
                <w:rFonts w:hint="eastAsia"/>
              </w:rPr>
              <w:t>应急组织指挥体系与职责</w:t>
            </w:r>
          </w:p>
        </w:tc>
        <w:tc>
          <w:tcPr>
            <w:tcW w:w="3829"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505AFA5D">
            <w:pPr>
              <w:pStyle w:val="19"/>
              <w:spacing w:before="120" w:after="120"/>
            </w:pPr>
            <w:r>
              <w:rPr>
                <w:rFonts w:hint="eastAsia"/>
              </w:rPr>
              <w:t>内部应急组织机构与职责、外部指挥与协调</w:t>
            </w:r>
          </w:p>
        </w:tc>
      </w:tr>
      <w:tr w14:paraId="68378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 w:type="pct"/>
            <w:tcBorders>
              <w:top w:val="single" w:color="auto" w:sz="4" w:space="0"/>
              <w:left w:val="single" w:color="auto" w:sz="4" w:space="0"/>
              <w:bottom w:val="single" w:color="auto" w:sz="4" w:space="0"/>
              <w:right w:val="single" w:color="auto" w:sz="4" w:space="0"/>
            </w:tcBorders>
            <w:noWrap/>
            <w:tcMar>
              <w:top w:w="0" w:type="dxa"/>
              <w:left w:w="28" w:type="dxa"/>
              <w:bottom w:w="0" w:type="dxa"/>
              <w:right w:w="28" w:type="dxa"/>
            </w:tcMar>
            <w:vAlign w:val="center"/>
          </w:tcPr>
          <w:p w14:paraId="19E3E7EB">
            <w:pPr>
              <w:pStyle w:val="19"/>
              <w:spacing w:before="120" w:after="120"/>
            </w:pPr>
            <w:r>
              <w:t>3</w:t>
            </w:r>
          </w:p>
        </w:tc>
        <w:tc>
          <w:tcPr>
            <w:tcW w:w="842"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7B171F18">
            <w:pPr>
              <w:pStyle w:val="19"/>
              <w:spacing w:before="120" w:after="120"/>
            </w:pPr>
            <w:r>
              <w:rPr>
                <w:rFonts w:hint="eastAsia"/>
              </w:rPr>
              <w:t>预防与预警</w:t>
            </w:r>
          </w:p>
        </w:tc>
        <w:tc>
          <w:tcPr>
            <w:tcW w:w="3829"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513BDD68">
            <w:pPr>
              <w:pStyle w:val="19"/>
              <w:spacing w:before="120" w:after="120"/>
            </w:pPr>
            <w:r>
              <w:rPr>
                <w:rFonts w:hint="eastAsia"/>
              </w:rPr>
              <w:t>提出预防、预警措施及预警的解除</w:t>
            </w:r>
          </w:p>
        </w:tc>
      </w:tr>
      <w:tr w14:paraId="6E38D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 w:type="pct"/>
            <w:tcBorders>
              <w:top w:val="single" w:color="auto" w:sz="4" w:space="0"/>
              <w:left w:val="single" w:color="auto" w:sz="4" w:space="0"/>
              <w:bottom w:val="single" w:color="auto" w:sz="4" w:space="0"/>
              <w:right w:val="single" w:color="auto" w:sz="4" w:space="0"/>
            </w:tcBorders>
            <w:noWrap/>
            <w:tcMar>
              <w:top w:w="0" w:type="dxa"/>
              <w:left w:w="28" w:type="dxa"/>
              <w:bottom w:w="0" w:type="dxa"/>
              <w:right w:w="28" w:type="dxa"/>
            </w:tcMar>
            <w:vAlign w:val="center"/>
          </w:tcPr>
          <w:p w14:paraId="7EA607CB">
            <w:pPr>
              <w:pStyle w:val="19"/>
              <w:spacing w:before="120" w:after="120"/>
            </w:pPr>
            <w:r>
              <w:t>4</w:t>
            </w:r>
          </w:p>
        </w:tc>
        <w:tc>
          <w:tcPr>
            <w:tcW w:w="842"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53F6BC8A">
            <w:pPr>
              <w:pStyle w:val="19"/>
              <w:spacing w:before="120" w:after="120"/>
            </w:pPr>
            <w:r>
              <w:rPr>
                <w:rFonts w:hint="eastAsia"/>
              </w:rPr>
              <w:t>应急处置</w:t>
            </w:r>
          </w:p>
        </w:tc>
        <w:tc>
          <w:tcPr>
            <w:tcW w:w="3829"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017E91E5">
            <w:pPr>
              <w:pStyle w:val="19"/>
              <w:spacing w:before="120" w:after="120"/>
            </w:pPr>
            <w:r>
              <w:rPr>
                <w:rFonts w:hint="eastAsia"/>
              </w:rPr>
              <w:t>先期处置措施。发生突发环境事件时，企业应当立即采取有效先期措施来防止污染物的扩散，如明确切断污染源的基本方案、明确污水排放口和雨水排放口的应急阀门开合等。响应分级、应急响应程序（发生《突发环境事件信息报告办法》中列为重大或特别重大突发环境事件时，企业应在</w:t>
            </w:r>
            <w:r>
              <w:t>1</w:t>
            </w:r>
            <w:r>
              <w:rPr>
                <w:rFonts w:hint="eastAsia"/>
              </w:rPr>
              <w:t>小时内向当地政府和</w:t>
            </w:r>
            <w:r>
              <w:rPr>
                <w:rFonts w:hint="eastAsia"/>
                <w:lang w:val="en-US" w:eastAsia="zh-CN"/>
              </w:rPr>
              <w:t>生态环境</w:t>
            </w:r>
            <w:r>
              <w:rPr>
                <w:rFonts w:hint="eastAsia"/>
              </w:rPr>
              <w:t>部门报告。应急处置、受伤人员现场救护、救治与医院救治</w:t>
            </w:r>
          </w:p>
        </w:tc>
      </w:tr>
      <w:tr w14:paraId="2B9D7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 w:type="pct"/>
            <w:tcBorders>
              <w:top w:val="single" w:color="auto" w:sz="4" w:space="0"/>
              <w:left w:val="single" w:color="auto" w:sz="4" w:space="0"/>
              <w:bottom w:val="single" w:color="auto" w:sz="4" w:space="0"/>
              <w:right w:val="single" w:color="auto" w:sz="4" w:space="0"/>
            </w:tcBorders>
            <w:noWrap/>
            <w:tcMar>
              <w:top w:w="0" w:type="dxa"/>
              <w:left w:w="28" w:type="dxa"/>
              <w:bottom w:w="0" w:type="dxa"/>
              <w:right w:w="28" w:type="dxa"/>
            </w:tcMar>
            <w:vAlign w:val="center"/>
          </w:tcPr>
          <w:p w14:paraId="0B1CFCD4">
            <w:pPr>
              <w:pStyle w:val="19"/>
              <w:spacing w:before="120" w:after="120"/>
            </w:pPr>
            <w:r>
              <w:t>5</w:t>
            </w:r>
          </w:p>
        </w:tc>
        <w:tc>
          <w:tcPr>
            <w:tcW w:w="842"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075F20A3">
            <w:pPr>
              <w:pStyle w:val="19"/>
              <w:spacing w:before="120" w:after="120"/>
            </w:pPr>
            <w:r>
              <w:rPr>
                <w:rFonts w:hint="eastAsia"/>
              </w:rPr>
              <w:t>应急终止</w:t>
            </w:r>
          </w:p>
        </w:tc>
        <w:tc>
          <w:tcPr>
            <w:tcW w:w="3829"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5037514B">
            <w:pPr>
              <w:pStyle w:val="19"/>
              <w:spacing w:before="120" w:after="120"/>
            </w:pPr>
            <w:r>
              <w:rPr>
                <w:rFonts w:hint="eastAsia"/>
              </w:rPr>
              <w:t>明确应急终止的条件、程序。</w:t>
            </w:r>
          </w:p>
        </w:tc>
      </w:tr>
      <w:tr w14:paraId="5CEFF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 w:type="pct"/>
            <w:tcBorders>
              <w:top w:val="single" w:color="auto" w:sz="4" w:space="0"/>
              <w:left w:val="single" w:color="auto" w:sz="4" w:space="0"/>
              <w:bottom w:val="single" w:color="auto" w:sz="4" w:space="0"/>
              <w:right w:val="single" w:color="auto" w:sz="4" w:space="0"/>
            </w:tcBorders>
            <w:noWrap/>
            <w:tcMar>
              <w:top w:w="0" w:type="dxa"/>
              <w:left w:w="28" w:type="dxa"/>
              <w:bottom w:w="0" w:type="dxa"/>
              <w:right w:w="28" w:type="dxa"/>
            </w:tcMar>
            <w:vAlign w:val="center"/>
          </w:tcPr>
          <w:p w14:paraId="4E096A02">
            <w:pPr>
              <w:pStyle w:val="19"/>
              <w:spacing w:before="120" w:after="120"/>
            </w:pPr>
            <w:r>
              <w:t>6</w:t>
            </w:r>
          </w:p>
        </w:tc>
        <w:tc>
          <w:tcPr>
            <w:tcW w:w="842"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5D6CA28E">
            <w:pPr>
              <w:pStyle w:val="19"/>
              <w:spacing w:before="120" w:after="120"/>
            </w:pPr>
            <w:r>
              <w:rPr>
                <w:rFonts w:hint="eastAsia"/>
              </w:rPr>
              <w:t>后期处置</w:t>
            </w:r>
          </w:p>
        </w:tc>
        <w:tc>
          <w:tcPr>
            <w:tcW w:w="3829"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3F166369">
            <w:pPr>
              <w:pStyle w:val="19"/>
              <w:spacing w:before="120" w:after="120"/>
            </w:pPr>
            <w:r>
              <w:rPr>
                <w:rFonts w:hint="eastAsia"/>
              </w:rPr>
              <w:t>善后处置，评估与总结</w:t>
            </w:r>
          </w:p>
        </w:tc>
      </w:tr>
      <w:tr w14:paraId="44043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 w:type="pct"/>
            <w:tcBorders>
              <w:top w:val="single" w:color="auto" w:sz="4" w:space="0"/>
              <w:left w:val="single" w:color="auto" w:sz="4" w:space="0"/>
              <w:bottom w:val="single" w:color="auto" w:sz="4" w:space="0"/>
              <w:right w:val="single" w:color="auto" w:sz="4" w:space="0"/>
            </w:tcBorders>
            <w:noWrap/>
            <w:tcMar>
              <w:top w:w="0" w:type="dxa"/>
              <w:left w:w="28" w:type="dxa"/>
              <w:bottom w:w="0" w:type="dxa"/>
              <w:right w:w="28" w:type="dxa"/>
            </w:tcMar>
            <w:vAlign w:val="center"/>
          </w:tcPr>
          <w:p w14:paraId="1737EB04">
            <w:pPr>
              <w:pStyle w:val="19"/>
              <w:spacing w:before="120" w:after="120"/>
            </w:pPr>
            <w:r>
              <w:t>7</w:t>
            </w:r>
          </w:p>
        </w:tc>
        <w:tc>
          <w:tcPr>
            <w:tcW w:w="842"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19248351">
            <w:pPr>
              <w:pStyle w:val="19"/>
              <w:spacing w:before="120" w:after="120"/>
            </w:pPr>
            <w:r>
              <w:rPr>
                <w:rFonts w:hint="eastAsia"/>
              </w:rPr>
              <w:t>应急保障</w:t>
            </w:r>
          </w:p>
        </w:tc>
        <w:tc>
          <w:tcPr>
            <w:tcW w:w="3829"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25A6E0CC">
            <w:pPr>
              <w:pStyle w:val="19"/>
              <w:spacing w:before="120" w:after="120"/>
            </w:pPr>
            <w:r>
              <w:rPr>
                <w:rFonts w:hint="eastAsia"/>
              </w:rPr>
              <w:t>人力资源保障，资金保障，物资保障，医疗卫生保障，交通运输保障，通信与信息保障，科学技术保障，其他保障</w:t>
            </w:r>
          </w:p>
        </w:tc>
      </w:tr>
      <w:tr w14:paraId="08091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 w:type="pct"/>
            <w:tcBorders>
              <w:top w:val="single" w:color="auto" w:sz="4" w:space="0"/>
              <w:left w:val="single" w:color="auto" w:sz="4" w:space="0"/>
              <w:bottom w:val="single" w:color="auto" w:sz="4" w:space="0"/>
              <w:right w:val="single" w:color="auto" w:sz="4" w:space="0"/>
            </w:tcBorders>
            <w:noWrap/>
            <w:tcMar>
              <w:top w:w="0" w:type="dxa"/>
              <w:left w:w="28" w:type="dxa"/>
              <w:bottom w:w="0" w:type="dxa"/>
              <w:right w:w="28" w:type="dxa"/>
            </w:tcMar>
            <w:vAlign w:val="center"/>
          </w:tcPr>
          <w:p w14:paraId="3E1C1587">
            <w:pPr>
              <w:pStyle w:val="19"/>
              <w:spacing w:before="120" w:after="120"/>
            </w:pPr>
            <w:r>
              <w:t>8</w:t>
            </w:r>
          </w:p>
        </w:tc>
        <w:tc>
          <w:tcPr>
            <w:tcW w:w="842"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3E030CA7">
            <w:pPr>
              <w:pStyle w:val="19"/>
              <w:spacing w:before="120" w:after="120"/>
            </w:pPr>
            <w:r>
              <w:rPr>
                <w:rFonts w:hint="eastAsia"/>
              </w:rPr>
              <w:t>监督管理</w:t>
            </w:r>
          </w:p>
        </w:tc>
        <w:tc>
          <w:tcPr>
            <w:tcW w:w="3829"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29BAB86D">
            <w:pPr>
              <w:pStyle w:val="19"/>
              <w:spacing w:before="120" w:after="120"/>
            </w:pPr>
            <w:r>
              <w:rPr>
                <w:rFonts w:hint="eastAsia"/>
              </w:rPr>
              <w:t>应急预案演练，宣教培训，责任与奖惩</w:t>
            </w:r>
          </w:p>
        </w:tc>
      </w:tr>
      <w:tr w14:paraId="6AA25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 w:type="pct"/>
            <w:tcBorders>
              <w:top w:val="single" w:color="auto" w:sz="4" w:space="0"/>
              <w:left w:val="single" w:color="auto" w:sz="4" w:space="0"/>
              <w:bottom w:val="single" w:color="auto" w:sz="4" w:space="0"/>
              <w:right w:val="single" w:color="auto" w:sz="4" w:space="0"/>
            </w:tcBorders>
            <w:noWrap/>
            <w:tcMar>
              <w:top w:w="0" w:type="dxa"/>
              <w:left w:w="28" w:type="dxa"/>
              <w:bottom w:w="0" w:type="dxa"/>
              <w:right w:w="28" w:type="dxa"/>
            </w:tcMar>
            <w:vAlign w:val="center"/>
          </w:tcPr>
          <w:p w14:paraId="654FB36E">
            <w:pPr>
              <w:pStyle w:val="19"/>
              <w:spacing w:before="120" w:after="120"/>
            </w:pPr>
            <w:r>
              <w:t>9</w:t>
            </w:r>
          </w:p>
        </w:tc>
        <w:tc>
          <w:tcPr>
            <w:tcW w:w="842"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15CDA77F">
            <w:pPr>
              <w:pStyle w:val="19"/>
              <w:spacing w:before="120" w:after="120"/>
            </w:pPr>
            <w:r>
              <w:rPr>
                <w:rFonts w:hint="eastAsia"/>
              </w:rPr>
              <w:t>附则</w:t>
            </w:r>
          </w:p>
        </w:tc>
        <w:tc>
          <w:tcPr>
            <w:tcW w:w="3829"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7614AFF1">
            <w:pPr>
              <w:pStyle w:val="19"/>
              <w:spacing w:before="120" w:after="120"/>
            </w:pPr>
            <w:r>
              <w:rPr>
                <w:rFonts w:hint="eastAsia"/>
              </w:rPr>
              <w:t>名词术语、预案解释，修订情况，实施日期</w:t>
            </w:r>
          </w:p>
        </w:tc>
      </w:tr>
      <w:tr w14:paraId="2F859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 w:type="pct"/>
            <w:tcBorders>
              <w:top w:val="single" w:color="auto" w:sz="4" w:space="0"/>
              <w:left w:val="single" w:color="auto" w:sz="4" w:space="0"/>
              <w:bottom w:val="single" w:color="auto" w:sz="4" w:space="0"/>
              <w:right w:val="single" w:color="auto" w:sz="4" w:space="0"/>
            </w:tcBorders>
            <w:noWrap/>
            <w:tcMar>
              <w:top w:w="0" w:type="dxa"/>
              <w:left w:w="28" w:type="dxa"/>
              <w:bottom w:w="0" w:type="dxa"/>
              <w:right w:w="28" w:type="dxa"/>
            </w:tcMar>
            <w:vAlign w:val="center"/>
          </w:tcPr>
          <w:p w14:paraId="6E0B33A4">
            <w:pPr>
              <w:pStyle w:val="19"/>
              <w:spacing w:before="120" w:after="120"/>
            </w:pPr>
            <w:r>
              <w:t>10</w:t>
            </w:r>
          </w:p>
        </w:tc>
        <w:tc>
          <w:tcPr>
            <w:tcW w:w="842"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1B6DD9BF">
            <w:pPr>
              <w:pStyle w:val="19"/>
              <w:spacing w:before="120" w:after="120"/>
            </w:pPr>
            <w:r>
              <w:rPr>
                <w:rFonts w:hint="eastAsia"/>
              </w:rPr>
              <w:t>附件</w:t>
            </w:r>
          </w:p>
        </w:tc>
        <w:tc>
          <w:tcPr>
            <w:tcW w:w="3829" w:type="pct"/>
            <w:tcBorders>
              <w:top w:val="single" w:color="auto" w:sz="4" w:space="0"/>
              <w:left w:val="nil"/>
              <w:bottom w:val="single" w:color="auto" w:sz="4" w:space="0"/>
              <w:right w:val="single" w:color="auto" w:sz="4" w:space="0"/>
            </w:tcBorders>
            <w:noWrap/>
            <w:tcMar>
              <w:top w:w="0" w:type="dxa"/>
              <w:left w:w="28" w:type="dxa"/>
              <w:bottom w:w="0" w:type="dxa"/>
              <w:right w:w="28" w:type="dxa"/>
            </w:tcMar>
            <w:vAlign w:val="center"/>
          </w:tcPr>
          <w:p w14:paraId="681B9472">
            <w:pPr>
              <w:pStyle w:val="19"/>
              <w:spacing w:before="120" w:after="120"/>
            </w:pPr>
            <w:r>
              <w:rPr>
                <w:rFonts w:hint="eastAsia"/>
              </w:rPr>
              <w:t>突发环境事件风险评估报告，根据本单位实际，按照《建设项目环境风险评价技术导则》（</w:t>
            </w:r>
            <w:r>
              <w:t>HJ/T169-20</w:t>
            </w:r>
            <w:r>
              <w:rPr>
                <w:rFonts w:hint="eastAsia"/>
              </w:rPr>
              <w:t>1</w:t>
            </w:r>
            <w:r>
              <w:t>8</w:t>
            </w:r>
            <w:r>
              <w:rPr>
                <w:rFonts w:hint="eastAsia"/>
              </w:rPr>
              <w:t>）和其他突发环境事件风险评估指南的要求，委托有资质的咨询机构进行环境风险评估，明确本单位环境危险源、周边环境状况及环境敏感点的情况，编制本企业的</w:t>
            </w:r>
            <w:r>
              <w:t>“</w:t>
            </w:r>
            <w:r>
              <w:rPr>
                <w:rFonts w:hint="eastAsia"/>
              </w:rPr>
              <w:t>突发环境事件风险评估报告</w:t>
            </w:r>
            <w:r>
              <w:t>”</w:t>
            </w:r>
            <w:r>
              <w:rPr>
                <w:rFonts w:hint="eastAsia"/>
              </w:rPr>
              <w:t>。</w:t>
            </w:r>
          </w:p>
        </w:tc>
      </w:tr>
    </w:tbl>
    <w:p w14:paraId="176A414B">
      <w:pPr>
        <w:ind w:firstLine="480"/>
      </w:pPr>
      <w:r>
        <w:t>应急预案的设立目的在于一旦发生风险时能及时控制污染源；抢救受害人员，有效降低伤亡率；指导有关群众防护、组织群众撤离疏散；做好现场清消，清除危害后果，防止对人的继续危害和对环境的污染。</w:t>
      </w:r>
    </w:p>
    <w:p w14:paraId="42094BFC">
      <w:pPr>
        <w:ind w:firstLine="480"/>
      </w:pPr>
      <w:r>
        <w:rPr>
          <w:rFonts w:hint="eastAsia"/>
        </w:rPr>
        <w:t>（1）</w:t>
      </w:r>
      <w:r>
        <w:t>内部保障</w:t>
      </w:r>
    </w:p>
    <w:p w14:paraId="24EAA13A">
      <w:pPr>
        <w:ind w:firstLine="480"/>
      </w:pPr>
      <w:r>
        <w:rPr>
          <w:rFonts w:hint="eastAsia"/>
        </w:rPr>
        <w:t>①</w:t>
      </w:r>
      <w:r>
        <w:t>建立应急救援队伍，包括技术、灭火、疏散、抢修、现场救护、医疗、通讯等人员；</w:t>
      </w:r>
      <w:r>
        <w:rPr>
          <w:rFonts w:hint="eastAsia"/>
        </w:rPr>
        <w:t>②</w:t>
      </w:r>
      <w:r>
        <w:t>企业配备消防布置图、现场平面布置图、危险化学品安全技术说明书等；</w:t>
      </w:r>
      <w:r>
        <w:rPr>
          <w:rFonts w:hint="eastAsia"/>
        </w:rPr>
        <w:t>③</w:t>
      </w:r>
      <w:r>
        <w:t>完善应急通信系统；</w:t>
      </w:r>
      <w:r>
        <w:rPr>
          <w:rFonts w:hint="eastAsia"/>
        </w:rPr>
        <w:t>④</w:t>
      </w:r>
      <w:r>
        <w:t>设置应急电源、照明灯等；</w:t>
      </w:r>
      <w:r>
        <w:rPr>
          <w:rFonts w:hint="eastAsia"/>
        </w:rPr>
        <w:t>⑤</w:t>
      </w:r>
      <w:r>
        <w:t>设置急救药箱，配备救护人员；</w:t>
      </w:r>
      <w:r>
        <w:rPr>
          <w:rFonts w:hint="eastAsia"/>
        </w:rPr>
        <w:t>⑥</w:t>
      </w:r>
      <w:r>
        <w:t>为员工配备齐全的个人防护用品；</w:t>
      </w:r>
      <w:r>
        <w:rPr>
          <w:rFonts w:hint="eastAsia"/>
        </w:rPr>
        <w:t>⑦</w:t>
      </w:r>
      <w:r>
        <w:t>建立安全生产责任制、安全培训制度、应急救援演练制度；</w:t>
      </w:r>
      <w:r>
        <w:rPr>
          <w:rFonts w:hint="eastAsia"/>
        </w:rPr>
        <w:t>⑧</w:t>
      </w:r>
      <w:r>
        <w:t>建立值班制度；</w:t>
      </w:r>
      <w:r>
        <w:rPr>
          <w:rFonts w:hint="eastAsia"/>
        </w:rPr>
        <w:t>⑨</w:t>
      </w:r>
      <w:r>
        <w:t>企业消防设施由各部门安全员专人维护管理。</w:t>
      </w:r>
    </w:p>
    <w:p w14:paraId="487C8FD1">
      <w:pPr>
        <w:ind w:firstLine="480"/>
      </w:pPr>
      <w:r>
        <w:rPr>
          <w:rFonts w:hint="eastAsia"/>
        </w:rPr>
        <w:t>（2）</w:t>
      </w:r>
      <w:r>
        <w:t>培训计划</w:t>
      </w:r>
    </w:p>
    <w:p w14:paraId="6796CBD5">
      <w:pPr>
        <w:ind w:firstLine="480"/>
      </w:pPr>
      <w:r>
        <w:rPr>
          <w:rFonts w:hint="eastAsia"/>
        </w:rPr>
        <w:t>①</w:t>
      </w:r>
      <w:r>
        <w:t>应急救援人员及员工的应急回应的培训总指挥计划、牵头，对相关人员进行事故应急救援培训。企业进行预警级</w:t>
      </w:r>
      <w:r>
        <w:rPr>
          <w:rFonts w:hint="eastAsia"/>
        </w:rPr>
        <w:t>（</w:t>
      </w:r>
      <w:r>
        <w:t>三级</w:t>
      </w:r>
      <w:r>
        <w:rPr>
          <w:rFonts w:hint="eastAsia"/>
        </w:rPr>
        <w:t>）</w:t>
      </w:r>
      <w:r>
        <w:t>应急培训每年应不少于两次，企业应急</w:t>
      </w:r>
      <w:r>
        <w:rPr>
          <w:rFonts w:hint="eastAsia"/>
        </w:rPr>
        <w:t>二级</w:t>
      </w:r>
      <w:r>
        <w:t>回应培训每年应不少于一次，并记录。</w:t>
      </w:r>
    </w:p>
    <w:p w14:paraId="1A403F0C">
      <w:pPr>
        <w:ind w:firstLine="480"/>
      </w:pPr>
      <w:r>
        <w:rPr>
          <w:rFonts w:hint="eastAsia"/>
        </w:rPr>
        <w:t>②</w:t>
      </w:r>
      <w:r>
        <w:t>培训内容</w:t>
      </w:r>
    </w:p>
    <w:p w14:paraId="369F6E79">
      <w:pPr>
        <w:ind w:firstLine="480"/>
      </w:pPr>
      <w:r>
        <w:t>企业的事故特征、企业危险分析与后果评价、应急事故分级应急救援系统与指挥体系，各应急救援组织的职责、应急状态下专项应急救援队完成应急任务中所需的基本知识与技能等。</w:t>
      </w:r>
    </w:p>
    <w:p w14:paraId="09388F8A">
      <w:pPr>
        <w:ind w:firstLine="480"/>
      </w:pPr>
      <w:r>
        <w:rPr>
          <w:rFonts w:hint="eastAsia"/>
        </w:rPr>
        <w:t>（3）</w:t>
      </w:r>
      <w:r>
        <w:t>周边人员应急回应知识宣传</w:t>
      </w:r>
    </w:p>
    <w:p w14:paraId="4FB0AEEE">
      <w:pPr>
        <w:ind w:firstLine="480"/>
      </w:pPr>
      <w:r>
        <w:t>公司每年定期对周边界区人员进行应急知识宣传，以提高相关人员对危险目标的认识。</w:t>
      </w:r>
    </w:p>
    <w:p w14:paraId="30054505">
      <w:pPr>
        <w:ind w:firstLine="480"/>
      </w:pPr>
      <w:r>
        <w:rPr>
          <w:rFonts w:hint="eastAsia"/>
        </w:rPr>
        <w:t>（4）</w:t>
      </w:r>
      <w:r>
        <w:t>应急培训</w:t>
      </w:r>
    </w:p>
    <w:p w14:paraId="26E12FE9">
      <w:pPr>
        <w:ind w:firstLine="480"/>
      </w:pPr>
      <w:r>
        <w:t>要加强对各救援队伍的培训。每年年中对应急救援人员进行一次培训；做到四懂（懂得泄漏和火灾的危险性、预防措施、安全处置、逃生方法），四会（会报警、使用灭火器、灭初期火、逃生）。</w:t>
      </w:r>
    </w:p>
    <w:p w14:paraId="389117EF">
      <w:pPr>
        <w:ind w:firstLine="480"/>
      </w:pPr>
      <w:r>
        <w:t>另外，应注意加强园区或周边人员应急回应知识的宣传，通过板报、传单、讲课等形式，使周边人员了解一定的事故防范措施。</w:t>
      </w:r>
    </w:p>
    <w:p w14:paraId="442BB4D1">
      <w:pPr>
        <w:ind w:firstLine="480"/>
        <w:sectPr>
          <w:pgSz w:w="11906" w:h="16838"/>
          <w:pgMar w:top="1701" w:right="1531" w:bottom="1701" w:left="1531" w:header="851" w:footer="851" w:gutter="0"/>
          <w:pgNumType w:fmt="numberInDash"/>
          <w:cols w:space="720" w:num="1"/>
          <w:docGrid w:linePitch="312" w:charSpace="0"/>
        </w:sectPr>
      </w:pPr>
    </w:p>
    <w:p w14:paraId="26CD9B72">
      <w:pPr>
        <w:pStyle w:val="2"/>
        <w:numPr>
          <w:ilvl w:val="0"/>
          <w:numId w:val="14"/>
        </w:numPr>
        <w:jc w:val="left"/>
      </w:pPr>
      <w:bookmarkStart w:id="211" w:name="_Toc32757"/>
      <w:bookmarkStart w:id="212" w:name="_Toc25576"/>
      <w:r>
        <w:t>分析结论</w:t>
      </w:r>
      <w:bookmarkEnd w:id="211"/>
      <w:bookmarkEnd w:id="212"/>
    </w:p>
    <w:p w14:paraId="0443DA0C">
      <w:pPr>
        <w:ind w:firstLine="480"/>
      </w:pPr>
      <w:r>
        <w:rPr>
          <w:rFonts w:hint="eastAsia"/>
        </w:rPr>
        <w:t>本项目为</w:t>
      </w:r>
      <w:r>
        <w:rPr>
          <w:rFonts w:hint="eastAsia"/>
          <w:szCs w:val="21"/>
        </w:rPr>
        <w:t>鄂托克经济开发区蒙西产业园危险化学品运输车辆专用停车场项目，</w:t>
      </w:r>
      <w:r>
        <w:rPr>
          <w:rFonts w:hint="eastAsia"/>
        </w:rPr>
        <w:t>建设内容为危险化学品车辆专用停车场以及辅助设施。辅助设施包括危险化学品车辆</w:t>
      </w:r>
      <w:r>
        <w:t>候检区</w:t>
      </w:r>
      <w:r>
        <w:rPr>
          <w:rFonts w:hint="eastAsia"/>
        </w:rPr>
        <w:t>、</w:t>
      </w:r>
      <w:r>
        <w:t>综合管理用房</w:t>
      </w:r>
      <w:r>
        <w:rPr>
          <w:rFonts w:hint="eastAsia"/>
        </w:rPr>
        <w:t>、</w:t>
      </w:r>
      <w:r>
        <w:t>辅助用房</w:t>
      </w:r>
      <w:r>
        <w:rPr>
          <w:rFonts w:hint="eastAsia"/>
        </w:rPr>
        <w:t>、</w:t>
      </w:r>
      <w:r>
        <w:t>维修车间</w:t>
      </w:r>
      <w:r>
        <w:rPr>
          <w:rFonts w:hint="eastAsia"/>
        </w:rPr>
        <w:t>、洗车车间、危废暂存间、消防</w:t>
      </w:r>
      <w:r>
        <w:t>水池</w:t>
      </w:r>
      <w:r>
        <w:rPr>
          <w:rFonts w:hint="eastAsia"/>
        </w:rPr>
        <w:t>、消防泵房、事故水池和初期雨水池、一体化</w:t>
      </w:r>
      <w:r>
        <w:t>污</w:t>
      </w:r>
      <w:r>
        <w:rPr>
          <w:rFonts w:hint="eastAsia"/>
        </w:rPr>
        <w:t>水处理设施等。</w:t>
      </w:r>
    </w:p>
    <w:p w14:paraId="53F8C284">
      <w:pPr>
        <w:ind w:firstLine="480"/>
      </w:pPr>
      <w:r>
        <w:rPr>
          <w:rFonts w:hint="eastAsia"/>
          <w:color w:val="000000"/>
        </w:rPr>
        <w:t>项目主要环境风险为满载运输车辆在停车场内停放时的泄漏、火灾、爆炸事故以及其泄漏、火灾爆炸引发的大气、水体、土壤污染等事故。环境风险的客观存在无法改变，但通过科学的设计、施工、操作和管理，可将风险事故发生的可能性和危害性降低到最小程度，真正做到防患于未然，达到预防事故发生的目的。风险管理的重点在于减缓、防范措施。从风险防范方面提出本项目应采用的防范及应急处理措施，主要内容包括选址、总图布置和建筑安全防范、运输过程风险防范、物料泄漏事故的防范、火灾和爆炸事故的防范、消防及火灾报警系统、废水事故排放防范及应急等。</w:t>
      </w:r>
    </w:p>
    <w:p w14:paraId="03C63181">
      <w:pPr>
        <w:ind w:firstLine="480"/>
      </w:pPr>
      <w:r>
        <w:rPr>
          <w:rFonts w:hint="eastAsia"/>
          <w:color w:val="000000"/>
        </w:rPr>
        <w:t>本项目环境风险值水平与同行业比较是可以接受的，通过加强管理，并严格落实评价中提出的风险防范措施后，可在较大程度上避免风险的产生。项目建成后，应进行必要的工程质量、施工等方面的验收后，方投入正常生产。厂内主要责任人及安全管理人员必须经安监部门培训，考核合格后持证上岗；特种作业人员必须经过专业培训持证上岗。其他从业人员均应经过三级安全教育，持证上岗。在各环境风险防范措施落实到位的情况下，将可大降低本项目的环境风险，最大程度减少对环境可能造成的危害。</w:t>
      </w:r>
    </w:p>
    <w:p w14:paraId="394FC315">
      <w:pPr>
        <w:pStyle w:val="19"/>
        <w:spacing w:before="120" w:after="120"/>
      </w:pPr>
    </w:p>
    <w:p w14:paraId="1390FF02">
      <w:pPr>
        <w:ind w:firstLine="0" w:firstLineChars="0"/>
        <w:sectPr>
          <w:pgSz w:w="11906" w:h="16838"/>
          <w:pgMar w:top="1701" w:right="1531" w:bottom="1701" w:left="1531" w:header="851" w:footer="851" w:gutter="0"/>
          <w:pgNumType w:fmt="numberInDash"/>
          <w:cols w:space="720" w:num="1"/>
          <w:docGrid w:linePitch="312" w:charSpace="0"/>
        </w:sectPr>
      </w:pPr>
    </w:p>
    <w:p w14:paraId="2B64CFB5">
      <w:pPr>
        <w:pStyle w:val="2"/>
        <w:jc w:val="left"/>
      </w:pPr>
      <w:bookmarkStart w:id="213" w:name="_Toc17246"/>
      <w:bookmarkStart w:id="214" w:name="_Toc2834"/>
      <w:r>
        <w:rPr>
          <w:rFonts w:hint="eastAsia"/>
        </w:rPr>
        <w:t>九、附图与附件</w:t>
      </w:r>
      <w:bookmarkEnd w:id="213"/>
    </w:p>
    <w:p w14:paraId="7E1C4E8C">
      <w:pPr>
        <w:pStyle w:val="3"/>
        <w:ind w:firstLine="480"/>
      </w:pPr>
      <w:bookmarkStart w:id="215" w:name="_Toc15034"/>
      <w:r>
        <w:rPr>
          <w:rFonts w:hint="eastAsia"/>
        </w:rPr>
        <w:t>附件一  项目委托书</w:t>
      </w:r>
      <w:bookmarkEnd w:id="215"/>
    </w:p>
    <w:p w14:paraId="2C3263C5">
      <w:pPr>
        <w:pStyle w:val="19"/>
        <w:spacing w:before="0" w:beforeLines="0" w:afterLines="0" w:line="240" w:lineRule="atLeast"/>
        <w:rPr>
          <w:sz w:val="20"/>
          <w:szCs w:val="16"/>
        </w:rPr>
      </w:pPr>
    </w:p>
    <w:p w14:paraId="2AA91299">
      <w:pPr>
        <w:pStyle w:val="19"/>
        <w:spacing w:before="0" w:beforeLines="0" w:afterLines="0" w:line="240" w:lineRule="atLeast"/>
        <w:rPr>
          <w:sz w:val="20"/>
          <w:szCs w:val="16"/>
        </w:rPr>
      </w:pPr>
    </w:p>
    <w:p w14:paraId="351879B0">
      <w:pPr>
        <w:ind w:firstLine="0" w:firstLineChars="0"/>
        <w:jc w:val="center"/>
        <w:rPr>
          <w:sz w:val="36"/>
          <w:szCs w:val="36"/>
        </w:rPr>
      </w:pPr>
      <w:r>
        <w:rPr>
          <w:rFonts w:hint="eastAsia"/>
          <w:sz w:val="36"/>
          <w:szCs w:val="36"/>
        </w:rPr>
        <w:t>项目委托书</w:t>
      </w:r>
    </w:p>
    <w:p w14:paraId="02660088">
      <w:pPr>
        <w:pStyle w:val="19"/>
        <w:spacing w:before="0" w:beforeLines="0" w:afterLines="0" w:line="240" w:lineRule="atLeast"/>
        <w:rPr>
          <w:sz w:val="20"/>
          <w:szCs w:val="16"/>
        </w:rPr>
      </w:pPr>
    </w:p>
    <w:p w14:paraId="22FC6C6A">
      <w:pPr>
        <w:ind w:firstLine="0" w:firstLineChars="0"/>
      </w:pPr>
      <w:r>
        <w:rPr>
          <w:rFonts w:hint="eastAsia"/>
        </w:rPr>
        <w:t>内蒙古宝钜环保技术服务有限公司：</w:t>
      </w:r>
    </w:p>
    <w:p w14:paraId="1E47ADA0">
      <w:pPr>
        <w:ind w:firstLine="480"/>
      </w:pPr>
      <w:r>
        <w:rPr>
          <w:rFonts w:hint="eastAsia"/>
        </w:rPr>
        <w:t>为保障</w:t>
      </w:r>
      <w:r>
        <w:rPr>
          <w:rFonts w:hint="eastAsia"/>
          <w:szCs w:val="21"/>
        </w:rPr>
        <w:t>鄂托克经济开发区蒙西产业园</w:t>
      </w:r>
      <w:r>
        <w:t>内危化品车辆统一安全停放</w:t>
      </w:r>
      <w:r>
        <w:rPr>
          <w:rFonts w:hint="eastAsia"/>
        </w:rPr>
        <w:t>，做到</w:t>
      </w:r>
      <w:r>
        <w:t>所有危险品货物运输有据可查</w:t>
      </w:r>
      <w:r>
        <w:rPr>
          <w:rFonts w:hint="eastAsia"/>
        </w:rPr>
        <w:t>，当</w:t>
      </w:r>
      <w:r>
        <w:t>危化品运输车辆发生</w:t>
      </w:r>
      <w:r>
        <w:rPr>
          <w:rFonts w:hint="eastAsia"/>
        </w:rPr>
        <w:t>事故时</w:t>
      </w:r>
      <w:r>
        <w:t>危化品车辆服务保障中心提供专业、高效、安全、环保的救援</w:t>
      </w:r>
      <w:r>
        <w:rPr>
          <w:rFonts w:hint="eastAsia"/>
        </w:rPr>
        <w:t>，我委计划开展“鄂托克经济开发区蒙西产业园危险化学品运输车辆专用停车场项目”，完善蒙西产业园基础设施条件，</w:t>
      </w:r>
      <w:r>
        <w:t>形成更加安全有序的</w:t>
      </w:r>
      <w:r>
        <w:rPr>
          <w:rFonts w:hint="eastAsia"/>
        </w:rPr>
        <w:t>危化品运输管理</w:t>
      </w:r>
      <w:r>
        <w:t>格局</w:t>
      </w:r>
      <w:r>
        <w:rPr>
          <w:rFonts w:hint="eastAsia"/>
        </w:rPr>
        <w:t>。</w:t>
      </w:r>
    </w:p>
    <w:p w14:paraId="3F1CBB98">
      <w:pPr>
        <w:ind w:firstLine="480"/>
      </w:pPr>
      <w:r>
        <w:rPr>
          <w:rFonts w:hint="eastAsia"/>
        </w:rPr>
        <w:t>根据《中华人民共和国环境保护法》、《中华人民共和国环境影响评价法》、《建设项目环境保护管理条例》等相关要求，建设项目应当依法开展环境影响评价工作。根据《建设项目环境影响评价分类管理名录》（</w:t>
      </w:r>
      <w:r>
        <w:t>2021</w:t>
      </w:r>
      <w:r>
        <w:rPr>
          <w:rFonts w:hint="eastAsia"/>
        </w:rPr>
        <w:t>年版），本项目属于“五十、社会事业与服务业120、洗车场-危险化学品运输车辆洗车场”，应编制环境影响报告表。为尽快实施项目，现委托你公司</w:t>
      </w:r>
      <w:r>
        <w:t>承担</w:t>
      </w:r>
      <w:r>
        <w:rPr>
          <w:rFonts w:hint="eastAsia"/>
        </w:rPr>
        <w:t>该</w:t>
      </w:r>
      <w:r>
        <w:t>项目</w:t>
      </w:r>
      <w:r>
        <w:rPr>
          <w:rFonts w:hint="eastAsia"/>
        </w:rPr>
        <w:t>的</w:t>
      </w:r>
      <w:r>
        <w:t>环境影响</w:t>
      </w:r>
      <w:r>
        <w:rPr>
          <w:rFonts w:hint="eastAsia"/>
        </w:rPr>
        <w:t>评价</w:t>
      </w:r>
      <w:r>
        <w:t>工作</w:t>
      </w:r>
      <w:r>
        <w:rPr>
          <w:rFonts w:hint="eastAsia"/>
        </w:rPr>
        <w:t>。</w:t>
      </w:r>
    </w:p>
    <w:p w14:paraId="49BE70EA">
      <w:pPr>
        <w:ind w:firstLine="480"/>
      </w:pPr>
      <w:r>
        <w:rPr>
          <w:rFonts w:hint="eastAsia"/>
        </w:rPr>
        <w:t>特此委托。</w:t>
      </w:r>
    </w:p>
    <w:p w14:paraId="52A1445D">
      <w:pPr>
        <w:ind w:firstLine="560"/>
        <w:rPr>
          <w:sz w:val="28"/>
          <w:szCs w:val="28"/>
        </w:rPr>
      </w:pPr>
    </w:p>
    <w:p w14:paraId="744C4213">
      <w:pPr>
        <w:ind w:firstLine="560"/>
        <w:rPr>
          <w:sz w:val="28"/>
          <w:szCs w:val="28"/>
        </w:rPr>
      </w:pPr>
    </w:p>
    <w:p w14:paraId="1125657C">
      <w:pPr>
        <w:ind w:firstLine="560"/>
        <w:rPr>
          <w:sz w:val="28"/>
          <w:szCs w:val="28"/>
        </w:rPr>
      </w:pPr>
    </w:p>
    <w:p w14:paraId="74543B7B">
      <w:pPr>
        <w:ind w:firstLine="480"/>
        <w:jc w:val="right"/>
      </w:pPr>
      <w:r>
        <w:rPr>
          <w:rFonts w:hint="eastAsia"/>
        </w:rPr>
        <w:t>内蒙古鄂尔多斯鄂托克经济开发区管理委员会</w:t>
      </w:r>
    </w:p>
    <w:p w14:paraId="57FB3169">
      <w:pPr>
        <w:ind w:firstLine="480"/>
        <w:jc w:val="center"/>
      </w:pPr>
      <w:r>
        <w:rPr>
          <w:rFonts w:hint="eastAsia"/>
        </w:rPr>
        <w:t xml:space="preserve">                                 2024年1月</w:t>
      </w:r>
    </w:p>
    <w:p w14:paraId="58EF37D8">
      <w:pPr>
        <w:ind w:firstLine="480"/>
        <w:sectPr>
          <w:footerReference r:id="rId15" w:type="default"/>
          <w:pgSz w:w="11906" w:h="16838"/>
          <w:pgMar w:top="1440" w:right="1800" w:bottom="1440" w:left="1800" w:header="851" w:footer="851" w:gutter="0"/>
          <w:pgNumType w:fmt="numberInDash"/>
          <w:cols w:space="720" w:num="1"/>
          <w:docGrid w:linePitch="312" w:charSpace="0"/>
        </w:sectPr>
      </w:pPr>
    </w:p>
    <w:p w14:paraId="6E61723E">
      <w:pPr>
        <w:pStyle w:val="3"/>
        <w:ind w:firstLine="480"/>
      </w:pPr>
      <w:bookmarkStart w:id="216" w:name="_Toc29020"/>
      <w:r>
        <w:rPr>
          <w:rFonts w:hint="eastAsia"/>
        </w:rPr>
        <w:t>附件二  项目建议书的批复</w:t>
      </w:r>
      <w:bookmarkEnd w:id="214"/>
      <w:bookmarkEnd w:id="216"/>
    </w:p>
    <w:p w14:paraId="7C64BB4A">
      <w:pPr>
        <w:pStyle w:val="19"/>
        <w:spacing w:before="120" w:after="120"/>
      </w:pPr>
      <w:r>
        <w:drawing>
          <wp:inline distT="0" distB="0" distL="114300" distR="114300">
            <wp:extent cx="5530850" cy="7810500"/>
            <wp:effectExtent l="0" t="0" r="12700" b="0"/>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22" cstate="print"/>
                    <a:stretch>
                      <a:fillRect/>
                    </a:stretch>
                  </pic:blipFill>
                  <pic:spPr>
                    <a:xfrm>
                      <a:off x="0" y="0"/>
                      <a:ext cx="5530850" cy="7810500"/>
                    </a:xfrm>
                    <a:prstGeom prst="rect">
                      <a:avLst/>
                    </a:prstGeom>
                    <a:noFill/>
                    <a:ln>
                      <a:noFill/>
                    </a:ln>
                  </pic:spPr>
                </pic:pic>
              </a:graphicData>
            </a:graphic>
          </wp:inline>
        </w:drawing>
      </w:r>
    </w:p>
    <w:p w14:paraId="24C63343">
      <w:pPr>
        <w:pStyle w:val="19"/>
        <w:spacing w:before="120" w:after="120"/>
      </w:pPr>
      <w:r>
        <w:drawing>
          <wp:inline distT="0" distB="0" distL="114300" distR="114300">
            <wp:extent cx="5549900" cy="7829550"/>
            <wp:effectExtent l="0" t="0" r="12700" b="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23" cstate="print"/>
                    <a:stretch>
                      <a:fillRect/>
                    </a:stretch>
                  </pic:blipFill>
                  <pic:spPr>
                    <a:xfrm>
                      <a:off x="0" y="0"/>
                      <a:ext cx="5549900" cy="7829550"/>
                    </a:xfrm>
                    <a:prstGeom prst="rect">
                      <a:avLst/>
                    </a:prstGeom>
                    <a:noFill/>
                    <a:ln>
                      <a:noFill/>
                    </a:ln>
                  </pic:spPr>
                </pic:pic>
              </a:graphicData>
            </a:graphic>
          </wp:inline>
        </w:drawing>
      </w:r>
    </w:p>
    <w:p w14:paraId="43C066A6">
      <w:pPr>
        <w:pStyle w:val="3"/>
        <w:ind w:firstLine="480"/>
        <w:sectPr>
          <w:pgSz w:w="11906" w:h="16838"/>
          <w:pgMar w:top="1701" w:right="1531" w:bottom="1701" w:left="1531" w:header="851" w:footer="851" w:gutter="0"/>
          <w:pgNumType w:fmt="numberInDash"/>
          <w:cols w:space="720" w:num="1"/>
          <w:docGrid w:linePitch="312" w:charSpace="0"/>
        </w:sectPr>
      </w:pPr>
    </w:p>
    <w:p w14:paraId="3081C260">
      <w:pPr>
        <w:pStyle w:val="3"/>
        <w:ind w:firstLine="480"/>
      </w:pPr>
      <w:bookmarkStart w:id="217" w:name="_Toc7561"/>
      <w:bookmarkStart w:id="218" w:name="_Toc9964"/>
      <w:r>
        <w:rPr>
          <w:rFonts w:hint="eastAsia"/>
        </w:rPr>
        <w:t>附件三  可行性研究报告的批复</w:t>
      </w:r>
      <w:bookmarkEnd w:id="217"/>
      <w:bookmarkEnd w:id="218"/>
    </w:p>
    <w:p w14:paraId="750BEFD6">
      <w:pPr>
        <w:pStyle w:val="19"/>
        <w:spacing w:before="120" w:after="120"/>
      </w:pPr>
      <w:r>
        <w:drawing>
          <wp:inline distT="0" distB="0" distL="114300" distR="114300">
            <wp:extent cx="5542915" cy="7854950"/>
            <wp:effectExtent l="0" t="0" r="635" b="1270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4" cstate="print"/>
                    <a:stretch>
                      <a:fillRect/>
                    </a:stretch>
                  </pic:blipFill>
                  <pic:spPr>
                    <a:xfrm>
                      <a:off x="0" y="0"/>
                      <a:ext cx="5542915" cy="7854950"/>
                    </a:xfrm>
                    <a:prstGeom prst="rect">
                      <a:avLst/>
                    </a:prstGeom>
                    <a:noFill/>
                    <a:ln>
                      <a:noFill/>
                    </a:ln>
                  </pic:spPr>
                </pic:pic>
              </a:graphicData>
            </a:graphic>
          </wp:inline>
        </w:drawing>
      </w:r>
    </w:p>
    <w:p w14:paraId="5C9D7150">
      <w:pPr>
        <w:pStyle w:val="19"/>
        <w:spacing w:before="120" w:after="120"/>
      </w:pPr>
      <w:r>
        <w:drawing>
          <wp:inline distT="0" distB="0" distL="114300" distR="114300">
            <wp:extent cx="5543550" cy="7854950"/>
            <wp:effectExtent l="0" t="0" r="0" b="1270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5" cstate="print"/>
                    <a:stretch>
                      <a:fillRect/>
                    </a:stretch>
                  </pic:blipFill>
                  <pic:spPr>
                    <a:xfrm>
                      <a:off x="0" y="0"/>
                      <a:ext cx="5543550" cy="7854950"/>
                    </a:xfrm>
                    <a:prstGeom prst="rect">
                      <a:avLst/>
                    </a:prstGeom>
                    <a:noFill/>
                    <a:ln>
                      <a:noFill/>
                    </a:ln>
                  </pic:spPr>
                </pic:pic>
              </a:graphicData>
            </a:graphic>
          </wp:inline>
        </w:drawing>
      </w:r>
    </w:p>
    <w:p w14:paraId="63643CBF">
      <w:pPr>
        <w:pStyle w:val="19"/>
        <w:spacing w:before="120" w:after="120"/>
        <w:sectPr>
          <w:pgSz w:w="11906" w:h="16838"/>
          <w:pgMar w:top="1701" w:right="1531" w:bottom="1701" w:left="1531" w:header="851" w:footer="851" w:gutter="0"/>
          <w:pgNumType w:fmt="numberInDash"/>
          <w:cols w:space="720" w:num="1"/>
          <w:docGrid w:linePitch="312" w:charSpace="0"/>
        </w:sectPr>
      </w:pPr>
    </w:p>
    <w:p w14:paraId="67136E38">
      <w:pPr>
        <w:pStyle w:val="3"/>
        <w:ind w:firstLine="480"/>
      </w:pPr>
      <w:bookmarkStart w:id="219" w:name="_Toc30259"/>
      <w:bookmarkStart w:id="220" w:name="_Toc23596"/>
      <w:r>
        <w:rPr>
          <w:rFonts w:hint="eastAsia"/>
        </w:rPr>
        <w:t>附件四  项目初步设计的批复</w:t>
      </w:r>
      <w:bookmarkEnd w:id="219"/>
      <w:bookmarkEnd w:id="220"/>
    </w:p>
    <w:p w14:paraId="468A1617">
      <w:pPr>
        <w:pStyle w:val="19"/>
        <w:spacing w:before="120" w:after="120"/>
      </w:pPr>
      <w:r>
        <w:drawing>
          <wp:inline distT="0" distB="0" distL="114300" distR="114300">
            <wp:extent cx="5505450" cy="7778750"/>
            <wp:effectExtent l="0" t="0" r="0" b="1270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26" cstate="print"/>
                    <a:stretch>
                      <a:fillRect/>
                    </a:stretch>
                  </pic:blipFill>
                  <pic:spPr>
                    <a:xfrm>
                      <a:off x="0" y="0"/>
                      <a:ext cx="5505450" cy="7778750"/>
                    </a:xfrm>
                    <a:prstGeom prst="rect">
                      <a:avLst/>
                    </a:prstGeom>
                    <a:noFill/>
                    <a:ln>
                      <a:noFill/>
                    </a:ln>
                  </pic:spPr>
                </pic:pic>
              </a:graphicData>
            </a:graphic>
          </wp:inline>
        </w:drawing>
      </w:r>
    </w:p>
    <w:p w14:paraId="2F602FA2">
      <w:pPr>
        <w:pStyle w:val="19"/>
        <w:spacing w:before="120" w:after="120"/>
      </w:pPr>
      <w:r>
        <w:drawing>
          <wp:inline distT="0" distB="0" distL="114300" distR="114300">
            <wp:extent cx="5511800" cy="7797800"/>
            <wp:effectExtent l="0" t="0" r="12700" b="12700"/>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27" cstate="print"/>
                    <a:stretch>
                      <a:fillRect/>
                    </a:stretch>
                  </pic:blipFill>
                  <pic:spPr>
                    <a:xfrm>
                      <a:off x="0" y="0"/>
                      <a:ext cx="5511800" cy="7797800"/>
                    </a:xfrm>
                    <a:prstGeom prst="rect">
                      <a:avLst/>
                    </a:prstGeom>
                    <a:noFill/>
                    <a:ln>
                      <a:noFill/>
                    </a:ln>
                  </pic:spPr>
                </pic:pic>
              </a:graphicData>
            </a:graphic>
          </wp:inline>
        </w:drawing>
      </w:r>
    </w:p>
    <w:p w14:paraId="33758DFD">
      <w:pPr>
        <w:ind w:firstLine="480"/>
      </w:pPr>
    </w:p>
    <w:p w14:paraId="0430C9DF">
      <w:pPr>
        <w:ind w:firstLine="480"/>
        <w:sectPr>
          <w:pgSz w:w="11906" w:h="16838"/>
          <w:pgMar w:top="1701" w:right="1531" w:bottom="1701" w:left="1531" w:header="851" w:footer="851" w:gutter="0"/>
          <w:pgNumType w:fmt="numberInDash"/>
          <w:cols w:space="720" w:num="1"/>
          <w:docGrid w:linePitch="312" w:charSpace="0"/>
        </w:sectPr>
      </w:pPr>
    </w:p>
    <w:p w14:paraId="2F8ADF0A">
      <w:pPr>
        <w:pStyle w:val="3"/>
        <w:ind w:firstLine="480"/>
      </w:pPr>
      <w:bookmarkStart w:id="221" w:name="_Toc11343"/>
      <w:bookmarkStart w:id="222" w:name="_Toc19695"/>
      <w:r>
        <w:rPr>
          <w:rFonts w:hint="eastAsia"/>
        </w:rPr>
        <w:t>附件五  同意项目开展前期工作的函</w:t>
      </w:r>
      <w:bookmarkEnd w:id="221"/>
      <w:bookmarkEnd w:id="222"/>
    </w:p>
    <w:p w14:paraId="30B2D02F">
      <w:pPr>
        <w:pStyle w:val="19"/>
        <w:spacing w:before="120" w:after="120"/>
      </w:pPr>
      <w:r>
        <w:drawing>
          <wp:inline distT="0" distB="0" distL="114300" distR="114300">
            <wp:extent cx="5524500" cy="7810500"/>
            <wp:effectExtent l="0" t="0" r="0" b="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28" cstate="print"/>
                    <a:stretch>
                      <a:fillRect/>
                    </a:stretch>
                  </pic:blipFill>
                  <pic:spPr>
                    <a:xfrm>
                      <a:off x="0" y="0"/>
                      <a:ext cx="5524500" cy="7810500"/>
                    </a:xfrm>
                    <a:prstGeom prst="rect">
                      <a:avLst/>
                    </a:prstGeom>
                    <a:noFill/>
                    <a:ln>
                      <a:noFill/>
                    </a:ln>
                  </pic:spPr>
                </pic:pic>
              </a:graphicData>
            </a:graphic>
          </wp:inline>
        </w:drawing>
      </w:r>
    </w:p>
    <w:p w14:paraId="25ABB921">
      <w:pPr>
        <w:pStyle w:val="19"/>
        <w:spacing w:before="120" w:after="120"/>
      </w:pPr>
      <w:r>
        <w:drawing>
          <wp:inline distT="0" distB="0" distL="114300" distR="114300">
            <wp:extent cx="5476875" cy="7835900"/>
            <wp:effectExtent l="0" t="0" r="9525" b="1270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29" cstate="print"/>
                    <a:srcRect r="1203"/>
                    <a:stretch>
                      <a:fillRect/>
                    </a:stretch>
                  </pic:blipFill>
                  <pic:spPr>
                    <a:xfrm>
                      <a:off x="0" y="0"/>
                      <a:ext cx="5476875" cy="7835900"/>
                    </a:xfrm>
                    <a:prstGeom prst="rect">
                      <a:avLst/>
                    </a:prstGeom>
                    <a:noFill/>
                    <a:ln>
                      <a:noFill/>
                    </a:ln>
                  </pic:spPr>
                </pic:pic>
              </a:graphicData>
            </a:graphic>
          </wp:inline>
        </w:drawing>
      </w:r>
    </w:p>
    <w:p w14:paraId="7C3CFCBA">
      <w:pPr>
        <w:pStyle w:val="3"/>
        <w:ind w:firstLine="480"/>
        <w:sectPr>
          <w:pgSz w:w="11906" w:h="16838"/>
          <w:pgMar w:top="1701" w:right="1531" w:bottom="1701" w:left="1531" w:header="851" w:footer="851" w:gutter="0"/>
          <w:pgNumType w:fmt="numberInDash"/>
          <w:cols w:space="720" w:num="1"/>
          <w:docGrid w:linePitch="312" w:charSpace="0"/>
        </w:sectPr>
      </w:pPr>
    </w:p>
    <w:p w14:paraId="3BBB0B36">
      <w:pPr>
        <w:pStyle w:val="3"/>
        <w:ind w:firstLine="480"/>
      </w:pPr>
      <w:bookmarkStart w:id="223" w:name="_Toc671"/>
      <w:bookmarkStart w:id="224" w:name="_Toc24141"/>
      <w:r>
        <w:rPr>
          <w:rFonts w:hint="eastAsia"/>
        </w:rPr>
        <w:t>附件六  关于项目规划意见的函</w:t>
      </w:r>
      <w:bookmarkEnd w:id="223"/>
      <w:bookmarkEnd w:id="224"/>
    </w:p>
    <w:p w14:paraId="6110EB6A">
      <w:pPr>
        <w:pStyle w:val="19"/>
        <w:spacing w:before="120" w:after="120"/>
      </w:pPr>
      <w:r>
        <w:drawing>
          <wp:anchor distT="0" distB="0" distL="114300" distR="114300" simplePos="0" relativeHeight="251666432" behindDoc="1" locked="0" layoutInCell="1" allowOverlap="1">
            <wp:simplePos x="0" y="0"/>
            <wp:positionH relativeFrom="column">
              <wp:posOffset>208915</wp:posOffset>
            </wp:positionH>
            <wp:positionV relativeFrom="paragraph">
              <wp:posOffset>73660</wp:posOffset>
            </wp:positionV>
            <wp:extent cx="5186045" cy="7632700"/>
            <wp:effectExtent l="0" t="0" r="14605" b="6350"/>
            <wp:wrapNone/>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30" cstate="print"/>
                    <a:stretch>
                      <a:fillRect/>
                    </a:stretch>
                  </pic:blipFill>
                  <pic:spPr>
                    <a:xfrm>
                      <a:off x="0" y="0"/>
                      <a:ext cx="5185728" cy="7633017"/>
                    </a:xfrm>
                    <a:prstGeom prst="rect">
                      <a:avLst/>
                    </a:prstGeom>
                    <a:noFill/>
                    <a:ln>
                      <a:noFill/>
                    </a:ln>
                  </pic:spPr>
                </pic:pic>
              </a:graphicData>
            </a:graphic>
          </wp:anchor>
        </w:drawing>
      </w:r>
    </w:p>
    <w:p w14:paraId="66E41B23">
      <w:pPr>
        <w:pStyle w:val="3"/>
        <w:ind w:firstLine="480"/>
        <w:sectPr>
          <w:pgSz w:w="11906" w:h="16838"/>
          <w:pgMar w:top="1701" w:right="1531" w:bottom="1701" w:left="1531" w:header="851" w:footer="851" w:gutter="0"/>
          <w:pgNumType w:fmt="numberInDash"/>
          <w:cols w:space="720" w:num="1"/>
          <w:docGrid w:linePitch="312" w:charSpace="0"/>
        </w:sectPr>
      </w:pPr>
    </w:p>
    <w:p w14:paraId="3238462F">
      <w:pPr>
        <w:pStyle w:val="3"/>
        <w:ind w:firstLine="480"/>
      </w:pPr>
      <w:bookmarkStart w:id="225" w:name="_Toc32692"/>
      <w:bookmarkStart w:id="226" w:name="_Toc10997"/>
      <w:r>
        <w:rPr>
          <w:rFonts w:hint="eastAsia"/>
        </w:rPr>
        <w:t>附件七  蒙西产业园环境影响区域评估意见</w:t>
      </w:r>
      <w:bookmarkEnd w:id="225"/>
      <w:bookmarkEnd w:id="226"/>
    </w:p>
    <w:p w14:paraId="57361418">
      <w:pPr>
        <w:pStyle w:val="19"/>
        <w:spacing w:before="120" w:after="120"/>
      </w:pPr>
      <w:r>
        <w:drawing>
          <wp:inline distT="0" distB="0" distL="114300" distR="114300">
            <wp:extent cx="5486400" cy="7848600"/>
            <wp:effectExtent l="0" t="0" r="0" b="0"/>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31" cstate="print"/>
                    <a:stretch>
                      <a:fillRect/>
                    </a:stretch>
                  </pic:blipFill>
                  <pic:spPr>
                    <a:xfrm>
                      <a:off x="0" y="0"/>
                      <a:ext cx="5486400" cy="7848600"/>
                    </a:xfrm>
                    <a:prstGeom prst="rect">
                      <a:avLst/>
                    </a:prstGeom>
                    <a:noFill/>
                    <a:ln>
                      <a:noFill/>
                    </a:ln>
                  </pic:spPr>
                </pic:pic>
              </a:graphicData>
            </a:graphic>
          </wp:inline>
        </w:drawing>
      </w:r>
    </w:p>
    <w:p w14:paraId="39756DE9">
      <w:pPr>
        <w:pStyle w:val="19"/>
        <w:spacing w:before="120" w:after="120"/>
      </w:pPr>
      <w:r>
        <w:drawing>
          <wp:inline distT="0" distB="0" distL="114300" distR="114300">
            <wp:extent cx="5438775" cy="7896225"/>
            <wp:effectExtent l="0" t="0" r="9525" b="9525"/>
            <wp:docPr id="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pic:cNvPicPr>
                      <a:picLocks noChangeAspect="1"/>
                    </pic:cNvPicPr>
                  </pic:nvPicPr>
                  <pic:blipFill>
                    <a:blip r:embed="rId32" cstate="print"/>
                    <a:stretch>
                      <a:fillRect/>
                    </a:stretch>
                  </pic:blipFill>
                  <pic:spPr>
                    <a:xfrm>
                      <a:off x="0" y="0"/>
                      <a:ext cx="5438775" cy="7896225"/>
                    </a:xfrm>
                    <a:prstGeom prst="rect">
                      <a:avLst/>
                    </a:prstGeom>
                    <a:noFill/>
                    <a:ln>
                      <a:noFill/>
                    </a:ln>
                  </pic:spPr>
                </pic:pic>
              </a:graphicData>
            </a:graphic>
          </wp:inline>
        </w:drawing>
      </w:r>
    </w:p>
    <w:p w14:paraId="78B2093F">
      <w:pPr>
        <w:ind w:firstLine="480"/>
        <w:sectPr>
          <w:pgSz w:w="11906" w:h="16838"/>
          <w:pgMar w:top="1701" w:right="1531" w:bottom="1701" w:left="1531" w:header="851" w:footer="851" w:gutter="0"/>
          <w:pgNumType w:fmt="numberInDash"/>
          <w:cols w:space="720" w:num="1"/>
          <w:docGrid w:linePitch="312" w:charSpace="0"/>
        </w:sectPr>
      </w:pPr>
    </w:p>
    <w:p w14:paraId="4F10866F">
      <w:pPr>
        <w:pStyle w:val="3"/>
        <w:ind w:firstLine="480"/>
      </w:pPr>
      <w:bookmarkStart w:id="227" w:name="_Toc22959"/>
      <w:bookmarkStart w:id="228" w:name="_Toc12436"/>
      <w:r>
        <w:rPr>
          <w:rFonts w:hint="eastAsia"/>
        </w:rPr>
        <w:t xml:space="preserve">附图一  </w:t>
      </w:r>
      <w:r>
        <w:t>项目地理位置图</w:t>
      </w:r>
      <w:bookmarkEnd w:id="227"/>
      <w:bookmarkEnd w:id="228"/>
    </w:p>
    <w:p w14:paraId="6E70B1B8">
      <w:pPr>
        <w:pStyle w:val="19"/>
        <w:spacing w:before="120" w:after="120"/>
      </w:pPr>
      <w:r>
        <mc:AlternateContent>
          <mc:Choice Requires="wps">
            <w:drawing>
              <wp:anchor distT="0" distB="0" distL="114300" distR="114300" simplePos="0" relativeHeight="251660288" behindDoc="0" locked="0" layoutInCell="1" allowOverlap="1">
                <wp:simplePos x="0" y="0"/>
                <wp:positionH relativeFrom="column">
                  <wp:posOffset>490855</wp:posOffset>
                </wp:positionH>
                <wp:positionV relativeFrom="paragraph">
                  <wp:posOffset>2009775</wp:posOffset>
                </wp:positionV>
                <wp:extent cx="421005" cy="219075"/>
                <wp:effectExtent l="0" t="5715" r="17145" b="22860"/>
                <wp:wrapNone/>
                <wp:docPr id="23" name="直接箭头连接符 23"/>
                <wp:cNvGraphicFramePr/>
                <a:graphic xmlns:a="http://schemas.openxmlformats.org/drawingml/2006/main">
                  <a:graphicData uri="http://schemas.microsoft.com/office/word/2010/wordprocessingShape">
                    <wps:wsp>
                      <wps:cNvCnPr/>
                      <wps:spPr>
                        <a:xfrm flipH="1">
                          <a:off x="1739900" y="3447415"/>
                          <a:ext cx="421005" cy="219075"/>
                        </a:xfrm>
                        <a:prstGeom prst="straightConnector1">
                          <a:avLst/>
                        </a:prstGeom>
                        <a:ln>
                          <a:solidFill>
                            <a:srgbClr val="FF0000"/>
                          </a:solidFill>
                          <a:tailEnd type="arrow"/>
                        </a:ln>
                        <a:effectLst/>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8.65pt;margin-top:158.25pt;height:17.25pt;width:33.15pt;z-index:251660288;mso-width-relative:page;mso-height-relative:page;" filled="f" stroked="t" coordsize="21600,21600" o:gfxdata="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C0dGU9cAAAAKAQAADwAAAAAAAAABACAAAAAiAAAAZHJzL2Rvd25yZXYueG1sUEsBAhQAFAAAAAgA&#10;h07iQJi9sc4mAgAACQQAAA4AAAAAAAAAAQAgAAAAJgEAAGRycy9lMm9Eb2MueG1sUEsFBgAAAAAG&#10;AAYAWQEAAL4FAAAAAA==&#10;">
                <v:fill on="f" focussize="0,0"/>
                <v:stroke weight="1pt" color="#FF0000 [3204]" miterlimit="8" joinstyle="miter" endarrow="open"/>
                <v:imagedata o:title=""/>
                <o:lock v:ext="edit" aspectratio="f"/>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911860</wp:posOffset>
                </wp:positionH>
                <wp:positionV relativeFrom="paragraph">
                  <wp:posOffset>1772920</wp:posOffset>
                </wp:positionV>
                <wp:extent cx="1229360" cy="473710"/>
                <wp:effectExtent l="0" t="0" r="0" b="0"/>
                <wp:wrapNone/>
                <wp:docPr id="22" name="文本框 22"/>
                <wp:cNvGraphicFramePr/>
                <a:graphic xmlns:a="http://schemas.openxmlformats.org/drawingml/2006/main">
                  <a:graphicData uri="http://schemas.microsoft.com/office/word/2010/wordprocessingShape">
                    <wps:wsp>
                      <wps:cNvSpPr txBox="1"/>
                      <wps:spPr>
                        <a:xfrm>
                          <a:off x="1647825" y="3562985"/>
                          <a:ext cx="1229360" cy="473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347936">
                            <w:pPr>
                              <w:ind w:firstLine="0" w:firstLineChars="0"/>
                            </w:pPr>
                            <w:r>
                              <w:rPr>
                                <w:rFonts w:hint="eastAsia"/>
                                <w:b/>
                                <w:bCs/>
                                <w:sz w:val="28"/>
                                <w:szCs w:val="28"/>
                              </w:rPr>
                              <w:t>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8pt;margin-top:139.6pt;height:37.3pt;width:96.8pt;z-index:251659264;mso-width-relative:page;mso-height-relative:page;" filled="f" stroked="f" coordsize="21600,21600" o:gfxdata="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bwYPU9wAAAAL&#10;AQAADwAAAAAAAAABACAAAAAiAAAAZHJzL2Rvd25yZXYueG1sUEsBAhQAFAAAAAgAh07iQFV5GjdR&#10;AgAAggQAAA4AAAAAAAAAAQAgAAAAKwEAAGRycy9lMm9Eb2MueG1sUEsFBgAAAAAGAAYAWQEAAO4F&#10;AAAAAA==&#10;">
                <v:fill on="f" focussize="0,0"/>
                <v:stroke on="f" weight="0.5pt"/>
                <v:imagedata o:title=""/>
                <o:lock v:ext="edit" aspectratio="f"/>
                <v:textbox>
                  <w:txbxContent>
                    <w:p w14:paraId="5C347936">
                      <w:pPr>
                        <w:ind w:firstLine="0" w:firstLineChars="0"/>
                      </w:pPr>
                      <w:r>
                        <w:rPr>
                          <w:rFonts w:hint="eastAsia"/>
                          <w:b/>
                          <w:bCs/>
                          <w:sz w:val="28"/>
                          <w:szCs w:val="28"/>
                        </w:rPr>
                        <w:t>项目所在地</w:t>
                      </w:r>
                    </w:p>
                  </w:txbxContent>
                </v:textbox>
              </v:shape>
            </w:pict>
          </mc:Fallback>
        </mc:AlternateContent>
      </w:r>
      <w:r>
        <w:rPr>
          <w:rFonts w:hint="eastAsia"/>
        </w:rPr>
        <w:drawing>
          <wp:anchor distT="0" distB="0" distL="114300" distR="114300" simplePos="0" relativeHeight="251667456" behindDoc="0" locked="0" layoutInCell="1" allowOverlap="1">
            <wp:simplePos x="0" y="0"/>
            <wp:positionH relativeFrom="column">
              <wp:posOffset>-635</wp:posOffset>
            </wp:positionH>
            <wp:positionV relativeFrom="paragraph">
              <wp:posOffset>73660</wp:posOffset>
            </wp:positionV>
            <wp:extent cx="5635625" cy="7841615"/>
            <wp:effectExtent l="0" t="0" r="3175" b="6985"/>
            <wp:wrapNone/>
            <wp:docPr id="21" name="图片 21" descr="W02020120959474670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W020201209594746704566"/>
                    <pic:cNvPicPr>
                      <a:picLocks noChangeAspect="1"/>
                    </pic:cNvPicPr>
                  </pic:nvPicPr>
                  <pic:blipFill>
                    <a:blip r:embed="rId33" cstate="print"/>
                    <a:srcRect r="8514"/>
                    <a:stretch>
                      <a:fillRect/>
                    </a:stretch>
                  </pic:blipFill>
                  <pic:spPr>
                    <a:xfrm>
                      <a:off x="0" y="0"/>
                      <a:ext cx="5635625" cy="7841615"/>
                    </a:xfrm>
                    <a:prstGeom prst="rect">
                      <a:avLst/>
                    </a:prstGeom>
                  </pic:spPr>
                </pic:pic>
              </a:graphicData>
            </a:graphic>
          </wp:anchor>
        </w:drawing>
      </w:r>
    </w:p>
    <w:p w14:paraId="52603E9A">
      <w:pPr>
        <w:ind w:firstLine="480"/>
        <w:sectPr>
          <w:pgSz w:w="11906" w:h="16838"/>
          <w:pgMar w:top="1701" w:right="1531" w:bottom="1701" w:left="1531" w:header="851" w:footer="851" w:gutter="0"/>
          <w:pgNumType w:fmt="numberInDash"/>
          <w:cols w:space="720" w:num="1"/>
          <w:docGrid w:linePitch="312" w:charSpace="0"/>
        </w:sectPr>
      </w:pPr>
    </w:p>
    <w:p w14:paraId="6B58FBC8">
      <w:pPr>
        <w:pStyle w:val="3"/>
        <w:ind w:firstLine="480"/>
      </w:pPr>
      <w:bookmarkStart w:id="229" w:name="_Toc25222"/>
      <w:bookmarkStart w:id="230" w:name="_Toc5404"/>
      <w:r>
        <w:rPr>
          <w:rFonts w:hint="eastAsia"/>
        </w:rPr>
        <w:t>附图二  项目四邻情况</w:t>
      </w:r>
      <w:bookmarkEnd w:id="229"/>
      <w:bookmarkEnd w:id="230"/>
    </w:p>
    <w:p w14:paraId="0FA31940">
      <w:pPr>
        <w:pStyle w:val="19"/>
        <w:spacing w:before="120" w:after="120"/>
      </w:pPr>
      <w:r>
        <w:drawing>
          <wp:inline distT="0" distB="0" distL="114300" distR="114300">
            <wp:extent cx="8562340" cy="4868545"/>
            <wp:effectExtent l="0" t="0" r="10160" b="8255"/>
            <wp:docPr id="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pic:cNvPicPr>
                      <a:picLocks noChangeAspect="1"/>
                    </pic:cNvPicPr>
                  </pic:nvPicPr>
                  <pic:blipFill>
                    <a:blip r:embed="rId34" cstate="print"/>
                    <a:stretch>
                      <a:fillRect/>
                    </a:stretch>
                  </pic:blipFill>
                  <pic:spPr>
                    <a:xfrm>
                      <a:off x="0" y="0"/>
                      <a:ext cx="8562340" cy="4868545"/>
                    </a:xfrm>
                    <a:prstGeom prst="rect">
                      <a:avLst/>
                    </a:prstGeom>
                    <a:noFill/>
                    <a:ln>
                      <a:noFill/>
                    </a:ln>
                  </pic:spPr>
                </pic:pic>
              </a:graphicData>
            </a:graphic>
          </wp:inline>
        </w:drawing>
      </w:r>
    </w:p>
    <w:p w14:paraId="469D3DD3">
      <w:pPr>
        <w:pStyle w:val="19"/>
        <w:spacing w:before="120" w:after="120"/>
        <w:sectPr>
          <w:pgSz w:w="16838" w:h="11906" w:orient="landscape"/>
          <w:pgMar w:top="1531" w:right="1701" w:bottom="1531" w:left="1701" w:header="851" w:footer="851" w:gutter="0"/>
          <w:pgNumType w:fmt="numberInDash"/>
          <w:cols w:space="720" w:num="1"/>
          <w:docGrid w:linePitch="312" w:charSpace="0"/>
        </w:sectPr>
      </w:pPr>
    </w:p>
    <w:p w14:paraId="3F2C96D0">
      <w:pPr>
        <w:pStyle w:val="3"/>
        <w:ind w:firstLine="480"/>
      </w:pPr>
      <w:bookmarkStart w:id="231" w:name="_Toc15079"/>
      <w:bookmarkStart w:id="232" w:name="_Toc2097"/>
      <w:r>
        <w:rPr>
          <w:rFonts w:hint="eastAsia"/>
        </w:rPr>
        <w:t>附图三  拟建场址及周边现状</w:t>
      </w:r>
      <w:bookmarkEnd w:id="231"/>
      <w:bookmarkEnd w:id="232"/>
    </w:p>
    <w:p w14:paraId="082F73A2">
      <w:pPr>
        <w:pStyle w:val="19"/>
        <w:spacing w:before="120" w:after="120"/>
      </w:pPr>
      <w:r>
        <w:rPr>
          <w:rFonts w:hint="eastAsia"/>
        </w:rPr>
        <w:drawing>
          <wp:inline distT="0" distB="0" distL="114300" distR="114300">
            <wp:extent cx="5309235" cy="2389505"/>
            <wp:effectExtent l="0" t="0" r="5715" b="10795"/>
            <wp:docPr id="25" name="图片 25" descr="IMG_20231123_14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0231123_145152"/>
                    <pic:cNvPicPr>
                      <a:picLocks noChangeAspect="1"/>
                    </pic:cNvPicPr>
                  </pic:nvPicPr>
                  <pic:blipFill>
                    <a:blip r:embed="rId35" cstate="print"/>
                    <a:stretch>
                      <a:fillRect/>
                    </a:stretch>
                  </pic:blipFill>
                  <pic:spPr>
                    <a:xfrm>
                      <a:off x="0" y="0"/>
                      <a:ext cx="5309235" cy="2389505"/>
                    </a:xfrm>
                    <a:prstGeom prst="rect">
                      <a:avLst/>
                    </a:prstGeom>
                  </pic:spPr>
                </pic:pic>
              </a:graphicData>
            </a:graphic>
          </wp:inline>
        </w:drawing>
      </w:r>
    </w:p>
    <w:p w14:paraId="5C22CCA3">
      <w:pPr>
        <w:pStyle w:val="19"/>
        <w:spacing w:before="120" w:after="120"/>
      </w:pPr>
      <w:r>
        <w:rPr>
          <w:rFonts w:hint="eastAsia"/>
        </w:rPr>
        <w:drawing>
          <wp:inline distT="0" distB="0" distL="114300" distR="114300">
            <wp:extent cx="5309870" cy="2400935"/>
            <wp:effectExtent l="0" t="0" r="5080" b="18415"/>
            <wp:docPr id="26" name="图片 26" descr="IMG_20231123_145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0231123_145033"/>
                    <pic:cNvPicPr>
                      <a:picLocks noChangeAspect="1"/>
                    </pic:cNvPicPr>
                  </pic:nvPicPr>
                  <pic:blipFill>
                    <a:blip r:embed="rId36" cstate="print"/>
                    <a:stretch>
                      <a:fillRect/>
                    </a:stretch>
                  </pic:blipFill>
                  <pic:spPr>
                    <a:xfrm>
                      <a:off x="0" y="0"/>
                      <a:ext cx="5309870" cy="2400935"/>
                    </a:xfrm>
                    <a:prstGeom prst="rect">
                      <a:avLst/>
                    </a:prstGeom>
                  </pic:spPr>
                </pic:pic>
              </a:graphicData>
            </a:graphic>
          </wp:inline>
        </w:drawing>
      </w:r>
    </w:p>
    <w:p w14:paraId="72EE6421">
      <w:pPr>
        <w:pStyle w:val="3"/>
        <w:ind w:firstLine="480"/>
        <w:sectPr>
          <w:pgSz w:w="16838" w:h="11906" w:orient="landscape"/>
          <w:pgMar w:top="1531" w:right="1701" w:bottom="1531" w:left="1701" w:header="851" w:footer="851" w:gutter="0"/>
          <w:pgNumType w:fmt="numberInDash"/>
          <w:cols w:space="720" w:num="1"/>
          <w:docGrid w:linePitch="312" w:charSpace="0"/>
        </w:sectPr>
      </w:pPr>
      <w:bookmarkStart w:id="233" w:name="_Toc25793"/>
    </w:p>
    <w:p w14:paraId="1B7FB2C6">
      <w:pPr>
        <w:pStyle w:val="3"/>
        <w:ind w:firstLine="480"/>
      </w:pPr>
      <w:bookmarkStart w:id="234" w:name="_Toc6369"/>
      <w:r>
        <w:rPr>
          <w:rFonts w:hint="eastAsia"/>
        </w:rPr>
        <w:t>附图四  平面布置图</w:t>
      </w:r>
      <w:bookmarkEnd w:id="233"/>
      <w:bookmarkEnd w:id="234"/>
    </w:p>
    <w:p w14:paraId="4B7F1598">
      <w:pPr>
        <w:pStyle w:val="19"/>
        <w:spacing w:before="120" w:after="120"/>
      </w:pPr>
      <w:r>
        <w:rPr>
          <w:sz w:val="24"/>
        </w:rPr>
        <mc:AlternateContent>
          <mc:Choice Requires="wps">
            <w:drawing>
              <wp:anchor distT="0" distB="0" distL="114300" distR="114300" simplePos="0" relativeHeight="251662336" behindDoc="0" locked="0" layoutInCell="1" allowOverlap="1">
                <wp:simplePos x="0" y="0"/>
                <wp:positionH relativeFrom="column">
                  <wp:posOffset>4427855</wp:posOffset>
                </wp:positionH>
                <wp:positionV relativeFrom="paragraph">
                  <wp:posOffset>95885</wp:posOffset>
                </wp:positionV>
                <wp:extent cx="456565" cy="372110"/>
                <wp:effectExtent l="0" t="0" r="635" b="8890"/>
                <wp:wrapNone/>
                <wp:docPr id="16" name="文本框 30"/>
                <wp:cNvGraphicFramePr/>
                <a:graphic xmlns:a="http://schemas.openxmlformats.org/drawingml/2006/main">
                  <a:graphicData uri="http://schemas.microsoft.com/office/word/2010/wordprocessingShape">
                    <wps:wsp>
                      <wps:cNvSpPr txBox="1"/>
                      <wps:spPr>
                        <a:xfrm>
                          <a:off x="0" y="0"/>
                          <a:ext cx="456565" cy="372110"/>
                        </a:xfrm>
                        <a:prstGeom prst="rect">
                          <a:avLst/>
                        </a:prstGeom>
                        <a:solidFill>
                          <a:srgbClr val="FFFFFF"/>
                        </a:solidFill>
                        <a:ln w="6350">
                          <a:noFill/>
                        </a:ln>
                      </wps:spPr>
                      <wps:txbx>
                        <w:txbxContent>
                          <w:p w14:paraId="1A1651C8">
                            <w:pPr>
                              <w:pStyle w:val="19"/>
                              <w:spacing w:before="120" w:after="120"/>
                            </w:pPr>
                            <w:r>
                              <w:rPr>
                                <w:rFonts w:hint="eastAsia"/>
                                <w:sz w:val="32"/>
                                <w:szCs w:val="24"/>
                              </w:rPr>
                              <w:t>N</w:t>
                            </w:r>
                          </w:p>
                        </w:txbxContent>
                      </wps:txbx>
                      <wps:bodyPr upright="1"/>
                    </wps:wsp>
                  </a:graphicData>
                </a:graphic>
              </wp:anchor>
            </w:drawing>
          </mc:Choice>
          <mc:Fallback>
            <w:pict>
              <v:shape id="文本框 30" o:spid="_x0000_s1026" o:spt="202" type="#_x0000_t202" style="position:absolute;left:0pt;margin-left:348.65pt;margin-top:7.55pt;height:29.3pt;width:35.95pt;z-index:251662336;mso-width-relative:page;mso-height-relative:page;" fillcolor="#FFFFFF" filled="t" stroked="f" coordsize="21600,21600" o:gfxdata="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IZXJq9UAAAAJAQAADwAAAAAAAAABACAAAAAiAAAAZHJzL2Rvd25y&#10;ZXYueG1sUEsBAhQAFAAAAAgAh07iQIoVIxnIAQAAgQMAAA4AAAAAAAAAAQAgAAAAJAEAAGRycy9l&#10;Mm9Eb2MueG1sUEsFBgAAAAAGAAYAWQEAAF4FAAAAAA==&#10;">
                <v:fill on="t" focussize="0,0"/>
                <v:stroke on="f" weight="0.5pt"/>
                <v:imagedata o:title=""/>
                <o:lock v:ext="edit" aspectratio="f"/>
                <v:textbox>
                  <w:txbxContent>
                    <w:p w14:paraId="1A1651C8">
                      <w:pPr>
                        <w:pStyle w:val="19"/>
                        <w:spacing w:before="120" w:after="120"/>
                      </w:pPr>
                      <w:r>
                        <w:rPr>
                          <w:rFonts w:hint="eastAsia"/>
                          <w:sz w:val="32"/>
                          <w:szCs w:val="24"/>
                        </w:rPr>
                        <w:t>N</w:t>
                      </w:r>
                    </w:p>
                  </w:txbxContent>
                </v:textbox>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4658995</wp:posOffset>
                </wp:positionH>
                <wp:positionV relativeFrom="paragraph">
                  <wp:posOffset>499745</wp:posOffset>
                </wp:positionV>
                <wp:extent cx="5715" cy="254000"/>
                <wp:effectExtent l="53975" t="0" r="54610" b="12700"/>
                <wp:wrapNone/>
                <wp:docPr id="7" name="直接箭头连接符 29"/>
                <wp:cNvGraphicFramePr/>
                <a:graphic xmlns:a="http://schemas.openxmlformats.org/drawingml/2006/main">
                  <a:graphicData uri="http://schemas.microsoft.com/office/word/2010/wordprocessingShape">
                    <wps:wsp>
                      <wps:cNvCnPr/>
                      <wps:spPr>
                        <a:xfrm flipV="1">
                          <a:off x="0" y="0"/>
                          <a:ext cx="5715" cy="254000"/>
                        </a:xfrm>
                        <a:prstGeom prst="straightConnector1">
                          <a:avLst/>
                        </a:prstGeom>
                        <a:ln w="25400" cap="flat" cmpd="sng">
                          <a:solidFill>
                            <a:srgbClr val="000000"/>
                          </a:solidFill>
                          <a:prstDash val="solid"/>
                          <a:headEnd type="none" w="med" len="med"/>
                          <a:tailEnd type="arrow" w="med" len="med"/>
                        </a:ln>
                      </wps:spPr>
                      <wps:bodyPr/>
                    </wps:wsp>
                  </a:graphicData>
                </a:graphic>
              </wp:anchor>
            </w:drawing>
          </mc:Choice>
          <mc:Fallback>
            <w:pict>
              <v:shape id="直接箭头连接符 29" o:spid="_x0000_s1026" o:spt="32" type="#_x0000_t32" style="position:absolute;left:0pt;flip:y;margin-left:366.85pt;margin-top:39.35pt;height:20pt;width:0.45pt;z-index:251661312;mso-width-relative:page;mso-height-relative:page;" filled="f" stroked="t" coordsize="21600,21600" o:gfxdata="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xkaG7dcAAAAKAQAADwAAAAAAAAABACAAAAAi&#10;AAAAZHJzL2Rvd25yZXYueG1sUEsBAhQAFAAAAAgAh07iQBrhicoLAgAA+wMAAA4AAAAAAAAAAQAg&#10;AAAAJgEAAGRycy9lMm9Eb2MueG1sUEsFBgAAAAAGAAYAWQEAAKMFAAAAAA==&#10;">
                <v:fill on="f" focussize="0,0"/>
                <v:stroke weight="2pt" color="#000000" joinstyle="round" endarrow="open"/>
                <v:imagedata o:title=""/>
                <o:lock v:ext="edit" aspectratio="f"/>
              </v:shape>
            </w:pict>
          </mc:Fallback>
        </mc:AlternateContent>
      </w:r>
      <w:r>
        <w:drawing>
          <wp:anchor distT="0" distB="0" distL="114300" distR="114300" simplePos="0" relativeHeight="251668480" behindDoc="0" locked="0" layoutInCell="1" allowOverlap="1">
            <wp:simplePos x="0" y="0"/>
            <wp:positionH relativeFrom="column">
              <wp:posOffset>-635</wp:posOffset>
            </wp:positionH>
            <wp:positionV relativeFrom="paragraph">
              <wp:posOffset>73660</wp:posOffset>
            </wp:positionV>
            <wp:extent cx="5614035" cy="5965190"/>
            <wp:effectExtent l="0" t="0" r="5715" b="16510"/>
            <wp:wrapNone/>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37" cstate="print"/>
                    <a:stretch>
                      <a:fillRect/>
                    </a:stretch>
                  </pic:blipFill>
                  <pic:spPr>
                    <a:xfrm>
                      <a:off x="0" y="0"/>
                      <a:ext cx="5613718" cy="5965507"/>
                    </a:xfrm>
                    <a:prstGeom prst="rect">
                      <a:avLst/>
                    </a:prstGeom>
                    <a:noFill/>
                    <a:ln>
                      <a:noFill/>
                    </a:ln>
                  </pic:spPr>
                </pic:pic>
              </a:graphicData>
            </a:graphic>
          </wp:anchor>
        </w:drawing>
      </w:r>
    </w:p>
    <w:p w14:paraId="10E928FB">
      <w:pPr>
        <w:ind w:firstLine="480"/>
        <w:sectPr>
          <w:pgSz w:w="11906" w:h="16838"/>
          <w:pgMar w:top="1701" w:right="1531" w:bottom="1701" w:left="1531" w:header="851" w:footer="851" w:gutter="0"/>
          <w:pgNumType w:fmt="numberInDash"/>
          <w:cols w:space="720" w:num="1"/>
          <w:docGrid w:linePitch="312" w:charSpace="0"/>
        </w:sectPr>
      </w:pPr>
    </w:p>
    <w:p w14:paraId="0988C4E2">
      <w:pPr>
        <w:pStyle w:val="3"/>
        <w:ind w:firstLine="480"/>
      </w:pPr>
      <w:bookmarkStart w:id="235" w:name="_Toc1321"/>
      <w:bookmarkStart w:id="236" w:name="_Toc27444"/>
      <w:r>
        <w:rPr>
          <w:rFonts w:hint="eastAsia"/>
        </w:rPr>
        <w:t>附图五 场区分区防渗图</w:t>
      </w:r>
      <w:bookmarkEnd w:id="235"/>
      <w:bookmarkEnd w:id="236"/>
    </w:p>
    <w:p w14:paraId="38C1E98D">
      <w:pPr>
        <w:pStyle w:val="19"/>
        <w:spacing w:before="120" w:after="120"/>
      </w:pPr>
      <w:r>
        <w:rPr>
          <w:rFonts w:hint="eastAsia"/>
        </w:rPr>
        <w:drawing>
          <wp:inline distT="0" distB="0" distL="114300" distR="114300">
            <wp:extent cx="5615305" cy="5967095"/>
            <wp:effectExtent l="0" t="0" r="4445" b="14605"/>
            <wp:docPr id="31" name="图片 3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2"/>
                    <pic:cNvPicPr>
                      <a:picLocks noChangeAspect="1"/>
                    </pic:cNvPicPr>
                  </pic:nvPicPr>
                  <pic:blipFill>
                    <a:blip r:embed="rId38" cstate="print"/>
                    <a:stretch>
                      <a:fillRect/>
                    </a:stretch>
                  </pic:blipFill>
                  <pic:spPr>
                    <a:xfrm>
                      <a:off x="0" y="0"/>
                      <a:ext cx="5615305" cy="5967095"/>
                    </a:xfrm>
                    <a:prstGeom prst="rect">
                      <a:avLst/>
                    </a:prstGeom>
                  </pic:spPr>
                </pic:pic>
              </a:graphicData>
            </a:graphic>
          </wp:inline>
        </w:drawing>
      </w:r>
      <w:r>
        <w:rPr>
          <w:sz w:val="24"/>
        </w:rPr>
        <mc:AlternateContent>
          <mc:Choice Requires="wps">
            <w:drawing>
              <wp:anchor distT="0" distB="0" distL="114300" distR="114300" simplePos="0" relativeHeight="251665408" behindDoc="0" locked="0" layoutInCell="1" allowOverlap="1">
                <wp:simplePos x="0" y="0"/>
                <wp:positionH relativeFrom="column">
                  <wp:posOffset>4427855</wp:posOffset>
                </wp:positionH>
                <wp:positionV relativeFrom="paragraph">
                  <wp:posOffset>95885</wp:posOffset>
                </wp:positionV>
                <wp:extent cx="456565" cy="372110"/>
                <wp:effectExtent l="0" t="0" r="635" b="8890"/>
                <wp:wrapNone/>
                <wp:docPr id="18" name="文本框 33"/>
                <wp:cNvGraphicFramePr/>
                <a:graphic xmlns:a="http://schemas.openxmlformats.org/drawingml/2006/main">
                  <a:graphicData uri="http://schemas.microsoft.com/office/word/2010/wordprocessingShape">
                    <wps:wsp>
                      <wps:cNvSpPr txBox="1"/>
                      <wps:spPr>
                        <a:xfrm>
                          <a:off x="0" y="0"/>
                          <a:ext cx="456565" cy="372110"/>
                        </a:xfrm>
                        <a:prstGeom prst="rect">
                          <a:avLst/>
                        </a:prstGeom>
                        <a:solidFill>
                          <a:srgbClr val="FFFFFF"/>
                        </a:solidFill>
                        <a:ln w="6350">
                          <a:noFill/>
                        </a:ln>
                      </wps:spPr>
                      <wps:txbx>
                        <w:txbxContent>
                          <w:p w14:paraId="6D22035C">
                            <w:pPr>
                              <w:pStyle w:val="19"/>
                              <w:spacing w:before="120" w:after="120"/>
                            </w:pPr>
                            <w:r>
                              <w:rPr>
                                <w:rFonts w:hint="eastAsia"/>
                                <w:sz w:val="32"/>
                                <w:szCs w:val="24"/>
                              </w:rPr>
                              <w:t>N</w:t>
                            </w:r>
                          </w:p>
                        </w:txbxContent>
                      </wps:txbx>
                      <wps:bodyPr upright="1"/>
                    </wps:wsp>
                  </a:graphicData>
                </a:graphic>
              </wp:anchor>
            </w:drawing>
          </mc:Choice>
          <mc:Fallback>
            <w:pict>
              <v:shape id="文本框 33" o:spid="_x0000_s1026" o:spt="202" type="#_x0000_t202" style="position:absolute;left:0pt;margin-left:348.65pt;margin-top:7.55pt;height:29.3pt;width:35.95pt;z-index:251665408;mso-width-relative:page;mso-height-relative:page;" fillcolor="#FFFFFF" filled="t" stroked="f" coordsize="21600,21600" o:gfxdata="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CGVyavVAAAACQEAAA8AAAAAAAAAAQAgAAAAIgAAAGRycy9kb3du&#10;cmV2LnhtbFBLAQIUABQAAAAIAIdO4kDjBVdKyQEAAIEDAAAOAAAAAAAAAAEAIAAAACQBAABkcnMv&#10;ZTJvRG9jLnhtbFBLBQYAAAAABgAGAFkBAABfBQAAAAA=&#10;">
                <v:fill on="t" focussize="0,0"/>
                <v:stroke on="f" weight="0.5pt"/>
                <v:imagedata o:title=""/>
                <o:lock v:ext="edit" aspectratio="f"/>
                <v:textbox>
                  <w:txbxContent>
                    <w:p w14:paraId="6D22035C">
                      <w:pPr>
                        <w:pStyle w:val="19"/>
                        <w:spacing w:before="120" w:after="120"/>
                      </w:pPr>
                      <w:r>
                        <w:rPr>
                          <w:rFonts w:hint="eastAsia"/>
                          <w:sz w:val="32"/>
                          <w:szCs w:val="24"/>
                        </w:rPr>
                        <w:t>N</w:t>
                      </w:r>
                    </w:p>
                  </w:txbxContent>
                </v:textbox>
              </v:shape>
            </w:pict>
          </mc:Fallback>
        </mc:AlternateContent>
      </w:r>
    </w:p>
    <w:p w14:paraId="74424E2F">
      <w:pPr>
        <w:ind w:firstLine="440"/>
        <w:sectPr>
          <w:pgSz w:w="11906" w:h="16838"/>
          <w:pgMar w:top="1701" w:right="1531" w:bottom="1701" w:left="1531" w:header="851" w:footer="851" w:gutter="0"/>
          <w:pgNumType w:fmt="numberInDash"/>
          <w:cols w:space="720" w:num="1"/>
          <w:docGrid w:linePitch="312" w:charSpace="0"/>
        </w:sectPr>
      </w:pPr>
      <w:r>
        <w:rPr>
          <w:sz w:val="22"/>
        </w:rPr>
        <mc:AlternateContent>
          <mc:Choice Requires="wps">
            <w:drawing>
              <wp:anchor distT="0" distB="0" distL="114300" distR="114300" simplePos="0" relativeHeight="251664384" behindDoc="0" locked="0" layoutInCell="1" allowOverlap="1">
                <wp:simplePos x="0" y="0"/>
                <wp:positionH relativeFrom="column">
                  <wp:posOffset>4658995</wp:posOffset>
                </wp:positionH>
                <wp:positionV relativeFrom="paragraph">
                  <wp:posOffset>-5621655</wp:posOffset>
                </wp:positionV>
                <wp:extent cx="5715" cy="254000"/>
                <wp:effectExtent l="53975" t="0" r="54610" b="12700"/>
                <wp:wrapNone/>
                <wp:docPr id="17" name="直接箭头连接符 32"/>
                <wp:cNvGraphicFramePr/>
                <a:graphic xmlns:a="http://schemas.openxmlformats.org/drawingml/2006/main">
                  <a:graphicData uri="http://schemas.microsoft.com/office/word/2010/wordprocessingShape">
                    <wps:wsp>
                      <wps:cNvCnPr/>
                      <wps:spPr>
                        <a:xfrm flipV="1">
                          <a:off x="0" y="0"/>
                          <a:ext cx="5715" cy="254000"/>
                        </a:xfrm>
                        <a:prstGeom prst="straightConnector1">
                          <a:avLst/>
                        </a:prstGeom>
                        <a:ln w="25400" cap="flat" cmpd="sng">
                          <a:solidFill>
                            <a:srgbClr val="000000"/>
                          </a:solidFill>
                          <a:prstDash val="solid"/>
                          <a:headEnd type="none" w="med" len="med"/>
                          <a:tailEnd type="arrow" w="med" len="med"/>
                        </a:ln>
                      </wps:spPr>
                      <wps:bodyPr/>
                    </wps:wsp>
                  </a:graphicData>
                </a:graphic>
              </wp:anchor>
            </w:drawing>
          </mc:Choice>
          <mc:Fallback>
            <w:pict>
              <v:shape id="直接箭头连接符 32" o:spid="_x0000_s1026" o:spt="32" type="#_x0000_t32" style="position:absolute;left:0pt;flip:y;margin-left:366.85pt;margin-top:-442.65pt;height:20pt;width:0.45pt;z-index:251664384;mso-width-relative:page;mso-height-relative:page;" filled="f" stroked="t" coordsize="21600,21600" o:gfxdata="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HAVwd9oAAAANAQAADwAAAAAAAAABACAA&#10;AAAiAAAAZHJzL2Rvd25yZXYueG1sUEsBAhQAFAAAAAgAh07iQC7g3e4LAgAA/AMAAA4AAAAAAAAA&#10;AQAgAAAAKQEAAGRycy9lMm9Eb2MueG1sUEsFBgAAAAAGAAYAWQEAAKYFAAAAAA==&#10;">
                <v:fill on="f" focussize="0,0"/>
                <v:stroke weight="2pt" color="#000000" joinstyle="round" endarrow="open"/>
                <v:imagedata o:title=""/>
                <o:lock v:ext="edit" aspectratio="f"/>
              </v:shape>
            </w:pict>
          </mc:Fallback>
        </mc:AlternateContent>
      </w:r>
    </w:p>
    <w:p w14:paraId="24B6AF4E">
      <w:pPr>
        <w:pStyle w:val="3"/>
        <w:ind w:firstLine="480"/>
      </w:pPr>
      <w:bookmarkStart w:id="237" w:name="_Toc2755"/>
      <w:bookmarkStart w:id="238" w:name="_Toc15092"/>
      <w:r>
        <w:rPr>
          <w:rFonts w:hint="eastAsia"/>
        </w:rPr>
        <w:t xml:space="preserve">附图六  </w:t>
      </w:r>
      <w:r>
        <w:t>污染源监测计划点位布设图</w:t>
      </w:r>
      <w:bookmarkEnd w:id="237"/>
      <w:bookmarkEnd w:id="238"/>
    </w:p>
    <w:p w14:paraId="22F20F45">
      <w:pPr>
        <w:pStyle w:val="19"/>
        <w:spacing w:before="120" w:after="120"/>
      </w:pPr>
      <w:r>
        <w:rPr>
          <w:rFonts w:hint="eastAsia"/>
        </w:rPr>
        <w:drawing>
          <wp:inline distT="0" distB="0" distL="114300" distR="114300">
            <wp:extent cx="7366000" cy="5212715"/>
            <wp:effectExtent l="0" t="0" r="6350" b="6985"/>
            <wp:docPr id="34" name="图片 3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片1"/>
                    <pic:cNvPicPr>
                      <a:picLocks noChangeAspect="1"/>
                    </pic:cNvPicPr>
                  </pic:nvPicPr>
                  <pic:blipFill>
                    <a:blip r:embed="rId39" cstate="print"/>
                    <a:stretch>
                      <a:fillRect/>
                    </a:stretch>
                  </pic:blipFill>
                  <pic:spPr>
                    <a:xfrm>
                      <a:off x="0" y="0"/>
                      <a:ext cx="7366000" cy="5212715"/>
                    </a:xfrm>
                    <a:prstGeom prst="rect">
                      <a:avLst/>
                    </a:prstGeom>
                  </pic:spPr>
                </pic:pic>
              </a:graphicData>
            </a:graphic>
          </wp:inline>
        </w:drawing>
      </w:r>
    </w:p>
    <w:p w14:paraId="22CBC998"/>
    <w:sectPr>
      <w:pgSz w:w="16838" w:h="11906" w:orient="landscape"/>
      <w:pgMar w:top="1531" w:right="1701" w:bottom="1531" w:left="1701" w:header="851" w:footer="851" w:gutter="0"/>
      <w:pgNumType w:fmt="numberInDash"/>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decorative"/>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F4AF6F">
    <w:pPr>
      <w:pStyle w:val="10"/>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8F0010">
    <w:pPr>
      <w:pStyle w:val="10"/>
      <w:framePr w:wrap="around" w:vAnchor="text" w:hAnchor="margin" w:xAlign="center" w:y="1"/>
      <w:ind w:firstLine="360"/>
      <w:rPr>
        <w:rStyle w:val="18"/>
      </w:rPr>
    </w:pPr>
    <w:r>
      <w:fldChar w:fldCharType="begin"/>
    </w:r>
    <w:r>
      <w:rPr>
        <w:rStyle w:val="18"/>
      </w:rPr>
      <w:instrText xml:space="preserve">PAGE  </w:instrText>
    </w:r>
    <w:r>
      <w:fldChar w:fldCharType="end"/>
    </w:r>
  </w:p>
  <w:p w14:paraId="49DB3E54">
    <w:pPr>
      <w:pStyle w:val="1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8BFB99">
    <w:pPr>
      <w:pStyle w:val="1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2A222E">
    <w:pPr>
      <w:pStyle w:val="10"/>
      <w:ind w:right="360"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9" name="文本框 20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6DC2EAD4">
                          <w:pPr>
                            <w:pStyle w:val="10"/>
                            <w:ind w:firstLine="360"/>
                          </w:pPr>
                          <w:r>
                            <w:fldChar w:fldCharType="begin"/>
                          </w:r>
                          <w:r>
                            <w:instrText xml:space="preserve"> PAGE  \* MERGEFORMAT </w:instrText>
                          </w:r>
                          <w:r>
                            <w:fldChar w:fldCharType="separate"/>
                          </w:r>
                          <w:r>
                            <w:t>19</w:t>
                          </w:r>
                          <w:r>
                            <w:fldChar w:fldCharType="end"/>
                          </w:r>
                        </w:p>
                      </w:txbxContent>
                    </wps:txbx>
                    <wps:bodyPr wrap="none" lIns="0" tIns="0" rIns="0" bIns="0">
                      <a:spAutoFit/>
                    </wps:bodyPr>
                  </wps:wsp>
                </a:graphicData>
              </a:graphic>
            </wp:anchor>
          </w:drawing>
        </mc:Choice>
        <mc:Fallback>
          <w:pict>
            <v:shape id="文本框 2049"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6re2GMoBAACfAwAADgAAAAAAAAABACAAAAAeAQAAZHJzL2Uyb0Rv&#10;Yy54bWxQSwUGAAAAAAYABgBZAQAAWgUAAAAA&#10;">
              <v:fill on="f" focussize="0,0"/>
              <v:stroke on="f"/>
              <v:imagedata o:title=""/>
              <o:lock v:ext="edit" aspectratio="f"/>
              <v:textbox inset="0mm,0mm,0mm,0mm" style="mso-fit-shape-to-text:t;">
                <w:txbxContent>
                  <w:p w14:paraId="6DC2EAD4">
                    <w:pPr>
                      <w:pStyle w:val="10"/>
                      <w:ind w:firstLine="360"/>
                    </w:pPr>
                    <w:r>
                      <w:fldChar w:fldCharType="begin"/>
                    </w:r>
                    <w:r>
                      <w:instrText xml:space="preserve"> PAGE  \* MERGEFORMAT </w:instrText>
                    </w:r>
                    <w:r>
                      <w:fldChar w:fldCharType="separate"/>
                    </w:r>
                    <w:r>
                      <w:t>19</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5A7CD1">
    <w:pPr>
      <w:pStyle w:val="10"/>
      <w:ind w:right="360" w:firstLine="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20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2756766E">
                          <w:pPr>
                            <w:pStyle w:val="10"/>
                            <w:ind w:firstLine="360"/>
                          </w:pPr>
                          <w:r>
                            <w:fldChar w:fldCharType="begin"/>
                          </w:r>
                          <w:r>
                            <w:instrText xml:space="preserve"> PAGE  \* MERGEFORMAT </w:instrText>
                          </w:r>
                          <w:r>
                            <w:fldChar w:fldCharType="separate"/>
                          </w:r>
                          <w:r>
                            <w:t>46</w:t>
                          </w:r>
                          <w:r>
                            <w:fldChar w:fldCharType="end"/>
                          </w:r>
                        </w:p>
                      </w:txbxContent>
                    </wps:txbx>
                    <wps:bodyPr wrap="none" lIns="0" tIns="0" rIns="0" bIns="0">
                      <a:spAutoFit/>
                    </wps:bodyPr>
                  </wps:wsp>
                </a:graphicData>
              </a:graphic>
            </wp:anchor>
          </w:drawing>
        </mc:Choice>
        <mc:Fallback>
          <w:pict>
            <v:shape id="文本框 2050"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Bw97GryQEAAJ8DAAAOAAAAAAAAAAEAIAAAAB4BAABkcnMvZTJvRG9j&#10;LnhtbFBLBQYAAAAABgAGAFkBAABZBQAAAAA=&#10;">
              <v:fill on="f" focussize="0,0"/>
              <v:stroke on="f"/>
              <v:imagedata o:title=""/>
              <o:lock v:ext="edit" aspectratio="f"/>
              <v:textbox inset="0mm,0mm,0mm,0mm" style="mso-fit-shape-to-text:t;">
                <w:txbxContent>
                  <w:p w14:paraId="2756766E">
                    <w:pPr>
                      <w:pStyle w:val="10"/>
                      <w:ind w:firstLine="360"/>
                    </w:pPr>
                    <w:r>
                      <w:fldChar w:fldCharType="begin"/>
                    </w:r>
                    <w:r>
                      <w:instrText xml:space="preserve"> PAGE  \* MERGEFORMAT </w:instrText>
                    </w:r>
                    <w:r>
                      <w:fldChar w:fldCharType="separate"/>
                    </w:r>
                    <w:r>
                      <w:t>46</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E148E6">
    <w:pPr>
      <w:pStyle w:val="10"/>
      <w:ind w:right="360"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4782A5">
    <w:pPr>
      <w:pStyle w:val="10"/>
      <w:ind w:right="360" w:firstLine="360"/>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BB1F2A">
                          <w:pPr>
                            <w:pStyle w:val="10"/>
                            <w:ind w:firstLine="360"/>
                          </w:pPr>
                          <w:r>
                            <w:fldChar w:fldCharType="begin"/>
                          </w:r>
                          <w:r>
                            <w:instrText xml:space="preserve"> PAGE  \* MERGEFORMAT </w:instrText>
                          </w:r>
                          <w:r>
                            <w:fldChar w:fldCharType="separate"/>
                          </w:r>
                          <w:r>
                            <w:t>- 34 -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r+u2kzAgAAZQQAAA4AAAAAAAAAAQAgAAAAHwEAAGRycy9lMm9Eb2MueG1sUEsF&#10;BgAAAAAGAAYAWQEAAMQFAAAAAA==&#10;">
              <v:fill on="f" focussize="0,0"/>
              <v:stroke on="f" weight="0.5pt"/>
              <v:imagedata o:title=""/>
              <o:lock v:ext="edit" aspectratio="f"/>
              <v:textbox inset="0mm,0mm,0mm,0mm" style="mso-fit-shape-to-text:t;">
                <w:txbxContent>
                  <w:p w14:paraId="12BB1F2A">
                    <w:pPr>
                      <w:pStyle w:val="10"/>
                      <w:ind w:firstLine="360"/>
                    </w:pPr>
                    <w:r>
                      <w:fldChar w:fldCharType="begin"/>
                    </w:r>
                    <w:r>
                      <w:instrText xml:space="preserve"> PAGE  \* MERGEFORMAT </w:instrText>
                    </w:r>
                    <w:r>
                      <w:fldChar w:fldCharType="separate"/>
                    </w:r>
                    <w:r>
                      <w:t>- 34 -</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E46C1C">
    <w:pPr>
      <w:pStyle w:val="10"/>
      <w:ind w:right="360" w:firstLine="360"/>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文本框 20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75C9BB1E">
                          <w:pPr>
                            <w:pStyle w:val="10"/>
                            <w:ind w:firstLine="360"/>
                          </w:pPr>
                          <w:r>
                            <w:fldChar w:fldCharType="begin"/>
                          </w:r>
                          <w:r>
                            <w:instrText xml:space="preserve"> PAGE  \* MERGEFORMAT </w:instrText>
                          </w:r>
                          <w:r>
                            <w:fldChar w:fldCharType="separate"/>
                          </w:r>
                          <w:r>
                            <w:t>- 52 -</w:t>
                          </w:r>
                          <w:r>
                            <w:fldChar w:fldCharType="end"/>
                          </w:r>
                        </w:p>
                      </w:txbxContent>
                    </wps:txbx>
                    <wps:bodyPr wrap="none" lIns="0" tIns="0" rIns="0" bIns="0">
                      <a:spAutoFit/>
                    </wps:bodyPr>
                  </wps:wsp>
                </a:graphicData>
              </a:graphic>
            </wp:anchor>
          </w:drawing>
        </mc:Choice>
        <mc:Fallback>
          <w:pict>
            <v:shape id="文本框 2050"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MGdNeTIAQAAnwMAAA4AAAAAAAAAAQAgAAAAHgEAAGRycy9lMm9Eb2Mu&#10;eG1sUEsFBgAAAAAGAAYAWQEAAFgFAAAAAA==&#10;">
              <v:fill on="f" focussize="0,0"/>
              <v:stroke on="f"/>
              <v:imagedata o:title=""/>
              <o:lock v:ext="edit" aspectratio="f"/>
              <v:textbox inset="0mm,0mm,0mm,0mm" style="mso-fit-shape-to-text:t;">
                <w:txbxContent>
                  <w:p w14:paraId="75C9BB1E">
                    <w:pPr>
                      <w:pStyle w:val="10"/>
                      <w:ind w:firstLine="360"/>
                    </w:pPr>
                    <w:r>
                      <w:fldChar w:fldCharType="begin"/>
                    </w:r>
                    <w:r>
                      <w:instrText xml:space="preserve"> PAGE  \* MERGEFORMAT </w:instrText>
                    </w:r>
                    <w:r>
                      <w:fldChar w:fldCharType="separate"/>
                    </w:r>
                    <w:r>
                      <w:t>- 52 -</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9F5D3F">
    <w:pPr>
      <w:pStyle w:val="11"/>
      <w:pBdr>
        <w:bottom w:val="none" w:color="auto" w:sz="0" w:space="1"/>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661E2E">
    <w:pPr>
      <w:pStyle w:val="11"/>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201E31">
    <w:pPr>
      <w:pStyle w:val="11"/>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9A6BB94"/>
    <w:multiLevelType w:val="singleLevel"/>
    <w:tmpl w:val="B9A6BB94"/>
    <w:lvl w:ilvl="0" w:tentative="0">
      <w:start w:val="1"/>
      <w:numFmt w:val="decimal"/>
      <w:suff w:val="nothing"/>
      <w:lvlText w:val="（%1）"/>
      <w:lvlJc w:val="left"/>
    </w:lvl>
  </w:abstractNum>
  <w:abstractNum w:abstractNumId="1">
    <w:nsid w:val="D124B26D"/>
    <w:multiLevelType w:val="singleLevel"/>
    <w:tmpl w:val="D124B26D"/>
    <w:lvl w:ilvl="0" w:tentative="0">
      <w:start w:val="1"/>
      <w:numFmt w:val="decimal"/>
      <w:suff w:val="nothing"/>
      <w:lvlText w:val="（%1）"/>
      <w:lvlJc w:val="left"/>
    </w:lvl>
  </w:abstractNum>
  <w:abstractNum w:abstractNumId="2">
    <w:nsid w:val="D3A8D65D"/>
    <w:multiLevelType w:val="singleLevel"/>
    <w:tmpl w:val="D3A8D65D"/>
    <w:lvl w:ilvl="0" w:tentative="0">
      <w:start w:val="1"/>
      <w:numFmt w:val="decimal"/>
      <w:suff w:val="nothing"/>
      <w:lvlText w:val="（%1）"/>
      <w:lvlJc w:val="left"/>
    </w:lvl>
  </w:abstractNum>
  <w:abstractNum w:abstractNumId="3">
    <w:nsid w:val="F0227FF7"/>
    <w:multiLevelType w:val="singleLevel"/>
    <w:tmpl w:val="F0227FF7"/>
    <w:lvl w:ilvl="0" w:tentative="0">
      <w:start w:val="1"/>
      <w:numFmt w:val="decimal"/>
      <w:suff w:val="nothing"/>
      <w:lvlText w:val="（%1）"/>
      <w:lvlJc w:val="left"/>
    </w:lvl>
  </w:abstractNum>
  <w:abstractNum w:abstractNumId="4">
    <w:nsid w:val="F823EF80"/>
    <w:multiLevelType w:val="singleLevel"/>
    <w:tmpl w:val="F823EF80"/>
    <w:lvl w:ilvl="0" w:tentative="0">
      <w:start w:val="1"/>
      <w:numFmt w:val="decimal"/>
      <w:suff w:val="nothing"/>
      <w:lvlText w:val="%1、"/>
      <w:lvlJc w:val="left"/>
    </w:lvl>
  </w:abstractNum>
  <w:abstractNum w:abstractNumId="5">
    <w:nsid w:val="0D8E9AEB"/>
    <w:multiLevelType w:val="singleLevel"/>
    <w:tmpl w:val="0D8E9AEB"/>
    <w:lvl w:ilvl="0" w:tentative="0">
      <w:start w:val="2"/>
      <w:numFmt w:val="decimal"/>
      <w:suff w:val="nothing"/>
      <w:lvlText w:val="（%1）"/>
      <w:lvlJc w:val="left"/>
    </w:lvl>
  </w:abstractNum>
  <w:abstractNum w:abstractNumId="6">
    <w:nsid w:val="140DD651"/>
    <w:multiLevelType w:val="singleLevel"/>
    <w:tmpl w:val="140DD651"/>
    <w:lvl w:ilvl="0" w:tentative="0">
      <w:start w:val="1"/>
      <w:numFmt w:val="decimal"/>
      <w:suff w:val="nothing"/>
      <w:lvlText w:val="（%1）"/>
      <w:lvlJc w:val="left"/>
    </w:lvl>
  </w:abstractNum>
  <w:abstractNum w:abstractNumId="7">
    <w:nsid w:val="17A9C71D"/>
    <w:multiLevelType w:val="singleLevel"/>
    <w:tmpl w:val="17A9C71D"/>
    <w:lvl w:ilvl="0" w:tentative="0">
      <w:start w:val="1"/>
      <w:numFmt w:val="decimal"/>
      <w:suff w:val="nothing"/>
      <w:lvlText w:val="（%1）"/>
      <w:lvlJc w:val="left"/>
    </w:lvl>
  </w:abstractNum>
  <w:abstractNum w:abstractNumId="8">
    <w:nsid w:val="1A63ED17"/>
    <w:multiLevelType w:val="singleLevel"/>
    <w:tmpl w:val="1A63ED17"/>
    <w:lvl w:ilvl="0" w:tentative="0">
      <w:start w:val="1"/>
      <w:numFmt w:val="decimal"/>
      <w:suff w:val="nothing"/>
      <w:lvlText w:val="（%1）"/>
      <w:lvlJc w:val="left"/>
    </w:lvl>
  </w:abstractNum>
  <w:abstractNum w:abstractNumId="9">
    <w:nsid w:val="483AEF96"/>
    <w:multiLevelType w:val="singleLevel"/>
    <w:tmpl w:val="483AEF96"/>
    <w:lvl w:ilvl="0" w:tentative="0">
      <w:start w:val="1"/>
      <w:numFmt w:val="decimal"/>
      <w:suff w:val="nothing"/>
      <w:lvlText w:val="（%1）"/>
      <w:lvlJc w:val="left"/>
    </w:lvl>
  </w:abstractNum>
  <w:abstractNum w:abstractNumId="10">
    <w:nsid w:val="4C211D4F"/>
    <w:multiLevelType w:val="singleLevel"/>
    <w:tmpl w:val="4C211D4F"/>
    <w:lvl w:ilvl="0" w:tentative="0">
      <w:start w:val="1"/>
      <w:numFmt w:val="bullet"/>
      <w:pStyle w:val="9"/>
      <w:lvlText w:val=""/>
      <w:lvlJc w:val="left"/>
      <w:pPr>
        <w:tabs>
          <w:tab w:val="left" w:pos="2040"/>
        </w:tabs>
        <w:ind w:left="2040" w:hanging="360"/>
      </w:pPr>
      <w:rPr>
        <w:rFonts w:hint="default" w:ascii="Wingdings" w:hAnsi="Wingdings"/>
      </w:rPr>
    </w:lvl>
  </w:abstractNum>
  <w:abstractNum w:abstractNumId="11">
    <w:nsid w:val="50289763"/>
    <w:multiLevelType w:val="singleLevel"/>
    <w:tmpl w:val="50289763"/>
    <w:lvl w:ilvl="0" w:tentative="0">
      <w:start w:val="1"/>
      <w:numFmt w:val="decimal"/>
      <w:suff w:val="nothing"/>
      <w:lvlText w:val="%1、"/>
      <w:lvlJc w:val="left"/>
    </w:lvl>
  </w:abstractNum>
  <w:abstractNum w:abstractNumId="12">
    <w:nsid w:val="654F795D"/>
    <w:multiLevelType w:val="singleLevel"/>
    <w:tmpl w:val="654F795D"/>
    <w:lvl w:ilvl="0" w:tentative="0">
      <w:start w:val="6"/>
      <w:numFmt w:val="decimal"/>
      <w:suff w:val="nothing"/>
      <w:lvlText w:val="%1、"/>
      <w:lvlJc w:val="left"/>
    </w:lvl>
  </w:abstractNum>
  <w:abstractNum w:abstractNumId="13">
    <w:nsid w:val="682CB8FE"/>
    <w:multiLevelType w:val="singleLevel"/>
    <w:tmpl w:val="682CB8FE"/>
    <w:lvl w:ilvl="0" w:tentative="0">
      <w:start w:val="1"/>
      <w:numFmt w:val="chineseCounting"/>
      <w:suff w:val="nothing"/>
      <w:lvlText w:val="%1、"/>
      <w:lvlJc w:val="left"/>
      <w:rPr>
        <w:rFonts w:hint="eastAsia"/>
      </w:rPr>
    </w:lvl>
  </w:abstractNum>
  <w:abstractNum w:abstractNumId="14">
    <w:nsid w:val="6930E34A"/>
    <w:multiLevelType w:val="singleLevel"/>
    <w:tmpl w:val="6930E34A"/>
    <w:lvl w:ilvl="0" w:tentative="0">
      <w:start w:val="2"/>
      <w:numFmt w:val="decimal"/>
      <w:suff w:val="nothing"/>
      <w:lvlText w:val="（%1）"/>
      <w:lvlJc w:val="left"/>
    </w:lvl>
  </w:abstractNum>
  <w:abstractNum w:abstractNumId="15">
    <w:nsid w:val="75FF51BE"/>
    <w:multiLevelType w:val="singleLevel"/>
    <w:tmpl w:val="75FF51BE"/>
    <w:lvl w:ilvl="0" w:tentative="0">
      <w:start w:val="3"/>
      <w:numFmt w:val="decimal"/>
      <w:suff w:val="nothing"/>
      <w:lvlText w:val="（%1）"/>
      <w:lvlJc w:val="left"/>
    </w:lvl>
  </w:abstractNum>
  <w:num w:numId="1">
    <w:abstractNumId w:val="10"/>
  </w:num>
  <w:num w:numId="2">
    <w:abstractNumId w:val="11"/>
  </w:num>
  <w:num w:numId="3">
    <w:abstractNumId w:val="5"/>
  </w:num>
  <w:num w:numId="4">
    <w:abstractNumId w:val="12"/>
  </w:num>
  <w:num w:numId="5">
    <w:abstractNumId w:val="15"/>
  </w:num>
  <w:num w:numId="6">
    <w:abstractNumId w:val="7"/>
  </w:num>
  <w:num w:numId="7">
    <w:abstractNumId w:val="4"/>
  </w:num>
  <w:num w:numId="8">
    <w:abstractNumId w:val="14"/>
  </w:num>
  <w:num w:numId="9">
    <w:abstractNumId w:val="0"/>
  </w:num>
  <w:num w:numId="10">
    <w:abstractNumId w:val="8"/>
  </w:num>
  <w:num w:numId="11">
    <w:abstractNumId w:val="2"/>
  </w:num>
  <w:num w:numId="12">
    <w:abstractNumId w:val="6"/>
  </w:num>
  <w:num w:numId="13">
    <w:abstractNumId w:val="1"/>
  </w:num>
  <w:num w:numId="14">
    <w:abstractNumId w:val="13"/>
  </w:num>
  <w:num w:numId="15">
    <w:abstractNumId w:val="3"/>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JkNTk5ODJkOWFhZjVjZTFiYmMzYzI2MjcwOWU1NGUifQ=="/>
  </w:docVars>
  <w:rsids>
    <w:rsidRoot w:val="33C11C1C"/>
    <w:rsid w:val="0BCF42BA"/>
    <w:rsid w:val="33C11C1C"/>
    <w:rsid w:val="45BF3815"/>
    <w:rsid w:val="470D5264"/>
    <w:rsid w:val="75CA6A0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500" w:lineRule="exact"/>
      <w:ind w:firstLine="720" w:firstLineChars="200"/>
    </w:pPr>
    <w:rPr>
      <w:rFonts w:ascii="Times New Roman" w:hAnsi="Times New Roman" w:eastAsia="宋体" w:cs="Times New Roman"/>
      <w:kern w:val="2"/>
      <w:sz w:val="24"/>
      <w:szCs w:val="24"/>
      <w:lang w:val="en-US" w:eastAsia="zh-CN" w:bidi="ar-SA"/>
    </w:rPr>
  </w:style>
  <w:style w:type="paragraph" w:styleId="2">
    <w:name w:val="heading 1"/>
    <w:basedOn w:val="1"/>
    <w:next w:val="1"/>
    <w:qFormat/>
    <w:uiPriority w:val="99"/>
    <w:pPr>
      <w:overflowPunct w:val="0"/>
      <w:snapToGrid w:val="0"/>
      <w:ind w:firstLine="0" w:firstLineChars="0"/>
      <w:jc w:val="center"/>
      <w:outlineLvl w:val="0"/>
    </w:pPr>
    <w:rPr>
      <w:b/>
      <w:bCs/>
      <w:color w:val="000000"/>
      <w:kern w:val="44"/>
      <w:sz w:val="30"/>
      <w:szCs w:val="30"/>
    </w:rPr>
  </w:style>
  <w:style w:type="paragraph" w:styleId="3">
    <w:name w:val="heading 2"/>
    <w:basedOn w:val="1"/>
    <w:next w:val="1"/>
    <w:qFormat/>
    <w:uiPriority w:val="9"/>
    <w:pPr>
      <w:outlineLvl w:val="1"/>
    </w:pPr>
    <w:rPr>
      <w:rFonts w:eastAsia="黑体"/>
      <w:bCs/>
      <w:szCs w:val="32"/>
    </w:rPr>
  </w:style>
  <w:style w:type="character" w:default="1" w:styleId="17">
    <w:name w:val="Default Paragraph Font"/>
    <w:semiHidden/>
    <w:qFormat/>
    <w:uiPriority w:val="0"/>
  </w:style>
  <w:style w:type="table" w:default="1" w:styleId="15">
    <w:name w:val="Normal Table"/>
    <w:semiHidden/>
    <w:qFormat/>
    <w:uiPriority w:val="0"/>
    <w:tblPr>
      <w:tblCellMar>
        <w:top w:w="0" w:type="dxa"/>
        <w:left w:w="108" w:type="dxa"/>
        <w:bottom w:w="0" w:type="dxa"/>
        <w:right w:w="108" w:type="dxa"/>
      </w:tblCellMar>
    </w:tblPr>
  </w:style>
  <w:style w:type="paragraph" w:styleId="4">
    <w:name w:val="Normal Indent"/>
    <w:basedOn w:val="1"/>
    <w:next w:val="5"/>
    <w:unhideWhenUsed/>
    <w:qFormat/>
    <w:uiPriority w:val="99"/>
    <w:pPr>
      <w:adjustRightInd w:val="0"/>
      <w:snapToGrid w:val="0"/>
      <w:spacing w:line="300" w:lineRule="auto"/>
    </w:pPr>
    <w:rPr>
      <w:rFonts w:ascii="仿宋_GB2312" w:eastAsia="仿宋_GB2312"/>
      <w:color w:val="000000"/>
      <w:sz w:val="28"/>
    </w:rPr>
  </w:style>
  <w:style w:type="paragraph" w:styleId="5">
    <w:name w:val="Body Text First Indent 2"/>
    <w:basedOn w:val="6"/>
    <w:next w:val="1"/>
    <w:unhideWhenUsed/>
    <w:qFormat/>
    <w:uiPriority w:val="99"/>
    <w:pPr>
      <w:spacing w:before="100" w:beforeAutospacing="1" w:line="240" w:lineRule="auto"/>
      <w:ind w:firstLine="420"/>
      <w:jc w:val="both"/>
    </w:pPr>
    <w:rPr>
      <w:sz w:val="21"/>
      <w:szCs w:val="21"/>
    </w:rPr>
  </w:style>
  <w:style w:type="paragraph" w:styleId="6">
    <w:name w:val="Body Text Indent"/>
    <w:basedOn w:val="1"/>
    <w:next w:val="1"/>
    <w:qFormat/>
    <w:uiPriority w:val="0"/>
    <w:pPr>
      <w:spacing w:after="120"/>
      <w:ind w:left="420" w:leftChars="200"/>
    </w:pPr>
    <w:rPr>
      <w:kern w:val="0"/>
      <w:szCs w:val="20"/>
    </w:rPr>
  </w:style>
  <w:style w:type="paragraph" w:styleId="7">
    <w:name w:val="annotation text"/>
    <w:basedOn w:val="1"/>
    <w:semiHidden/>
    <w:qFormat/>
    <w:uiPriority w:val="0"/>
    <w:rPr>
      <w:kern w:val="0"/>
      <w:szCs w:val="20"/>
    </w:rPr>
  </w:style>
  <w:style w:type="paragraph" w:styleId="8">
    <w:name w:val="Body Text"/>
    <w:basedOn w:val="1"/>
    <w:next w:val="9"/>
    <w:qFormat/>
    <w:uiPriority w:val="0"/>
    <w:pPr>
      <w:widowControl/>
      <w:snapToGrid w:val="0"/>
      <w:spacing w:before="60" w:after="160" w:line="259" w:lineRule="auto"/>
      <w:ind w:right="113"/>
    </w:pPr>
    <w:rPr>
      <w:kern w:val="0"/>
      <w:sz w:val="18"/>
      <w:szCs w:val="20"/>
    </w:rPr>
  </w:style>
  <w:style w:type="paragraph" w:styleId="9">
    <w:name w:val="List Bullet 5"/>
    <w:basedOn w:val="1"/>
    <w:next w:val="1"/>
    <w:uiPriority w:val="0"/>
    <w:pPr>
      <w:numPr>
        <w:ilvl w:val="0"/>
        <w:numId w:val="1"/>
      </w:numPr>
    </w:pPr>
  </w:style>
  <w:style w:type="paragraph" w:styleId="10">
    <w:name w:val="footer"/>
    <w:basedOn w:val="1"/>
    <w:qFormat/>
    <w:uiPriority w:val="99"/>
    <w:pPr>
      <w:tabs>
        <w:tab w:val="center" w:pos="4153"/>
        <w:tab w:val="right" w:pos="8306"/>
      </w:tabs>
      <w:snapToGrid w:val="0"/>
    </w:pPr>
    <w:rPr>
      <w:kern w:val="0"/>
      <w:sz w:val="18"/>
      <w:szCs w:val="20"/>
    </w:rPr>
  </w:style>
  <w:style w:type="paragraph" w:styleId="11">
    <w:name w:val="header"/>
    <w:basedOn w:val="1"/>
    <w:qFormat/>
    <w:uiPriority w:val="0"/>
    <w:pPr>
      <w:pBdr>
        <w:bottom w:val="single" w:color="auto" w:sz="6" w:space="1"/>
      </w:pBdr>
      <w:tabs>
        <w:tab w:val="center" w:pos="4153"/>
        <w:tab w:val="right" w:pos="8306"/>
      </w:tabs>
      <w:snapToGrid w:val="0"/>
      <w:jc w:val="center"/>
    </w:pPr>
    <w:rPr>
      <w:kern w:val="0"/>
      <w:sz w:val="18"/>
      <w:szCs w:val="20"/>
    </w:rPr>
  </w:style>
  <w:style w:type="paragraph" w:styleId="12">
    <w:name w:val="toc 1"/>
    <w:basedOn w:val="1"/>
    <w:next w:val="1"/>
    <w:qFormat/>
    <w:uiPriority w:val="0"/>
  </w:style>
  <w:style w:type="paragraph" w:styleId="13">
    <w:name w:val="toc 2"/>
    <w:basedOn w:val="1"/>
    <w:next w:val="1"/>
    <w:qFormat/>
    <w:uiPriority w:val="0"/>
    <w:pPr>
      <w:ind w:left="420" w:leftChars="200"/>
    </w:pPr>
  </w:style>
  <w:style w:type="paragraph" w:styleId="14">
    <w:name w:val="Normal (Web)"/>
    <w:basedOn w:val="1"/>
    <w:qFormat/>
    <w:uiPriority w:val="0"/>
    <w:pPr>
      <w:widowControl/>
      <w:spacing w:before="100" w:beforeAutospacing="1" w:after="100" w:afterAutospacing="1"/>
    </w:pPr>
    <w:rPr>
      <w:rFonts w:ascii="宋体" w:hAnsi="宋体"/>
      <w:kern w:val="0"/>
      <w:szCs w:val="20"/>
    </w:rPr>
  </w:style>
  <w:style w:type="table" w:styleId="16">
    <w:name w:val="Table Grid"/>
    <w:basedOn w:val="15"/>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8">
    <w:name w:val="page number"/>
    <w:qFormat/>
    <w:uiPriority w:val="0"/>
  </w:style>
  <w:style w:type="paragraph" w:customStyle="1" w:styleId="19">
    <w:name w:val="图表内容"/>
    <w:basedOn w:val="20"/>
    <w:autoRedefine/>
    <w:qFormat/>
    <w:uiPriority w:val="0"/>
    <w:pPr>
      <w:spacing w:beforeLines="50" w:afterLines="50" w:line="240" w:lineRule="auto"/>
      <w:ind w:right="0" w:firstLine="0" w:firstLineChars="0"/>
      <w:jc w:val="center"/>
    </w:pPr>
    <w:rPr>
      <w:sz w:val="22"/>
    </w:rPr>
  </w:style>
  <w:style w:type="paragraph" w:customStyle="1" w:styleId="20">
    <w:name w:val="张正文"/>
    <w:basedOn w:val="8"/>
    <w:autoRedefine/>
    <w:qFormat/>
    <w:uiPriority w:val="0"/>
    <w:pPr>
      <w:spacing w:after="0" w:line="480" w:lineRule="exact"/>
      <w:ind w:firstLine="1246"/>
    </w:pPr>
    <w:rPr>
      <w:sz w:val="21"/>
    </w:rPr>
  </w:style>
  <w:style w:type="paragraph" w:customStyle="1" w:styleId="21">
    <w:name w:val="图表标题"/>
    <w:basedOn w:val="22"/>
    <w:autoRedefine/>
    <w:qFormat/>
    <w:uiPriority w:val="0"/>
    <w:pPr>
      <w:spacing w:beforeLines="50" w:line="360" w:lineRule="auto"/>
    </w:pPr>
    <w:rPr>
      <w:rFonts w:hint="eastAsia"/>
      <w:bCs w:val="0"/>
      <w:color w:val="auto"/>
      <w:kern w:val="0"/>
      <w:sz w:val="22"/>
      <w:szCs w:val="20"/>
    </w:rPr>
  </w:style>
  <w:style w:type="paragraph" w:customStyle="1" w:styleId="22">
    <w:name w:val="小标题"/>
    <w:basedOn w:val="2"/>
    <w:autoRedefine/>
    <w:qFormat/>
    <w:uiPriority w:val="0"/>
    <w:pPr>
      <w:outlineLvl w:val="1"/>
    </w:pPr>
  </w:style>
  <w:style w:type="paragraph" w:customStyle="1" w:styleId="23">
    <w:name w:val="样式 正文缩进正文缩进2正文缩进 Char Char正文缩进 Char Char Char Char正文缩进 Char ..."/>
    <w:basedOn w:val="4"/>
    <w:autoRedefine/>
    <w:qFormat/>
    <w:uiPriority w:val="0"/>
    <w:pPr>
      <w:spacing w:line="360" w:lineRule="auto"/>
    </w:pPr>
    <w:rPr>
      <w:rFonts w:cs="宋体"/>
      <w:sz w:val="24"/>
    </w:rPr>
  </w:style>
  <w:style w:type="paragraph" w:customStyle="1" w:styleId="24">
    <w:name w:val="表格"/>
    <w:basedOn w:val="1"/>
    <w:next w:val="1"/>
    <w:autoRedefine/>
    <w:qFormat/>
    <w:uiPriority w:val="0"/>
    <w:pPr>
      <w:adjustRightInd w:val="0"/>
      <w:snapToGrid w:val="0"/>
      <w:spacing w:beforeLines="10" w:afterLines="10" w:line="259" w:lineRule="auto"/>
      <w:jc w:val="center"/>
    </w:pPr>
    <w:rPr>
      <w:rFonts w:ascii="宋体"/>
      <w:kern w:val="0"/>
      <w:sz w:val="21"/>
      <w:szCs w:val="20"/>
    </w:rPr>
  </w:style>
  <w:style w:type="paragraph" w:customStyle="1" w:styleId="25">
    <w:name w:val="文本"/>
    <w:basedOn w:val="1"/>
    <w:autoRedefine/>
    <w:qFormat/>
    <w:uiPriority w:val="0"/>
    <w:pPr>
      <w:spacing w:line="360" w:lineRule="auto"/>
      <w:ind w:firstLine="200"/>
    </w:pPr>
    <w:rPr>
      <w:rFonts w:cs="宋体"/>
      <w:kern w:val="0"/>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2" Type="http://schemas.openxmlformats.org/officeDocument/2006/relationships/fontTable" Target="fontTable.xml"/><Relationship Id="rId41" Type="http://schemas.openxmlformats.org/officeDocument/2006/relationships/numbering" Target="numbering.xml"/><Relationship Id="rId40" Type="http://schemas.openxmlformats.org/officeDocument/2006/relationships/customXml" Target="../customXml/item1.xml"/><Relationship Id="rId4" Type="http://schemas.openxmlformats.org/officeDocument/2006/relationships/endnotes" Target="endnotes.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jpeg"/><Relationship Id="rId35" Type="http://schemas.openxmlformats.org/officeDocument/2006/relationships/image" Target="media/image19.jpeg"/><Relationship Id="rId34" Type="http://schemas.openxmlformats.org/officeDocument/2006/relationships/image" Target="media/image18.png"/><Relationship Id="rId33" Type="http://schemas.openxmlformats.org/officeDocument/2006/relationships/image" Target="media/image17.jpe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footnotes" Target="footnotes.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png"/><Relationship Id="rId26" Type="http://schemas.openxmlformats.org/officeDocument/2006/relationships/image" Target="media/image10.png"/><Relationship Id="rId25" Type="http://schemas.openxmlformats.org/officeDocument/2006/relationships/image" Target="media/image9.png"/><Relationship Id="rId24" Type="http://schemas.openxmlformats.org/officeDocument/2006/relationships/image" Target="media/image8.png"/><Relationship Id="rId23" Type="http://schemas.openxmlformats.org/officeDocument/2006/relationships/image" Target="media/image7.png"/><Relationship Id="rId22" Type="http://schemas.openxmlformats.org/officeDocument/2006/relationships/image" Target="media/image6.png"/><Relationship Id="rId21" Type="http://schemas.openxmlformats.org/officeDocument/2006/relationships/image" Target="media/image5.png"/><Relationship Id="rId20" Type="http://schemas.openxmlformats.org/officeDocument/2006/relationships/image" Target="media/image4.png"/><Relationship Id="rId2" Type="http://schemas.openxmlformats.org/officeDocument/2006/relationships/settings" Target="settings.xml"/><Relationship Id="rId19" Type="http://schemas.openxmlformats.org/officeDocument/2006/relationships/image" Target="media/image3.png"/><Relationship Id="rId18" Type="http://schemas.openxmlformats.org/officeDocument/2006/relationships/image" Target="media/image2.png"/><Relationship Id="rId17" Type="http://schemas.openxmlformats.org/officeDocument/2006/relationships/image" Target="media/image1.png"/><Relationship Id="rId16" Type="http://schemas.openxmlformats.org/officeDocument/2006/relationships/theme" Target="theme/theme1.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jczODM0MTI2MTMzIiwKCSJHcm91cElkIiA6ICI1NzU1NzcwMzkiLAoJIkltYWdlIiA6ICJpVkJPUncwS0dnb0FBQUFOU1VoRVVnQUFCQVFBQUFJOENBWUFBQUJtbm5rVkFBQUFBWE5TUjBJQXJzNGM2UUFBSUFCSlJFRlVlSnpzM1hsOEZkWDkvL0gzbVh1enNFTVV0SW9hTkFvR1NPN2NpRlhCcFZaYjNOQzJ1S0hWV24vYVduZHBMUzUxYWJGVnFsYXN1TFNvVlVUcmdsS1gxaTlxVVZSd3k3MlhBQUZxdEtnSWl1eUVKQ1QzenVmM0IwbWFrSVhGa0l2azlYdzhmRHd5Wjg3TWZPWXlkN3p6bWJOS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Q0Zis1L0FURXl5LzlSZ1JZVkFBQUFBRWxGVGtTdVFtQ0MiLAoJIlRoZW1lIiA6ICIiLAoJIlR5cGUiIDogImZsb3ciLAoJIlZlcnNpb24iIDogIiIKfQo="/>
    </extobj>
    <extobj name="ECB019B1-382A-4266-B25C-5B523AA43C14-2">
      <extobjdata type="ECB019B1-382A-4266-B25C-5B523AA43C14" data="ewoJIkZpbGVJZCIgOiAiMjczODQ2Mjc0ODU0IiwKCSJHcm91cElkIiA6ICI1NzU1NzcwMzkiLAoJIkltYWdlIiA6ICJpVkJPUncwS0dnb0FBQUFOU1VoRVVnQUFBYzhBQUFIZ0NBWUFBQUREZ3ViSUFBQUFBWE5TUjBJQXJzNGM2UUFBSUFCSlJFRlVlSnpzM1hsY1Rmbi9CL0RYdWZkV3R6MnlSSGJaaXltTVhZWTAxbEFZUzFOMldjcFN5SVEwMXJGa0o3NlJYWVVNSmthR3NXVE5TR01uQ2tYN2RtOTFiM2M1dnorYXpxL3IzbWhCbHZmejhlaFI5M08yenozVSs1NXpQcC8zR3lD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Vm42ZnlYNHljSkVrRnJOQUFBQUFFbEZUa1N1UW1DQyIsCgkiVGhlbWUiIDogIiIsCgkiVHlwZSIgOiAiZmxvdyIsCgkiVmVyc2lvbiIgOiAiIgp9Cg=="/>
    </extobj>
    <extobj name="ECB019B1-382A-4266-B25C-5B523AA43C14-3">
      <extobjdata type="ECB019B1-382A-4266-B25C-5B523AA43C14" data="ewoJIkZpbGVJZCIgOiAiMjc1MDE5NDM3NzE4IiwKCSJHcm91cElkIiA6ICI1NzU1NzcwMzkiLAoJIkltYWdlIiA6ICJpVkJPUncwS0dnb0FBQUFOU1VoRVVnQUFBOW9BQUFMc0NBWUFBQUFjUTg5REFBQUFBWE5TUjBJQXJzNGM2UUFBSUFCSlJFRlVlSnpzM1hsWVZOVWZCdkQzM0psaEUzRWxUUVVIQmNXTlljblN6TFZOTTgzS3hCM1RYRE5Uczh5c0xOdTB0RTNOekxUY2M4azFOYlBNZnFhWktadEtnR2lBU0NEZ3dnNHpjOC92RDRSY1VBR0J5L0orbm9kSDdwbTd2SGYwT253NTU1NExFQ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NRDcxZjhEU2hDSk55MzBBU3dBQUFBQVNVVk9SSzVDWUlJPSIsCgkiVGhlbWUiIDogIiIsCgkiVHlwZSIgOiAiZmxvdyIsCgkiVmVyc2lvbiIgOiAiMzc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107</Pages>
  <Words>4632</Words>
  <Characters>4913</Characters>
  <Lines>0</Lines>
  <Paragraphs>0</Paragraphs>
  <TotalTime>3</TotalTime>
  <ScaleCrop>false</ScaleCrop>
  <LinksUpToDate>false</LinksUpToDate>
  <CharactersWithSpaces>5004</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2024-07-26T04:01:00Z</dcterms:created>
  <dc:creator>ᠡᠪᠥᠯᠴᠡᠴᠡᠭ冬梅</dc:creator>
  <cp:lastModifiedBy>z'k</cp:lastModifiedBy>
  <dcterms:modified xsi:type="dcterms:W3CDTF">2025-04-28T02:44:58Z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7E92D882BD544DCD880255121768E888_11</vt:lpwstr>
  </property>
  <property fmtid="{D5CDD505-2E9C-101B-9397-08002B2CF9AE}" pid="4" name="KSOTemplateDocerSaveRecord">
    <vt:lpwstr>eyJoZGlkIjoiMjJkNTk5ODJkOWFhZjVjZTFiYmMzYzI2MjcwOWU1NGUifQ==</vt:lpwstr>
  </property>
</Properties>
</file>