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2E76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1953A47C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05B194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7ADF1453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89E3FC7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03294B6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58933EC0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728CC8A5"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 w14:paraId="1B95CE69"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 w14:paraId="33A287BE"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 w14:paraId="57657E0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内蒙古盛安化工有限责任公司鄂托克旗</w:t>
      </w:r>
    </w:p>
    <w:p w14:paraId="54D911F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生产点年产55000t现场混装多孔粒状</w:t>
      </w:r>
    </w:p>
    <w:p w14:paraId="6FD3833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铵油炸药生产系统扩能项目</w:t>
      </w:r>
    </w:p>
    <w:p w14:paraId="294014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 w14:paraId="328E58E5">
      <w:pPr>
        <w:pStyle w:val="4"/>
        <w:rPr>
          <w:rFonts w:hint="eastAsia" w:eastAsia="方正小标宋简体"/>
          <w:lang w:eastAsia="zh-CN"/>
        </w:rPr>
      </w:pPr>
    </w:p>
    <w:p w14:paraId="79C5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内蒙古鄂托克旗盛安九二九化工有限责任公司：</w:t>
      </w:r>
    </w:p>
    <w:p w14:paraId="58726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内蒙古鸣霄技术咨询有限责任公司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内蒙古盛安化工有限责任公司鄂托克旗生产点年产55000t现场混装多孔粒状铵油炸药生产系统扩能项目环境影响报告表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</w:rPr>
        <w:t>）收悉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经审核，现批复如下：</w:t>
      </w:r>
    </w:p>
    <w:p w14:paraId="3518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项目位于托克旗阿尔巴斯苏木赛乌素嘎查三北羊场东2km处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。拟建项目中心坐标为107°19'14.287"，39°13'51.409"。本次扩建规模为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000t ，扩建后多孔粒状铵油炸药年生产能力为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000t。本项目新增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BCJ-Q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型现场混装多孔粒状铵油炸药车，扩建后厂区共有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台多孔粒状铵油炸药混装车。无新增生产与辅助设施，无新增建筑物，新增工艺设备投资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万元。</w:t>
      </w:r>
    </w:p>
    <w:p w14:paraId="0B6F4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</w:rPr>
        <w:t>行建设。</w:t>
      </w:r>
    </w:p>
    <w:p w14:paraId="7A8B1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630" w:leftChars="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 w14:paraId="2DE6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1.本项目仅新增2辆现场混装多孔粒状铵油炸药车，由北方爆破科技有限公司长治分公司提供，且无新增构筑物和辅助生产设备，所以施工期无污染物排放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。</w:t>
      </w:r>
    </w:p>
    <w:p w14:paraId="20791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2、认真落实大气污染防治措施。项目运营期硝酸铵上料时产生的粉尘须置于密闭厂房内，密闭管道及柴油储罐大小呼吸损失以及卸油、加油作业时产生非甲烷总烃封闭式加油枪、密闭卸油和油气回收装置。通过采取以上措施，确保大气污染物排放满足《大气污染物综合排放标准》（GB16297-1996）二级标准限值要求。加强运营期管理，厂区及运输道路硬化，定时洒水抑尘，同时加强对运输车辆的管理，减少扬尘污染。</w:t>
      </w:r>
    </w:p>
    <w:p w14:paraId="6F24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3、强化废水处理与回用。本项目不新增生活污水，现有生活污水经防渗化粪池处理后达到《污水综合排放标准》（GB8978-1996）三级标准要求后定期拉运至棋盘井污水处理厂集中处理，不得外排。</w:t>
      </w:r>
    </w:p>
    <w:p w14:paraId="70F7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4、妥善处置各类固体废物。生活垃圾集中收集后，由环卫部门统一清运处理。硝酸铵拆袋等废包装袋集中收集后定期外售。不得在厂区内维修车辆。理化室实验产生的含有机溶剂废液掺入柴油中回用，不得外排。建设单位须严格按照《一般工业固体废物贮存和填埋污染控制标准》(GB18599-2020)和《危险废物贮存污染控制标准》（GB18597-2023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）要求对一般固废和危险废物进行处置，不得乱弃。</w:t>
      </w:r>
    </w:p>
    <w:p w14:paraId="5F74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5、应采取妥善控制措施，确保厂界噪声满足《工业企业厂界环境噪声排放标准》（GB12348-2008）2类标准要求。</w:t>
      </w:r>
    </w:p>
    <w:p w14:paraId="3285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6、按照报告表的要求做好厂区硬化、绿化工作。</w:t>
      </w:r>
    </w:p>
    <w:p w14:paraId="0797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7、建设单位须强化环境风险防范。制定环境风险应急预案，落实环境风险事故防范措施，提高事故风险防范和污染控制能力。</w:t>
      </w:r>
    </w:p>
    <w:p w14:paraId="31036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三、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项目建成后，按规定程序实施环境保护竣工验收，验收合格后方可正式投入运行。</w:t>
      </w:r>
    </w:p>
    <w:p w14:paraId="79450C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四、由鄂托克旗生态环境综合行政执法大队负责该项目的日常监管工作。</w:t>
      </w:r>
    </w:p>
    <w:p w14:paraId="69F41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          </w:t>
      </w:r>
    </w:p>
    <w:p w14:paraId="613ED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 w14:paraId="6729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</w:p>
    <w:p w14:paraId="74AE4D56">
      <w:pPr>
        <w:pStyle w:val="6"/>
        <w:rPr>
          <w:rFonts w:hint="eastAsia"/>
        </w:rPr>
      </w:pPr>
    </w:p>
    <w:p w14:paraId="50B2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 w14:paraId="0242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5日</w:t>
      </w:r>
    </w:p>
    <w:p w14:paraId="699AF0A6">
      <w:pPr>
        <w:rPr>
          <w:rFonts w:hint="eastAsia"/>
        </w:rPr>
      </w:pPr>
    </w:p>
    <w:p w14:paraId="0FF907EF">
      <w:pPr>
        <w:pStyle w:val="2"/>
        <w:rPr>
          <w:rFonts w:hint="eastAsia"/>
        </w:rPr>
      </w:pPr>
    </w:p>
    <w:p w14:paraId="0C57EA66">
      <w:pPr>
        <w:pStyle w:val="2"/>
        <w:rPr>
          <w:rFonts w:hint="eastAsia"/>
        </w:rPr>
      </w:pPr>
    </w:p>
    <w:p w14:paraId="0C5D594A">
      <w:pPr>
        <w:pStyle w:val="2"/>
        <w:rPr>
          <w:rFonts w:hint="eastAsia"/>
        </w:rPr>
      </w:pPr>
    </w:p>
    <w:p w14:paraId="64CD503C">
      <w:pPr>
        <w:pStyle w:val="2"/>
        <w:rPr>
          <w:rFonts w:hint="eastAsia"/>
        </w:rPr>
      </w:pPr>
    </w:p>
    <w:p w14:paraId="3F591868">
      <w:pPr>
        <w:pStyle w:val="2"/>
        <w:rPr>
          <w:rFonts w:hint="eastAsia"/>
        </w:rPr>
      </w:pPr>
    </w:p>
    <w:p w14:paraId="7321D2A1">
      <w:pPr>
        <w:pStyle w:val="2"/>
        <w:rPr>
          <w:rFonts w:hint="eastAsia"/>
        </w:rPr>
      </w:pPr>
    </w:p>
    <w:p w14:paraId="644E15F9">
      <w:pPr>
        <w:pStyle w:val="2"/>
        <w:rPr>
          <w:rFonts w:hint="eastAsia"/>
        </w:rPr>
      </w:pPr>
    </w:p>
    <w:p w14:paraId="33E7F71F">
      <w:pPr>
        <w:pStyle w:val="2"/>
        <w:rPr>
          <w:rFonts w:hint="eastAsia"/>
        </w:rPr>
      </w:pPr>
    </w:p>
    <w:p w14:paraId="7ED8DCA8">
      <w:pPr>
        <w:jc w:val="both"/>
        <w:rPr>
          <w:rFonts w:hint="eastAsia"/>
        </w:rPr>
      </w:pPr>
    </w:p>
    <w:p w14:paraId="1484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 w14:paraId="1943A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日印发 </w:t>
      </w:r>
      <w:r>
        <w:rPr>
          <w:rFonts w:hint="eastAsia" w:ascii="仿宋" w:hAnsi="仿宋" w:eastAsia="仿宋"/>
          <w:color w:val="auto"/>
          <w:sz w:val="32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GZiZGU4YzA3MjQzZTI3ODk1ZDViMjEzMTEwZTEifQ=="/>
  </w:docVars>
  <w:rsids>
    <w:rsidRoot w:val="4E020E32"/>
    <w:rsid w:val="04EE43B8"/>
    <w:rsid w:val="0DF645E2"/>
    <w:rsid w:val="26E825C8"/>
    <w:rsid w:val="2FC65E92"/>
    <w:rsid w:val="30C33ACE"/>
    <w:rsid w:val="36C07E3F"/>
    <w:rsid w:val="3CC35212"/>
    <w:rsid w:val="4E020E32"/>
    <w:rsid w:val="6220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5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1304</Words>
  <Characters>1423</Characters>
  <Lines>0</Lines>
  <Paragraphs>0</Paragraphs>
  <TotalTime>5</TotalTime>
  <ScaleCrop>false</ScaleCrop>
  <LinksUpToDate>false</LinksUpToDate>
  <CharactersWithSpaces>1614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2022-12-19T02:38:00Z</dcterms:created>
  <dc:creator>ᠡᠪᠥᠯᠴᠡᠴᠡᠭ冬梅</dc:creator>
  <cp:lastModifiedBy>ᠡᠪᠥᠯᠴᠡᠴᠡᠭ冬梅</cp:lastModifiedBy>
  <cp:lastPrinted>2024-09-05T08:31:00Z</cp:lastPrinted>
  <dcterms:modified xsi:type="dcterms:W3CDTF">2024-09-05T08:34:06Z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DDC657C8D79C4012914CA0DE8AC91AB8_13</vt:lpwstr>
  </property>
</Properties>
</file>