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9A85C">
      <w:pPr>
        <w:spacing w:line="640" w:lineRule="exact"/>
        <w:jc w:val="center"/>
        <w:rPr>
          <w:rFonts w:hint="eastAsia" w:ascii="仿宋" w:hAnsi="仿宋" w:eastAsia="仿宋"/>
          <w:b/>
          <w:sz w:val="44"/>
        </w:rPr>
      </w:pPr>
    </w:p>
    <w:p w14:paraId="08095781">
      <w:pPr>
        <w:spacing w:line="640" w:lineRule="exact"/>
        <w:jc w:val="center"/>
        <w:rPr>
          <w:rFonts w:hint="eastAsia" w:ascii="仿宋" w:hAnsi="仿宋" w:eastAsia="仿宋"/>
          <w:b/>
          <w:sz w:val="44"/>
        </w:rPr>
      </w:pPr>
    </w:p>
    <w:p w14:paraId="22EC32B6">
      <w:pPr>
        <w:spacing w:line="640" w:lineRule="exact"/>
        <w:jc w:val="center"/>
        <w:rPr>
          <w:rFonts w:hint="eastAsia" w:ascii="仿宋" w:hAnsi="仿宋" w:eastAsia="仿宋"/>
          <w:b/>
          <w:sz w:val="44"/>
        </w:rPr>
      </w:pPr>
    </w:p>
    <w:p w14:paraId="474D051E">
      <w:pPr>
        <w:spacing w:line="640" w:lineRule="exact"/>
        <w:jc w:val="center"/>
        <w:rPr>
          <w:rFonts w:hint="eastAsia" w:ascii="仿宋" w:hAnsi="仿宋" w:eastAsia="仿宋"/>
          <w:b/>
          <w:sz w:val="44"/>
        </w:rPr>
      </w:pPr>
    </w:p>
    <w:p w14:paraId="1444EA86">
      <w:pPr>
        <w:spacing w:line="640" w:lineRule="exact"/>
        <w:rPr>
          <w:rFonts w:hint="eastAsia" w:ascii="仿宋" w:hAnsi="仿宋" w:eastAsia="仿宋"/>
          <w:b/>
          <w:sz w:val="44"/>
        </w:rPr>
      </w:pPr>
    </w:p>
    <w:p w14:paraId="693500AB">
      <w:pPr>
        <w:spacing w:line="640" w:lineRule="exact"/>
        <w:jc w:val="center"/>
        <w:rPr>
          <w:rFonts w:hint="eastAsia" w:ascii="仿宋" w:hAnsi="仿宋" w:eastAsia="仿宋"/>
          <w:b/>
          <w:sz w:val="44"/>
        </w:rPr>
      </w:pPr>
    </w:p>
    <w:p w14:paraId="34C308EB">
      <w:pPr>
        <w:spacing w:line="640" w:lineRule="exact"/>
        <w:jc w:val="center"/>
        <w:rPr>
          <w:rFonts w:hint="eastAsia" w:ascii="仿宋" w:hAnsi="仿宋" w:eastAsia="仿宋"/>
          <w:b/>
          <w:sz w:val="44"/>
        </w:rPr>
      </w:pPr>
    </w:p>
    <w:p w14:paraId="50655379">
      <w:pPr>
        <w:spacing w:line="640" w:lineRule="exact"/>
        <w:rPr>
          <w:rFonts w:hint="eastAsia" w:ascii="仿宋" w:hAnsi="仿宋" w:eastAsia="仿宋"/>
          <w:sz w:val="32"/>
        </w:rPr>
      </w:pPr>
    </w:p>
    <w:p w14:paraId="347A9822">
      <w:pPr>
        <w:pStyle w:val="2"/>
        <w:rPr>
          <w:rFonts w:hint="eastAsia"/>
        </w:rPr>
      </w:pPr>
      <w:bookmarkStart w:id="0" w:name="_GoBack"/>
      <w:bookmarkEnd w:id="0"/>
    </w:p>
    <w:p w14:paraId="5AD61E76">
      <w:pPr>
        <w:spacing w:line="640" w:lineRule="exact"/>
        <w:ind w:firstLine="160" w:firstLineChars="50"/>
        <w:jc w:val="center"/>
        <w:rPr>
          <w:rFonts w:hint="eastAsia" w:ascii="仿宋_GB2312" w:hAnsi="仿宋" w:eastAsia="仿宋_GB2312"/>
          <w:sz w:val="32"/>
        </w:rPr>
      </w:pPr>
      <w:r>
        <w:rPr>
          <w:rFonts w:hint="eastAsia" w:ascii="仿宋_GB2312" w:hAnsi="仿宋" w:eastAsia="仿宋_GB2312"/>
          <w:sz w:val="32"/>
        </w:rPr>
        <w:t>鄂环</w:t>
      </w:r>
      <w:r>
        <w:rPr>
          <w:rFonts w:hint="eastAsia" w:ascii="仿宋_GB2312" w:hAnsi="仿宋" w:eastAsia="仿宋_GB2312"/>
          <w:sz w:val="32"/>
          <w:lang w:eastAsia="zh-CN"/>
        </w:rPr>
        <w:t>鄂评</w:t>
      </w:r>
      <w:r>
        <w:rPr>
          <w:rFonts w:hint="eastAsia" w:ascii="仿宋_GB2312" w:hAnsi="仿宋" w:eastAsia="仿宋_GB2312"/>
          <w:sz w:val="32"/>
        </w:rPr>
        <w:t>字[20</w:t>
      </w:r>
      <w:r>
        <w:rPr>
          <w:rFonts w:hint="eastAsia" w:ascii="仿宋_GB2312" w:hAnsi="仿宋" w:eastAsia="仿宋_GB2312"/>
          <w:color w:val="auto"/>
          <w:sz w:val="32"/>
          <w:lang w:val="en-US" w:eastAsia="zh-CN"/>
        </w:rPr>
        <w:t>24</w:t>
      </w:r>
      <w:r>
        <w:rPr>
          <w:rFonts w:hint="eastAsia" w:ascii="仿宋_GB2312" w:hAnsi="仿宋" w:eastAsia="仿宋_GB2312"/>
          <w:color w:val="auto"/>
          <w:sz w:val="32"/>
        </w:rPr>
        <w:t>]</w:t>
      </w:r>
      <w:r>
        <w:rPr>
          <w:rFonts w:hint="eastAsia" w:ascii="仿宋_GB2312" w:hAnsi="仿宋" w:eastAsia="仿宋_GB2312"/>
          <w:color w:val="auto"/>
          <w:sz w:val="32"/>
          <w:lang w:val="en-US" w:eastAsia="zh-CN"/>
        </w:rPr>
        <w:t>35</w:t>
      </w:r>
      <w:r>
        <w:rPr>
          <w:rFonts w:hint="eastAsia" w:ascii="仿宋_GB2312" w:hAnsi="仿宋" w:eastAsia="仿宋_GB2312"/>
          <w:color w:val="auto"/>
          <w:sz w:val="32"/>
        </w:rPr>
        <w:t>号</w:t>
      </w:r>
    </w:p>
    <w:p w14:paraId="69A496FD">
      <w:pPr>
        <w:spacing w:line="640" w:lineRule="exact"/>
        <w:jc w:val="both"/>
        <w:rPr>
          <w:rFonts w:hint="eastAsia" w:ascii="仿宋_GB2312" w:hAnsi="仿宋" w:eastAsia="仿宋_GB2312"/>
          <w:b/>
          <w:sz w:val="44"/>
        </w:rPr>
      </w:pPr>
    </w:p>
    <w:p w14:paraId="3393BEAC">
      <w:pPr>
        <w:spacing w:line="560" w:lineRule="exact"/>
        <w:jc w:val="center"/>
        <w:rPr>
          <w:rFonts w:hint="eastAsia" w:ascii="宋体" w:hAnsi="宋体" w:eastAsia="方正小标宋简体" w:cs="宋体"/>
          <w:sz w:val="44"/>
          <w:szCs w:val="44"/>
        </w:rPr>
      </w:pPr>
      <w:r>
        <w:rPr>
          <w:rFonts w:hint="eastAsia" w:ascii="宋体" w:hAnsi="宋体" w:eastAsia="方正小标宋简体" w:cs="宋体"/>
          <w:sz w:val="44"/>
          <w:szCs w:val="44"/>
        </w:rPr>
        <w:t>鄂尔多斯市生态环境局鄂托克旗分局</w:t>
      </w:r>
    </w:p>
    <w:p w14:paraId="5C4F87E9">
      <w:pPr>
        <w:spacing w:line="560" w:lineRule="exact"/>
        <w:jc w:val="center"/>
        <w:rPr>
          <w:rFonts w:hint="eastAsia" w:ascii="宋体" w:hAnsi="宋体" w:eastAsia="方正小标宋简体" w:cs="宋体"/>
          <w:sz w:val="44"/>
          <w:szCs w:val="44"/>
          <w:lang w:eastAsia="zh-CN"/>
        </w:rPr>
      </w:pPr>
      <w:r>
        <w:rPr>
          <w:rFonts w:hint="eastAsia" w:ascii="宋体" w:hAnsi="宋体" w:eastAsia="方正小标宋简体" w:cs="宋体"/>
          <w:sz w:val="44"/>
          <w:szCs w:val="44"/>
        </w:rPr>
        <w:t>关</w:t>
      </w:r>
      <w:r>
        <w:rPr>
          <w:rFonts w:hint="eastAsia" w:ascii="宋体" w:hAnsi="宋体" w:eastAsia="方正小标宋简体" w:cs="宋体"/>
          <w:sz w:val="44"/>
          <w:szCs w:val="44"/>
          <w:lang w:eastAsia="zh-CN"/>
        </w:rPr>
        <w:t>于鄂托克旗乌仁都西煤焦有限责任公司</w:t>
      </w:r>
    </w:p>
    <w:p w14:paraId="40E31BC3">
      <w:pPr>
        <w:spacing w:line="56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宋体" w:hAnsi="宋体" w:eastAsia="方正小标宋简体" w:cs="宋体"/>
          <w:sz w:val="44"/>
          <w:szCs w:val="44"/>
          <w:lang w:eastAsia="zh-CN"/>
        </w:rPr>
        <w:t>120万吨露天煤矿危险废物暂存库项目</w:t>
      </w:r>
    </w:p>
    <w:p w14:paraId="6DBA6B46">
      <w:pPr>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环境影响报告表的批复</w:t>
      </w:r>
    </w:p>
    <w:p w14:paraId="4C2B45F3">
      <w:pPr>
        <w:spacing w:line="560" w:lineRule="exact"/>
        <w:jc w:val="center"/>
        <w:rPr>
          <w:rFonts w:hint="eastAsia" w:ascii="方正小标宋简体" w:hAnsi="方正小标宋简体" w:eastAsia="方正小标宋简体" w:cs="方正小标宋简体"/>
          <w:color w:val="auto"/>
          <w:sz w:val="44"/>
          <w:szCs w:val="44"/>
        </w:rPr>
      </w:pPr>
    </w:p>
    <w:p w14:paraId="7FA6B411">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jc w:val="left"/>
        <w:textAlignment w:val="auto"/>
        <w:outlineLvl w:val="9"/>
        <w:rPr>
          <w:rFonts w:hint="eastAsia" w:ascii="仿宋_GB2312" w:hAnsi="仿宋" w:eastAsia="仿宋_GB2312"/>
          <w:color w:val="auto"/>
          <w:sz w:val="32"/>
        </w:rPr>
      </w:pPr>
      <w:r>
        <w:rPr>
          <w:rFonts w:hint="eastAsia" w:ascii="仿宋_GB2312" w:hAnsi="仿宋" w:eastAsia="仿宋_GB2312"/>
          <w:color w:val="auto"/>
          <w:sz w:val="32"/>
        </w:rPr>
        <w:t>鄂托克旗乌仁都西煤焦有限责任公司：</w:t>
      </w:r>
    </w:p>
    <w:p w14:paraId="6629074B">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jc w:val="both"/>
        <w:textAlignment w:val="auto"/>
        <w:outlineLvl w:val="9"/>
        <w:rPr>
          <w:rFonts w:hint="eastAsia" w:ascii="仿宋_GB2312" w:hAnsi="仿宋" w:eastAsia="仿宋_GB2312"/>
          <w:color w:val="auto"/>
          <w:sz w:val="32"/>
        </w:rPr>
      </w:pPr>
      <w:r>
        <w:rPr>
          <w:rFonts w:hint="eastAsia" w:ascii="仿宋_GB2312" w:hAnsi="仿宋" w:eastAsia="仿宋_GB2312"/>
          <w:color w:val="auto"/>
          <w:sz w:val="32"/>
        </w:rPr>
        <w:t>你单位报送</w:t>
      </w:r>
      <w:r>
        <w:rPr>
          <w:rFonts w:hint="eastAsia" w:ascii="仿宋_GB2312" w:hAnsi="仿宋_GB2312" w:eastAsia="仿宋_GB2312" w:cs="仿宋_GB2312"/>
          <w:color w:val="auto"/>
          <w:sz w:val="32"/>
          <w:szCs w:val="32"/>
        </w:rPr>
        <w:t>的由内蒙古首环环保技术有限公司编制</w:t>
      </w:r>
      <w:r>
        <w:rPr>
          <w:rFonts w:hint="eastAsia" w:ascii="仿宋_GB2312" w:hAnsi="仿宋" w:eastAsia="仿宋_GB2312"/>
          <w:color w:val="auto"/>
          <w:sz w:val="32"/>
        </w:rPr>
        <w:t>的《鄂托克旗乌仁都西煤焦有限责任公司120万吨露天煤矿危险废物暂存库项目</w:t>
      </w:r>
      <w:r>
        <w:rPr>
          <w:rFonts w:hint="eastAsia" w:ascii="仿宋_GB2312" w:hAnsi="仿宋" w:eastAsia="仿宋_GB2312"/>
          <w:color w:val="auto"/>
          <w:sz w:val="32"/>
          <w:lang w:eastAsia="zh-CN"/>
        </w:rPr>
        <w:t>环境影响报告表</w:t>
      </w:r>
      <w:r>
        <w:rPr>
          <w:rFonts w:hint="eastAsia" w:ascii="仿宋_GB2312" w:hAnsi="仿宋" w:eastAsia="仿宋_GB2312"/>
          <w:color w:val="auto"/>
          <w:sz w:val="32"/>
        </w:rPr>
        <w:t>》（以下简称报告表）收悉，经审核，提出如下批复意见：</w:t>
      </w:r>
    </w:p>
    <w:p w14:paraId="5AF3107A">
      <w:pPr>
        <w:keepNext w:val="0"/>
        <w:keepLines w:val="0"/>
        <w:pageBreakBefore w:val="0"/>
        <w:widowControl w:val="0"/>
        <w:numPr>
          <w:ilvl w:val="0"/>
          <w:numId w:val="0"/>
        </w:numPr>
        <w:kinsoku/>
        <w:wordWrap/>
        <w:overflowPunct/>
        <w:topLinePunct w:val="0"/>
        <w:autoSpaceDE/>
        <w:autoSpaceDN/>
        <w:bidi w:val="0"/>
        <w:adjustRightInd/>
        <w:snapToGrid/>
        <w:spacing w:line="436" w:lineRule="exact"/>
        <w:ind w:right="0" w:rightChars="0" w:firstLine="320" w:firstLineChars="100"/>
        <w:jc w:val="both"/>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本项目位于鄂托克旗棋盘井镇乌仁都西嘎查鄂托克旗乌仁都西煤焦有限责任公司煤矿工业场地内</w:t>
      </w:r>
      <w:r>
        <w:rPr>
          <w:rFonts w:hint="eastAsia" w:ascii="仿宋_GB2312" w:hAnsi="仿宋_GB2312" w:eastAsia="仿宋_GB2312" w:cs="仿宋_GB2312"/>
          <w:color w:val="auto"/>
          <w:sz w:val="32"/>
          <w:szCs w:val="32"/>
          <w:lang w:eastAsia="zh-CN"/>
        </w:rPr>
        <w:t>。拟拆除原有危险废物暂存库（</w:t>
      </w:r>
      <w:r>
        <w:rPr>
          <w:rFonts w:hint="eastAsia" w:ascii="仿宋_GB2312" w:hAnsi="仿宋_GB2312" w:eastAsia="仿宋_GB2312" w:cs="仿宋_GB2312"/>
          <w:color w:val="auto"/>
          <w:sz w:val="32"/>
          <w:szCs w:val="32"/>
          <w:lang w:val="en-US" w:eastAsia="zh-CN"/>
        </w:rPr>
        <w:t>36</w:t>
      </w:r>
      <w:r>
        <w:rPr>
          <w:rFonts w:hint="eastAsia" w:ascii="仿宋_GB2312" w:hAnsi="仿宋_GB2312" w:eastAsia="仿宋_GB2312" w:cs="仿宋_GB2312"/>
          <w:color w:val="auto"/>
          <w:sz w:val="32"/>
          <w:szCs w:val="32"/>
          <w:lang w:eastAsia="zh-CN"/>
        </w:rPr>
        <w:t>m</w:t>
      </w:r>
      <w:r>
        <w:rPr>
          <w:rFonts w:hint="eastAsia" w:ascii="仿宋_GB2312" w:hAnsi="仿宋_GB2312" w:eastAsia="仿宋_GB2312" w:cs="仿宋_GB2312"/>
          <w:color w:val="auto"/>
          <w:sz w:val="32"/>
          <w:szCs w:val="32"/>
          <w:vertAlign w:val="superscript"/>
          <w:lang w:eastAsia="zh-CN"/>
        </w:rPr>
        <w:t>2</w:t>
      </w:r>
      <w:r>
        <w:rPr>
          <w:rFonts w:hint="eastAsia" w:ascii="仿宋_GB2312" w:hAnsi="仿宋_GB2312" w:eastAsia="仿宋_GB2312" w:cs="仿宋_GB2312"/>
          <w:color w:val="auto"/>
          <w:sz w:val="32"/>
          <w:szCs w:val="32"/>
          <w:lang w:eastAsia="zh-CN"/>
        </w:rPr>
        <w:t>），新</w:t>
      </w:r>
      <w:r>
        <w:rPr>
          <w:rFonts w:hint="eastAsia" w:ascii="仿宋_GB2312" w:hAnsi="仿宋_GB2312" w:eastAsia="仿宋_GB2312" w:cs="仿宋_GB2312"/>
          <w:color w:val="auto"/>
          <w:sz w:val="32"/>
          <w:szCs w:val="32"/>
          <w:lang w:val="en-US" w:eastAsia="zh-CN"/>
        </w:rPr>
        <w:t>建</w:t>
      </w:r>
      <w:r>
        <w:rPr>
          <w:rFonts w:hint="eastAsia" w:ascii="仿宋_GB2312" w:hAnsi="仿宋_GB2312" w:eastAsia="仿宋_GB2312" w:cs="仿宋_GB2312"/>
          <w:color w:val="auto"/>
          <w:sz w:val="32"/>
          <w:szCs w:val="32"/>
          <w:lang w:eastAsia="zh-CN"/>
        </w:rPr>
        <w:t>1座</w:t>
      </w:r>
      <w:r>
        <w:rPr>
          <w:rFonts w:hint="eastAsia" w:ascii="仿宋_GB2312" w:hAnsi="仿宋_GB2312" w:eastAsia="仿宋_GB2312" w:cs="仿宋_GB2312"/>
          <w:color w:val="auto"/>
          <w:sz w:val="32"/>
          <w:szCs w:val="32"/>
          <w:lang w:val="en-US" w:eastAsia="zh-CN"/>
        </w:rPr>
        <w:t>72</w:t>
      </w:r>
      <w:r>
        <w:rPr>
          <w:rFonts w:hint="eastAsia" w:ascii="仿宋_GB2312" w:hAnsi="仿宋_GB2312" w:eastAsia="仿宋_GB2312" w:cs="仿宋_GB2312"/>
          <w:color w:val="auto"/>
          <w:sz w:val="32"/>
          <w:szCs w:val="32"/>
          <w:lang w:eastAsia="zh-CN"/>
        </w:rPr>
        <w:t>m</w:t>
      </w:r>
      <w:r>
        <w:rPr>
          <w:rFonts w:hint="eastAsia" w:ascii="仿宋_GB2312" w:hAnsi="仿宋_GB2312" w:eastAsia="仿宋_GB2312" w:cs="仿宋_GB2312"/>
          <w:color w:val="auto"/>
          <w:sz w:val="32"/>
          <w:szCs w:val="32"/>
          <w:vertAlign w:val="superscript"/>
          <w:lang w:eastAsia="zh-CN"/>
        </w:rPr>
        <w:t>2</w:t>
      </w:r>
      <w:r>
        <w:rPr>
          <w:rFonts w:hint="eastAsia" w:ascii="仿宋_GB2312" w:hAnsi="仿宋_GB2312" w:eastAsia="仿宋_GB2312" w:cs="仿宋_GB2312"/>
          <w:color w:val="auto"/>
          <w:sz w:val="32"/>
          <w:szCs w:val="32"/>
          <w:lang w:eastAsia="zh-CN"/>
        </w:rPr>
        <w:t>的危险废物暂存库，用于贮存鄂托克旗乌仁都西煤焦有限责任公司煤矿内产生的废矿物油、废油桶、废机油滤芯等，年暂存废矿物油5t、废油桶25个、废机油滤芯0.5t，产生的危险废物全部分区存放。</w:t>
      </w:r>
      <w:r>
        <w:rPr>
          <w:rFonts w:hint="eastAsia" w:ascii="仿宋_GB2312" w:hAnsi="仿宋_GB2312" w:eastAsia="仿宋_GB2312" w:cs="仿宋_GB2312"/>
          <w:color w:val="auto"/>
          <w:sz w:val="32"/>
          <w:szCs w:val="32"/>
          <w:lang w:val="en-US" w:eastAsia="zh-CN"/>
        </w:rPr>
        <w:t>危废库</w:t>
      </w:r>
      <w:r>
        <w:rPr>
          <w:rFonts w:hint="eastAsia" w:ascii="仿宋_GB2312" w:hAnsi="仿宋_GB2312" w:eastAsia="仿宋_GB2312" w:cs="仿宋_GB2312"/>
          <w:color w:val="auto"/>
          <w:sz w:val="32"/>
          <w:szCs w:val="32"/>
          <w:lang w:eastAsia="zh-CN"/>
        </w:rPr>
        <w:t>地面</w:t>
      </w:r>
      <w:r>
        <w:rPr>
          <w:rFonts w:hint="eastAsia" w:ascii="仿宋_GB2312" w:hAnsi="仿宋_GB2312" w:eastAsia="仿宋_GB2312" w:cs="仿宋_GB2312"/>
          <w:color w:val="auto"/>
          <w:sz w:val="32"/>
          <w:szCs w:val="32"/>
          <w:lang w:val="en-US" w:eastAsia="zh-CN"/>
        </w:rPr>
        <w:t>做好</w:t>
      </w:r>
      <w:r>
        <w:rPr>
          <w:rFonts w:hint="eastAsia" w:ascii="仿宋_GB2312" w:hAnsi="仿宋_GB2312" w:eastAsia="仿宋_GB2312" w:cs="仿宋_GB2312"/>
          <w:color w:val="auto"/>
          <w:sz w:val="32"/>
          <w:szCs w:val="32"/>
          <w:lang w:eastAsia="zh-CN"/>
        </w:rPr>
        <w:t>防渗措施并设置导流槽与集液池。</w:t>
      </w:r>
      <w:r>
        <w:rPr>
          <w:rFonts w:hint="eastAsia" w:ascii="仿宋_GB2312" w:hAnsi="仿宋_GB2312" w:eastAsia="仿宋_GB2312" w:cs="仿宋_GB2312"/>
          <w:color w:val="auto"/>
          <w:sz w:val="32"/>
          <w:szCs w:val="32"/>
        </w:rPr>
        <w:t>项目总投资</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，全部为</w:t>
      </w:r>
      <w:r>
        <w:rPr>
          <w:rFonts w:hint="eastAsia" w:ascii="仿宋_GB2312" w:hAnsi="仿宋_GB2312" w:eastAsia="仿宋_GB2312" w:cs="仿宋_GB2312"/>
          <w:color w:val="auto"/>
          <w:sz w:val="32"/>
          <w:szCs w:val="32"/>
        </w:rPr>
        <w:t>环保投资</w:t>
      </w:r>
      <w:r>
        <w:rPr>
          <w:rFonts w:hint="eastAsia" w:ascii="仿宋_GB2312" w:hAnsi="仿宋_GB2312" w:eastAsia="仿宋_GB2312" w:cs="仿宋_GB2312"/>
          <w:color w:val="auto"/>
          <w:sz w:val="32"/>
          <w:szCs w:val="32"/>
          <w:lang w:eastAsia="zh-CN"/>
        </w:rPr>
        <w:t>。</w:t>
      </w:r>
    </w:p>
    <w:p w14:paraId="4C2CEE2C">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报告表》认为，在全面落实各项生态环境保护和环境污染防治措施的前提下，项目建设对环境的不利影响能够得到一定的缓解和控制。因此，我局原则同意你公司按照《报告表》中所列的建设项目性质、规模、地点、环境保护措施进行建设。</w:t>
      </w:r>
    </w:p>
    <w:p w14:paraId="61EF3AD5">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二、项目建设与运行管理中应重点做好的工作</w:t>
      </w:r>
    </w:p>
    <w:p w14:paraId="78B15BB0">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1.加强施工期环境管理，应严格按照设计要求施工，尽可能缩小施工活动范围，并及时采取场地洒水等措施。施工期产生的废水和固体废弃物须集中收集后统一处置。</w:t>
      </w:r>
    </w:p>
    <w:p w14:paraId="4B725A3B">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2.认真落实《报告表》提出的各项大气污染防治措施。厂界非甲烷总烃无组织排放须满足《大气污染物综合排放标准》（GB16297-1996）非甲烷总烃无组织排放监控浓度限值。</w:t>
      </w:r>
    </w:p>
    <w:p w14:paraId="5C82F22D">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3.厂区地面须按相关要求做好防渗措施，并建立完善的地下水监测制度，确保不会对地下水造成影响。</w:t>
      </w:r>
    </w:p>
    <w:p w14:paraId="0EBBA2CE">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4. 应采取妥善控制措施，确保厂界噪声满足《工业企业厂界环境噪声排放标准》（GB12348-2008）2类标准要求。</w:t>
      </w:r>
    </w:p>
    <w:p w14:paraId="2A9E344C">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5.运营期产生的危险废物暂存于本项目危废库内，最终交由有资质的单位处置。危废暂存库须严格按照《危险废物贮存污染控制标准》（GB18597-2023）要求进行设计、建设和管理。非正常情况下泄漏的废液通过导流槽进入集液池中，收集后交由有资质单位处置。</w:t>
      </w:r>
    </w:p>
    <w:p w14:paraId="34B4CD7A">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default" w:ascii="仿宋_GB2312" w:hAnsi="仿宋" w:eastAsia="仿宋_GB2312"/>
          <w:color w:val="auto"/>
          <w:sz w:val="32"/>
          <w:lang w:val="en-US" w:eastAsia="zh-CN"/>
        </w:rPr>
      </w:pPr>
      <w:r>
        <w:rPr>
          <w:rFonts w:hint="eastAsia" w:ascii="仿宋_GB2312" w:hAnsi="仿宋" w:eastAsia="仿宋_GB2312"/>
          <w:color w:val="auto"/>
          <w:sz w:val="32"/>
          <w:lang w:val="en-US" w:eastAsia="zh-CN"/>
        </w:rPr>
        <w:t>6. 强化环境风险防范。制定环境风险应急预案，落实环境风险事故防范措施，提高事故风险防范和污染控制能力。</w:t>
      </w:r>
    </w:p>
    <w:p w14:paraId="238A4454">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rPr>
      </w:pPr>
      <w:r>
        <w:rPr>
          <w:rFonts w:hint="eastAsia" w:ascii="仿宋_GB2312" w:hAnsi="仿宋" w:eastAsia="仿宋_GB2312"/>
          <w:color w:val="auto"/>
          <w:sz w:val="32"/>
          <w:lang w:val="en-US" w:eastAsia="zh-CN"/>
        </w:rPr>
        <w:t>三</w:t>
      </w:r>
      <w:r>
        <w:rPr>
          <w:rFonts w:hint="eastAsia" w:ascii="仿宋_GB2312" w:hAnsi="仿宋" w:eastAsia="仿宋_GB2312"/>
          <w:color w:val="auto"/>
          <w:sz w:val="32"/>
        </w:rPr>
        <w:t>、项</w:t>
      </w:r>
      <w:r>
        <w:rPr>
          <w:rFonts w:hint="eastAsia" w:ascii="仿宋_GB2312" w:hAnsi="仿宋" w:eastAsia="仿宋_GB2312"/>
          <w:color w:val="auto"/>
          <w:sz w:val="32"/>
          <w:lang w:eastAsia="zh-CN"/>
        </w:rPr>
        <w:t>目建设必须严格执行环境保护“三同时”制度。项目竣工后，须按照规定程序实施竣工环境保护验收</w:t>
      </w:r>
      <w:r>
        <w:rPr>
          <w:rFonts w:hint="eastAsia" w:ascii="仿宋_GB2312" w:hAnsi="仿宋" w:eastAsia="仿宋_GB2312"/>
          <w:color w:val="auto"/>
          <w:sz w:val="32"/>
        </w:rPr>
        <w:t>。</w:t>
      </w:r>
    </w:p>
    <w:p w14:paraId="0C0E298C">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lang w:val="en-US" w:eastAsia="zh-CN"/>
        </w:rPr>
      </w:pPr>
      <w:r>
        <w:rPr>
          <w:rFonts w:hint="eastAsia" w:ascii="仿宋_GB2312" w:hAnsi="仿宋" w:eastAsia="仿宋_GB2312"/>
          <w:color w:val="auto"/>
          <w:sz w:val="32"/>
          <w:lang w:val="en-US" w:eastAsia="zh-CN"/>
        </w:rPr>
        <w:t>四</w:t>
      </w:r>
      <w:r>
        <w:rPr>
          <w:rFonts w:hint="eastAsia" w:ascii="仿宋_GB2312" w:hAnsi="仿宋" w:eastAsia="仿宋_GB2312"/>
          <w:color w:val="auto"/>
          <w:sz w:val="32"/>
          <w:lang w:eastAsia="zh-CN"/>
        </w:rPr>
        <w:t>、</w:t>
      </w:r>
      <w:r>
        <w:rPr>
          <w:rFonts w:hint="eastAsia" w:ascii="仿宋_GB2312" w:hAnsi="仿宋" w:eastAsia="仿宋_GB2312"/>
          <w:sz w:val="32"/>
          <w:lang w:val="en-US" w:eastAsia="zh-CN"/>
        </w:rPr>
        <w:t>由鄂尔多斯市生态环境综合行政执法支队鄂托克旗大队负责该项目的日常监管工作。</w:t>
      </w:r>
    </w:p>
    <w:p w14:paraId="002EEC17">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lang w:eastAsia="zh-CN"/>
        </w:rPr>
      </w:pPr>
      <w:r>
        <w:rPr>
          <w:rFonts w:hint="eastAsia" w:ascii="仿宋_GB2312" w:hAnsi="仿宋" w:eastAsia="仿宋_GB2312"/>
          <w:color w:val="auto"/>
          <w:sz w:val="32"/>
          <w:lang w:val="en-US" w:eastAsia="zh-CN"/>
        </w:rPr>
        <w:t>五</w:t>
      </w:r>
      <w:r>
        <w:rPr>
          <w:rFonts w:hint="eastAsia" w:ascii="仿宋_GB2312" w:hAnsi="仿宋" w:eastAsia="仿宋_GB2312"/>
          <w:color w:val="auto"/>
          <w:sz w:val="32"/>
        </w:rPr>
        <w:t>、该项目从批准之日起超过5年方决定开工建设，其环评文件应重新审核。如果建设地点、规模、</w:t>
      </w:r>
      <w:r>
        <w:rPr>
          <w:rFonts w:hint="eastAsia" w:ascii="仿宋_GB2312" w:hAnsi="仿宋" w:eastAsia="仿宋_GB2312"/>
          <w:color w:val="auto"/>
          <w:sz w:val="32"/>
          <w:lang w:eastAsia="zh-CN"/>
        </w:rPr>
        <w:t>工艺、</w:t>
      </w:r>
      <w:r>
        <w:rPr>
          <w:rFonts w:hint="eastAsia" w:ascii="仿宋_GB2312" w:hAnsi="仿宋" w:eastAsia="仿宋_GB2312"/>
          <w:color w:val="auto"/>
          <w:sz w:val="32"/>
        </w:rPr>
        <w:t>防治污染和防止生态破坏的措施等发生重大变化时，需重新报批环评文件</w:t>
      </w:r>
      <w:r>
        <w:rPr>
          <w:rFonts w:hint="eastAsia" w:ascii="仿宋_GB2312" w:hAnsi="仿宋" w:eastAsia="仿宋_GB2312"/>
          <w:color w:val="auto"/>
          <w:sz w:val="32"/>
          <w:lang w:eastAsia="zh-CN"/>
        </w:rPr>
        <w:t>。</w:t>
      </w:r>
    </w:p>
    <w:p w14:paraId="1A6D608F">
      <w:pPr>
        <w:pStyle w:val="2"/>
        <w:rPr>
          <w:rFonts w:hint="eastAsia" w:ascii="仿宋_GB2312" w:hAnsi="仿宋" w:eastAsia="仿宋_GB2312"/>
          <w:color w:val="auto"/>
          <w:sz w:val="32"/>
          <w:lang w:eastAsia="zh-CN"/>
        </w:rPr>
      </w:pPr>
    </w:p>
    <w:p w14:paraId="6C47099B">
      <w:pPr>
        <w:pStyle w:val="2"/>
        <w:rPr>
          <w:rFonts w:hint="eastAsia" w:ascii="仿宋_GB2312" w:hAnsi="仿宋" w:eastAsia="仿宋_GB2312"/>
          <w:color w:val="auto"/>
          <w:sz w:val="32"/>
          <w:lang w:eastAsia="zh-CN"/>
        </w:rPr>
      </w:pPr>
    </w:p>
    <w:p w14:paraId="4602F630">
      <w:pPr>
        <w:pStyle w:val="2"/>
        <w:rPr>
          <w:rFonts w:hint="eastAsia" w:ascii="仿宋_GB2312" w:hAnsi="仿宋" w:eastAsia="仿宋_GB2312"/>
          <w:color w:val="auto"/>
          <w:sz w:val="32"/>
          <w:lang w:eastAsia="zh-CN"/>
        </w:rPr>
      </w:pPr>
    </w:p>
    <w:p w14:paraId="0AB38D45">
      <w:pPr>
        <w:pStyle w:val="2"/>
        <w:rPr>
          <w:rFonts w:hint="eastAsia" w:ascii="仿宋_GB2312" w:hAnsi="仿宋" w:eastAsia="仿宋_GB2312"/>
          <w:color w:val="auto"/>
          <w:sz w:val="32"/>
          <w:lang w:eastAsia="zh-CN"/>
        </w:rPr>
      </w:pPr>
    </w:p>
    <w:p w14:paraId="65F220CE">
      <w:pPr>
        <w:pStyle w:val="2"/>
        <w:rPr>
          <w:rFonts w:hint="eastAsia" w:ascii="仿宋_GB2312" w:hAnsi="仿宋" w:eastAsia="仿宋_GB2312"/>
          <w:color w:val="auto"/>
          <w:sz w:val="32"/>
          <w:lang w:eastAsia="zh-CN"/>
        </w:rPr>
      </w:pPr>
    </w:p>
    <w:p w14:paraId="52E2B4BE">
      <w:pPr>
        <w:pStyle w:val="2"/>
        <w:rPr>
          <w:rFonts w:hint="eastAsia" w:ascii="仿宋_GB2312" w:hAnsi="仿宋" w:eastAsia="仿宋_GB2312"/>
          <w:color w:val="auto"/>
          <w:sz w:val="32"/>
          <w:lang w:eastAsia="zh-CN"/>
        </w:rPr>
      </w:pPr>
    </w:p>
    <w:p w14:paraId="31B3469E">
      <w:pPr>
        <w:pStyle w:val="2"/>
        <w:rPr>
          <w:rFonts w:hint="eastAsia" w:ascii="仿宋_GB2312" w:hAnsi="仿宋" w:eastAsia="仿宋_GB2312"/>
          <w:color w:val="auto"/>
          <w:sz w:val="32"/>
          <w:lang w:eastAsia="zh-CN"/>
        </w:rPr>
      </w:pPr>
    </w:p>
    <w:p w14:paraId="677FF3E0">
      <w:pPr>
        <w:pStyle w:val="2"/>
        <w:rPr>
          <w:rFonts w:hint="eastAsia" w:ascii="仿宋_GB2312" w:hAnsi="仿宋" w:eastAsia="仿宋_GB2312"/>
          <w:color w:val="auto"/>
          <w:sz w:val="32"/>
          <w:lang w:eastAsia="zh-CN"/>
        </w:rPr>
      </w:pPr>
    </w:p>
    <w:p w14:paraId="53D998D0">
      <w:pPr>
        <w:pStyle w:val="2"/>
        <w:rPr>
          <w:rFonts w:hint="eastAsia" w:ascii="仿宋_GB2312" w:hAnsi="仿宋" w:eastAsia="仿宋_GB2312"/>
          <w:color w:val="auto"/>
          <w:sz w:val="32"/>
          <w:lang w:eastAsia="zh-CN"/>
        </w:rPr>
      </w:pPr>
    </w:p>
    <w:p w14:paraId="76ADB4A0">
      <w:pPr>
        <w:pStyle w:val="2"/>
        <w:rPr>
          <w:rFonts w:hint="eastAsia" w:ascii="仿宋_GB2312" w:hAnsi="仿宋" w:eastAsia="仿宋_GB2312"/>
          <w:color w:val="auto"/>
          <w:sz w:val="32"/>
          <w:lang w:eastAsia="zh-CN"/>
        </w:rPr>
      </w:pPr>
    </w:p>
    <w:p w14:paraId="092B0F8F">
      <w:pPr>
        <w:pStyle w:val="2"/>
        <w:rPr>
          <w:rFonts w:hint="eastAsia" w:ascii="仿宋_GB2312" w:hAnsi="仿宋" w:eastAsia="仿宋_GB2312"/>
          <w:color w:val="auto"/>
          <w:sz w:val="32"/>
          <w:lang w:eastAsia="zh-CN"/>
        </w:rPr>
      </w:pPr>
    </w:p>
    <w:p w14:paraId="3C5C8036">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640" w:firstLineChars="200"/>
        <w:textAlignment w:val="auto"/>
        <w:outlineLvl w:val="9"/>
        <w:rPr>
          <w:rFonts w:hint="eastAsia" w:ascii="仿宋_GB2312" w:hAnsi="仿宋" w:eastAsia="仿宋_GB2312"/>
          <w:color w:val="auto"/>
          <w:sz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 w:eastAsia="仿宋_GB2312"/>
          <w:color w:val="auto"/>
          <w:sz w:val="32"/>
          <w:lang w:eastAsia="zh-CN"/>
        </w:rPr>
        <w:t>鄂尔多斯市生态环境局</w:t>
      </w:r>
      <w:r>
        <w:rPr>
          <w:rFonts w:hint="eastAsia" w:ascii="仿宋_GB2312" w:hAnsi="仿宋" w:eastAsia="仿宋_GB2312"/>
          <w:color w:val="auto"/>
          <w:sz w:val="32"/>
        </w:rPr>
        <w:t>鄂托克旗</w:t>
      </w:r>
      <w:r>
        <w:rPr>
          <w:rFonts w:hint="eastAsia" w:ascii="仿宋_GB2312" w:hAnsi="仿宋" w:eastAsia="仿宋_GB2312"/>
          <w:color w:val="auto"/>
          <w:sz w:val="32"/>
          <w:lang w:eastAsia="zh-CN"/>
        </w:rPr>
        <w:t>分</w:t>
      </w:r>
      <w:r>
        <w:rPr>
          <w:rFonts w:hint="eastAsia" w:ascii="仿宋_GB2312" w:hAnsi="仿宋" w:eastAsia="仿宋_GB2312"/>
          <w:color w:val="auto"/>
          <w:sz w:val="32"/>
        </w:rPr>
        <w:t>局</w:t>
      </w:r>
    </w:p>
    <w:p w14:paraId="064D501C">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ascii="仿宋_GB2312" w:hAnsi="仿宋" w:eastAsia="仿宋_GB2312"/>
          <w:color w:val="auto"/>
          <w:sz w:val="32"/>
        </w:rPr>
      </w:pPr>
      <w:r>
        <w:rPr>
          <w:rFonts w:hint="eastAsia" w:ascii="仿宋_GB2312" w:hAnsi="仿宋" w:eastAsia="仿宋_GB2312"/>
          <w:color w:val="auto"/>
          <w:sz w:val="32"/>
        </w:rPr>
        <w:t xml:space="preserve">                               20</w:t>
      </w:r>
      <w:r>
        <w:rPr>
          <w:rFonts w:hint="eastAsia" w:ascii="仿宋_GB2312" w:hAnsi="仿宋" w:eastAsia="仿宋_GB2312"/>
          <w:color w:val="auto"/>
          <w:sz w:val="32"/>
          <w:lang w:val="en-US" w:eastAsia="zh-CN"/>
        </w:rPr>
        <w:t>24</w:t>
      </w:r>
      <w:r>
        <w:rPr>
          <w:rFonts w:hint="eastAsia" w:ascii="仿宋_GB2312" w:hAnsi="仿宋" w:eastAsia="仿宋_GB2312"/>
          <w:color w:val="auto"/>
          <w:sz w:val="32"/>
        </w:rPr>
        <w:t>年</w:t>
      </w:r>
      <w:r>
        <w:rPr>
          <w:rFonts w:hint="eastAsia" w:ascii="仿宋_GB2312" w:hAnsi="仿宋" w:eastAsia="仿宋_GB2312"/>
          <w:color w:val="auto"/>
          <w:sz w:val="32"/>
          <w:lang w:val="en-US" w:eastAsia="zh-CN"/>
        </w:rPr>
        <w:t>10</w:t>
      </w:r>
      <w:r>
        <w:rPr>
          <w:rFonts w:hint="eastAsia" w:ascii="仿宋_GB2312" w:hAnsi="仿宋" w:eastAsia="仿宋_GB2312"/>
          <w:color w:val="auto"/>
          <w:sz w:val="32"/>
        </w:rPr>
        <w:t>月</w:t>
      </w:r>
      <w:r>
        <w:rPr>
          <w:rFonts w:hint="eastAsia" w:ascii="仿宋_GB2312" w:hAnsi="仿宋" w:eastAsia="仿宋_GB2312"/>
          <w:color w:val="auto"/>
          <w:sz w:val="32"/>
          <w:lang w:val="en-US" w:eastAsia="zh-CN"/>
        </w:rPr>
        <w:t>17</w:t>
      </w:r>
      <w:r>
        <w:rPr>
          <w:rFonts w:hint="eastAsia" w:ascii="仿宋_GB2312" w:hAnsi="仿宋" w:eastAsia="仿宋_GB2312"/>
          <w:color w:val="auto"/>
          <w:sz w:val="32"/>
        </w:rPr>
        <w:t>日</w:t>
      </w:r>
    </w:p>
    <w:p w14:paraId="10D9366D">
      <w:pPr>
        <w:pStyle w:val="2"/>
        <w:rPr>
          <w:rFonts w:hint="eastAsia" w:ascii="仿宋_GB2312" w:hAnsi="仿宋" w:eastAsia="仿宋_GB2312"/>
          <w:color w:val="auto"/>
          <w:sz w:val="32"/>
        </w:rPr>
      </w:pPr>
    </w:p>
    <w:p w14:paraId="4BDBCDC3">
      <w:pPr>
        <w:pStyle w:val="2"/>
        <w:rPr>
          <w:rFonts w:hint="eastAsia" w:ascii="仿宋_GB2312" w:hAnsi="仿宋" w:eastAsia="仿宋_GB2312"/>
          <w:color w:val="auto"/>
          <w:sz w:val="32"/>
        </w:rPr>
      </w:pPr>
    </w:p>
    <w:p w14:paraId="0BABF624">
      <w:pPr>
        <w:pStyle w:val="2"/>
        <w:rPr>
          <w:rFonts w:hint="eastAsia" w:ascii="仿宋_GB2312" w:hAnsi="仿宋" w:eastAsia="仿宋_GB2312"/>
          <w:color w:val="auto"/>
          <w:sz w:val="32"/>
        </w:rPr>
      </w:pPr>
    </w:p>
    <w:p w14:paraId="33BC53A6">
      <w:pPr>
        <w:pStyle w:val="2"/>
        <w:rPr>
          <w:rFonts w:hint="eastAsia" w:ascii="仿宋_GB2312" w:hAnsi="仿宋" w:eastAsia="仿宋_GB2312"/>
          <w:color w:val="auto"/>
          <w:sz w:val="32"/>
        </w:rPr>
      </w:pPr>
    </w:p>
    <w:p w14:paraId="7C181699">
      <w:pPr>
        <w:pStyle w:val="2"/>
        <w:rPr>
          <w:rFonts w:hint="eastAsia" w:ascii="仿宋_GB2312" w:hAnsi="仿宋" w:eastAsia="仿宋_GB2312"/>
          <w:color w:val="auto"/>
          <w:sz w:val="32"/>
        </w:rPr>
      </w:pPr>
    </w:p>
    <w:p w14:paraId="069159DE">
      <w:pPr>
        <w:pStyle w:val="2"/>
        <w:rPr>
          <w:rFonts w:hint="eastAsia" w:ascii="仿宋_GB2312" w:hAnsi="仿宋" w:eastAsia="仿宋_GB2312"/>
          <w:color w:val="auto"/>
          <w:sz w:val="32"/>
        </w:rPr>
      </w:pPr>
    </w:p>
    <w:p w14:paraId="115231A0">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pPr>
      <w:r>
        <w:rPr>
          <w:rFonts w:hint="eastAsia" w:ascii="仿宋_GB2312" w:hAnsi="仿宋_GB2312" w:eastAsia="仿宋_GB2312" w:cs="仿宋_GB2312"/>
          <w:b/>
          <w:color w:val="auto"/>
          <w:sz w:val="32"/>
          <w:u w:val="single"/>
        </w:rPr>
        <w:t xml:space="preserve">                                                     </w:t>
      </w:r>
      <w:r>
        <w:rPr>
          <w:rFonts w:hint="eastAsia" w:ascii="仿宋_GB2312" w:hAnsi="仿宋_GB2312" w:eastAsia="仿宋_GB2312" w:cs="仿宋_GB2312"/>
          <w:b/>
          <w:color w:val="auto"/>
          <w:sz w:val="32"/>
          <w:u w:val="single"/>
          <w:lang w:val="en-US" w:eastAsia="zh-CN"/>
        </w:rPr>
        <w:t xml:space="preserve"> </w:t>
      </w:r>
      <w:r>
        <w:rPr>
          <w:rFonts w:hint="eastAsia" w:ascii="仿宋_GB2312" w:hAnsi="仿宋_GB2312" w:eastAsia="仿宋_GB2312" w:cs="仿宋_GB2312"/>
          <w:b/>
          <w:color w:val="auto"/>
          <w:sz w:val="32"/>
          <w:u w:val="single"/>
        </w:rPr>
        <w:t xml:space="preserve">   </w:t>
      </w:r>
      <w:r>
        <w:rPr>
          <w:rFonts w:hint="eastAsia" w:ascii="仿宋_GB2312" w:hAnsi="仿宋_GB2312" w:eastAsia="仿宋_GB2312" w:cs="仿宋_GB2312"/>
          <w:color w:val="auto"/>
          <w:sz w:val="32"/>
          <w:u w:val="single"/>
          <w:lang w:eastAsia="zh-CN"/>
        </w:rPr>
        <w:t>鄂尔多斯市生态环境局</w:t>
      </w:r>
      <w:r>
        <w:rPr>
          <w:rFonts w:hint="eastAsia" w:ascii="仿宋_GB2312" w:hAnsi="仿宋_GB2312" w:eastAsia="仿宋_GB2312" w:cs="仿宋_GB2312"/>
          <w:color w:val="auto"/>
          <w:sz w:val="32"/>
          <w:u w:val="single"/>
        </w:rPr>
        <w:t>鄂托克旗</w:t>
      </w:r>
      <w:r>
        <w:rPr>
          <w:rFonts w:hint="eastAsia" w:ascii="仿宋_GB2312" w:hAnsi="仿宋_GB2312" w:eastAsia="仿宋_GB2312" w:cs="仿宋_GB2312"/>
          <w:color w:val="auto"/>
          <w:sz w:val="32"/>
          <w:u w:val="single"/>
          <w:lang w:eastAsia="zh-CN"/>
        </w:rPr>
        <w:t>分</w:t>
      </w:r>
      <w:r>
        <w:rPr>
          <w:rFonts w:hint="eastAsia" w:ascii="仿宋_GB2312" w:hAnsi="仿宋_GB2312" w:eastAsia="仿宋_GB2312" w:cs="仿宋_GB2312"/>
          <w:color w:val="auto"/>
          <w:sz w:val="32"/>
          <w:u w:val="single"/>
        </w:rPr>
        <w:t>局</w:t>
      </w:r>
      <w:r>
        <w:rPr>
          <w:rFonts w:hint="eastAsia" w:ascii="仿宋_GB2312" w:hAnsi="仿宋_GB2312" w:eastAsia="仿宋_GB2312" w:cs="仿宋_GB2312"/>
          <w:color w:val="auto"/>
          <w:sz w:val="32"/>
          <w:u w:val="single"/>
          <w:lang w:val="en-US" w:eastAsia="zh-CN"/>
        </w:rPr>
        <w:t xml:space="preserve">   </w:t>
      </w:r>
      <w:r>
        <w:rPr>
          <w:rFonts w:hint="eastAsia" w:ascii="仿宋_GB2312" w:hAnsi="仿宋_GB2312" w:eastAsia="仿宋_GB2312" w:cs="仿宋_GB2312"/>
          <w:color w:val="auto"/>
          <w:sz w:val="32"/>
          <w:u w:val="single"/>
        </w:rPr>
        <w:t>20</w:t>
      </w:r>
      <w:r>
        <w:rPr>
          <w:rFonts w:hint="eastAsia" w:ascii="仿宋_GB2312" w:hAnsi="仿宋_GB2312" w:eastAsia="仿宋_GB2312" w:cs="仿宋_GB2312"/>
          <w:color w:val="auto"/>
          <w:sz w:val="32"/>
          <w:u w:val="single"/>
          <w:lang w:val="en-US" w:eastAsia="zh-CN"/>
        </w:rPr>
        <w:t>24</w:t>
      </w:r>
      <w:r>
        <w:rPr>
          <w:rFonts w:hint="eastAsia" w:ascii="仿宋_GB2312" w:hAnsi="仿宋_GB2312" w:eastAsia="仿宋_GB2312" w:cs="仿宋_GB2312"/>
          <w:color w:val="auto"/>
          <w:sz w:val="32"/>
          <w:u w:val="single"/>
        </w:rPr>
        <w:t>年</w:t>
      </w:r>
      <w:r>
        <w:rPr>
          <w:rFonts w:hint="eastAsia" w:ascii="仿宋_GB2312" w:hAnsi="仿宋_GB2312" w:eastAsia="仿宋_GB2312" w:cs="仿宋_GB2312"/>
          <w:color w:val="auto"/>
          <w:sz w:val="32"/>
          <w:u w:val="single"/>
          <w:lang w:val="en-US" w:eastAsia="zh-CN"/>
        </w:rPr>
        <w:t>10</w:t>
      </w:r>
      <w:r>
        <w:rPr>
          <w:rFonts w:hint="eastAsia" w:ascii="仿宋_GB2312" w:hAnsi="仿宋_GB2312" w:eastAsia="仿宋_GB2312" w:cs="仿宋_GB2312"/>
          <w:color w:val="auto"/>
          <w:sz w:val="32"/>
          <w:u w:val="single"/>
        </w:rPr>
        <w:t>月</w:t>
      </w:r>
      <w:r>
        <w:rPr>
          <w:rFonts w:hint="eastAsia" w:ascii="仿宋_GB2312" w:hAnsi="仿宋_GB2312" w:eastAsia="仿宋_GB2312" w:cs="仿宋_GB2312"/>
          <w:color w:val="auto"/>
          <w:sz w:val="32"/>
          <w:u w:val="single"/>
          <w:lang w:val="en-US" w:eastAsia="zh-CN"/>
        </w:rPr>
        <w:t>17</w:t>
      </w:r>
      <w:r>
        <w:rPr>
          <w:rFonts w:hint="eastAsia" w:ascii="仿宋_GB2312" w:hAnsi="仿宋_GB2312" w:eastAsia="仿宋_GB2312" w:cs="仿宋_GB2312"/>
          <w:color w:val="auto"/>
          <w:sz w:val="32"/>
          <w:u w:val="single"/>
        </w:rPr>
        <w:t>日印发</w:t>
      </w:r>
      <w:r>
        <w:rPr>
          <w:rFonts w:hint="eastAsia" w:ascii="仿宋_GB2312" w:hAnsi="仿宋_GB2312" w:eastAsia="仿宋_GB2312" w:cs="仿宋_GB2312"/>
          <w:color w:val="auto"/>
          <w:sz w:val="32"/>
          <w:u w:val="single"/>
          <w:lang w:val="en-US" w:eastAsia="zh-CN"/>
        </w:rPr>
        <w:t xml:space="preserve">  </w:t>
      </w:r>
      <w:r>
        <w:rPr>
          <w:rFonts w:hint="eastAsia" w:ascii="仿宋_GB2312" w:hAnsi="仿宋_GB2312" w:eastAsia="仿宋_GB2312" w:cs="仿宋_GB2312"/>
          <w:color w:val="auto"/>
          <w:sz w:val="32"/>
          <w:u w:val="single"/>
        </w:rPr>
        <w:t xml:space="preserve"> </w:t>
      </w:r>
      <w:r>
        <w:rPr>
          <w:rFonts w:hint="eastAsia" w:ascii="仿宋" w:hAnsi="仿宋" w:eastAsia="仿宋"/>
          <w:color w:val="auto"/>
          <w:sz w:val="32"/>
        </w:rPr>
        <w:t xml:space="preserve">  </w:t>
      </w:r>
    </w:p>
    <w:sectPr>
      <w:pgSz w:w="11906" w:h="16838"/>
      <w:pgMar w:top="1304" w:right="1418" w:bottom="130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wNWM1OGEyNjc3OTk1Y2Y5ZmU2OTY1Y2U3NWJmYTIifQ=="/>
  </w:docVars>
  <w:rsids>
    <w:rsidRoot w:val="66F24860"/>
    <w:rsid w:val="06696793"/>
    <w:rsid w:val="086B1627"/>
    <w:rsid w:val="13A10980"/>
    <w:rsid w:val="1A117CC1"/>
    <w:rsid w:val="1FE835E5"/>
    <w:rsid w:val="200E0A62"/>
    <w:rsid w:val="32D0395D"/>
    <w:rsid w:val="33591CFB"/>
    <w:rsid w:val="35EB5329"/>
    <w:rsid w:val="3A563FC1"/>
    <w:rsid w:val="3AF00B0D"/>
    <w:rsid w:val="43481C24"/>
    <w:rsid w:val="45404081"/>
    <w:rsid w:val="47027167"/>
    <w:rsid w:val="4C2406D2"/>
    <w:rsid w:val="4EEE56C9"/>
    <w:rsid w:val="54253CDE"/>
    <w:rsid w:val="575B358C"/>
    <w:rsid w:val="5E766AE8"/>
    <w:rsid w:val="66F24860"/>
    <w:rsid w:val="6A332E3C"/>
    <w:rsid w:val="6BC77D0A"/>
    <w:rsid w:val="6C420843"/>
    <w:rsid w:val="7D410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Indent"/>
    <w:basedOn w:val="1"/>
    <w:next w:val="4"/>
    <w:qFormat/>
    <w:uiPriority w:val="0"/>
    <w:pPr>
      <w:adjustRightInd w:val="0"/>
      <w:spacing w:line="480" w:lineRule="atLeast"/>
      <w:ind w:firstLine="595"/>
      <w:textAlignment w:val="baseline"/>
    </w:pPr>
    <w:rPr>
      <w:kern w:val="0"/>
      <w:sz w:val="28"/>
    </w:rPr>
  </w:style>
  <w:style w:type="paragraph" w:styleId="4">
    <w:name w:val="Body Text First Indent 2"/>
    <w:basedOn w:val="5"/>
    <w:next w:val="1"/>
    <w:qFormat/>
    <w:uiPriority w:val="0"/>
    <w:pPr>
      <w:spacing w:after="120" w:afterLines="0" w:line="240" w:lineRule="auto"/>
      <w:ind w:left="420" w:leftChars="200" w:firstLine="420" w:firstLineChars="200"/>
    </w:pPr>
    <w:rPr>
      <w:sz w:val="21"/>
    </w:rPr>
  </w:style>
  <w:style w:type="paragraph" w:styleId="5">
    <w:name w:val="Body Text Indent"/>
    <w:basedOn w:val="1"/>
    <w:next w:val="1"/>
    <w:qFormat/>
    <w:uiPriority w:val="0"/>
    <w:pPr>
      <w:spacing w:line="300" w:lineRule="exact"/>
      <w:ind w:firstLine="538"/>
    </w:pPr>
    <w:rPr>
      <w:sz w:val="21"/>
    </w:rPr>
  </w:style>
  <w:style w:type="paragraph" w:styleId="6">
    <w:name w:val="annotation text"/>
    <w:basedOn w:val="1"/>
    <w:qFormat/>
    <w:uiPriority w:val="0"/>
    <w:pPr>
      <w:jc w:val="left"/>
    </w:pPr>
  </w:style>
  <w:style w:type="paragraph" w:customStyle="1" w:styleId="9">
    <w:name w:val="样式 正文缩进正文缩进2正文缩进 Char Char正文缩进 Char Char Char Char正文缩进 Char ..."/>
    <w:basedOn w:val="3"/>
    <w:qFormat/>
    <w:uiPriority w:val="0"/>
    <w:pPr>
      <w:spacing w:line="360" w:lineRule="auto"/>
      <w:ind w:firstLine="200"/>
    </w:pPr>
    <w:rPr>
      <w:rFonts w:cs="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1101</Words>
  <Characters>1173</Characters>
  <Lines>0</Lines>
  <Paragraphs>0</Paragraphs>
  <TotalTime>8</TotalTime>
  <ScaleCrop>false</ScaleCrop>
  <LinksUpToDate>false</LinksUpToDate>
  <CharactersWithSpaces>1291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2022-06-15T10:21:00Z</dcterms:created>
  <dc:creator>ᠡᠪᠥᠯᠴᠡᠴᠡᠭ冬梅</dc:creator>
  <cp:lastModifiedBy>YANGYU</cp:lastModifiedBy>
  <cp:lastPrinted>2024-10-16T08:20:52Z</cp:lastPrinted>
  <dcterms:modified xsi:type="dcterms:W3CDTF">2024-10-16T08:22:48Z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12BFA98B0FCF4B8A90880B26700CEE9C_13</vt:lpwstr>
  </property>
</Properties>
</file>