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67D7A">
      <w:pPr>
        <w:spacing w:line="640" w:lineRule="exact"/>
        <w:jc w:val="center"/>
        <w:rPr>
          <w:rFonts w:hint="eastAsia" w:ascii="仿宋" w:hAnsi="仿宋" w:eastAsia="仿宋"/>
          <w:b/>
          <w:sz w:val="44"/>
        </w:rPr>
      </w:pPr>
    </w:p>
    <w:p w14:paraId="230BF39E">
      <w:pPr>
        <w:spacing w:line="640" w:lineRule="exact"/>
        <w:jc w:val="center"/>
        <w:rPr>
          <w:rFonts w:hint="eastAsia" w:ascii="仿宋" w:hAnsi="仿宋" w:eastAsia="仿宋"/>
          <w:b/>
          <w:sz w:val="44"/>
        </w:rPr>
      </w:pPr>
    </w:p>
    <w:p w14:paraId="253CBB67">
      <w:pPr>
        <w:spacing w:line="640" w:lineRule="exact"/>
        <w:jc w:val="center"/>
        <w:rPr>
          <w:rFonts w:hint="eastAsia" w:ascii="仿宋" w:hAnsi="仿宋" w:eastAsia="仿宋"/>
          <w:b/>
          <w:sz w:val="44"/>
        </w:rPr>
      </w:pPr>
    </w:p>
    <w:p w14:paraId="2D7B3C9E">
      <w:pPr>
        <w:spacing w:line="640" w:lineRule="exact"/>
        <w:jc w:val="center"/>
        <w:rPr>
          <w:rFonts w:hint="eastAsia" w:ascii="仿宋" w:hAnsi="仿宋" w:eastAsia="仿宋"/>
          <w:b/>
          <w:sz w:val="44"/>
        </w:rPr>
      </w:pPr>
    </w:p>
    <w:p w14:paraId="30B740D1">
      <w:pPr>
        <w:spacing w:line="640" w:lineRule="exact"/>
        <w:rPr>
          <w:rFonts w:hint="eastAsia" w:ascii="仿宋" w:hAnsi="仿宋" w:eastAsia="仿宋"/>
          <w:b/>
          <w:sz w:val="44"/>
        </w:rPr>
      </w:pPr>
    </w:p>
    <w:p w14:paraId="1201A364">
      <w:pPr>
        <w:spacing w:line="640" w:lineRule="exact"/>
        <w:jc w:val="center"/>
        <w:rPr>
          <w:rFonts w:hint="eastAsia" w:ascii="仿宋" w:hAnsi="仿宋" w:eastAsia="仿宋"/>
          <w:b/>
          <w:sz w:val="44"/>
        </w:rPr>
      </w:pPr>
    </w:p>
    <w:p w14:paraId="492CE35D">
      <w:pPr>
        <w:pStyle w:val="2"/>
        <w:rPr>
          <w:rFonts w:hint="eastAsia"/>
        </w:rPr>
      </w:pPr>
    </w:p>
    <w:p w14:paraId="4EE5FC2B">
      <w:pPr>
        <w:spacing w:line="640" w:lineRule="exact"/>
        <w:jc w:val="center"/>
        <w:rPr>
          <w:rFonts w:hint="eastAsia" w:ascii="仿宋" w:hAnsi="仿宋" w:eastAsia="仿宋"/>
          <w:b/>
          <w:sz w:val="44"/>
        </w:rPr>
      </w:pPr>
    </w:p>
    <w:p w14:paraId="20C8D849">
      <w:pPr>
        <w:spacing w:line="640" w:lineRule="exact"/>
        <w:rPr>
          <w:rFonts w:hint="eastAsia" w:ascii="仿宋" w:hAnsi="仿宋" w:eastAsia="仿宋"/>
          <w:sz w:val="32"/>
        </w:rPr>
      </w:pPr>
    </w:p>
    <w:p w14:paraId="194D95D2">
      <w:pPr>
        <w:spacing w:line="640" w:lineRule="exact"/>
        <w:ind w:firstLine="160" w:firstLineChars="50"/>
        <w:jc w:val="center"/>
        <w:rPr>
          <w:rFonts w:hint="eastAsia" w:ascii="仿宋_GB2312" w:hAnsi="仿宋" w:eastAsia="仿宋_GB2312"/>
          <w:sz w:val="32"/>
        </w:rPr>
      </w:pPr>
      <w:r>
        <w:rPr>
          <w:rFonts w:hint="eastAsia" w:ascii="仿宋_GB2312" w:hAnsi="仿宋" w:eastAsia="仿宋_GB2312"/>
          <w:sz w:val="32"/>
        </w:rPr>
        <w:t>鄂环</w:t>
      </w:r>
      <w:r>
        <w:rPr>
          <w:rFonts w:hint="eastAsia" w:ascii="仿宋_GB2312" w:hAnsi="仿宋" w:eastAsia="仿宋_GB2312"/>
          <w:sz w:val="32"/>
          <w:lang w:eastAsia="zh-CN"/>
        </w:rPr>
        <w:t>鄂评</w:t>
      </w:r>
      <w:r>
        <w:rPr>
          <w:rFonts w:hint="eastAsia" w:ascii="仿宋_GB2312" w:hAnsi="仿宋" w:eastAsia="仿宋_GB2312"/>
          <w:sz w:val="32"/>
        </w:rPr>
        <w:t>字[20</w:t>
      </w:r>
      <w:r>
        <w:rPr>
          <w:rFonts w:hint="eastAsia" w:ascii="仿宋_GB2312" w:hAnsi="仿宋" w:eastAsia="仿宋_GB2312"/>
          <w:color w:val="auto"/>
          <w:sz w:val="32"/>
          <w:lang w:val="en-US" w:eastAsia="zh-CN"/>
        </w:rPr>
        <w:t>25</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2</w:t>
      </w:r>
      <w:r>
        <w:rPr>
          <w:rFonts w:hint="eastAsia" w:ascii="仿宋_GB2312" w:hAnsi="仿宋" w:eastAsia="仿宋_GB2312"/>
          <w:color w:val="auto"/>
          <w:sz w:val="32"/>
        </w:rPr>
        <w:t>号</w:t>
      </w:r>
    </w:p>
    <w:p w14:paraId="75998904">
      <w:pPr>
        <w:spacing w:line="640" w:lineRule="exact"/>
        <w:jc w:val="both"/>
        <w:rPr>
          <w:rFonts w:hint="eastAsia" w:ascii="仿宋_GB2312" w:hAnsi="仿宋" w:eastAsia="仿宋_GB2312"/>
          <w:b/>
          <w:sz w:val="44"/>
        </w:rPr>
      </w:pPr>
    </w:p>
    <w:p w14:paraId="12654665">
      <w:pPr>
        <w:spacing w:line="560" w:lineRule="exact"/>
        <w:jc w:val="center"/>
        <w:rPr>
          <w:rFonts w:hint="eastAsia" w:ascii="宋体" w:hAnsi="宋体" w:eastAsia="方正小标宋简体" w:cs="宋体"/>
          <w:sz w:val="44"/>
          <w:szCs w:val="44"/>
          <w:lang w:eastAsia="zh-CN"/>
        </w:rPr>
      </w:pPr>
      <w:r>
        <w:rPr>
          <w:rFonts w:hint="eastAsia" w:ascii="宋体" w:hAnsi="宋体" w:eastAsia="方正小标宋简体" w:cs="宋体"/>
          <w:sz w:val="44"/>
          <w:szCs w:val="44"/>
        </w:rPr>
        <w:t>鄂尔多斯市生态环境局鄂托克旗分局关</w:t>
      </w:r>
      <w:r>
        <w:rPr>
          <w:rFonts w:hint="eastAsia" w:ascii="宋体" w:hAnsi="宋体" w:eastAsia="方正小标宋简体" w:cs="宋体"/>
          <w:sz w:val="44"/>
          <w:szCs w:val="44"/>
          <w:lang w:eastAsia="zh-CN"/>
        </w:rPr>
        <w:t>于</w:t>
      </w:r>
    </w:p>
    <w:p w14:paraId="206D8F76">
      <w:pPr>
        <w:spacing w:line="56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内蒙古中谷矿业有限责任公司炭材烘干系统</w:t>
      </w:r>
    </w:p>
    <w:p w14:paraId="2C11174F">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节能技改项目</w:t>
      </w:r>
      <w:r>
        <w:rPr>
          <w:rFonts w:hint="eastAsia" w:ascii="方正小标宋简体" w:hAnsi="方正小标宋简体" w:eastAsia="方正小标宋简体" w:cs="方正小标宋简体"/>
          <w:color w:val="auto"/>
          <w:sz w:val="44"/>
          <w:szCs w:val="44"/>
        </w:rPr>
        <w:t>环境影响报告表的批复</w:t>
      </w:r>
    </w:p>
    <w:p w14:paraId="0818191C">
      <w:pPr>
        <w:spacing w:line="560" w:lineRule="exact"/>
        <w:jc w:val="center"/>
        <w:rPr>
          <w:rFonts w:hint="eastAsia" w:ascii="方正小标宋简体" w:hAnsi="方正小标宋简体" w:eastAsia="方正小标宋简体" w:cs="方正小标宋简体"/>
          <w:color w:val="auto"/>
          <w:sz w:val="44"/>
          <w:szCs w:val="44"/>
        </w:rPr>
      </w:pPr>
    </w:p>
    <w:p w14:paraId="17041AF1">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jc w:val="left"/>
        <w:textAlignment w:val="auto"/>
        <w:outlineLvl w:val="9"/>
        <w:rPr>
          <w:rFonts w:hint="eastAsia" w:ascii="仿宋_GB2312" w:hAnsi="仿宋" w:eastAsia="仿宋_GB2312"/>
          <w:color w:val="auto"/>
          <w:sz w:val="32"/>
        </w:rPr>
      </w:pPr>
      <w:r>
        <w:rPr>
          <w:rFonts w:hint="eastAsia" w:ascii="仿宋_GB2312" w:hAnsi="仿宋_GB2312" w:eastAsia="仿宋_GB2312" w:cs="仿宋_GB2312"/>
          <w:color w:val="auto"/>
          <w:sz w:val="32"/>
          <w:szCs w:val="32"/>
          <w:lang w:val="en-US" w:eastAsia="zh-CN"/>
        </w:rPr>
        <w:t>内蒙古中谷矿业</w:t>
      </w:r>
      <w:r>
        <w:rPr>
          <w:rFonts w:hint="eastAsia" w:ascii="仿宋_GB2312" w:hAnsi="仿宋_GB2312" w:eastAsia="仿宋_GB2312" w:cs="仿宋_GB2312"/>
          <w:color w:val="auto"/>
          <w:sz w:val="32"/>
          <w:szCs w:val="32"/>
          <w:lang w:eastAsia="zh-CN"/>
        </w:rPr>
        <w:t>有限责任公司</w:t>
      </w:r>
      <w:r>
        <w:rPr>
          <w:rFonts w:hint="eastAsia" w:ascii="仿宋_GB2312" w:hAnsi="仿宋" w:eastAsia="仿宋_GB2312"/>
          <w:color w:val="auto"/>
          <w:sz w:val="32"/>
        </w:rPr>
        <w:t>：</w:t>
      </w:r>
    </w:p>
    <w:p w14:paraId="24C90215">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jc w:val="both"/>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你单位报送</w:t>
      </w:r>
      <w:r>
        <w:rPr>
          <w:rFonts w:hint="eastAsia" w:ascii="仿宋_GB2312" w:hAnsi="仿宋_GB2312" w:eastAsia="仿宋_GB2312" w:cs="仿宋_GB2312"/>
          <w:color w:val="auto"/>
          <w:sz w:val="32"/>
          <w:szCs w:val="32"/>
        </w:rPr>
        <w:t>的由内蒙古欣盛环保科技有限公司编制</w:t>
      </w:r>
      <w:r>
        <w:rPr>
          <w:rFonts w:hint="eastAsia" w:ascii="仿宋_GB2312" w:hAnsi="仿宋" w:eastAsia="仿宋_GB2312"/>
          <w:color w:val="auto"/>
          <w:sz w:val="32"/>
        </w:rPr>
        <w:t>的《</w:t>
      </w:r>
      <w:r>
        <w:rPr>
          <w:rFonts w:hint="eastAsia" w:ascii="仿宋_GB2312" w:hAnsi="仿宋" w:eastAsia="仿宋_GB2312"/>
          <w:color w:val="auto"/>
          <w:sz w:val="32"/>
          <w:lang w:val="en-US" w:eastAsia="zh-CN"/>
        </w:rPr>
        <w:t>内蒙古中谷矿业有限责任公司炭材烘干系统节能技改项目</w:t>
      </w:r>
      <w:r>
        <w:rPr>
          <w:rFonts w:hint="eastAsia" w:ascii="仿宋_GB2312" w:hAnsi="仿宋" w:eastAsia="仿宋_GB2312"/>
          <w:color w:val="auto"/>
          <w:sz w:val="32"/>
        </w:rPr>
        <w:t>环境影响报告表》（以下简称报告表）收悉，经审核，提出如下批复意见：</w:t>
      </w:r>
    </w:p>
    <w:p w14:paraId="3A756419">
      <w:pPr>
        <w:keepNext w:val="0"/>
        <w:keepLines w:val="0"/>
        <w:pageBreakBefore w:val="0"/>
        <w:widowControl w:val="0"/>
        <w:numPr>
          <w:ilvl w:val="0"/>
          <w:numId w:val="1"/>
        </w:numPr>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本项目位于鄂托克经济开发区蒙西产业园中谷矿业厂区内</w:t>
      </w:r>
      <w:r>
        <w:rPr>
          <w:rFonts w:hint="eastAsia" w:ascii="仿宋_GB2312" w:hAnsi="仿宋_GB2312" w:eastAsia="仿宋_GB2312" w:cs="仿宋_GB2312"/>
          <w:color w:val="auto"/>
          <w:sz w:val="32"/>
          <w:szCs w:val="32"/>
          <w:lang w:eastAsia="zh-CN"/>
        </w:rPr>
        <w:t>。项目主要对电石生产工艺中的炭材烘干环节进行技术改造，拆除现有的2#、3#</w:t>
      </w:r>
      <w:r>
        <w:rPr>
          <w:rFonts w:hint="eastAsia" w:ascii="仿宋_GB2312" w:hAnsi="仿宋_GB2312" w:eastAsia="仿宋_GB2312" w:cs="仿宋_GB2312"/>
          <w:color w:val="auto"/>
          <w:sz w:val="32"/>
          <w:szCs w:val="32"/>
          <w:lang w:val="en-US" w:eastAsia="zh-CN"/>
        </w:rPr>
        <w:t>转筒烘干窑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保留1#、4#作为备用。在原烘干窑东侧新建2台立式烘干窑（烘干能力均为25t/h），及其配套的布袋除尘器、上料系统和出料系统。技改后年烘干兰炭仍为40万吨，</w:t>
      </w:r>
      <w:r>
        <w:rPr>
          <w:rFonts w:hint="eastAsia" w:ascii="仿宋_GB2312" w:hAnsi="仿宋_GB2312" w:eastAsia="仿宋_GB2312" w:cs="仿宋_GB2312"/>
          <w:color w:val="auto"/>
          <w:sz w:val="32"/>
          <w:szCs w:val="32"/>
          <w:vertAlign w:val="baseline"/>
          <w:lang w:val="en-US" w:eastAsia="zh-CN"/>
        </w:rPr>
        <w:t>项目办公生活区和生产车间依托现有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项目总投资13</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环保投资</w:t>
      </w:r>
      <w:r>
        <w:rPr>
          <w:rFonts w:hint="eastAsia" w:ascii="仿宋_GB2312" w:hAnsi="仿宋_GB2312" w:eastAsia="仿宋_GB2312" w:cs="仿宋_GB2312"/>
          <w:color w:val="auto"/>
          <w:sz w:val="32"/>
          <w:szCs w:val="32"/>
          <w:lang w:val="en-US" w:eastAsia="zh-CN"/>
        </w:rPr>
        <w:t>为32万元</w:t>
      </w:r>
      <w:r>
        <w:rPr>
          <w:rFonts w:hint="eastAsia" w:ascii="仿宋_GB2312" w:hAnsi="仿宋_GB2312" w:eastAsia="仿宋_GB2312" w:cs="仿宋_GB2312"/>
          <w:color w:val="auto"/>
          <w:sz w:val="32"/>
          <w:szCs w:val="32"/>
          <w:lang w:eastAsia="zh-CN"/>
        </w:rPr>
        <w:t>。</w:t>
      </w:r>
    </w:p>
    <w:p w14:paraId="350F278F">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14:paraId="5DA7AEF5">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二、项目建设与运行管理中应重点做好的工作</w:t>
      </w:r>
    </w:p>
    <w:p w14:paraId="6A2C75C2">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1.加强施工期环境管理，施工四周设置围挡，土石方开挖及</w:t>
      </w:r>
      <w:bookmarkStart w:id="0" w:name="_GoBack"/>
      <w:bookmarkEnd w:id="0"/>
      <w:r>
        <w:rPr>
          <w:rFonts w:hint="eastAsia" w:ascii="仿宋_GB2312" w:hAnsi="仿宋" w:eastAsia="仿宋_GB2312"/>
          <w:color w:val="auto"/>
          <w:sz w:val="32"/>
          <w:lang w:val="en-US" w:eastAsia="zh-CN"/>
        </w:rPr>
        <w:t>设备安装过程中应严格按照设计要求施工，尽可能缩小施工活动范围；施工结束后须尽快对临时占地和周边进行生态植被恢复，防止水土流失；施工期产生的废水和固体废弃物要集中收集统一处置。</w:t>
      </w:r>
    </w:p>
    <w:p w14:paraId="60AC20D9">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2.认真落实各项大气污染防治措施。新建立式烘干窑仍以沸腾炉内燃料燃烧作为供热热源，同时新建从气烧窑装置到立式烘干窑的烟气管道，利用现有气烧窑运行中排放的高温烟气作为补充热源对兰炭进行烘干。烘干废气经管道引至布袋除尘器处置后，通过1根23.5m高排气筒排放。运营期废气执行《石灰、电石工业大气污染物排放标准》（GB 41618—2022）表1电石制造行业限值；兰炭储存粉尘执行《大气污染物综合排放标准》（GB16297-1996）无组织排放监控浓度限值。</w:t>
      </w:r>
    </w:p>
    <w:p w14:paraId="56816192">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lang w:val="en-US" w:eastAsia="zh-CN"/>
        </w:rPr>
      </w:pPr>
      <w:r>
        <w:rPr>
          <w:rFonts w:hint="eastAsia" w:ascii="仿宋_GB2312" w:hAnsi="仿宋" w:eastAsia="仿宋_GB2312"/>
          <w:color w:val="auto"/>
          <w:sz w:val="32"/>
          <w:lang w:val="en-US" w:eastAsia="zh-CN"/>
        </w:rPr>
        <w:t>3.应采取妥善控制措施，确保厂界噪声满足《工业企业厂界环境噪声排放标准》（GB12348-2008）3类标准要求。</w:t>
      </w:r>
    </w:p>
    <w:p w14:paraId="775CBFDC">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default" w:ascii="仿宋_GB2312" w:hAnsi="仿宋" w:eastAsia="仿宋_GB2312"/>
          <w:color w:val="auto"/>
          <w:sz w:val="32"/>
          <w:lang w:val="en-US" w:eastAsia="zh-CN"/>
        </w:rPr>
      </w:pPr>
      <w:r>
        <w:rPr>
          <w:rFonts w:hint="eastAsia" w:ascii="仿宋_GB2312" w:hAnsi="仿宋" w:eastAsia="仿宋_GB2312"/>
          <w:color w:val="auto"/>
          <w:sz w:val="32"/>
          <w:lang w:val="en-US" w:eastAsia="zh-CN"/>
        </w:rPr>
        <w:t>4.</w:t>
      </w:r>
      <w:r>
        <w:rPr>
          <w:rFonts w:hint="eastAsia" w:ascii="仿宋_GB2312" w:hAnsi="仿宋" w:eastAsia="仿宋_GB2312"/>
          <w:sz w:val="32"/>
          <w:lang w:val="en-US" w:eastAsia="zh-CN"/>
        </w:rPr>
        <w:t>做好固体废弃物分类处置。</w:t>
      </w:r>
      <w:r>
        <w:rPr>
          <w:rFonts w:hint="eastAsia" w:ascii="仿宋_GB2312" w:hAnsi="仿宋" w:eastAsia="仿宋_GB2312"/>
          <w:color w:val="auto"/>
          <w:sz w:val="32"/>
          <w:lang w:val="en-US" w:eastAsia="zh-CN"/>
        </w:rPr>
        <w:t>除尘灰收集后作为沸腾炉燃料回用。一般固体废物执行《一般工业固体废物贮存和填埋污染控制标准》（GB18599-2020）</w:t>
      </w:r>
      <w:r>
        <w:rPr>
          <w:rFonts w:hint="eastAsia" w:ascii="仿宋_GB2312" w:hAnsi="仿宋" w:eastAsia="仿宋_GB2312"/>
          <w:sz w:val="32"/>
          <w:lang w:val="en-US" w:eastAsia="zh-CN"/>
        </w:rPr>
        <w:t>及修改单。</w:t>
      </w:r>
    </w:p>
    <w:p w14:paraId="3F592C2E">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default" w:ascii="仿宋_GB2312" w:hAnsi="仿宋" w:eastAsia="仿宋_GB2312"/>
          <w:color w:val="auto"/>
          <w:sz w:val="32"/>
          <w:lang w:val="en-US" w:eastAsia="zh-CN"/>
        </w:rPr>
      </w:pPr>
      <w:r>
        <w:rPr>
          <w:rFonts w:hint="eastAsia" w:ascii="仿宋_GB2312" w:hAnsi="仿宋" w:eastAsia="仿宋_GB2312"/>
          <w:color w:val="auto"/>
          <w:sz w:val="32"/>
          <w:lang w:val="en-US" w:eastAsia="zh-CN"/>
        </w:rPr>
        <w:t>5.建设单位须强化环境风险防范。制定环境风险应急预案，落实环境风险事故防范措施，提高事故风险防范和污染控制能力。</w:t>
      </w:r>
    </w:p>
    <w:p w14:paraId="7571EF46">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val="en-US" w:eastAsia="zh-CN"/>
        </w:rPr>
        <w:t>三</w:t>
      </w:r>
      <w:r>
        <w:rPr>
          <w:rFonts w:hint="eastAsia" w:ascii="仿宋_GB2312" w:hAnsi="仿宋" w:eastAsia="仿宋_GB2312"/>
          <w:color w:val="auto"/>
          <w:sz w:val="32"/>
        </w:rPr>
        <w:t>、项</w:t>
      </w:r>
      <w:r>
        <w:rPr>
          <w:rFonts w:hint="eastAsia" w:ascii="仿宋_GB2312" w:hAnsi="仿宋" w:eastAsia="仿宋_GB2312"/>
          <w:color w:val="auto"/>
          <w:sz w:val="32"/>
          <w:lang w:eastAsia="zh-CN"/>
        </w:rPr>
        <w:t>目建设必须严格执行环境保护“三同时”制度。项目竣工后，须按照规定程序实施竣工环境保护验收</w:t>
      </w:r>
      <w:r>
        <w:rPr>
          <w:rFonts w:hint="eastAsia" w:ascii="仿宋_GB2312" w:hAnsi="仿宋" w:eastAsia="仿宋_GB2312"/>
          <w:color w:val="auto"/>
          <w:sz w:val="32"/>
        </w:rPr>
        <w:t>。</w:t>
      </w:r>
    </w:p>
    <w:p w14:paraId="123D0E23">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lang w:val="en-US" w:eastAsia="zh-CN"/>
        </w:rPr>
      </w:pPr>
      <w:r>
        <w:rPr>
          <w:rFonts w:hint="eastAsia" w:ascii="仿宋_GB2312" w:hAnsi="仿宋" w:eastAsia="仿宋_GB2312"/>
          <w:color w:val="auto"/>
          <w:sz w:val="32"/>
          <w:lang w:val="en-US" w:eastAsia="zh-CN"/>
        </w:rPr>
        <w:t>四</w:t>
      </w:r>
      <w:r>
        <w:rPr>
          <w:rFonts w:hint="eastAsia" w:ascii="仿宋_GB2312" w:hAnsi="仿宋" w:eastAsia="仿宋_GB2312"/>
          <w:color w:val="auto"/>
          <w:sz w:val="32"/>
          <w:lang w:eastAsia="zh-CN"/>
        </w:rPr>
        <w:t>、</w:t>
      </w:r>
      <w:r>
        <w:rPr>
          <w:rFonts w:hint="eastAsia" w:ascii="仿宋_GB2312" w:hAnsi="仿宋" w:eastAsia="仿宋_GB2312"/>
          <w:sz w:val="32"/>
          <w:lang w:val="en-US" w:eastAsia="zh-CN"/>
        </w:rPr>
        <w:t>由</w:t>
      </w:r>
      <w:r>
        <w:rPr>
          <w:rFonts w:hint="eastAsia" w:ascii="仿宋_GB2312" w:hAnsi="仿宋" w:eastAsia="仿宋_GB2312"/>
          <w:color w:val="auto"/>
          <w:sz w:val="32"/>
          <w:lang w:val="en-US" w:eastAsia="zh-CN"/>
        </w:rPr>
        <w:t>鄂托克经济开发区生态保护与发展协调服务中心</w:t>
      </w:r>
      <w:r>
        <w:rPr>
          <w:rFonts w:hint="eastAsia" w:ascii="仿宋_GB2312" w:hAnsi="仿宋" w:eastAsia="仿宋_GB2312"/>
          <w:sz w:val="32"/>
          <w:lang w:val="en-US" w:eastAsia="zh-CN"/>
        </w:rPr>
        <w:t>负责该项目的日常监管工作。</w:t>
      </w:r>
    </w:p>
    <w:p w14:paraId="090C5D15">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lang w:val="en-US" w:eastAsia="zh-CN"/>
        </w:rPr>
      </w:pPr>
      <w:r>
        <w:rPr>
          <w:rFonts w:hint="eastAsia" w:ascii="仿宋_GB2312" w:hAnsi="仿宋" w:eastAsia="仿宋_GB2312"/>
          <w:color w:val="auto"/>
          <w:sz w:val="32"/>
          <w:lang w:val="en-US" w:eastAsia="zh-CN"/>
        </w:rPr>
        <w:t>五</w:t>
      </w:r>
      <w:r>
        <w:rPr>
          <w:rFonts w:hint="eastAsia" w:ascii="仿宋_GB2312" w:hAnsi="仿宋" w:eastAsia="仿宋_GB2312"/>
          <w:color w:val="auto"/>
          <w:sz w:val="32"/>
        </w:rPr>
        <w:t>、该项目从批准之日起超过5年方决定开工建设，其环评文件应重新审核。如果建设地点、规模、</w:t>
      </w:r>
      <w:r>
        <w:rPr>
          <w:rFonts w:hint="eastAsia" w:ascii="仿宋_GB2312" w:hAnsi="仿宋" w:eastAsia="仿宋_GB2312"/>
          <w:color w:val="auto"/>
          <w:sz w:val="32"/>
          <w:lang w:eastAsia="zh-CN"/>
        </w:rPr>
        <w:t>工艺、</w:t>
      </w:r>
      <w:r>
        <w:rPr>
          <w:rFonts w:hint="eastAsia" w:ascii="仿宋_GB2312" w:hAnsi="仿宋" w:eastAsia="仿宋_GB2312"/>
          <w:color w:val="auto"/>
          <w:sz w:val="32"/>
        </w:rPr>
        <w:t>防治污染和防止生态破坏的措施等发生重大变化时，需重新报批环评文件</w:t>
      </w:r>
      <w:r>
        <w:rPr>
          <w:rFonts w:hint="eastAsia" w:ascii="仿宋_GB2312" w:hAnsi="仿宋" w:eastAsia="仿宋_GB2312"/>
          <w:color w:val="auto"/>
          <w:sz w:val="32"/>
          <w:lang w:eastAsia="zh-CN"/>
        </w:rPr>
        <w:t>。</w:t>
      </w:r>
    </w:p>
    <w:p w14:paraId="4A7FD25F">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4188E33">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14:paraId="4F6A3C2E">
      <w:pPr>
        <w:pStyle w:val="2"/>
        <w:rPr>
          <w:rFonts w:hint="eastAsia" w:ascii="仿宋_GB2312" w:hAnsi="仿宋_GB2312" w:eastAsia="仿宋_GB2312" w:cs="仿宋_GB2312"/>
          <w:sz w:val="32"/>
          <w:szCs w:val="32"/>
        </w:rPr>
      </w:pPr>
    </w:p>
    <w:p w14:paraId="5945F996">
      <w:pPr>
        <w:pStyle w:val="2"/>
        <w:rPr>
          <w:rFonts w:hint="eastAsia" w:ascii="仿宋_GB2312" w:hAnsi="仿宋_GB2312" w:eastAsia="仿宋_GB2312" w:cs="仿宋_GB2312"/>
          <w:sz w:val="32"/>
          <w:szCs w:val="32"/>
        </w:rPr>
      </w:pPr>
    </w:p>
    <w:p w14:paraId="5E4BB69F">
      <w:pPr>
        <w:pStyle w:val="2"/>
        <w:rPr>
          <w:rFonts w:hint="eastAsia" w:ascii="仿宋_GB2312" w:hAnsi="仿宋_GB2312" w:eastAsia="仿宋_GB2312" w:cs="仿宋_GB2312"/>
          <w:sz w:val="32"/>
          <w:szCs w:val="32"/>
        </w:rPr>
      </w:pPr>
    </w:p>
    <w:p w14:paraId="7CBF238C">
      <w:pPr>
        <w:pStyle w:val="2"/>
        <w:rPr>
          <w:rFonts w:hint="eastAsia" w:ascii="仿宋_GB2312" w:hAnsi="仿宋_GB2312" w:eastAsia="仿宋_GB2312" w:cs="仿宋_GB2312"/>
          <w:sz w:val="32"/>
          <w:szCs w:val="32"/>
        </w:rPr>
      </w:pPr>
    </w:p>
    <w:p w14:paraId="0AF04838">
      <w:pPr>
        <w:pStyle w:val="2"/>
        <w:rPr>
          <w:rFonts w:hint="eastAsia" w:ascii="仿宋_GB2312" w:hAnsi="仿宋_GB2312" w:eastAsia="仿宋_GB2312" w:cs="仿宋_GB2312"/>
          <w:sz w:val="32"/>
          <w:szCs w:val="32"/>
        </w:rPr>
      </w:pPr>
    </w:p>
    <w:p w14:paraId="1ED8C945">
      <w:pPr>
        <w:pStyle w:val="2"/>
        <w:rPr>
          <w:rFonts w:hint="eastAsia" w:ascii="仿宋_GB2312" w:hAnsi="仿宋_GB2312" w:eastAsia="仿宋_GB2312" w:cs="仿宋_GB2312"/>
          <w:sz w:val="32"/>
          <w:szCs w:val="32"/>
        </w:rPr>
      </w:pPr>
    </w:p>
    <w:p w14:paraId="65A9F8C9">
      <w:pPr>
        <w:pStyle w:val="2"/>
        <w:rPr>
          <w:rFonts w:hint="eastAsia" w:ascii="仿宋_GB2312" w:hAnsi="仿宋_GB2312" w:eastAsia="仿宋_GB2312" w:cs="仿宋_GB2312"/>
          <w:sz w:val="32"/>
          <w:szCs w:val="32"/>
        </w:rPr>
      </w:pPr>
    </w:p>
    <w:p w14:paraId="6BBE692B">
      <w:pPr>
        <w:pStyle w:val="2"/>
        <w:rPr>
          <w:rFonts w:hint="eastAsia" w:ascii="仿宋_GB2312" w:hAnsi="仿宋_GB2312" w:eastAsia="仿宋_GB2312" w:cs="仿宋_GB2312"/>
          <w:sz w:val="32"/>
          <w:szCs w:val="32"/>
        </w:rPr>
      </w:pPr>
    </w:p>
    <w:p w14:paraId="4DA0961E">
      <w:pPr>
        <w:pStyle w:val="2"/>
        <w:rPr>
          <w:rFonts w:hint="eastAsia" w:ascii="仿宋_GB2312" w:hAnsi="仿宋_GB2312" w:eastAsia="仿宋_GB2312" w:cs="仿宋_GB2312"/>
          <w:sz w:val="32"/>
          <w:szCs w:val="32"/>
        </w:rPr>
      </w:pPr>
    </w:p>
    <w:p w14:paraId="70AEEFAD">
      <w:pPr>
        <w:pStyle w:val="2"/>
        <w:rPr>
          <w:rFonts w:hint="eastAsia" w:ascii="仿宋_GB2312" w:hAnsi="仿宋_GB2312" w:eastAsia="仿宋_GB2312" w:cs="仿宋_GB2312"/>
          <w:sz w:val="32"/>
          <w:szCs w:val="32"/>
        </w:rPr>
      </w:pPr>
    </w:p>
    <w:p w14:paraId="1BB1A41E">
      <w:pPr>
        <w:pStyle w:val="2"/>
        <w:rPr>
          <w:rFonts w:hint="eastAsia" w:ascii="仿宋_GB2312" w:hAnsi="仿宋_GB2312" w:eastAsia="仿宋_GB2312" w:cs="仿宋_GB2312"/>
          <w:sz w:val="32"/>
          <w:szCs w:val="32"/>
        </w:rPr>
      </w:pPr>
    </w:p>
    <w:p w14:paraId="75364563">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14:paraId="4A1E02B8">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640" w:firstLineChars="200"/>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color w:val="auto"/>
          <w:sz w:val="32"/>
          <w:lang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eastAsia="zh-CN"/>
        </w:rPr>
        <w:t>分</w:t>
      </w:r>
      <w:r>
        <w:rPr>
          <w:rFonts w:hint="eastAsia" w:ascii="仿宋_GB2312" w:hAnsi="仿宋" w:eastAsia="仿宋_GB2312"/>
          <w:color w:val="auto"/>
          <w:sz w:val="32"/>
        </w:rPr>
        <w:t>局</w:t>
      </w:r>
    </w:p>
    <w:p w14:paraId="76713DCD">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25</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3</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25</w:t>
      </w:r>
      <w:r>
        <w:rPr>
          <w:rFonts w:hint="eastAsia" w:ascii="仿宋_GB2312" w:hAnsi="仿宋" w:eastAsia="仿宋_GB2312"/>
          <w:color w:val="auto"/>
          <w:sz w:val="32"/>
        </w:rPr>
        <w:t>日</w:t>
      </w:r>
    </w:p>
    <w:p w14:paraId="633D397A">
      <w:pPr>
        <w:pStyle w:val="2"/>
        <w:rPr>
          <w:rFonts w:hint="eastAsia" w:ascii="仿宋_GB2312" w:hAnsi="仿宋" w:eastAsia="仿宋_GB2312"/>
          <w:color w:val="auto"/>
          <w:sz w:val="32"/>
        </w:rPr>
      </w:pPr>
    </w:p>
    <w:p w14:paraId="36C01781">
      <w:pPr>
        <w:pStyle w:val="2"/>
        <w:rPr>
          <w:rFonts w:hint="eastAsia" w:ascii="仿宋_GB2312" w:hAnsi="仿宋" w:eastAsia="仿宋_GB2312"/>
          <w:color w:val="auto"/>
          <w:sz w:val="32"/>
        </w:rPr>
      </w:pPr>
    </w:p>
    <w:p w14:paraId="37CB8A03">
      <w:pPr>
        <w:pStyle w:val="2"/>
        <w:rPr>
          <w:rFonts w:hint="eastAsia" w:ascii="仿宋_GB2312" w:hAnsi="仿宋" w:eastAsia="仿宋_GB2312"/>
          <w:color w:val="auto"/>
          <w:sz w:val="32"/>
        </w:rPr>
      </w:pPr>
    </w:p>
    <w:p w14:paraId="1502D13E">
      <w:pPr>
        <w:pStyle w:val="2"/>
        <w:rPr>
          <w:rFonts w:hint="eastAsia" w:ascii="仿宋_GB2312" w:hAnsi="仿宋" w:eastAsia="仿宋_GB2312"/>
          <w:color w:val="auto"/>
          <w:sz w:val="32"/>
        </w:rPr>
      </w:pPr>
    </w:p>
    <w:p w14:paraId="5EF9FF70">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pPr>
      <w:r>
        <w:rPr>
          <w:rFonts w:hint="eastAsia" w:ascii="仿宋_GB2312" w:hAnsi="仿宋_GB2312" w:eastAsia="仿宋_GB2312" w:cs="仿宋_GB2312"/>
          <w:b/>
          <w:color w:val="auto"/>
          <w:sz w:val="32"/>
          <w:u w:val="single"/>
        </w:rPr>
        <w:t xml:space="preserve">                                                        </w:t>
      </w:r>
      <w:r>
        <w:rPr>
          <w:rFonts w:hint="eastAsia" w:ascii="仿宋_GB2312" w:hAnsi="仿宋_GB2312" w:eastAsia="仿宋_GB2312" w:cs="仿宋_GB2312"/>
          <w:color w:val="auto"/>
          <w:sz w:val="32"/>
          <w:u w:val="single"/>
          <w:lang w:eastAsia="zh-CN"/>
        </w:rPr>
        <w:t>鄂尔多斯市生态环境局</w:t>
      </w:r>
      <w:r>
        <w:rPr>
          <w:rFonts w:hint="eastAsia" w:ascii="仿宋_GB2312" w:hAnsi="仿宋_GB2312" w:eastAsia="仿宋_GB2312" w:cs="仿宋_GB2312"/>
          <w:color w:val="auto"/>
          <w:sz w:val="32"/>
          <w:u w:val="single"/>
        </w:rPr>
        <w:t>鄂托克旗</w:t>
      </w:r>
      <w:r>
        <w:rPr>
          <w:rFonts w:hint="eastAsia" w:ascii="仿宋_GB2312" w:hAnsi="仿宋_GB2312" w:eastAsia="仿宋_GB2312" w:cs="仿宋_GB2312"/>
          <w:color w:val="auto"/>
          <w:sz w:val="32"/>
          <w:u w:val="single"/>
          <w:lang w:eastAsia="zh-CN"/>
        </w:rPr>
        <w:t>分</w:t>
      </w:r>
      <w:r>
        <w:rPr>
          <w:rFonts w:hint="eastAsia" w:ascii="仿宋_GB2312" w:hAnsi="仿宋_GB2312" w:eastAsia="仿宋_GB2312" w:cs="仿宋_GB2312"/>
          <w:color w:val="auto"/>
          <w:sz w:val="32"/>
          <w:u w:val="single"/>
        </w:rPr>
        <w:t>局</w:t>
      </w:r>
      <w:r>
        <w:rPr>
          <w:rFonts w:hint="eastAsia" w:ascii="仿宋_GB2312" w:hAnsi="仿宋_GB2312" w:eastAsia="仿宋_GB2312" w:cs="仿宋_GB2312"/>
          <w:color w:val="auto"/>
          <w:sz w:val="32"/>
          <w:u w:val="single"/>
          <w:lang w:val="en-US" w:eastAsia="zh-CN"/>
        </w:rPr>
        <w:t xml:space="preserve">   </w:t>
      </w:r>
      <w:r>
        <w:rPr>
          <w:rFonts w:hint="eastAsia" w:ascii="仿宋_GB2312" w:hAnsi="仿宋_GB2312" w:eastAsia="仿宋_GB2312" w:cs="仿宋_GB2312"/>
          <w:color w:val="auto"/>
          <w:sz w:val="32"/>
          <w:u w:val="single"/>
        </w:rPr>
        <w:t>20</w:t>
      </w:r>
      <w:r>
        <w:rPr>
          <w:rFonts w:hint="eastAsia" w:ascii="仿宋_GB2312" w:hAnsi="仿宋_GB2312" w:eastAsia="仿宋_GB2312" w:cs="仿宋_GB2312"/>
          <w:color w:val="auto"/>
          <w:sz w:val="32"/>
          <w:u w:val="single"/>
          <w:lang w:val="en-US" w:eastAsia="zh-CN"/>
        </w:rPr>
        <w:t>25</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3</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25</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53FD8"/>
    <w:multiLevelType w:val="singleLevel"/>
    <w:tmpl w:val="33353F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wYWExYjFlMmU2N2QyYTA4NGNlMDgxNjcyMzk5NzYifQ=="/>
  </w:docVars>
  <w:rsids>
    <w:rsidRoot w:val="66F24860"/>
    <w:rsid w:val="01E6396B"/>
    <w:rsid w:val="04DB7B83"/>
    <w:rsid w:val="086B1627"/>
    <w:rsid w:val="13A10980"/>
    <w:rsid w:val="19C46CC1"/>
    <w:rsid w:val="1A117CC1"/>
    <w:rsid w:val="21F73937"/>
    <w:rsid w:val="2D9B0395"/>
    <w:rsid w:val="34E622CD"/>
    <w:rsid w:val="35EB5329"/>
    <w:rsid w:val="369F79FC"/>
    <w:rsid w:val="3A243C77"/>
    <w:rsid w:val="3AF00B0D"/>
    <w:rsid w:val="3F35724D"/>
    <w:rsid w:val="47027167"/>
    <w:rsid w:val="49E10401"/>
    <w:rsid w:val="4E0E698E"/>
    <w:rsid w:val="546F7BDB"/>
    <w:rsid w:val="54E753D4"/>
    <w:rsid w:val="6605529F"/>
    <w:rsid w:val="666240D6"/>
    <w:rsid w:val="66F24860"/>
    <w:rsid w:val="6D4847CA"/>
    <w:rsid w:val="79AC0638"/>
    <w:rsid w:val="7D41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Indent"/>
    <w:basedOn w:val="1"/>
    <w:next w:val="4"/>
    <w:qFormat/>
    <w:uiPriority w:val="0"/>
    <w:pPr>
      <w:adjustRightInd w:val="0"/>
      <w:spacing w:line="480" w:lineRule="atLeast"/>
      <w:ind w:firstLine="595"/>
      <w:textAlignment w:val="baseline"/>
    </w:pPr>
    <w:rPr>
      <w:kern w:val="0"/>
      <w:sz w:val="28"/>
    </w:rPr>
  </w:style>
  <w:style w:type="paragraph" w:styleId="4">
    <w:name w:val="Body Text First Indent 2"/>
    <w:basedOn w:val="5"/>
    <w:next w:val="1"/>
    <w:qFormat/>
    <w:uiPriority w:val="0"/>
    <w:pPr>
      <w:spacing w:after="120" w:afterLines="0" w:line="240" w:lineRule="auto"/>
      <w:ind w:left="420" w:leftChars="200" w:firstLine="420" w:firstLineChars="200"/>
    </w:pPr>
    <w:rPr>
      <w:sz w:val="21"/>
    </w:rPr>
  </w:style>
  <w:style w:type="paragraph" w:styleId="5">
    <w:name w:val="Body Text Indent"/>
    <w:basedOn w:val="1"/>
    <w:next w:val="1"/>
    <w:qFormat/>
    <w:uiPriority w:val="0"/>
    <w:pPr>
      <w:spacing w:line="300" w:lineRule="exact"/>
      <w:ind w:firstLine="538"/>
    </w:pPr>
    <w:rPr>
      <w:sz w:val="21"/>
    </w:rPr>
  </w:style>
  <w:style w:type="paragraph" w:styleId="6">
    <w:name w:val="annotation text"/>
    <w:basedOn w:val="1"/>
    <w:qFormat/>
    <w:uiPriority w:val="0"/>
    <w:pPr>
      <w:jc w:val="left"/>
    </w:pPr>
  </w:style>
  <w:style w:type="paragraph" w:customStyle="1" w:styleId="9">
    <w:name w:val="样式 正文缩进正文缩进2正文缩进 Char Char正文缩进 Char Char Char Char正文缩进 Char ..."/>
    <w:basedOn w:val="3"/>
    <w:qFormat/>
    <w:uiPriority w:val="0"/>
    <w:pPr>
      <w:spacing w:line="360" w:lineRule="auto"/>
      <w:ind w:firstLine="200"/>
    </w:pPr>
    <w:rPr>
      <w:rFonts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1149</Words>
  <Characters>1226</Characters>
  <Lines>0</Lines>
  <Paragraphs>0</Paragraphs>
  <TotalTime>1</TotalTime>
  <ScaleCrop>false</ScaleCrop>
  <LinksUpToDate>false</LinksUpToDate>
  <CharactersWithSpaces>1357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2022-06-15T10:21:00Z</dcterms:created>
  <dc:creator>ᠡᠪᠥᠯᠴᠡᠴᠡᠭ冬梅</dc:creator>
  <cp:lastModifiedBy>z'k</cp:lastModifiedBy>
  <cp:lastPrinted>2025-03-25T07:29:00Z</cp:lastPrinted>
  <dcterms:modified xsi:type="dcterms:W3CDTF">2025-04-25T06:57:46Z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52CC7D6898D7411FBC7C7736D7B5A6E0_13</vt:lpwstr>
  </property>
  <property fmtid="{D5CDD505-2E9C-101B-9397-08002B2CF9AE}" pid="4" name="KSOTemplateDocerSaveRecord">
    <vt:lpwstr>eyJoZGlkIjoiMjJkNTk5ODJkOWFhZjVjZTFiYmMzYzI2MjcwOWU1NGUifQ==</vt:lpwstr>
  </property>
</Properties>
</file>