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BD6CE2">
      <w:pPr>
        <w:pStyle w:val="2"/>
        <w:spacing w:line="254" w:lineRule="auto"/>
      </w:pPr>
    </w:p>
    <w:p w14:paraId="336B60D5">
      <w:pPr>
        <w:pStyle w:val="2"/>
        <w:spacing w:line="254" w:lineRule="auto"/>
      </w:pPr>
    </w:p>
    <w:p w14:paraId="79967D66">
      <w:pPr>
        <w:pStyle w:val="2"/>
        <w:spacing w:line="254" w:lineRule="auto"/>
      </w:pPr>
    </w:p>
    <w:p w14:paraId="5620C149">
      <w:pPr>
        <w:pStyle w:val="2"/>
        <w:spacing w:line="254" w:lineRule="auto"/>
      </w:pPr>
    </w:p>
    <w:p w14:paraId="6C9DC665">
      <w:pPr>
        <w:pStyle w:val="2"/>
        <w:spacing w:line="254" w:lineRule="auto"/>
      </w:pPr>
    </w:p>
    <w:p w14:paraId="475C69D3">
      <w:pPr>
        <w:pStyle w:val="2"/>
        <w:spacing w:line="254" w:lineRule="auto"/>
      </w:pPr>
    </w:p>
    <w:p w14:paraId="4AE79D83">
      <w:pPr>
        <w:pStyle w:val="2"/>
        <w:spacing w:line="254" w:lineRule="auto"/>
      </w:pPr>
    </w:p>
    <w:p w14:paraId="6C076518">
      <w:pPr>
        <w:pStyle w:val="2"/>
        <w:spacing w:line="254" w:lineRule="auto"/>
      </w:pPr>
    </w:p>
    <w:p w14:paraId="2A76C16E">
      <w:pPr>
        <w:pStyle w:val="2"/>
        <w:spacing w:line="255" w:lineRule="auto"/>
      </w:pPr>
    </w:p>
    <w:p w14:paraId="3E150621">
      <w:pPr>
        <w:spacing w:before="231" w:line="220" w:lineRule="auto"/>
        <w:ind w:left="228"/>
        <w:rPr>
          <w:rFonts w:ascii="宋体" w:hAnsi="宋体" w:eastAsia="宋体" w:cs="宋体"/>
          <w:sz w:val="71"/>
          <w:szCs w:val="71"/>
        </w:rPr>
      </w:pPr>
      <w:r>
        <w:rPr>
          <w:rFonts w:ascii="宋体" w:hAnsi="宋体" w:eastAsia="宋体" w:cs="宋体"/>
          <w:b/>
          <w:bCs/>
          <w:spacing w:val="1"/>
          <w:sz w:val="71"/>
          <w:szCs w:val="71"/>
        </w:rPr>
        <w:t>建设项目环境影响报告表</w:t>
      </w:r>
    </w:p>
    <w:p w14:paraId="6D6C75FF">
      <w:pPr>
        <w:spacing w:before="241" w:line="220" w:lineRule="auto"/>
        <w:ind w:left="2374"/>
        <w:rPr>
          <w:rFonts w:ascii="宋体" w:hAnsi="宋体" w:eastAsia="宋体" w:cs="宋体"/>
          <w:sz w:val="52"/>
          <w:szCs w:val="52"/>
        </w:rPr>
      </w:pPr>
      <w:r>
        <w:rPr>
          <w:rFonts w:ascii="宋体" w:hAnsi="宋体" w:eastAsia="宋体" w:cs="宋体"/>
          <w:b/>
          <w:bCs/>
          <w:spacing w:val="-9"/>
          <w:sz w:val="52"/>
          <w:szCs w:val="52"/>
        </w:rPr>
        <w:t>（污染影响类）</w:t>
      </w:r>
    </w:p>
    <w:p w14:paraId="537CF2D6">
      <w:pPr>
        <w:pStyle w:val="2"/>
        <w:spacing w:line="242" w:lineRule="auto"/>
      </w:pPr>
    </w:p>
    <w:p w14:paraId="08B2C77F">
      <w:pPr>
        <w:pStyle w:val="2"/>
        <w:spacing w:line="242" w:lineRule="auto"/>
      </w:pPr>
    </w:p>
    <w:p w14:paraId="0118315E">
      <w:pPr>
        <w:pStyle w:val="2"/>
        <w:spacing w:line="242" w:lineRule="auto"/>
      </w:pPr>
    </w:p>
    <w:p w14:paraId="0D289C17">
      <w:pPr>
        <w:pStyle w:val="2"/>
        <w:spacing w:line="242" w:lineRule="auto"/>
      </w:pPr>
    </w:p>
    <w:p w14:paraId="2F5890AC">
      <w:pPr>
        <w:pStyle w:val="2"/>
        <w:spacing w:line="242" w:lineRule="auto"/>
      </w:pPr>
    </w:p>
    <w:p w14:paraId="3424E220">
      <w:pPr>
        <w:pStyle w:val="2"/>
        <w:spacing w:line="242" w:lineRule="auto"/>
      </w:pPr>
    </w:p>
    <w:p w14:paraId="38112648">
      <w:pPr>
        <w:pStyle w:val="2"/>
        <w:spacing w:line="242" w:lineRule="auto"/>
      </w:pPr>
    </w:p>
    <w:p w14:paraId="3A238C8B">
      <w:pPr>
        <w:pStyle w:val="2"/>
        <w:spacing w:line="242" w:lineRule="auto"/>
      </w:pPr>
    </w:p>
    <w:p w14:paraId="0C3BF715">
      <w:pPr>
        <w:pStyle w:val="2"/>
        <w:spacing w:line="242" w:lineRule="auto"/>
      </w:pPr>
    </w:p>
    <w:p w14:paraId="24FD528D">
      <w:pPr>
        <w:pStyle w:val="2"/>
        <w:spacing w:line="242" w:lineRule="auto"/>
      </w:pPr>
    </w:p>
    <w:p w14:paraId="014A8EC3">
      <w:pPr>
        <w:pStyle w:val="2"/>
        <w:spacing w:line="243" w:lineRule="auto"/>
      </w:pPr>
    </w:p>
    <w:p w14:paraId="214D759F">
      <w:pPr>
        <w:pStyle w:val="2"/>
        <w:spacing w:line="243" w:lineRule="auto"/>
      </w:pPr>
    </w:p>
    <w:p w14:paraId="3BCD2CB0">
      <w:pPr>
        <w:pStyle w:val="2"/>
        <w:spacing w:line="243" w:lineRule="auto"/>
      </w:pPr>
    </w:p>
    <w:p w14:paraId="2DB6B73E">
      <w:pPr>
        <w:pStyle w:val="2"/>
        <w:spacing w:line="243" w:lineRule="auto"/>
      </w:pPr>
    </w:p>
    <w:p w14:paraId="52B6ED06">
      <w:pPr>
        <w:pStyle w:val="2"/>
        <w:spacing w:line="243" w:lineRule="auto"/>
      </w:pPr>
    </w:p>
    <w:p w14:paraId="44F38BF1">
      <w:pPr>
        <w:pStyle w:val="2"/>
        <w:spacing w:line="243" w:lineRule="auto"/>
      </w:pPr>
    </w:p>
    <w:p w14:paraId="173823B4">
      <w:pPr>
        <w:pStyle w:val="2"/>
        <w:spacing w:line="243" w:lineRule="auto"/>
      </w:pPr>
    </w:p>
    <w:p w14:paraId="01AEFAD4">
      <w:pPr>
        <w:pStyle w:val="2"/>
        <w:spacing w:line="243" w:lineRule="auto"/>
      </w:pPr>
    </w:p>
    <w:p w14:paraId="73DB9561">
      <w:pPr>
        <w:pStyle w:val="2"/>
        <w:spacing w:line="243" w:lineRule="auto"/>
      </w:pPr>
    </w:p>
    <w:p w14:paraId="1A190A2E">
      <w:pPr>
        <w:pStyle w:val="2"/>
        <w:spacing w:line="243" w:lineRule="auto"/>
      </w:pPr>
    </w:p>
    <w:p w14:paraId="27F0C61F">
      <w:pPr>
        <w:pStyle w:val="2"/>
        <w:spacing w:line="243" w:lineRule="auto"/>
      </w:pPr>
    </w:p>
    <w:p w14:paraId="0A948C27">
      <w:pPr>
        <w:pStyle w:val="2"/>
        <w:spacing w:line="243" w:lineRule="auto"/>
      </w:pPr>
    </w:p>
    <w:p w14:paraId="07D880CA">
      <w:pPr>
        <w:pStyle w:val="2"/>
        <w:spacing w:line="243" w:lineRule="auto"/>
      </w:pPr>
    </w:p>
    <w:p w14:paraId="1C064D5A">
      <w:pPr>
        <w:pStyle w:val="2"/>
        <w:spacing w:line="243" w:lineRule="auto"/>
      </w:pPr>
    </w:p>
    <w:p w14:paraId="4EE47512">
      <w:pPr>
        <w:spacing w:before="91" w:line="220" w:lineRule="auto"/>
        <w:ind w:left="29"/>
        <w:rPr>
          <w:rFonts w:ascii="宋体" w:hAnsi="宋体" w:eastAsia="宋体" w:cs="宋体"/>
          <w:sz w:val="28"/>
          <w:szCs w:val="28"/>
        </w:rPr>
      </w:pPr>
      <w:r>
        <w:rPr>
          <w:rFonts w:ascii="宋体" w:hAnsi="宋体" w:eastAsia="宋体" w:cs="宋体"/>
          <w:b/>
          <w:bCs/>
          <w:spacing w:val="-3"/>
          <w:sz w:val="28"/>
          <w:szCs w:val="28"/>
        </w:rPr>
        <w:t>项目名称：</w:t>
      </w:r>
      <w:r>
        <w:rPr>
          <w:rFonts w:ascii="宋体" w:hAnsi="宋体" w:eastAsia="宋体" w:cs="宋体"/>
          <w:b/>
          <w:bCs/>
          <w:spacing w:val="-3"/>
          <w:sz w:val="28"/>
          <w:szCs w:val="28"/>
          <w:u w:val="single" w:color="auto"/>
        </w:rPr>
        <w:t>鄂托克经济开发区棋盘井产业园危险化学品车辆</w:t>
      </w:r>
      <w:r>
        <w:rPr>
          <w:rFonts w:ascii="宋体" w:hAnsi="宋体" w:eastAsia="宋体" w:cs="宋体"/>
          <w:spacing w:val="1"/>
          <w:sz w:val="28"/>
          <w:szCs w:val="28"/>
          <w:u w:val="single" w:color="auto"/>
        </w:rPr>
        <w:t xml:space="preserve">        </w:t>
      </w:r>
    </w:p>
    <w:p w14:paraId="313AECD7">
      <w:pPr>
        <w:tabs>
          <w:tab w:val="left" w:pos="8300"/>
        </w:tabs>
        <w:spacing w:before="209" w:line="361" w:lineRule="auto"/>
        <w:ind w:left="27" w:right="14" w:firstLine="1398"/>
        <w:jc w:val="both"/>
        <w:rPr>
          <w:rFonts w:ascii="宋体" w:hAnsi="宋体" w:eastAsia="宋体" w:cs="宋体"/>
          <w:sz w:val="28"/>
          <w:szCs w:val="28"/>
        </w:rPr>
      </w:pPr>
      <w:r>
        <w:rPr>
          <w:rFonts w:ascii="宋体" w:hAnsi="宋体" w:eastAsia="宋体" w:cs="宋体"/>
          <w:b/>
          <w:bCs/>
          <w:spacing w:val="-4"/>
          <w:sz w:val="28"/>
          <w:szCs w:val="28"/>
          <w:u w:val="single" w:color="auto"/>
        </w:rPr>
        <w:t>专用停车场建设项目</w:t>
      </w:r>
      <w:r>
        <w:rPr>
          <w:rFonts w:ascii="宋体" w:hAnsi="宋体" w:eastAsia="宋体" w:cs="宋体"/>
          <w:sz w:val="28"/>
          <w:szCs w:val="28"/>
          <w:u w:val="single" w:color="auto"/>
        </w:rPr>
        <w:tab/>
      </w:r>
      <w:r>
        <w:rPr>
          <w:rFonts w:ascii="宋体" w:hAnsi="宋体" w:eastAsia="宋体" w:cs="宋体"/>
          <w:sz w:val="28"/>
          <w:szCs w:val="28"/>
        </w:rPr>
        <w:t xml:space="preserve"> </w:t>
      </w:r>
      <w:r>
        <w:rPr>
          <w:rFonts w:ascii="宋体" w:hAnsi="宋体" w:eastAsia="宋体" w:cs="宋体"/>
          <w:b/>
          <w:bCs/>
          <w:spacing w:val="-4"/>
          <w:sz w:val="28"/>
          <w:szCs w:val="28"/>
        </w:rPr>
        <w:t>编制单位（盖章</w:t>
      </w:r>
      <w:r>
        <w:rPr>
          <w:rFonts w:ascii="宋体" w:hAnsi="宋体" w:eastAsia="宋体" w:cs="宋体"/>
          <w:b/>
          <w:bCs/>
          <w:spacing w:val="-39"/>
          <w:sz w:val="28"/>
          <w:szCs w:val="28"/>
        </w:rPr>
        <w:t>）：</w:t>
      </w:r>
      <w:r>
        <w:rPr>
          <w:rFonts w:ascii="宋体" w:hAnsi="宋体" w:eastAsia="宋体" w:cs="宋体"/>
          <w:b/>
          <w:bCs/>
          <w:spacing w:val="-4"/>
          <w:sz w:val="28"/>
          <w:szCs w:val="28"/>
          <w:u w:val="single" w:color="auto"/>
        </w:rPr>
        <w:t>鄂尔多斯鄂托克高新技术产</w:t>
      </w:r>
      <w:r>
        <w:rPr>
          <w:rFonts w:ascii="宋体" w:hAnsi="宋体" w:eastAsia="宋体" w:cs="宋体"/>
          <w:b/>
          <w:bCs/>
          <w:spacing w:val="-5"/>
          <w:sz w:val="28"/>
          <w:szCs w:val="28"/>
          <w:u w:val="single" w:color="auto"/>
        </w:rPr>
        <w:t>业开发区管理委员会</w:t>
      </w:r>
      <w:r>
        <w:rPr>
          <w:rFonts w:ascii="宋体" w:hAnsi="宋体" w:eastAsia="宋体" w:cs="宋体"/>
          <w:sz w:val="28"/>
          <w:szCs w:val="28"/>
        </w:rPr>
        <w:t xml:space="preserve"> </w:t>
      </w:r>
      <w:r>
        <w:rPr>
          <w:rFonts w:ascii="宋体" w:hAnsi="宋体" w:eastAsia="宋体" w:cs="宋体"/>
          <w:b/>
          <w:bCs/>
          <w:spacing w:val="-5"/>
          <w:sz w:val="28"/>
          <w:szCs w:val="28"/>
        </w:rPr>
        <w:t>编制日期：</w:t>
      </w:r>
      <w:r>
        <w:rPr>
          <w:rFonts w:ascii="Times New Roman" w:hAnsi="Times New Roman" w:eastAsia="Times New Roman" w:cs="Times New Roman"/>
          <w:b/>
          <w:bCs/>
          <w:sz w:val="28"/>
          <w:szCs w:val="28"/>
          <w:u w:val="single" w:color="auto"/>
        </w:rPr>
        <w:t xml:space="preserve">                                      </w:t>
      </w:r>
      <w:r>
        <w:rPr>
          <w:rFonts w:ascii="Times New Roman" w:hAnsi="Times New Roman" w:eastAsia="Times New Roman" w:cs="Times New Roman"/>
          <w:b/>
          <w:bCs/>
          <w:spacing w:val="-5"/>
          <w:sz w:val="28"/>
          <w:szCs w:val="28"/>
          <w:u w:val="single" w:color="auto"/>
        </w:rPr>
        <w:t xml:space="preserve">2025 </w:t>
      </w:r>
      <w:r>
        <w:rPr>
          <w:rFonts w:ascii="宋体" w:hAnsi="宋体" w:eastAsia="宋体" w:cs="宋体"/>
          <w:b/>
          <w:bCs/>
          <w:spacing w:val="-5"/>
          <w:sz w:val="28"/>
          <w:szCs w:val="28"/>
          <w:u w:val="single" w:color="auto"/>
        </w:rPr>
        <w:t>年</w:t>
      </w:r>
      <w:r>
        <w:rPr>
          <w:rFonts w:ascii="宋体" w:hAnsi="宋体" w:eastAsia="宋体" w:cs="宋体"/>
          <w:spacing w:val="-52"/>
          <w:sz w:val="28"/>
          <w:szCs w:val="28"/>
          <w:u w:val="single" w:color="auto"/>
        </w:rPr>
        <w:t xml:space="preserve"> </w:t>
      </w:r>
      <w:r>
        <w:rPr>
          <w:rFonts w:ascii="Times New Roman" w:hAnsi="Times New Roman" w:eastAsia="Times New Roman" w:cs="Times New Roman"/>
          <w:b/>
          <w:bCs/>
          <w:spacing w:val="-5"/>
          <w:sz w:val="28"/>
          <w:szCs w:val="28"/>
          <w:u w:val="single" w:color="auto"/>
        </w:rPr>
        <w:t>4</w:t>
      </w:r>
      <w:r>
        <w:rPr>
          <w:rFonts w:ascii="Times New Roman" w:hAnsi="Times New Roman" w:eastAsia="Times New Roman" w:cs="Times New Roman"/>
          <w:b/>
          <w:bCs/>
          <w:spacing w:val="19"/>
          <w:sz w:val="28"/>
          <w:szCs w:val="28"/>
          <w:u w:val="single" w:color="auto"/>
        </w:rPr>
        <w:t xml:space="preserve"> </w:t>
      </w:r>
      <w:r>
        <w:rPr>
          <w:rFonts w:ascii="宋体" w:hAnsi="宋体" w:eastAsia="宋体" w:cs="宋体"/>
          <w:b/>
          <w:bCs/>
          <w:spacing w:val="-5"/>
          <w:sz w:val="28"/>
          <w:szCs w:val="28"/>
          <w:u w:val="single" w:color="auto"/>
        </w:rPr>
        <w:t>月</w:t>
      </w:r>
      <w:r>
        <w:rPr>
          <w:rFonts w:ascii="宋体" w:hAnsi="宋体" w:eastAsia="宋体" w:cs="宋体"/>
          <w:sz w:val="28"/>
          <w:szCs w:val="28"/>
          <w:u w:val="single" w:color="auto"/>
        </w:rPr>
        <w:t xml:space="preserve">                    </w:t>
      </w:r>
    </w:p>
    <w:p w14:paraId="7DE0A2C5">
      <w:pPr>
        <w:pStyle w:val="2"/>
        <w:spacing w:line="286" w:lineRule="auto"/>
      </w:pPr>
    </w:p>
    <w:p w14:paraId="77462DB8">
      <w:pPr>
        <w:pStyle w:val="2"/>
        <w:spacing w:line="287" w:lineRule="auto"/>
      </w:pPr>
    </w:p>
    <w:p w14:paraId="19132730">
      <w:pPr>
        <w:pStyle w:val="2"/>
        <w:spacing w:line="287" w:lineRule="auto"/>
      </w:pPr>
    </w:p>
    <w:p w14:paraId="2A1BB618">
      <w:pPr>
        <w:spacing w:before="101" w:line="225" w:lineRule="auto"/>
        <w:ind w:left="2120"/>
        <w:rPr>
          <w:rFonts w:ascii="宋体" w:hAnsi="宋体" w:eastAsia="宋体" w:cs="宋体"/>
          <w:sz w:val="31"/>
          <w:szCs w:val="31"/>
        </w:rPr>
      </w:pPr>
      <w:r>
        <w:rPr>
          <w:rFonts w:ascii="宋体" w:hAnsi="宋体" w:eastAsia="宋体" w:cs="宋体"/>
          <w:b/>
          <w:bCs/>
          <w:spacing w:val="4"/>
          <w:sz w:val="31"/>
          <w:szCs w:val="31"/>
        </w:rPr>
        <w:t>中华人民共和国生态环境部制</w:t>
      </w:r>
    </w:p>
    <w:p w14:paraId="46EE1CB7">
      <w:pPr>
        <w:spacing w:line="225" w:lineRule="auto"/>
        <w:rPr>
          <w:rFonts w:ascii="宋体" w:hAnsi="宋体" w:eastAsia="宋体" w:cs="宋体"/>
          <w:sz w:val="31"/>
          <w:szCs w:val="31"/>
        </w:rPr>
        <w:sectPr>
          <w:pgSz w:w="11906" w:h="16839"/>
          <w:pgMar w:top="1431" w:right="1785" w:bottom="0" w:left="1785" w:header="0" w:footer="0" w:gutter="0"/>
          <w:cols w:space="720" w:num="1"/>
        </w:sectPr>
      </w:pPr>
    </w:p>
    <w:p w14:paraId="56456BF1">
      <w:pPr>
        <w:pStyle w:val="2"/>
        <w:spacing w:line="384" w:lineRule="auto"/>
      </w:pPr>
    </w:p>
    <w:p w14:paraId="544B21FE">
      <w:pPr>
        <w:spacing w:before="71" w:line="215" w:lineRule="auto"/>
        <w:ind w:left="246"/>
        <w:rPr>
          <w:rFonts w:ascii="宋体" w:hAnsi="宋体" w:eastAsia="宋体" w:cs="宋体"/>
          <w:sz w:val="22"/>
          <w:szCs w:val="22"/>
        </w:rPr>
      </w:pPr>
      <w:r>
        <w:drawing>
          <wp:anchor distT="0" distB="0" distL="0" distR="0" simplePos="0" relativeHeight="251659264" behindDoc="1" locked="0" layoutInCell="1" allowOverlap="1">
            <wp:simplePos x="0" y="0"/>
            <wp:positionH relativeFrom="column">
              <wp:posOffset>1269365</wp:posOffset>
            </wp:positionH>
            <wp:positionV relativeFrom="paragraph">
              <wp:posOffset>-499110</wp:posOffset>
            </wp:positionV>
            <wp:extent cx="2654935" cy="12954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4"/>
                    <a:stretch>
                      <a:fillRect/>
                    </a:stretch>
                  </pic:blipFill>
                  <pic:spPr>
                    <a:xfrm>
                      <a:off x="0" y="0"/>
                      <a:ext cx="2654808" cy="1295400"/>
                    </a:xfrm>
                    <a:prstGeom prst="rect">
                      <a:avLst/>
                    </a:prstGeom>
                  </pic:spPr>
                </pic:pic>
              </a:graphicData>
            </a:graphic>
          </wp:anchor>
        </w:drawing>
      </w:r>
      <w:r>
        <w:rPr>
          <w:rFonts w:ascii="宋体" w:hAnsi="宋体" w:eastAsia="宋体" w:cs="宋体"/>
          <w:spacing w:val="-7"/>
          <w:sz w:val="22"/>
          <w:szCs w:val="22"/>
        </w:rPr>
        <w:t>打印编号：1744255824000</w:t>
      </w:r>
    </w:p>
    <w:p w14:paraId="61D0AD8B">
      <w:pPr>
        <w:spacing w:before="164" w:line="218" w:lineRule="auto"/>
        <w:ind w:left="2624"/>
        <w:rPr>
          <w:rFonts w:ascii="宋体" w:hAnsi="宋体" w:eastAsia="宋体" w:cs="宋体"/>
          <w:sz w:val="43"/>
          <w:szCs w:val="43"/>
        </w:rPr>
      </w:pPr>
      <w:r>
        <w:pict>
          <v:group id="_x0000_s1026" o:spid="_x0000_s1026" o:spt="203" style="position:absolute;left:0pt;margin-left:0pt;margin-top:263.2pt;height:293.05pt;width:422.15pt;z-index:-251656192;mso-width-relative:page;mso-height-relative:page;" coordsize="8442,5860">
            <o:lock v:ext="edit"/>
            <v:shape id="_x0000_s1027" o:spid="_x0000_s1027" o:spt="75" type="#_x0000_t75" style="position:absolute;left:0;top:0;height:5860;width:8442;" filled="f" stroked="f" coordsize="21600,21600">
              <v:path/>
              <v:fill on="f" focussize="0,0"/>
              <v:stroke on="f"/>
              <v:imagedata r:id="rId155" o:title=""/>
              <o:lock v:ext="edit" aspectratio="t"/>
            </v:shape>
            <v:shape id="_x0000_s1028" o:spid="_x0000_s1028" o:spt="202" type="#_x0000_t202" style="position:absolute;left:265;top:12;height:5782;width:7225;" filled="f" stroked="f" coordsize="21600,21600">
              <v:path/>
              <v:fill on="f" focussize="0,0"/>
              <v:stroke on="f"/>
              <v:imagedata o:title=""/>
              <o:lock v:ext="edit" aspectratio="f"/>
              <v:textbox inset="0mm,0mm,0mm,0mm">
                <w:txbxContent>
                  <w:p w14:paraId="6C319A66">
                    <w:pPr>
                      <w:spacing w:before="19" w:line="501" w:lineRule="auto"/>
                      <w:ind w:left="20" w:right="5288" w:hanging="1"/>
                      <w:rPr>
                        <w:rFonts w:ascii="宋体" w:hAnsi="宋体" w:eastAsia="宋体" w:cs="宋体"/>
                        <w:sz w:val="22"/>
                        <w:szCs w:val="22"/>
                      </w:rPr>
                    </w:pPr>
                    <w:r>
                      <w:rPr>
                        <w:rFonts w:ascii="宋体" w:hAnsi="宋体" w:eastAsia="宋体" w:cs="宋体"/>
                        <w:spacing w:val="-7"/>
                        <w:sz w:val="22"/>
                        <w:szCs w:val="22"/>
                      </w:rPr>
                      <w:t>法定代表人（签章）</w:t>
                    </w:r>
                    <w:r>
                      <w:rPr>
                        <w:rFonts w:ascii="宋体" w:hAnsi="宋体" w:eastAsia="宋体" w:cs="宋体"/>
                        <w:sz w:val="22"/>
                        <w:szCs w:val="22"/>
                      </w:rPr>
                      <w:t xml:space="preserve"> </w:t>
                    </w:r>
                    <w:r>
                      <w:rPr>
                        <w:rFonts w:ascii="宋体" w:hAnsi="宋体" w:eastAsia="宋体" w:cs="宋体"/>
                        <w:spacing w:val="-8"/>
                        <w:sz w:val="22"/>
                        <w:szCs w:val="22"/>
                      </w:rPr>
                      <w:t>主要负责人（签字）</w:t>
                    </w:r>
                  </w:p>
                  <w:p w14:paraId="42A945CE">
                    <w:pPr>
                      <w:spacing w:before="6" w:line="329" w:lineRule="exact"/>
                      <w:ind w:left="21"/>
                      <w:rPr>
                        <w:rFonts w:ascii="宋体" w:hAnsi="宋体" w:eastAsia="宋体" w:cs="宋体"/>
                        <w:sz w:val="22"/>
                        <w:szCs w:val="22"/>
                      </w:rPr>
                    </w:pPr>
                    <w:r>
                      <w:rPr>
                        <w:rFonts w:ascii="宋体" w:hAnsi="宋体" w:eastAsia="宋体" w:cs="宋体"/>
                        <w:spacing w:val="-3"/>
                        <w:position w:val="2"/>
                        <w:sz w:val="22"/>
                        <w:szCs w:val="22"/>
                      </w:rPr>
                      <w:t>直接负责的主管人员（签字）</w:t>
                    </w:r>
                  </w:p>
                  <w:p w14:paraId="5ED30F83">
                    <w:pPr>
                      <w:pStyle w:val="2"/>
                    </w:pPr>
                  </w:p>
                  <w:p w14:paraId="1AAACB0B">
                    <w:pPr>
                      <w:spacing w:before="71" w:line="215" w:lineRule="auto"/>
                      <w:ind w:left="112"/>
                      <w:rPr>
                        <w:rFonts w:ascii="宋体" w:hAnsi="宋体" w:eastAsia="宋体" w:cs="宋体"/>
                        <w:sz w:val="22"/>
                        <w:szCs w:val="22"/>
                      </w:rPr>
                    </w:pPr>
                    <w:r>
                      <w:rPr>
                        <w:rFonts w:ascii="宋体" w:hAnsi="宋体" w:eastAsia="宋体" w:cs="宋体"/>
                        <w:b/>
                        <w:bCs/>
                        <w:spacing w:val="-6"/>
                        <w:sz w:val="22"/>
                        <w:szCs w:val="22"/>
                      </w:rPr>
                      <w:t>二、编制单位情况</w:t>
                    </w:r>
                  </w:p>
                  <w:p w14:paraId="366F2451">
                    <w:pPr>
                      <w:spacing w:before="301" w:line="482" w:lineRule="auto"/>
                      <w:ind w:left="24" w:right="5460" w:hanging="3"/>
                      <w:rPr>
                        <w:rFonts w:ascii="宋体" w:hAnsi="宋体" w:eastAsia="宋体" w:cs="宋体"/>
                        <w:sz w:val="22"/>
                        <w:szCs w:val="22"/>
                      </w:rPr>
                    </w:pPr>
                    <w:r>
                      <w:rPr>
                        <w:rFonts w:ascii="宋体" w:hAnsi="宋体" w:eastAsia="宋体" w:cs="宋体"/>
                        <w:spacing w:val="-4"/>
                        <w:sz w:val="22"/>
                        <w:szCs w:val="22"/>
                      </w:rPr>
                      <w:t>单位名称（盖章）</w:t>
                    </w:r>
                    <w:r>
                      <w:rPr>
                        <w:rFonts w:ascii="宋体" w:hAnsi="宋体" w:eastAsia="宋体" w:cs="宋体"/>
                        <w:spacing w:val="5"/>
                        <w:sz w:val="22"/>
                        <w:szCs w:val="22"/>
                      </w:rPr>
                      <w:t xml:space="preserve"> </w:t>
                    </w:r>
                    <w:r>
                      <w:rPr>
                        <w:rFonts w:ascii="宋体" w:hAnsi="宋体" w:eastAsia="宋体" w:cs="宋体"/>
                        <w:spacing w:val="-3"/>
                        <w:sz w:val="22"/>
                        <w:szCs w:val="22"/>
                      </w:rPr>
                      <w:t>统一社会信用代码</w:t>
                    </w:r>
                  </w:p>
                  <w:p w14:paraId="45F541DC">
                    <w:pPr>
                      <w:spacing w:before="94" w:line="213" w:lineRule="auto"/>
                      <w:ind w:left="113"/>
                      <w:rPr>
                        <w:rFonts w:ascii="宋体" w:hAnsi="宋体" w:eastAsia="宋体" w:cs="宋体"/>
                        <w:sz w:val="22"/>
                        <w:szCs w:val="22"/>
                      </w:rPr>
                    </w:pPr>
                    <w:r>
                      <w:rPr>
                        <w:rFonts w:ascii="宋体" w:hAnsi="宋体" w:eastAsia="宋体" w:cs="宋体"/>
                        <w:b/>
                        <w:bCs/>
                        <w:spacing w:val="-7"/>
                        <w:sz w:val="22"/>
                        <w:szCs w:val="22"/>
                      </w:rPr>
                      <w:t>三、编制人员情况</w:t>
                    </w:r>
                  </w:p>
                  <w:p w14:paraId="269D2716">
                    <w:pPr>
                      <w:pStyle w:val="2"/>
                      <w:spacing w:line="298" w:lineRule="auto"/>
                    </w:pPr>
                  </w:p>
                  <w:p w14:paraId="518D3BD9">
                    <w:pPr>
                      <w:spacing w:before="73" w:line="213" w:lineRule="auto"/>
                      <w:ind w:left="228"/>
                      <w:rPr>
                        <w:rFonts w:ascii="宋体" w:hAnsi="宋体" w:eastAsia="宋体" w:cs="宋体"/>
                        <w:sz w:val="22"/>
                        <w:szCs w:val="22"/>
                      </w:rPr>
                    </w:pPr>
                    <w:r>
                      <w:rPr>
                        <w:rFonts w:ascii="宋体" w:hAnsi="宋体" w:eastAsia="宋体" w:cs="宋体"/>
                        <w:spacing w:val="-18"/>
                        <w:sz w:val="22"/>
                        <w:szCs w:val="22"/>
                      </w:rPr>
                      <w:t>1.</w:t>
                    </w:r>
                    <w:r>
                      <w:rPr>
                        <w:rFonts w:ascii="宋体" w:hAnsi="宋体" w:eastAsia="宋体" w:cs="宋体"/>
                        <w:spacing w:val="-32"/>
                        <w:sz w:val="22"/>
                        <w:szCs w:val="22"/>
                      </w:rPr>
                      <w:t xml:space="preserve"> </w:t>
                    </w:r>
                    <w:r>
                      <w:rPr>
                        <w:rFonts w:ascii="宋体" w:hAnsi="宋体" w:eastAsia="宋体" w:cs="宋体"/>
                        <w:spacing w:val="-18"/>
                        <w:sz w:val="22"/>
                        <w:szCs w:val="22"/>
                      </w:rPr>
                      <w:t>编制主持人</w:t>
                    </w:r>
                  </w:p>
                  <w:p w14:paraId="3FA4C77A">
                    <w:pPr>
                      <w:pStyle w:val="2"/>
                      <w:spacing w:line="246" w:lineRule="auto"/>
                    </w:pPr>
                  </w:p>
                  <w:p w14:paraId="4A716A76">
                    <w:pPr>
                      <w:spacing w:before="72" w:line="213" w:lineRule="auto"/>
                      <w:ind w:right="15"/>
                      <w:jc w:val="right"/>
                      <w:rPr>
                        <w:rFonts w:ascii="宋体" w:hAnsi="宋体" w:eastAsia="宋体" w:cs="宋体"/>
                        <w:sz w:val="22"/>
                        <w:szCs w:val="22"/>
                      </w:rPr>
                    </w:pPr>
                    <w:r>
                      <w:rPr>
                        <w:rFonts w:ascii="宋体" w:hAnsi="宋体" w:eastAsia="宋体" w:cs="宋体"/>
                        <w:sz w:val="22"/>
                        <w:szCs w:val="22"/>
                      </w:rPr>
                      <w:t>姓名</w:t>
                    </w:r>
                    <w:r>
                      <w:rPr>
                        <w:rFonts w:ascii="宋体" w:hAnsi="宋体" w:eastAsia="宋体" w:cs="宋体"/>
                        <w:spacing w:val="5"/>
                        <w:sz w:val="22"/>
                        <w:szCs w:val="22"/>
                      </w:rPr>
                      <w:t xml:space="preserve">             </w:t>
                    </w:r>
                    <w:r>
                      <w:rPr>
                        <w:rFonts w:ascii="宋体" w:hAnsi="宋体" w:eastAsia="宋体" w:cs="宋体"/>
                        <w:sz w:val="22"/>
                        <w:szCs w:val="22"/>
                      </w:rPr>
                      <w:t xml:space="preserve">职业资格证书管理号         </w:t>
                    </w:r>
                    <w:r>
                      <w:rPr>
                        <w:rFonts w:ascii="宋体" w:hAnsi="宋体" w:eastAsia="宋体" w:cs="宋体"/>
                        <w:spacing w:val="-1"/>
                        <w:sz w:val="22"/>
                        <w:szCs w:val="22"/>
                      </w:rPr>
                      <w:t xml:space="preserve">       信用编号</w:t>
                    </w:r>
                  </w:p>
                  <w:p w14:paraId="4B88BD69">
                    <w:pPr>
                      <w:pStyle w:val="2"/>
                      <w:spacing w:line="278" w:lineRule="auto"/>
                    </w:pPr>
                  </w:p>
                  <w:p w14:paraId="12EDBA20">
                    <w:pPr>
                      <w:spacing w:before="73" w:line="212" w:lineRule="auto"/>
                      <w:ind w:left="667"/>
                      <w:rPr>
                        <w:rFonts w:ascii="宋体" w:hAnsi="宋体" w:eastAsia="宋体" w:cs="宋体"/>
                        <w:sz w:val="22"/>
                        <w:szCs w:val="22"/>
                      </w:rPr>
                    </w:pPr>
                    <w:r>
                      <w:rPr>
                        <w:rFonts w:ascii="宋体" w:hAnsi="宋体" w:eastAsia="宋体" w:cs="宋体"/>
                        <w:spacing w:val="-9"/>
                        <w:position w:val="4"/>
                        <w:sz w:val="22"/>
                        <w:szCs w:val="22"/>
                      </w:rPr>
                      <w:t>冯莹</w:t>
                    </w:r>
                    <w:r>
                      <w:rPr>
                        <w:rFonts w:ascii="宋体" w:hAnsi="宋体" w:eastAsia="宋体" w:cs="宋体"/>
                        <w:spacing w:val="9"/>
                        <w:position w:val="4"/>
                        <w:sz w:val="22"/>
                        <w:szCs w:val="22"/>
                      </w:rPr>
                      <w:t xml:space="preserve">         </w:t>
                    </w:r>
                    <w:r>
                      <w:rPr>
                        <w:rFonts w:ascii="宋体" w:hAnsi="宋体" w:eastAsia="宋体" w:cs="宋体"/>
                        <w:spacing w:val="-9"/>
                        <w:sz w:val="22"/>
                        <w:szCs w:val="22"/>
                      </w:rPr>
                      <w:t>2017035150352014613016000042</w:t>
                    </w:r>
                  </w:p>
                </w:txbxContent>
              </v:textbox>
            </v:shape>
            <v:shape id="_x0000_s1029" o:spid="_x0000_s1029" o:spt="202" type="#_x0000_t202" style="position:absolute;left:3668;top:2455;height:900;width:3317;" filled="f" stroked="f" coordsize="21600,21600">
              <v:path/>
              <v:fill on="f" focussize="0,0"/>
              <v:stroke on="f"/>
              <v:imagedata o:title=""/>
              <o:lock v:ext="edit" aspectratio="f"/>
              <v:textbox inset="0mm,0mm,0mm,0mm">
                <w:txbxContent>
                  <w:p w14:paraId="58B83163">
                    <w:pPr>
                      <w:spacing w:before="20" w:line="214" w:lineRule="auto"/>
                      <w:ind w:left="66"/>
                      <w:rPr>
                        <w:rFonts w:ascii="宋体" w:hAnsi="宋体" w:eastAsia="宋体" w:cs="宋体"/>
                        <w:sz w:val="22"/>
                        <w:szCs w:val="22"/>
                      </w:rPr>
                    </w:pPr>
                    <w:r>
                      <w:rPr>
                        <w:rFonts w:ascii="宋体" w:hAnsi="宋体" w:eastAsia="宋体" w:cs="宋体"/>
                        <w:spacing w:val="-5"/>
                        <w:sz w:val="22"/>
                        <w:szCs w:val="22"/>
                      </w:rPr>
                      <w:t>内蒙古宝钜环保技术服务有限公司</w:t>
                    </w:r>
                  </w:p>
                  <w:p w14:paraId="4FD4D652">
                    <w:pPr>
                      <w:pStyle w:val="2"/>
                      <w:spacing w:line="312" w:lineRule="auto"/>
                    </w:pPr>
                  </w:p>
                  <w:p w14:paraId="117961E2">
                    <w:pPr>
                      <w:spacing w:before="71" w:line="183" w:lineRule="auto"/>
                      <w:ind w:left="20"/>
                      <w:rPr>
                        <w:rFonts w:ascii="宋体" w:hAnsi="宋体" w:eastAsia="宋体" w:cs="宋体"/>
                        <w:sz w:val="22"/>
                        <w:szCs w:val="22"/>
                      </w:rPr>
                    </w:pPr>
                    <w:r>
                      <w:rPr>
                        <w:rFonts w:ascii="宋体" w:hAnsi="宋体" w:eastAsia="宋体" w:cs="宋体"/>
                        <w:spacing w:val="7"/>
                        <w:sz w:val="22"/>
                        <w:szCs w:val="22"/>
                      </w:rPr>
                      <w:t>91150691</w:t>
                    </w:r>
                    <w:r>
                      <w:rPr>
                        <w:rFonts w:ascii="宋体" w:hAnsi="宋体" w:eastAsia="宋体" w:cs="宋体"/>
                        <w:sz w:val="22"/>
                        <w:szCs w:val="22"/>
                      </w:rPr>
                      <w:t>MA</w:t>
                    </w:r>
                    <w:r>
                      <w:rPr>
                        <w:rFonts w:ascii="宋体" w:hAnsi="宋体" w:eastAsia="宋体" w:cs="宋体"/>
                        <w:spacing w:val="7"/>
                        <w:sz w:val="22"/>
                        <w:szCs w:val="22"/>
                      </w:rPr>
                      <w:t>13</w:t>
                    </w:r>
                    <w:r>
                      <w:rPr>
                        <w:rFonts w:ascii="宋体" w:hAnsi="宋体" w:eastAsia="宋体" w:cs="宋体"/>
                        <w:sz w:val="22"/>
                        <w:szCs w:val="22"/>
                      </w:rPr>
                      <w:t>RP</w:t>
                    </w:r>
                    <w:r>
                      <w:rPr>
                        <w:rFonts w:ascii="宋体" w:hAnsi="宋体" w:eastAsia="宋体" w:cs="宋体"/>
                        <w:spacing w:val="7"/>
                        <w:sz w:val="22"/>
                        <w:szCs w:val="22"/>
                      </w:rPr>
                      <w:t>3L8Y</w:t>
                    </w:r>
                  </w:p>
                </w:txbxContent>
              </v:textbox>
            </v:shape>
            <v:shape id="_x0000_s1030" o:spid="_x0000_s1030" o:spt="202" type="#_x0000_t202" style="position:absolute;left:3666;top:62;height:1488;width:689;" filled="f" stroked="f" coordsize="21600,21600">
              <v:path/>
              <v:fill on="f" focussize="0,0"/>
              <v:stroke on="f"/>
              <v:imagedata o:title=""/>
              <o:lock v:ext="edit" aspectratio="f"/>
              <v:textbox inset="0mm,0mm,0mm,0mm">
                <w:txbxContent>
                  <w:p w14:paraId="6CF76A84">
                    <w:pPr>
                      <w:spacing w:before="19" w:line="210" w:lineRule="auto"/>
                      <w:ind w:left="25"/>
                      <w:rPr>
                        <w:rFonts w:ascii="宋体" w:hAnsi="宋体" w:eastAsia="宋体" w:cs="宋体"/>
                        <w:sz w:val="22"/>
                        <w:szCs w:val="22"/>
                      </w:rPr>
                    </w:pPr>
                    <w:r>
                      <w:rPr>
                        <w:rFonts w:ascii="宋体" w:hAnsi="宋体" w:eastAsia="宋体" w:cs="宋体"/>
                        <w:spacing w:val="-5"/>
                        <w:sz w:val="22"/>
                        <w:szCs w:val="22"/>
                      </w:rPr>
                      <w:t>贾瑞</w:t>
                    </w:r>
                  </w:p>
                  <w:p w14:paraId="1A682EA5">
                    <w:pPr>
                      <w:pStyle w:val="2"/>
                      <w:spacing w:line="273" w:lineRule="auto"/>
                    </w:pPr>
                  </w:p>
                  <w:p w14:paraId="12905AD8">
                    <w:pPr>
                      <w:spacing w:before="71" w:line="211" w:lineRule="auto"/>
                      <w:ind w:left="20"/>
                      <w:rPr>
                        <w:rFonts w:ascii="宋体" w:hAnsi="宋体" w:eastAsia="宋体" w:cs="宋体"/>
                        <w:sz w:val="22"/>
                        <w:szCs w:val="22"/>
                      </w:rPr>
                    </w:pPr>
                    <w:r>
                      <w:rPr>
                        <w:rFonts w:ascii="宋体" w:hAnsi="宋体" w:eastAsia="宋体" w:cs="宋体"/>
                        <w:spacing w:val="-4"/>
                        <w:sz w:val="22"/>
                        <w:szCs w:val="22"/>
                      </w:rPr>
                      <w:t>许宝林</w:t>
                    </w:r>
                  </w:p>
                  <w:p w14:paraId="54248606">
                    <w:pPr>
                      <w:pStyle w:val="2"/>
                      <w:spacing w:line="276" w:lineRule="auto"/>
                    </w:pPr>
                  </w:p>
                  <w:p w14:paraId="78DF85BA">
                    <w:pPr>
                      <w:spacing w:before="71" w:line="211" w:lineRule="auto"/>
                      <w:ind w:left="21"/>
                      <w:rPr>
                        <w:rFonts w:ascii="宋体" w:hAnsi="宋体" w:eastAsia="宋体" w:cs="宋体"/>
                        <w:sz w:val="22"/>
                        <w:szCs w:val="22"/>
                      </w:rPr>
                    </w:pPr>
                    <w:r>
                      <w:rPr>
                        <w:rFonts w:ascii="宋体" w:hAnsi="宋体" w:eastAsia="宋体" w:cs="宋体"/>
                        <w:spacing w:val="-3"/>
                        <w:sz w:val="22"/>
                        <w:szCs w:val="22"/>
                      </w:rPr>
                      <w:t>芒来</w:t>
                    </w:r>
                  </w:p>
                </w:txbxContent>
              </v:textbox>
            </v:shape>
          </v:group>
        </w:pict>
      </w:r>
      <w:r>
        <w:rPr>
          <w:rFonts w:ascii="宋体" w:hAnsi="宋体" w:eastAsia="宋体" w:cs="宋体"/>
          <w:b/>
          <w:bCs/>
          <w:spacing w:val="-2"/>
          <w:sz w:val="43"/>
          <w:szCs w:val="43"/>
        </w:rPr>
        <w:t>编制单位和编制人员情况表</w:t>
      </w:r>
    </w:p>
    <w:p w14:paraId="24A44FB9">
      <w:pPr>
        <w:spacing w:before="5"/>
      </w:pPr>
    </w:p>
    <w:tbl>
      <w:tblPr>
        <w:tblStyle w:val="5"/>
        <w:tblW w:w="10003"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7"/>
        <w:gridCol w:w="1597"/>
        <w:gridCol w:w="1997"/>
        <w:gridCol w:w="2795"/>
        <w:gridCol w:w="1807"/>
      </w:tblGrid>
      <w:tr w14:paraId="6A30B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3404" w:type="dxa"/>
            <w:gridSpan w:val="2"/>
            <w:vAlign w:val="top"/>
          </w:tcPr>
          <w:p w14:paraId="23FF87B3">
            <w:pPr>
              <w:pStyle w:val="6"/>
              <w:spacing w:before="220" w:line="210" w:lineRule="auto"/>
              <w:ind w:left="58"/>
            </w:pPr>
            <w:r>
              <w:rPr>
                <w:spacing w:val="-4"/>
              </w:rPr>
              <w:t>项目编号</w:t>
            </w:r>
          </w:p>
        </w:tc>
        <w:tc>
          <w:tcPr>
            <w:tcW w:w="6599" w:type="dxa"/>
            <w:gridSpan w:val="3"/>
            <w:vAlign w:val="top"/>
          </w:tcPr>
          <w:p w14:paraId="1B99C416">
            <w:pPr>
              <w:pStyle w:val="6"/>
              <w:spacing w:before="260" w:line="197" w:lineRule="auto"/>
              <w:ind w:left="52"/>
            </w:pPr>
            <w:r>
              <w:t>0w0p3u</w:t>
            </w:r>
          </w:p>
        </w:tc>
      </w:tr>
      <w:tr w14:paraId="41989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6C9985FF">
            <w:pPr>
              <w:pStyle w:val="6"/>
              <w:spacing w:before="207" w:line="214" w:lineRule="auto"/>
              <w:ind w:left="55"/>
            </w:pPr>
            <w:r>
              <w:rPr>
                <w:spacing w:val="-3"/>
              </w:rPr>
              <w:t>建设项目名称</w:t>
            </w:r>
          </w:p>
        </w:tc>
        <w:tc>
          <w:tcPr>
            <w:tcW w:w="6599" w:type="dxa"/>
            <w:gridSpan w:val="3"/>
            <w:vAlign w:val="top"/>
          </w:tcPr>
          <w:p w14:paraId="1677B723">
            <w:pPr>
              <w:pStyle w:val="6"/>
              <w:spacing w:before="83" w:line="208" w:lineRule="auto"/>
              <w:ind w:left="133" w:right="179" w:hanging="80"/>
            </w:pPr>
            <w:r>
              <w:rPr>
                <w:spacing w:val="-1"/>
              </w:rPr>
              <w:t>鄂托克经济开发区棋盘井产业园危险化学品车辆专用停车场建设项</w:t>
            </w:r>
            <w:r>
              <w:rPr>
                <w:spacing w:val="9"/>
              </w:rPr>
              <w:t xml:space="preserve"> </w:t>
            </w:r>
            <w:r>
              <w:t>目</w:t>
            </w:r>
          </w:p>
        </w:tc>
      </w:tr>
      <w:tr w14:paraId="2ACB5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57E99A77">
            <w:pPr>
              <w:pStyle w:val="6"/>
              <w:spacing w:before="210" w:line="214" w:lineRule="auto"/>
              <w:ind w:left="55"/>
            </w:pPr>
            <w:r>
              <w:rPr>
                <w:spacing w:val="-3"/>
              </w:rPr>
              <w:t>建设项目类别</w:t>
            </w:r>
          </w:p>
        </w:tc>
        <w:tc>
          <w:tcPr>
            <w:tcW w:w="6599" w:type="dxa"/>
            <w:gridSpan w:val="3"/>
            <w:vAlign w:val="top"/>
          </w:tcPr>
          <w:p w14:paraId="147BDB61">
            <w:pPr>
              <w:pStyle w:val="6"/>
              <w:spacing w:before="237" w:line="212" w:lineRule="auto"/>
              <w:ind w:left="61"/>
            </w:pPr>
            <w:r>
              <w:rPr>
                <w:spacing w:val="-13"/>
              </w:rPr>
              <w:t>50--120洗车场</w:t>
            </w:r>
          </w:p>
        </w:tc>
      </w:tr>
      <w:tr w14:paraId="2B846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071F2AE1">
            <w:pPr>
              <w:pStyle w:val="6"/>
              <w:spacing w:before="236" w:line="212" w:lineRule="auto"/>
              <w:ind w:left="57"/>
            </w:pPr>
            <w:r>
              <w:rPr>
                <w:spacing w:val="-2"/>
              </w:rPr>
              <w:t>环境影响评价文件类型</w:t>
            </w:r>
          </w:p>
        </w:tc>
        <w:tc>
          <w:tcPr>
            <w:tcW w:w="6599" w:type="dxa"/>
            <w:gridSpan w:val="3"/>
            <w:vAlign w:val="top"/>
          </w:tcPr>
          <w:p w14:paraId="144CF0AD">
            <w:pPr>
              <w:pStyle w:val="6"/>
              <w:spacing w:before="236" w:line="212" w:lineRule="auto"/>
              <w:ind w:left="48"/>
            </w:pPr>
            <w:r>
              <w:rPr>
                <w:spacing w:val="-3"/>
              </w:rPr>
              <w:t>报告表</w:t>
            </w:r>
          </w:p>
        </w:tc>
      </w:tr>
      <w:tr w14:paraId="02184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0003" w:type="dxa"/>
            <w:gridSpan w:val="5"/>
            <w:vAlign w:val="top"/>
          </w:tcPr>
          <w:p w14:paraId="409DB42B">
            <w:pPr>
              <w:pStyle w:val="6"/>
              <w:spacing w:before="211" w:line="216" w:lineRule="auto"/>
              <w:ind w:left="150"/>
            </w:pPr>
            <w:r>
              <w:rPr>
                <w:b/>
                <w:bCs/>
                <w:spacing w:val="-7"/>
              </w:rPr>
              <w:t>一、建设单位情况</w:t>
            </w:r>
          </w:p>
        </w:tc>
      </w:tr>
      <w:tr w14:paraId="0DDA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39B4181F">
            <w:pPr>
              <w:pStyle w:val="6"/>
              <w:spacing w:before="171" w:line="329" w:lineRule="exact"/>
              <w:ind w:left="57"/>
            </w:pPr>
            <w:r>
              <w:rPr>
                <w:spacing w:val="-4"/>
                <w:position w:val="2"/>
              </w:rPr>
              <w:t>单位名称（盖章）</w:t>
            </w:r>
          </w:p>
        </w:tc>
        <w:tc>
          <w:tcPr>
            <w:tcW w:w="6599" w:type="dxa"/>
            <w:gridSpan w:val="3"/>
            <w:vAlign w:val="top"/>
          </w:tcPr>
          <w:p w14:paraId="35120797">
            <w:pPr>
              <w:pStyle w:val="6"/>
              <w:spacing w:before="213" w:line="214" w:lineRule="auto"/>
              <w:ind w:left="53"/>
            </w:pPr>
            <w:r>
              <w:rPr>
                <w:spacing w:val="-2"/>
              </w:rPr>
              <w:t>鄂尔多斯鄂托克高新技术产业开发区管理委员会</w:t>
            </w:r>
          </w:p>
        </w:tc>
      </w:tr>
      <w:tr w14:paraId="1E806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3404" w:type="dxa"/>
            <w:gridSpan w:val="2"/>
            <w:vAlign w:val="top"/>
          </w:tcPr>
          <w:p w14:paraId="2A08156E">
            <w:pPr>
              <w:pStyle w:val="6"/>
              <w:spacing w:before="217" w:line="213" w:lineRule="auto"/>
              <w:ind w:left="60"/>
            </w:pPr>
            <w:r>
              <w:rPr>
                <w:spacing w:val="-3"/>
              </w:rPr>
              <w:t>统一社会信用代码</w:t>
            </w:r>
          </w:p>
        </w:tc>
        <w:tc>
          <w:tcPr>
            <w:tcW w:w="6599" w:type="dxa"/>
            <w:gridSpan w:val="3"/>
            <w:vAlign w:val="top"/>
          </w:tcPr>
          <w:p w14:paraId="04672855">
            <w:pPr>
              <w:pStyle w:val="6"/>
              <w:spacing w:before="260" w:line="179" w:lineRule="auto"/>
              <w:ind w:left="75"/>
            </w:pPr>
            <w:r>
              <w:rPr>
                <w:spacing w:val="-6"/>
              </w:rPr>
              <w:t>11152725764460234K</w:t>
            </w:r>
          </w:p>
        </w:tc>
      </w:tr>
      <w:tr w14:paraId="2C203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662465C9">
            <w:pPr>
              <w:rPr>
                <w:rFonts w:ascii="Arial"/>
                <w:sz w:val="21"/>
              </w:rPr>
            </w:pPr>
          </w:p>
        </w:tc>
        <w:tc>
          <w:tcPr>
            <w:tcW w:w="6599" w:type="dxa"/>
            <w:gridSpan w:val="3"/>
            <w:vAlign w:val="top"/>
          </w:tcPr>
          <w:p w14:paraId="69D6AC58">
            <w:pPr>
              <w:rPr>
                <w:rFonts w:ascii="Arial"/>
                <w:sz w:val="21"/>
              </w:rPr>
            </w:pPr>
          </w:p>
        </w:tc>
      </w:tr>
      <w:tr w14:paraId="263E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06FD3136">
            <w:pPr>
              <w:rPr>
                <w:rFonts w:ascii="Arial"/>
                <w:sz w:val="21"/>
              </w:rPr>
            </w:pPr>
          </w:p>
        </w:tc>
        <w:tc>
          <w:tcPr>
            <w:tcW w:w="6599" w:type="dxa"/>
            <w:gridSpan w:val="3"/>
            <w:vAlign w:val="top"/>
          </w:tcPr>
          <w:p w14:paraId="284FCFE3">
            <w:pPr>
              <w:rPr>
                <w:rFonts w:ascii="Arial"/>
                <w:sz w:val="21"/>
              </w:rPr>
            </w:pPr>
          </w:p>
        </w:tc>
      </w:tr>
      <w:tr w14:paraId="74912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3404" w:type="dxa"/>
            <w:gridSpan w:val="2"/>
            <w:vAlign w:val="top"/>
          </w:tcPr>
          <w:p w14:paraId="6D52BA3B">
            <w:pPr>
              <w:rPr>
                <w:rFonts w:ascii="Arial"/>
                <w:sz w:val="21"/>
              </w:rPr>
            </w:pPr>
          </w:p>
        </w:tc>
        <w:tc>
          <w:tcPr>
            <w:tcW w:w="6599" w:type="dxa"/>
            <w:gridSpan w:val="3"/>
            <w:vAlign w:val="top"/>
          </w:tcPr>
          <w:p w14:paraId="06FD19C7">
            <w:pPr>
              <w:rPr>
                <w:rFonts w:ascii="Arial"/>
                <w:sz w:val="21"/>
              </w:rPr>
            </w:pPr>
          </w:p>
        </w:tc>
      </w:tr>
      <w:tr w14:paraId="40011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4962AC1D">
            <w:pPr>
              <w:rPr>
                <w:rFonts w:ascii="Arial"/>
                <w:sz w:val="21"/>
              </w:rPr>
            </w:pPr>
          </w:p>
        </w:tc>
      </w:tr>
      <w:tr w14:paraId="24701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404" w:type="dxa"/>
            <w:gridSpan w:val="2"/>
            <w:vAlign w:val="top"/>
          </w:tcPr>
          <w:p w14:paraId="30E68229">
            <w:pPr>
              <w:rPr>
                <w:rFonts w:ascii="Arial"/>
                <w:sz w:val="21"/>
              </w:rPr>
            </w:pPr>
          </w:p>
        </w:tc>
        <w:tc>
          <w:tcPr>
            <w:tcW w:w="6599" w:type="dxa"/>
            <w:gridSpan w:val="3"/>
            <w:vAlign w:val="top"/>
          </w:tcPr>
          <w:p w14:paraId="42762BB4">
            <w:pPr>
              <w:rPr>
                <w:rFonts w:ascii="Arial"/>
                <w:sz w:val="21"/>
              </w:rPr>
            </w:pPr>
          </w:p>
        </w:tc>
      </w:tr>
      <w:tr w14:paraId="6981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3404" w:type="dxa"/>
            <w:gridSpan w:val="2"/>
            <w:vAlign w:val="top"/>
          </w:tcPr>
          <w:p w14:paraId="0B20B3DF">
            <w:pPr>
              <w:rPr>
                <w:rFonts w:ascii="Arial"/>
                <w:sz w:val="21"/>
              </w:rPr>
            </w:pPr>
          </w:p>
        </w:tc>
        <w:tc>
          <w:tcPr>
            <w:tcW w:w="6599" w:type="dxa"/>
            <w:gridSpan w:val="3"/>
            <w:vAlign w:val="top"/>
          </w:tcPr>
          <w:p w14:paraId="7E49C7EE">
            <w:pPr>
              <w:rPr>
                <w:rFonts w:ascii="Arial"/>
                <w:sz w:val="21"/>
              </w:rPr>
            </w:pPr>
          </w:p>
        </w:tc>
      </w:tr>
      <w:tr w14:paraId="4CE4D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0A4263AD">
            <w:pPr>
              <w:rPr>
                <w:rFonts w:ascii="Arial"/>
                <w:sz w:val="21"/>
              </w:rPr>
            </w:pPr>
          </w:p>
        </w:tc>
      </w:tr>
      <w:tr w14:paraId="5D281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565DAF3E">
            <w:pPr>
              <w:rPr>
                <w:rFonts w:ascii="Arial"/>
                <w:sz w:val="21"/>
              </w:rPr>
            </w:pPr>
          </w:p>
        </w:tc>
      </w:tr>
      <w:tr w14:paraId="7FE61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23F25D51">
            <w:pPr>
              <w:rPr>
                <w:rFonts w:ascii="Arial"/>
                <w:sz w:val="21"/>
              </w:rPr>
            </w:pPr>
          </w:p>
        </w:tc>
        <w:tc>
          <w:tcPr>
            <w:tcW w:w="3594" w:type="dxa"/>
            <w:gridSpan w:val="2"/>
            <w:vAlign w:val="top"/>
          </w:tcPr>
          <w:p w14:paraId="590B2024">
            <w:pPr>
              <w:rPr>
                <w:rFonts w:ascii="Arial"/>
                <w:sz w:val="21"/>
              </w:rPr>
            </w:pPr>
          </w:p>
        </w:tc>
        <w:tc>
          <w:tcPr>
            <w:tcW w:w="2795" w:type="dxa"/>
            <w:vAlign w:val="top"/>
          </w:tcPr>
          <w:p w14:paraId="0634E7C5">
            <w:pPr>
              <w:rPr>
                <w:rFonts w:ascii="Arial"/>
                <w:sz w:val="21"/>
              </w:rPr>
            </w:pPr>
          </w:p>
        </w:tc>
        <w:tc>
          <w:tcPr>
            <w:tcW w:w="1807" w:type="dxa"/>
            <w:vAlign w:val="top"/>
          </w:tcPr>
          <w:p w14:paraId="0F4E395E">
            <w:pPr>
              <w:pStyle w:val="6"/>
              <w:spacing w:before="221" w:line="213" w:lineRule="auto"/>
              <w:ind w:left="696"/>
            </w:pPr>
            <w:r>
              <w:rPr>
                <w:spacing w:val="-3"/>
              </w:rPr>
              <w:t>签字</w:t>
            </w:r>
          </w:p>
        </w:tc>
      </w:tr>
      <w:tr w14:paraId="398F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317469A0">
            <w:pPr>
              <w:rPr>
                <w:rFonts w:ascii="Arial"/>
                <w:sz w:val="21"/>
              </w:rPr>
            </w:pPr>
          </w:p>
        </w:tc>
        <w:tc>
          <w:tcPr>
            <w:tcW w:w="3594" w:type="dxa"/>
            <w:gridSpan w:val="2"/>
            <w:vAlign w:val="top"/>
          </w:tcPr>
          <w:p w14:paraId="004B7A11">
            <w:pPr>
              <w:rPr>
                <w:rFonts w:ascii="Arial"/>
                <w:sz w:val="21"/>
              </w:rPr>
            </w:pPr>
          </w:p>
        </w:tc>
        <w:tc>
          <w:tcPr>
            <w:tcW w:w="2795" w:type="dxa"/>
            <w:vAlign w:val="top"/>
          </w:tcPr>
          <w:p w14:paraId="3CE58F92">
            <w:pPr>
              <w:pStyle w:val="6"/>
              <w:spacing w:before="268" w:line="177" w:lineRule="auto"/>
              <w:ind w:left="950"/>
            </w:pPr>
            <w:r>
              <w:t>BH</w:t>
            </w:r>
            <w:r>
              <w:rPr>
                <w:spacing w:val="4"/>
              </w:rPr>
              <w:t>012112</w:t>
            </w:r>
          </w:p>
        </w:tc>
        <w:tc>
          <w:tcPr>
            <w:tcW w:w="1807" w:type="dxa"/>
            <w:vAlign w:val="top"/>
          </w:tcPr>
          <w:p w14:paraId="0B102051">
            <w:pPr>
              <w:spacing w:line="569" w:lineRule="exact"/>
              <w:ind w:firstLine="280"/>
            </w:pPr>
            <w:r>
              <w:rPr>
                <w:position w:val="-11"/>
              </w:rPr>
              <w:drawing>
                <wp:inline distT="0" distB="0" distL="0" distR="0">
                  <wp:extent cx="751840" cy="3613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6"/>
                          <a:stretch>
                            <a:fillRect/>
                          </a:stretch>
                        </pic:blipFill>
                        <pic:spPr>
                          <a:xfrm>
                            <a:off x="0" y="0"/>
                            <a:ext cx="751991" cy="361947"/>
                          </a:xfrm>
                          <a:prstGeom prst="rect">
                            <a:avLst/>
                          </a:prstGeom>
                        </pic:spPr>
                      </pic:pic>
                    </a:graphicData>
                  </a:graphic>
                </wp:inline>
              </w:drawing>
            </w:r>
          </w:p>
        </w:tc>
      </w:tr>
      <w:tr w14:paraId="7EF1D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0003" w:type="dxa"/>
            <w:gridSpan w:val="5"/>
            <w:vAlign w:val="top"/>
          </w:tcPr>
          <w:p w14:paraId="7284B4DF">
            <w:pPr>
              <w:pStyle w:val="6"/>
              <w:spacing w:before="247" w:line="213" w:lineRule="auto"/>
              <w:ind w:left="237"/>
            </w:pPr>
            <w:r>
              <w:rPr>
                <w:spacing w:val="-14"/>
              </w:rPr>
              <w:t>2.</w:t>
            </w:r>
            <w:r>
              <w:rPr>
                <w:spacing w:val="-23"/>
              </w:rPr>
              <w:t xml:space="preserve"> </w:t>
            </w:r>
            <w:r>
              <w:rPr>
                <w:spacing w:val="-14"/>
              </w:rPr>
              <w:t>主要编制人员</w:t>
            </w:r>
          </w:p>
        </w:tc>
      </w:tr>
      <w:tr w14:paraId="2FDF0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807" w:type="dxa"/>
            <w:vAlign w:val="top"/>
          </w:tcPr>
          <w:p w14:paraId="3DD4C5E0">
            <w:pPr>
              <w:pStyle w:val="6"/>
              <w:spacing w:before="224" w:line="211" w:lineRule="auto"/>
              <w:ind w:left="692"/>
            </w:pPr>
            <w:r>
              <w:rPr>
                <w:spacing w:val="-3"/>
              </w:rPr>
              <w:t>姓名</w:t>
            </w:r>
          </w:p>
        </w:tc>
        <w:tc>
          <w:tcPr>
            <w:tcW w:w="3594" w:type="dxa"/>
            <w:gridSpan w:val="2"/>
            <w:vAlign w:val="top"/>
          </w:tcPr>
          <w:p w14:paraId="1433D9A2">
            <w:pPr>
              <w:pStyle w:val="6"/>
              <w:spacing w:before="223" w:line="212" w:lineRule="auto"/>
              <w:ind w:left="1149"/>
            </w:pPr>
            <w:r>
              <w:rPr>
                <w:spacing w:val="-3"/>
              </w:rPr>
              <w:t>主要编写内容</w:t>
            </w:r>
          </w:p>
        </w:tc>
        <w:tc>
          <w:tcPr>
            <w:tcW w:w="2795" w:type="dxa"/>
            <w:vAlign w:val="top"/>
          </w:tcPr>
          <w:p w14:paraId="6F9AF9E5">
            <w:pPr>
              <w:pStyle w:val="6"/>
              <w:spacing w:before="225" w:line="210" w:lineRule="auto"/>
              <w:ind w:left="972"/>
            </w:pPr>
            <w:r>
              <w:rPr>
                <w:spacing w:val="-3"/>
              </w:rPr>
              <w:t>信用编号</w:t>
            </w:r>
          </w:p>
        </w:tc>
        <w:tc>
          <w:tcPr>
            <w:tcW w:w="1807" w:type="dxa"/>
            <w:vAlign w:val="top"/>
          </w:tcPr>
          <w:p w14:paraId="7602939F">
            <w:pPr>
              <w:pStyle w:val="6"/>
              <w:spacing w:before="221" w:line="213" w:lineRule="auto"/>
              <w:ind w:left="696"/>
            </w:pPr>
            <w:r>
              <w:rPr>
                <w:spacing w:val="-3"/>
              </w:rPr>
              <w:t>签字</w:t>
            </w:r>
          </w:p>
        </w:tc>
      </w:tr>
      <w:tr w14:paraId="5A99C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807" w:type="dxa"/>
            <w:vAlign w:val="top"/>
          </w:tcPr>
          <w:p w14:paraId="5A8689DD">
            <w:pPr>
              <w:pStyle w:val="6"/>
              <w:spacing w:before="225" w:line="211" w:lineRule="auto"/>
              <w:ind w:left="584"/>
            </w:pPr>
            <w:r>
              <w:rPr>
                <w:spacing w:val="-3"/>
              </w:rPr>
              <w:t>王雅葶</w:t>
            </w:r>
          </w:p>
        </w:tc>
        <w:tc>
          <w:tcPr>
            <w:tcW w:w="3594" w:type="dxa"/>
            <w:gridSpan w:val="2"/>
            <w:vAlign w:val="top"/>
          </w:tcPr>
          <w:p w14:paraId="64AEDE74">
            <w:pPr>
              <w:pStyle w:val="6"/>
              <w:spacing w:before="222" w:line="213" w:lineRule="auto"/>
              <w:ind w:left="1366"/>
            </w:pPr>
            <w:r>
              <w:rPr>
                <w:spacing w:val="-2"/>
              </w:rPr>
              <w:t>全部内容</w:t>
            </w:r>
          </w:p>
        </w:tc>
        <w:tc>
          <w:tcPr>
            <w:tcW w:w="2795" w:type="dxa"/>
            <w:vAlign w:val="top"/>
          </w:tcPr>
          <w:p w14:paraId="27A97D34">
            <w:pPr>
              <w:pStyle w:val="6"/>
              <w:spacing w:before="267" w:line="178" w:lineRule="auto"/>
              <w:ind w:left="950"/>
            </w:pPr>
            <w:r>
              <w:t>BH</w:t>
            </w:r>
            <w:r>
              <w:rPr>
                <w:spacing w:val="4"/>
              </w:rPr>
              <w:t>067870</w:t>
            </w:r>
          </w:p>
        </w:tc>
        <w:tc>
          <w:tcPr>
            <w:tcW w:w="1807" w:type="dxa"/>
            <w:vAlign w:val="top"/>
          </w:tcPr>
          <w:p w14:paraId="3C3A944F">
            <w:pPr>
              <w:rPr>
                <w:rFonts w:ascii="Arial"/>
                <w:sz w:val="21"/>
              </w:rPr>
            </w:pPr>
            <w:r>
              <w:drawing>
                <wp:anchor distT="0" distB="0" distL="0" distR="0" simplePos="0" relativeHeight="251661312" behindDoc="0" locked="0" layoutInCell="1" allowOverlap="1">
                  <wp:simplePos x="0" y="0"/>
                  <wp:positionH relativeFrom="rightMargin">
                    <wp:posOffset>-1047115</wp:posOffset>
                  </wp:positionH>
                  <wp:positionV relativeFrom="topMargin">
                    <wp:posOffset>-8255</wp:posOffset>
                  </wp:positionV>
                  <wp:extent cx="817880" cy="46164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7"/>
                          <a:stretch>
                            <a:fillRect/>
                          </a:stretch>
                        </pic:blipFill>
                        <pic:spPr>
                          <a:xfrm>
                            <a:off x="0" y="0"/>
                            <a:ext cx="817795" cy="461901"/>
                          </a:xfrm>
                          <a:prstGeom prst="rect">
                            <a:avLst/>
                          </a:prstGeom>
                        </pic:spPr>
                      </pic:pic>
                    </a:graphicData>
                  </a:graphic>
                </wp:anchor>
              </w:drawing>
            </w:r>
          </w:p>
        </w:tc>
      </w:tr>
    </w:tbl>
    <w:p w14:paraId="3EB17275">
      <w:pPr>
        <w:pStyle w:val="2"/>
      </w:pPr>
    </w:p>
    <w:p w14:paraId="5D032405">
      <w:pPr>
        <w:sectPr>
          <w:headerReference r:id="rId5" w:type="default"/>
          <w:pgSz w:w="11900" w:h="16840"/>
          <w:pgMar w:top="400" w:right="946" w:bottom="0" w:left="720" w:header="0" w:footer="0" w:gutter="0"/>
          <w:cols w:space="720" w:num="1"/>
        </w:sectPr>
      </w:pPr>
    </w:p>
    <w:p w14:paraId="36ACD3D8">
      <w:pPr>
        <w:pStyle w:val="2"/>
        <w:spacing w:line="245" w:lineRule="auto"/>
      </w:pPr>
    </w:p>
    <w:p w14:paraId="0A10F7B5">
      <w:pPr>
        <w:pStyle w:val="2"/>
        <w:spacing w:line="245" w:lineRule="auto"/>
      </w:pPr>
    </w:p>
    <w:p w14:paraId="35CA58FE">
      <w:pPr>
        <w:pStyle w:val="2"/>
        <w:spacing w:line="245" w:lineRule="auto"/>
      </w:pPr>
    </w:p>
    <w:p w14:paraId="4714F451">
      <w:pPr>
        <w:pStyle w:val="2"/>
        <w:spacing w:line="246" w:lineRule="auto"/>
      </w:pPr>
    </w:p>
    <w:p w14:paraId="5FDD5E32">
      <w:pPr>
        <w:spacing w:before="101" w:line="227" w:lineRule="auto"/>
        <w:ind w:left="2632"/>
        <w:outlineLvl w:val="0"/>
        <w:rPr>
          <w:rFonts w:ascii="黑体" w:hAnsi="黑体" w:eastAsia="黑体" w:cs="黑体"/>
          <w:sz w:val="31"/>
          <w:szCs w:val="31"/>
        </w:rPr>
      </w:pPr>
      <w:r>
        <w:rPr>
          <w:rFonts w:ascii="黑体" w:hAnsi="黑体" w:eastAsia="黑体" w:cs="黑体"/>
          <w:spacing w:val="7"/>
          <w:sz w:val="31"/>
          <w:szCs w:val="31"/>
        </w:rPr>
        <w:t>一、建设项目基本情况</w:t>
      </w:r>
    </w:p>
    <w:p w14:paraId="424460D5">
      <w:pPr>
        <w:spacing w:line="193" w:lineRule="exact"/>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2087"/>
        <w:gridCol w:w="1614"/>
        <w:gridCol w:w="3551"/>
      </w:tblGrid>
      <w:tr w14:paraId="6B39B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171" w:type="dxa"/>
            <w:vAlign w:val="top"/>
          </w:tcPr>
          <w:p w14:paraId="67F958E1">
            <w:pPr>
              <w:pStyle w:val="6"/>
              <w:spacing w:before="95" w:line="220" w:lineRule="auto"/>
              <w:ind w:left="114"/>
              <w:rPr>
                <w:sz w:val="24"/>
                <w:szCs w:val="24"/>
              </w:rPr>
            </w:pPr>
            <w:r>
              <w:rPr>
                <w:spacing w:val="-4"/>
                <w:sz w:val="24"/>
                <w:szCs w:val="24"/>
              </w:rPr>
              <w:t>建设项目</w:t>
            </w:r>
          </w:p>
          <w:p w14:paraId="63CADB21">
            <w:pPr>
              <w:pStyle w:val="6"/>
              <w:spacing w:before="26" w:line="221" w:lineRule="auto"/>
              <w:ind w:left="354"/>
              <w:rPr>
                <w:sz w:val="24"/>
                <w:szCs w:val="24"/>
              </w:rPr>
            </w:pPr>
            <w:r>
              <w:rPr>
                <w:spacing w:val="-7"/>
                <w:sz w:val="24"/>
                <w:szCs w:val="24"/>
              </w:rPr>
              <w:t>名称</w:t>
            </w:r>
          </w:p>
        </w:tc>
        <w:tc>
          <w:tcPr>
            <w:tcW w:w="7252" w:type="dxa"/>
            <w:gridSpan w:val="3"/>
            <w:vAlign w:val="top"/>
          </w:tcPr>
          <w:p w14:paraId="20992EFD">
            <w:pPr>
              <w:pStyle w:val="6"/>
              <w:spacing w:before="96" w:line="219" w:lineRule="auto"/>
              <w:ind w:left="150"/>
              <w:rPr>
                <w:sz w:val="24"/>
                <w:szCs w:val="24"/>
              </w:rPr>
            </w:pPr>
            <w:r>
              <w:rPr>
                <w:spacing w:val="-1"/>
                <w:sz w:val="24"/>
                <w:szCs w:val="24"/>
              </w:rPr>
              <w:t>鄂托克经济开发区棋盘井产业园危险化学品车辆专用停车场建设项</w:t>
            </w:r>
          </w:p>
          <w:p w14:paraId="37B8288F">
            <w:pPr>
              <w:pStyle w:val="6"/>
              <w:spacing w:before="27" w:line="222" w:lineRule="auto"/>
              <w:ind w:left="3556"/>
              <w:rPr>
                <w:sz w:val="24"/>
                <w:szCs w:val="24"/>
              </w:rPr>
            </w:pPr>
            <w:r>
              <w:rPr>
                <w:sz w:val="24"/>
                <w:szCs w:val="24"/>
              </w:rPr>
              <w:t>目</w:t>
            </w:r>
          </w:p>
        </w:tc>
      </w:tr>
      <w:tr w14:paraId="2F39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330F1B19">
            <w:pPr>
              <w:pStyle w:val="6"/>
              <w:spacing w:before="94" w:line="219" w:lineRule="auto"/>
              <w:ind w:left="115"/>
              <w:rPr>
                <w:sz w:val="24"/>
                <w:szCs w:val="24"/>
              </w:rPr>
            </w:pPr>
            <w:r>
              <w:rPr>
                <w:spacing w:val="-4"/>
                <w:sz w:val="24"/>
                <w:szCs w:val="24"/>
              </w:rPr>
              <w:t>项目代码</w:t>
            </w:r>
          </w:p>
        </w:tc>
        <w:tc>
          <w:tcPr>
            <w:tcW w:w="7252" w:type="dxa"/>
            <w:gridSpan w:val="3"/>
            <w:vAlign w:val="top"/>
          </w:tcPr>
          <w:p w14:paraId="2541FAE7">
            <w:pPr>
              <w:spacing w:before="133" w:line="188" w:lineRule="auto"/>
              <w:ind w:left="226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2403-150624-04-01-668505</w:t>
            </w:r>
          </w:p>
        </w:tc>
      </w:tr>
      <w:tr w14:paraId="3627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71" w:type="dxa"/>
            <w:vAlign w:val="top"/>
          </w:tcPr>
          <w:p w14:paraId="17001FEB">
            <w:pPr>
              <w:pStyle w:val="6"/>
              <w:spacing w:before="94" w:line="243" w:lineRule="auto"/>
              <w:ind w:left="232" w:right="103" w:hanging="118"/>
              <w:rPr>
                <w:sz w:val="24"/>
                <w:szCs w:val="24"/>
              </w:rPr>
            </w:pPr>
            <w:r>
              <w:rPr>
                <w:spacing w:val="-4"/>
                <w:sz w:val="24"/>
                <w:szCs w:val="24"/>
              </w:rPr>
              <w:t>建设单位</w:t>
            </w:r>
            <w:r>
              <w:rPr>
                <w:spacing w:val="2"/>
                <w:sz w:val="24"/>
                <w:szCs w:val="24"/>
              </w:rPr>
              <w:t xml:space="preserve"> </w:t>
            </w:r>
            <w:r>
              <w:rPr>
                <w:spacing w:val="-4"/>
                <w:sz w:val="24"/>
                <w:szCs w:val="24"/>
              </w:rPr>
              <w:t>联系人</w:t>
            </w:r>
          </w:p>
        </w:tc>
        <w:tc>
          <w:tcPr>
            <w:tcW w:w="2087" w:type="dxa"/>
            <w:vAlign w:val="top"/>
          </w:tcPr>
          <w:p w14:paraId="1859EE98">
            <w:pPr>
              <w:pStyle w:val="6"/>
              <w:spacing w:before="250" w:line="219" w:lineRule="auto"/>
              <w:ind w:left="810"/>
              <w:rPr>
                <w:sz w:val="24"/>
                <w:szCs w:val="24"/>
              </w:rPr>
            </w:pPr>
            <w:r>
              <w:rPr>
                <w:spacing w:val="-7"/>
                <w:sz w:val="24"/>
                <w:szCs w:val="24"/>
              </w:rPr>
              <w:t>芒来</w:t>
            </w:r>
          </w:p>
        </w:tc>
        <w:tc>
          <w:tcPr>
            <w:tcW w:w="1614" w:type="dxa"/>
            <w:vAlign w:val="top"/>
          </w:tcPr>
          <w:p w14:paraId="055E86CA">
            <w:pPr>
              <w:pStyle w:val="6"/>
              <w:spacing w:before="249" w:line="221" w:lineRule="auto"/>
              <w:ind w:left="334"/>
              <w:rPr>
                <w:sz w:val="24"/>
                <w:szCs w:val="24"/>
              </w:rPr>
            </w:pPr>
            <w:r>
              <w:rPr>
                <w:spacing w:val="-3"/>
                <w:sz w:val="24"/>
                <w:szCs w:val="24"/>
              </w:rPr>
              <w:t>联系方式</w:t>
            </w:r>
          </w:p>
        </w:tc>
        <w:tc>
          <w:tcPr>
            <w:tcW w:w="3551" w:type="dxa"/>
            <w:vAlign w:val="top"/>
          </w:tcPr>
          <w:p w14:paraId="322F0305">
            <w:pPr>
              <w:spacing w:before="291" w:line="188" w:lineRule="auto"/>
              <w:ind w:left="11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18647179604</w:t>
            </w:r>
          </w:p>
        </w:tc>
      </w:tr>
      <w:tr w14:paraId="6B300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54AC0964">
            <w:pPr>
              <w:pStyle w:val="6"/>
              <w:spacing w:before="92" w:line="221" w:lineRule="auto"/>
              <w:ind w:left="114"/>
              <w:rPr>
                <w:sz w:val="24"/>
                <w:szCs w:val="24"/>
              </w:rPr>
            </w:pPr>
            <w:r>
              <w:rPr>
                <w:spacing w:val="-4"/>
                <w:sz w:val="24"/>
                <w:szCs w:val="24"/>
              </w:rPr>
              <w:t>建设地点</w:t>
            </w:r>
          </w:p>
        </w:tc>
        <w:tc>
          <w:tcPr>
            <w:tcW w:w="7252" w:type="dxa"/>
            <w:gridSpan w:val="3"/>
            <w:vAlign w:val="top"/>
          </w:tcPr>
          <w:p w14:paraId="462E2D89">
            <w:pPr>
              <w:pStyle w:val="6"/>
              <w:spacing w:before="93" w:line="219" w:lineRule="auto"/>
              <w:ind w:left="873"/>
              <w:rPr>
                <w:sz w:val="24"/>
                <w:szCs w:val="24"/>
              </w:rPr>
            </w:pPr>
            <w:r>
              <w:rPr>
                <w:spacing w:val="-1"/>
                <w:sz w:val="24"/>
                <w:szCs w:val="24"/>
              </w:rPr>
              <w:t>棋盘井镇二号路东，工业街南，金海路西，南环路北</w:t>
            </w:r>
          </w:p>
        </w:tc>
      </w:tr>
      <w:tr w14:paraId="4BE2D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171" w:type="dxa"/>
            <w:vAlign w:val="top"/>
          </w:tcPr>
          <w:p w14:paraId="42D9F5FA">
            <w:pPr>
              <w:pStyle w:val="6"/>
              <w:spacing w:before="92" w:line="220" w:lineRule="auto"/>
              <w:ind w:left="111"/>
              <w:rPr>
                <w:sz w:val="24"/>
                <w:szCs w:val="24"/>
              </w:rPr>
            </w:pPr>
            <w:r>
              <w:rPr>
                <w:spacing w:val="-3"/>
                <w:sz w:val="24"/>
                <w:szCs w:val="24"/>
              </w:rPr>
              <w:t>地理坐标</w:t>
            </w:r>
          </w:p>
        </w:tc>
        <w:tc>
          <w:tcPr>
            <w:tcW w:w="7252" w:type="dxa"/>
            <w:gridSpan w:val="3"/>
            <w:vAlign w:val="top"/>
          </w:tcPr>
          <w:p w14:paraId="15AA61A0">
            <w:pPr>
              <w:pStyle w:val="6"/>
              <w:spacing w:before="134" w:line="180" w:lineRule="auto"/>
              <w:ind w:left="19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2"/>
                <w:sz w:val="24"/>
                <w:szCs w:val="24"/>
              </w:rPr>
              <w:t>′52.116″</w:t>
            </w:r>
            <w:r>
              <w:rPr>
                <w:rFonts w:ascii="Times New Roman" w:hAnsi="Times New Roman" w:eastAsia="Times New Roman" w:cs="Times New Roman"/>
                <w:spacing w:val="-30"/>
                <w:sz w:val="24"/>
                <w:szCs w:val="24"/>
              </w:rPr>
              <w:t xml:space="preserve"> </w:t>
            </w:r>
            <w:r>
              <w:rPr>
                <w:spacing w:val="-2"/>
                <w:sz w:val="24"/>
                <w:szCs w:val="24"/>
              </w:rPr>
              <w:t>，</w:t>
            </w:r>
            <w:r>
              <w:rPr>
                <w:rFonts w:ascii="Times New Roman" w:hAnsi="Times New Roman" w:eastAsia="Times New Roman" w:cs="Times New Roman"/>
                <w:spacing w:val="-2"/>
                <w:sz w:val="24"/>
                <w:szCs w:val="24"/>
              </w:rPr>
              <w:t>N39°21′42.0</w:t>
            </w:r>
            <w:r>
              <w:rPr>
                <w:rFonts w:ascii="Times New Roman" w:hAnsi="Times New Roman" w:eastAsia="Times New Roman" w:cs="Times New Roman"/>
                <w:spacing w:val="-3"/>
                <w:sz w:val="24"/>
                <w:szCs w:val="24"/>
              </w:rPr>
              <w:t>32″</w:t>
            </w:r>
          </w:p>
        </w:tc>
      </w:tr>
      <w:tr w14:paraId="12CFF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171" w:type="dxa"/>
            <w:vAlign w:val="top"/>
          </w:tcPr>
          <w:p w14:paraId="3487F3A8">
            <w:pPr>
              <w:pStyle w:val="6"/>
              <w:spacing w:before="248" w:line="220" w:lineRule="auto"/>
              <w:ind w:left="135"/>
              <w:rPr>
                <w:sz w:val="24"/>
                <w:szCs w:val="24"/>
              </w:rPr>
            </w:pPr>
            <w:r>
              <w:rPr>
                <w:spacing w:val="-9"/>
                <w:sz w:val="24"/>
                <w:szCs w:val="24"/>
              </w:rPr>
              <w:t>国民经济</w:t>
            </w:r>
          </w:p>
          <w:p w14:paraId="2C3027FB">
            <w:pPr>
              <w:pStyle w:val="6"/>
              <w:spacing w:before="26" w:line="219" w:lineRule="auto"/>
              <w:ind w:left="115"/>
              <w:rPr>
                <w:sz w:val="24"/>
                <w:szCs w:val="24"/>
              </w:rPr>
            </w:pPr>
            <w:r>
              <w:rPr>
                <w:spacing w:val="-4"/>
                <w:sz w:val="24"/>
                <w:szCs w:val="24"/>
              </w:rPr>
              <w:t>行业类别</w:t>
            </w:r>
          </w:p>
        </w:tc>
        <w:tc>
          <w:tcPr>
            <w:tcW w:w="2087" w:type="dxa"/>
            <w:vAlign w:val="top"/>
          </w:tcPr>
          <w:p w14:paraId="4A289B2C">
            <w:pPr>
              <w:pStyle w:val="6"/>
              <w:spacing w:before="248" w:line="242" w:lineRule="auto"/>
              <w:ind w:left="446" w:right="85" w:hanging="355"/>
              <w:rPr>
                <w:sz w:val="24"/>
                <w:szCs w:val="24"/>
              </w:rPr>
            </w:pPr>
            <w:r>
              <w:rPr>
                <w:rFonts w:ascii="Times New Roman" w:hAnsi="Times New Roman" w:eastAsia="Times New Roman" w:cs="Times New Roman"/>
                <w:spacing w:val="-1"/>
                <w:sz w:val="24"/>
                <w:szCs w:val="24"/>
              </w:rPr>
              <w:t xml:space="preserve">G5449 </w:t>
            </w:r>
            <w:r>
              <w:rPr>
                <w:spacing w:val="-1"/>
                <w:sz w:val="24"/>
                <w:szCs w:val="24"/>
              </w:rPr>
              <w:t>其他道路运</w:t>
            </w:r>
            <w:r>
              <w:rPr>
                <w:spacing w:val="1"/>
                <w:sz w:val="24"/>
                <w:szCs w:val="24"/>
              </w:rPr>
              <w:t xml:space="preserve"> </w:t>
            </w:r>
            <w:r>
              <w:rPr>
                <w:spacing w:val="-2"/>
                <w:sz w:val="24"/>
                <w:szCs w:val="24"/>
              </w:rPr>
              <w:t>输辅助活动</w:t>
            </w:r>
          </w:p>
        </w:tc>
        <w:tc>
          <w:tcPr>
            <w:tcW w:w="1614" w:type="dxa"/>
            <w:vAlign w:val="top"/>
          </w:tcPr>
          <w:p w14:paraId="056A53E8">
            <w:pPr>
              <w:pStyle w:val="6"/>
              <w:spacing w:before="248" w:line="220" w:lineRule="auto"/>
              <w:ind w:left="336"/>
              <w:rPr>
                <w:sz w:val="24"/>
                <w:szCs w:val="24"/>
              </w:rPr>
            </w:pPr>
            <w:r>
              <w:rPr>
                <w:spacing w:val="-4"/>
                <w:sz w:val="24"/>
                <w:szCs w:val="24"/>
              </w:rPr>
              <w:t>建设项目</w:t>
            </w:r>
          </w:p>
          <w:p w14:paraId="6627A4CB">
            <w:pPr>
              <w:pStyle w:val="6"/>
              <w:spacing w:before="26" w:line="219" w:lineRule="auto"/>
              <w:ind w:left="337"/>
              <w:rPr>
                <w:sz w:val="24"/>
                <w:szCs w:val="24"/>
              </w:rPr>
            </w:pPr>
            <w:r>
              <w:rPr>
                <w:spacing w:val="-4"/>
                <w:sz w:val="24"/>
                <w:szCs w:val="24"/>
              </w:rPr>
              <w:t>行业类别</w:t>
            </w:r>
          </w:p>
        </w:tc>
        <w:tc>
          <w:tcPr>
            <w:tcW w:w="3551" w:type="dxa"/>
            <w:vAlign w:val="top"/>
          </w:tcPr>
          <w:p w14:paraId="1309CD72">
            <w:pPr>
              <w:pStyle w:val="6"/>
              <w:spacing w:before="93" w:line="219" w:lineRule="auto"/>
              <w:ind w:left="465"/>
              <w:rPr>
                <w:sz w:val="24"/>
                <w:szCs w:val="24"/>
              </w:rPr>
            </w:pPr>
            <w:r>
              <w:rPr>
                <w:spacing w:val="-2"/>
                <w:sz w:val="24"/>
                <w:szCs w:val="24"/>
              </w:rPr>
              <w:t>五十、社会事业与服务业</w:t>
            </w:r>
          </w:p>
          <w:p w14:paraId="02E91D17">
            <w:pPr>
              <w:pStyle w:val="6"/>
              <w:spacing w:before="25" w:line="219" w:lineRule="auto"/>
              <w:ind w:left="140"/>
              <w:rPr>
                <w:sz w:val="24"/>
                <w:szCs w:val="24"/>
              </w:rPr>
            </w:pPr>
            <w:r>
              <w:rPr>
                <w:rFonts w:ascii="Times New Roman" w:hAnsi="Times New Roman" w:eastAsia="Times New Roman" w:cs="Times New Roman"/>
                <w:spacing w:val="-4"/>
                <w:sz w:val="24"/>
                <w:szCs w:val="24"/>
              </w:rPr>
              <w:t>120</w:t>
            </w:r>
            <w:r>
              <w:rPr>
                <w:rFonts w:ascii="Times New Roman" w:hAnsi="Times New Roman" w:eastAsia="Times New Roman" w:cs="Times New Roman"/>
                <w:spacing w:val="-26"/>
                <w:sz w:val="24"/>
                <w:szCs w:val="24"/>
              </w:rPr>
              <w:t xml:space="preserve"> </w:t>
            </w:r>
            <w:r>
              <w:rPr>
                <w:spacing w:val="-4"/>
                <w:sz w:val="24"/>
                <w:szCs w:val="24"/>
              </w:rPr>
              <w:t>、洗车场</w:t>
            </w:r>
            <w:r>
              <w:rPr>
                <w:rFonts w:ascii="Times New Roman" w:hAnsi="Times New Roman" w:eastAsia="Times New Roman" w:cs="Times New Roman"/>
                <w:spacing w:val="-4"/>
                <w:sz w:val="24"/>
                <w:szCs w:val="24"/>
              </w:rPr>
              <w:t>-</w:t>
            </w:r>
            <w:r>
              <w:rPr>
                <w:spacing w:val="-4"/>
                <w:sz w:val="24"/>
                <w:szCs w:val="24"/>
              </w:rPr>
              <w:t>危险化学品运输车</w:t>
            </w:r>
          </w:p>
          <w:p w14:paraId="7A6AA172">
            <w:pPr>
              <w:pStyle w:val="6"/>
              <w:spacing w:before="27" w:line="219" w:lineRule="auto"/>
              <w:ind w:left="1301"/>
              <w:rPr>
                <w:sz w:val="24"/>
                <w:szCs w:val="24"/>
              </w:rPr>
            </w:pPr>
            <w:r>
              <w:rPr>
                <w:spacing w:val="-3"/>
                <w:sz w:val="24"/>
                <w:szCs w:val="24"/>
              </w:rPr>
              <w:t>辆洗车场</w:t>
            </w:r>
          </w:p>
        </w:tc>
      </w:tr>
      <w:tr w14:paraId="61E1D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171" w:type="dxa"/>
            <w:vAlign w:val="top"/>
          </w:tcPr>
          <w:p w14:paraId="1AE8A378">
            <w:pPr>
              <w:rPr>
                <w:rFonts w:ascii="Arial"/>
                <w:sz w:val="21"/>
              </w:rPr>
            </w:pPr>
          </w:p>
          <w:p w14:paraId="1FDD20C5">
            <w:pPr>
              <w:rPr>
                <w:rFonts w:ascii="Arial"/>
                <w:sz w:val="21"/>
              </w:rPr>
            </w:pPr>
          </w:p>
          <w:p w14:paraId="4D5691AE">
            <w:pPr>
              <w:pStyle w:val="6"/>
              <w:spacing w:before="78" w:line="220" w:lineRule="auto"/>
              <w:ind w:left="114"/>
              <w:rPr>
                <w:sz w:val="24"/>
                <w:szCs w:val="24"/>
              </w:rPr>
            </w:pPr>
            <w:r>
              <w:rPr>
                <w:spacing w:val="-4"/>
                <w:sz w:val="24"/>
                <w:szCs w:val="24"/>
              </w:rPr>
              <w:t>建设性质</w:t>
            </w:r>
          </w:p>
        </w:tc>
        <w:tc>
          <w:tcPr>
            <w:tcW w:w="2087" w:type="dxa"/>
            <w:vAlign w:val="top"/>
          </w:tcPr>
          <w:p w14:paraId="72E15659">
            <w:pPr>
              <w:pStyle w:val="6"/>
              <w:spacing w:before="96" w:line="239" w:lineRule="auto"/>
              <w:ind w:left="85" w:right="370" w:hanging="15"/>
              <w:rPr>
                <w:sz w:val="24"/>
                <w:szCs w:val="24"/>
              </w:rPr>
            </w:pPr>
            <w:r>
              <w:rPr>
                <w:rFonts w:ascii="MS Gothic" w:hAnsi="MS Gothic" w:eastAsia="MS Gothic" w:cs="MS Gothic"/>
                <w:spacing w:val="-6"/>
                <w:sz w:val="24"/>
                <w:szCs w:val="24"/>
              </w:rPr>
              <w:t>☑</w:t>
            </w:r>
            <w:r>
              <w:rPr>
                <w:spacing w:val="-6"/>
                <w:sz w:val="24"/>
                <w:szCs w:val="24"/>
              </w:rPr>
              <w:t>新建（迁建）</w:t>
            </w:r>
            <w:r>
              <w:rPr>
                <w:spacing w:val="1"/>
                <w:sz w:val="24"/>
                <w:szCs w:val="24"/>
              </w:rPr>
              <w:t xml:space="preserve"> </w:t>
            </w:r>
            <w:r>
              <w:rPr>
                <w:spacing w:val="-12"/>
                <w:sz w:val="24"/>
                <w:szCs w:val="24"/>
              </w:rPr>
              <w:t>□改建</w:t>
            </w:r>
          </w:p>
          <w:p w14:paraId="6B3DAD1F">
            <w:pPr>
              <w:pStyle w:val="6"/>
              <w:spacing w:line="220" w:lineRule="auto"/>
              <w:ind w:left="86"/>
              <w:rPr>
                <w:sz w:val="24"/>
                <w:szCs w:val="24"/>
              </w:rPr>
            </w:pPr>
            <w:r>
              <w:rPr>
                <w:spacing w:val="-12"/>
                <w:sz w:val="24"/>
                <w:szCs w:val="24"/>
              </w:rPr>
              <w:t>□扩建</w:t>
            </w:r>
          </w:p>
          <w:p w14:paraId="61573FDD">
            <w:pPr>
              <w:pStyle w:val="6"/>
              <w:spacing w:before="23" w:line="219" w:lineRule="auto"/>
              <w:ind w:left="86"/>
              <w:rPr>
                <w:sz w:val="24"/>
                <w:szCs w:val="24"/>
              </w:rPr>
            </w:pPr>
            <w:r>
              <w:rPr>
                <w:spacing w:val="-7"/>
                <w:sz w:val="24"/>
                <w:szCs w:val="24"/>
              </w:rPr>
              <w:t>□技术改造</w:t>
            </w:r>
          </w:p>
        </w:tc>
        <w:tc>
          <w:tcPr>
            <w:tcW w:w="1614" w:type="dxa"/>
            <w:vAlign w:val="top"/>
          </w:tcPr>
          <w:p w14:paraId="40A34117">
            <w:pPr>
              <w:spacing w:line="325" w:lineRule="auto"/>
              <w:rPr>
                <w:rFonts w:ascii="Arial"/>
                <w:sz w:val="21"/>
              </w:rPr>
            </w:pPr>
          </w:p>
          <w:p w14:paraId="6318227D">
            <w:pPr>
              <w:pStyle w:val="6"/>
              <w:spacing w:before="78" w:line="220" w:lineRule="auto"/>
              <w:ind w:left="336"/>
              <w:rPr>
                <w:sz w:val="24"/>
                <w:szCs w:val="24"/>
              </w:rPr>
            </w:pPr>
            <w:r>
              <w:rPr>
                <w:spacing w:val="-4"/>
                <w:sz w:val="24"/>
                <w:szCs w:val="24"/>
              </w:rPr>
              <w:t>建设项目</w:t>
            </w:r>
          </w:p>
          <w:p w14:paraId="2FFE9CCD">
            <w:pPr>
              <w:pStyle w:val="6"/>
              <w:spacing w:before="26" w:line="219" w:lineRule="auto"/>
              <w:ind w:left="364"/>
              <w:rPr>
                <w:sz w:val="24"/>
                <w:szCs w:val="24"/>
              </w:rPr>
            </w:pPr>
            <w:r>
              <w:rPr>
                <w:spacing w:val="-11"/>
                <w:sz w:val="24"/>
                <w:szCs w:val="24"/>
              </w:rPr>
              <w:t>申报情形</w:t>
            </w:r>
          </w:p>
        </w:tc>
        <w:tc>
          <w:tcPr>
            <w:tcW w:w="3551" w:type="dxa"/>
            <w:vAlign w:val="top"/>
          </w:tcPr>
          <w:p w14:paraId="734D0903">
            <w:pPr>
              <w:pStyle w:val="6"/>
              <w:spacing w:before="96" w:line="219" w:lineRule="auto"/>
              <w:ind w:left="73"/>
              <w:rPr>
                <w:sz w:val="24"/>
                <w:szCs w:val="24"/>
              </w:rPr>
            </w:pPr>
            <w:r>
              <w:rPr>
                <w:rFonts w:ascii="MS Gothic" w:hAnsi="MS Gothic" w:eastAsia="MS Gothic" w:cs="MS Gothic"/>
                <w:spacing w:val="-3"/>
                <w:sz w:val="24"/>
                <w:szCs w:val="24"/>
              </w:rPr>
              <w:t>☑</w:t>
            </w:r>
            <w:r>
              <w:rPr>
                <w:spacing w:val="-3"/>
                <w:sz w:val="24"/>
                <w:szCs w:val="24"/>
              </w:rPr>
              <w:t>首次申报项目</w:t>
            </w:r>
          </w:p>
          <w:p w14:paraId="22B19D23">
            <w:pPr>
              <w:pStyle w:val="6"/>
              <w:spacing w:before="24" w:line="219" w:lineRule="auto"/>
              <w:ind w:left="88"/>
              <w:rPr>
                <w:sz w:val="24"/>
                <w:szCs w:val="24"/>
              </w:rPr>
            </w:pPr>
            <w:r>
              <w:rPr>
                <w:spacing w:val="-3"/>
                <w:sz w:val="24"/>
                <w:szCs w:val="24"/>
              </w:rPr>
              <w:t>□不予批准后再次申报项目</w:t>
            </w:r>
          </w:p>
          <w:p w14:paraId="71E075C2">
            <w:pPr>
              <w:pStyle w:val="6"/>
              <w:spacing w:before="27" w:line="219" w:lineRule="auto"/>
              <w:ind w:left="88"/>
              <w:rPr>
                <w:sz w:val="24"/>
                <w:szCs w:val="24"/>
              </w:rPr>
            </w:pPr>
            <w:r>
              <w:rPr>
                <w:spacing w:val="-4"/>
                <w:sz w:val="24"/>
                <w:szCs w:val="24"/>
              </w:rPr>
              <w:t>□超五年重新审核项目</w:t>
            </w:r>
          </w:p>
          <w:p w14:paraId="2334195E">
            <w:pPr>
              <w:pStyle w:val="6"/>
              <w:spacing w:before="24" w:line="219" w:lineRule="auto"/>
              <w:ind w:left="88"/>
              <w:rPr>
                <w:sz w:val="24"/>
                <w:szCs w:val="24"/>
              </w:rPr>
            </w:pPr>
            <w:r>
              <w:rPr>
                <w:spacing w:val="-4"/>
                <w:sz w:val="24"/>
                <w:szCs w:val="24"/>
              </w:rPr>
              <w:t>□重大变动重新报批项目</w:t>
            </w:r>
          </w:p>
        </w:tc>
      </w:tr>
      <w:tr w14:paraId="24C6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171" w:type="dxa"/>
            <w:vAlign w:val="top"/>
          </w:tcPr>
          <w:p w14:paraId="78570BD2">
            <w:pPr>
              <w:pStyle w:val="6"/>
              <w:spacing w:before="95" w:line="220" w:lineRule="auto"/>
              <w:ind w:left="115"/>
              <w:rPr>
                <w:sz w:val="24"/>
                <w:szCs w:val="24"/>
              </w:rPr>
            </w:pPr>
            <w:r>
              <w:rPr>
                <w:spacing w:val="-4"/>
                <w:sz w:val="24"/>
                <w:szCs w:val="24"/>
              </w:rPr>
              <w:t>项目审批</w:t>
            </w:r>
          </w:p>
          <w:p w14:paraId="123D8812">
            <w:pPr>
              <w:pStyle w:val="6"/>
              <w:spacing w:before="26"/>
              <w:ind w:left="113" w:right="70" w:hanging="24"/>
              <w:rPr>
                <w:sz w:val="24"/>
                <w:szCs w:val="24"/>
              </w:rPr>
            </w:pPr>
            <w:r>
              <w:rPr>
                <w:spacing w:val="-5"/>
                <w:sz w:val="24"/>
                <w:szCs w:val="24"/>
              </w:rPr>
              <w:t>（核准</w:t>
            </w:r>
            <w:r>
              <w:rPr>
                <w:rFonts w:ascii="Times New Roman" w:hAnsi="Times New Roman" w:eastAsia="Times New Roman" w:cs="Times New Roman"/>
                <w:spacing w:val="-5"/>
                <w:sz w:val="24"/>
                <w:szCs w:val="24"/>
              </w:rPr>
              <w:t>/</w:t>
            </w:r>
            <w:r>
              <w:rPr>
                <w:spacing w:val="-5"/>
                <w:sz w:val="24"/>
                <w:szCs w:val="24"/>
              </w:rPr>
              <w:t>备</w:t>
            </w:r>
            <w:r>
              <w:rPr>
                <w:spacing w:val="3"/>
                <w:sz w:val="24"/>
                <w:szCs w:val="24"/>
              </w:rPr>
              <w:t xml:space="preserve"> </w:t>
            </w:r>
            <w:r>
              <w:rPr>
                <w:spacing w:val="-3"/>
                <w:sz w:val="24"/>
                <w:szCs w:val="24"/>
              </w:rPr>
              <w:t>案）部门</w:t>
            </w:r>
          </w:p>
        </w:tc>
        <w:tc>
          <w:tcPr>
            <w:tcW w:w="2087" w:type="dxa"/>
            <w:vAlign w:val="top"/>
          </w:tcPr>
          <w:p w14:paraId="3AA69BC3">
            <w:pPr>
              <w:pStyle w:val="6"/>
              <w:spacing w:before="251"/>
              <w:ind w:left="567" w:right="83" w:hanging="480"/>
              <w:rPr>
                <w:sz w:val="24"/>
                <w:szCs w:val="24"/>
              </w:rPr>
            </w:pPr>
            <w:r>
              <w:rPr>
                <w:spacing w:val="-2"/>
                <w:sz w:val="24"/>
                <w:szCs w:val="24"/>
              </w:rPr>
              <w:t>鄂托克旗发展和改</w:t>
            </w:r>
            <w:r>
              <w:rPr>
                <w:spacing w:val="5"/>
                <w:sz w:val="24"/>
                <w:szCs w:val="24"/>
              </w:rPr>
              <w:t xml:space="preserve"> </w:t>
            </w:r>
            <w:r>
              <w:rPr>
                <w:spacing w:val="-3"/>
                <w:sz w:val="24"/>
                <w:szCs w:val="24"/>
              </w:rPr>
              <w:t>革委员会</w:t>
            </w:r>
          </w:p>
        </w:tc>
        <w:tc>
          <w:tcPr>
            <w:tcW w:w="1614" w:type="dxa"/>
            <w:vAlign w:val="top"/>
          </w:tcPr>
          <w:p w14:paraId="72EBF71D">
            <w:pPr>
              <w:pStyle w:val="6"/>
              <w:spacing w:before="250" w:line="241" w:lineRule="auto"/>
              <w:ind w:left="64" w:right="53" w:firstLine="33"/>
              <w:rPr>
                <w:sz w:val="24"/>
                <w:szCs w:val="24"/>
              </w:rPr>
            </w:pPr>
            <w:r>
              <w:rPr>
                <w:spacing w:val="-3"/>
                <w:sz w:val="24"/>
                <w:szCs w:val="24"/>
              </w:rPr>
              <w:t>项目审批（核</w:t>
            </w:r>
            <w:r>
              <w:rPr>
                <w:spacing w:val="3"/>
                <w:sz w:val="24"/>
                <w:szCs w:val="24"/>
              </w:rPr>
              <w:t xml:space="preserve"> </w:t>
            </w:r>
            <w:r>
              <w:rPr>
                <w:spacing w:val="-3"/>
                <w:sz w:val="24"/>
                <w:szCs w:val="24"/>
              </w:rPr>
              <w:t>准</w:t>
            </w:r>
            <w:r>
              <w:rPr>
                <w:rFonts w:ascii="Times New Roman" w:hAnsi="Times New Roman" w:eastAsia="Times New Roman" w:cs="Times New Roman"/>
                <w:spacing w:val="-3"/>
                <w:sz w:val="24"/>
                <w:szCs w:val="24"/>
              </w:rPr>
              <w:t>/</w:t>
            </w:r>
            <w:r>
              <w:rPr>
                <w:spacing w:val="-3"/>
                <w:sz w:val="24"/>
                <w:szCs w:val="24"/>
              </w:rPr>
              <w:t>备案）文号</w:t>
            </w:r>
          </w:p>
        </w:tc>
        <w:tc>
          <w:tcPr>
            <w:tcW w:w="3551" w:type="dxa"/>
            <w:vAlign w:val="top"/>
          </w:tcPr>
          <w:p w14:paraId="4DFBAEE2">
            <w:pPr>
              <w:spacing w:line="325" w:lineRule="auto"/>
              <w:rPr>
                <w:rFonts w:ascii="Arial"/>
                <w:sz w:val="21"/>
              </w:rPr>
            </w:pPr>
          </w:p>
          <w:p w14:paraId="02F195EF">
            <w:pPr>
              <w:pStyle w:val="6"/>
              <w:spacing w:before="78" w:line="219" w:lineRule="auto"/>
              <w:ind w:left="190"/>
              <w:rPr>
                <w:sz w:val="24"/>
                <w:szCs w:val="24"/>
              </w:rPr>
            </w:pPr>
            <w:r>
              <w:rPr>
                <w:sz w:val="24"/>
                <w:szCs w:val="24"/>
              </w:rPr>
              <w:t>鄂旗发改审批发〔</w:t>
            </w:r>
            <w:r>
              <w:rPr>
                <w:rFonts w:ascii="Times New Roman" w:hAnsi="Times New Roman" w:eastAsia="Times New Roman" w:cs="Times New Roman"/>
                <w:sz w:val="24"/>
                <w:szCs w:val="24"/>
              </w:rPr>
              <w:t>2024</w:t>
            </w:r>
            <w:r>
              <w:rPr>
                <w:sz w:val="24"/>
                <w:szCs w:val="24"/>
              </w:rPr>
              <w:t>〕</w:t>
            </w:r>
            <w:r>
              <w:rPr>
                <w:rFonts w:ascii="Times New Roman" w:hAnsi="Times New Roman" w:eastAsia="Times New Roman" w:cs="Times New Roman"/>
                <w:sz w:val="24"/>
                <w:szCs w:val="24"/>
              </w:rPr>
              <w:t xml:space="preserve">88 </w:t>
            </w:r>
            <w:r>
              <w:rPr>
                <w:sz w:val="24"/>
                <w:szCs w:val="24"/>
              </w:rPr>
              <w:t>号</w:t>
            </w:r>
          </w:p>
        </w:tc>
      </w:tr>
      <w:tr w14:paraId="5EBC5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171" w:type="dxa"/>
            <w:vAlign w:val="top"/>
          </w:tcPr>
          <w:p w14:paraId="5AA45A82">
            <w:pPr>
              <w:pStyle w:val="6"/>
              <w:spacing w:before="94" w:line="220" w:lineRule="auto"/>
              <w:ind w:left="238"/>
              <w:rPr>
                <w:sz w:val="24"/>
                <w:szCs w:val="24"/>
              </w:rPr>
            </w:pPr>
            <w:r>
              <w:rPr>
                <w:spacing w:val="-6"/>
                <w:sz w:val="24"/>
                <w:szCs w:val="24"/>
              </w:rPr>
              <w:t>总投资</w:t>
            </w:r>
          </w:p>
          <w:p w14:paraId="06128313">
            <w:pPr>
              <w:pStyle w:val="6"/>
              <w:spacing w:before="26" w:line="220" w:lineRule="auto"/>
              <w:ind w:left="123"/>
              <w:rPr>
                <w:sz w:val="24"/>
                <w:szCs w:val="24"/>
              </w:rPr>
            </w:pPr>
            <w:r>
              <w:rPr>
                <w:spacing w:val="-6"/>
                <w:sz w:val="24"/>
                <w:szCs w:val="24"/>
              </w:rPr>
              <w:t>（万元）</w:t>
            </w:r>
          </w:p>
        </w:tc>
        <w:tc>
          <w:tcPr>
            <w:tcW w:w="2087" w:type="dxa"/>
            <w:vAlign w:val="top"/>
          </w:tcPr>
          <w:p w14:paraId="516186D4">
            <w:pPr>
              <w:spacing w:before="292" w:line="188" w:lineRule="auto"/>
              <w:ind w:left="6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2364.55</w:t>
            </w:r>
          </w:p>
        </w:tc>
        <w:tc>
          <w:tcPr>
            <w:tcW w:w="1614" w:type="dxa"/>
            <w:vAlign w:val="top"/>
          </w:tcPr>
          <w:p w14:paraId="22DBA248">
            <w:pPr>
              <w:pStyle w:val="6"/>
              <w:spacing w:before="94" w:line="220" w:lineRule="auto"/>
              <w:ind w:left="333"/>
              <w:rPr>
                <w:sz w:val="24"/>
                <w:szCs w:val="24"/>
              </w:rPr>
            </w:pPr>
            <w:r>
              <w:rPr>
                <w:spacing w:val="-3"/>
                <w:sz w:val="24"/>
                <w:szCs w:val="24"/>
              </w:rPr>
              <w:t>环保投资</w:t>
            </w:r>
          </w:p>
          <w:p w14:paraId="7C25EF46">
            <w:pPr>
              <w:pStyle w:val="6"/>
              <w:spacing w:before="26" w:line="220" w:lineRule="auto"/>
              <w:ind w:left="345"/>
              <w:rPr>
                <w:sz w:val="24"/>
                <w:szCs w:val="24"/>
              </w:rPr>
            </w:pPr>
            <w:r>
              <w:rPr>
                <w:spacing w:val="-6"/>
                <w:sz w:val="24"/>
                <w:szCs w:val="24"/>
              </w:rPr>
              <w:t>（万元）</w:t>
            </w:r>
          </w:p>
        </w:tc>
        <w:tc>
          <w:tcPr>
            <w:tcW w:w="3551" w:type="dxa"/>
            <w:vAlign w:val="top"/>
          </w:tcPr>
          <w:p w14:paraId="64F99EE0">
            <w:pPr>
              <w:spacing w:before="292" w:line="188" w:lineRule="auto"/>
              <w:ind w:left="1620"/>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tc>
      </w:tr>
      <w:tr w14:paraId="24F1C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171" w:type="dxa"/>
            <w:vAlign w:val="top"/>
          </w:tcPr>
          <w:p w14:paraId="1D9309E9">
            <w:pPr>
              <w:pStyle w:val="6"/>
              <w:spacing w:before="97" w:line="241" w:lineRule="auto"/>
              <w:ind w:left="105" w:firstLine="6"/>
              <w:rPr>
                <w:sz w:val="24"/>
                <w:szCs w:val="24"/>
              </w:rPr>
            </w:pPr>
            <w:r>
              <w:rPr>
                <w:spacing w:val="-9"/>
                <w:sz w:val="24"/>
                <w:szCs w:val="24"/>
              </w:rPr>
              <w:t>环保投资</w:t>
            </w:r>
            <w:r>
              <w:rPr>
                <w:sz w:val="24"/>
                <w:szCs w:val="24"/>
              </w:rPr>
              <w:t xml:space="preserve">  </w:t>
            </w:r>
            <w:r>
              <w:rPr>
                <w:spacing w:val="-20"/>
                <w:sz w:val="24"/>
                <w:szCs w:val="24"/>
              </w:rPr>
              <w:t>占比（</w:t>
            </w:r>
            <w:r>
              <w:rPr>
                <w:rFonts w:ascii="Times New Roman" w:hAnsi="Times New Roman" w:eastAsia="Times New Roman" w:cs="Times New Roman"/>
                <w:spacing w:val="-20"/>
                <w:sz w:val="24"/>
                <w:szCs w:val="24"/>
              </w:rPr>
              <w:t>%</w:t>
            </w:r>
            <w:r>
              <w:rPr>
                <w:spacing w:val="-20"/>
                <w:sz w:val="24"/>
                <w:szCs w:val="24"/>
              </w:rPr>
              <w:t>）</w:t>
            </w:r>
          </w:p>
        </w:tc>
        <w:tc>
          <w:tcPr>
            <w:tcW w:w="2087" w:type="dxa"/>
            <w:vAlign w:val="top"/>
          </w:tcPr>
          <w:p w14:paraId="3603994A">
            <w:pPr>
              <w:spacing w:before="292" w:line="188" w:lineRule="auto"/>
              <w:ind w:left="8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6.77</w:t>
            </w:r>
          </w:p>
        </w:tc>
        <w:tc>
          <w:tcPr>
            <w:tcW w:w="1614" w:type="dxa"/>
            <w:vAlign w:val="top"/>
          </w:tcPr>
          <w:p w14:paraId="37F82576">
            <w:pPr>
              <w:pStyle w:val="6"/>
              <w:spacing w:before="251" w:line="220" w:lineRule="auto"/>
              <w:ind w:left="332"/>
              <w:rPr>
                <w:sz w:val="24"/>
                <w:szCs w:val="24"/>
              </w:rPr>
            </w:pPr>
            <w:r>
              <w:rPr>
                <w:spacing w:val="-3"/>
                <w:sz w:val="24"/>
                <w:szCs w:val="24"/>
              </w:rPr>
              <w:t>施工工期</w:t>
            </w:r>
          </w:p>
        </w:tc>
        <w:tc>
          <w:tcPr>
            <w:tcW w:w="3551" w:type="dxa"/>
            <w:vAlign w:val="top"/>
          </w:tcPr>
          <w:p w14:paraId="0F7F8227">
            <w:pPr>
              <w:pStyle w:val="6"/>
              <w:spacing w:before="251" w:line="219" w:lineRule="auto"/>
              <w:ind w:left="1451"/>
              <w:rPr>
                <w:sz w:val="24"/>
                <w:szCs w:val="24"/>
              </w:rPr>
            </w:pPr>
            <w:r>
              <w:rPr>
                <w:rFonts w:ascii="Times New Roman" w:hAnsi="Times New Roman" w:eastAsia="Times New Roman" w:cs="Times New Roman"/>
                <w:spacing w:val="-7"/>
                <w:sz w:val="24"/>
                <w:szCs w:val="24"/>
              </w:rPr>
              <w:t>6</w:t>
            </w:r>
            <w:r>
              <w:rPr>
                <w:rFonts w:ascii="Times New Roman" w:hAnsi="Times New Roman" w:eastAsia="Times New Roman" w:cs="Times New Roman"/>
                <w:spacing w:val="9"/>
                <w:sz w:val="24"/>
                <w:szCs w:val="24"/>
              </w:rPr>
              <w:t xml:space="preserve"> </w:t>
            </w:r>
            <w:r>
              <w:rPr>
                <w:spacing w:val="-7"/>
                <w:sz w:val="24"/>
                <w:szCs w:val="24"/>
              </w:rPr>
              <w:t>个月</w:t>
            </w:r>
          </w:p>
        </w:tc>
      </w:tr>
      <w:tr w14:paraId="41AAC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171" w:type="dxa"/>
            <w:vAlign w:val="top"/>
          </w:tcPr>
          <w:p w14:paraId="3E502CD2">
            <w:pPr>
              <w:pStyle w:val="6"/>
              <w:spacing w:before="94" w:line="243" w:lineRule="auto"/>
              <w:ind w:left="354" w:right="103" w:hanging="239"/>
              <w:rPr>
                <w:sz w:val="24"/>
                <w:szCs w:val="24"/>
              </w:rPr>
            </w:pPr>
            <w:r>
              <w:rPr>
                <w:spacing w:val="-4"/>
                <w:sz w:val="24"/>
                <w:szCs w:val="24"/>
              </w:rPr>
              <w:t>是否开工</w:t>
            </w:r>
            <w:r>
              <w:rPr>
                <w:spacing w:val="1"/>
                <w:sz w:val="24"/>
                <w:szCs w:val="24"/>
              </w:rPr>
              <w:t xml:space="preserve"> </w:t>
            </w:r>
            <w:r>
              <w:rPr>
                <w:spacing w:val="-7"/>
                <w:sz w:val="24"/>
                <w:szCs w:val="24"/>
              </w:rPr>
              <w:t>建设</w:t>
            </w:r>
          </w:p>
        </w:tc>
        <w:tc>
          <w:tcPr>
            <w:tcW w:w="2087" w:type="dxa"/>
            <w:vAlign w:val="top"/>
          </w:tcPr>
          <w:p w14:paraId="4F10A166">
            <w:pPr>
              <w:pStyle w:val="6"/>
              <w:spacing w:before="94" w:line="220" w:lineRule="auto"/>
              <w:ind w:left="70"/>
              <w:rPr>
                <w:sz w:val="24"/>
                <w:szCs w:val="24"/>
              </w:rPr>
            </w:pPr>
            <w:r>
              <w:rPr>
                <w:rFonts w:ascii="MS Gothic" w:hAnsi="MS Gothic" w:eastAsia="MS Gothic" w:cs="MS Gothic"/>
                <w:spacing w:val="-10"/>
                <w:sz w:val="24"/>
                <w:szCs w:val="24"/>
              </w:rPr>
              <w:t>☑</w:t>
            </w:r>
            <w:r>
              <w:rPr>
                <w:spacing w:val="-10"/>
                <w:sz w:val="24"/>
                <w:szCs w:val="24"/>
              </w:rPr>
              <w:t>否</w:t>
            </w:r>
          </w:p>
          <w:p w14:paraId="0C9A853F">
            <w:pPr>
              <w:pStyle w:val="6"/>
              <w:spacing w:before="25" w:line="223" w:lineRule="auto"/>
              <w:ind w:left="86"/>
              <w:rPr>
                <w:sz w:val="24"/>
                <w:szCs w:val="24"/>
              </w:rPr>
            </w:pPr>
            <w:r>
              <w:rPr>
                <w:spacing w:val="-12"/>
                <w:sz w:val="24"/>
                <w:szCs w:val="24"/>
              </w:rPr>
              <w:t>□是：</w:t>
            </w:r>
            <w:r>
              <w:rPr>
                <w:sz w:val="24"/>
                <w:szCs w:val="24"/>
                <w:u w:val="single" w:color="auto"/>
              </w:rPr>
              <w:t xml:space="preserve">       </w:t>
            </w:r>
          </w:p>
        </w:tc>
        <w:tc>
          <w:tcPr>
            <w:tcW w:w="1614" w:type="dxa"/>
            <w:vAlign w:val="top"/>
          </w:tcPr>
          <w:p w14:paraId="1671C054">
            <w:pPr>
              <w:pStyle w:val="6"/>
              <w:spacing w:before="250" w:line="220" w:lineRule="auto"/>
              <w:jc w:val="right"/>
              <w:rPr>
                <w:sz w:val="24"/>
                <w:szCs w:val="24"/>
              </w:rPr>
            </w:pPr>
            <w:r>
              <w:rPr>
                <w:spacing w:val="-23"/>
                <w:sz w:val="24"/>
                <w:szCs w:val="24"/>
              </w:rPr>
              <w:t>用地面积（</w:t>
            </w:r>
            <w:r>
              <w:rPr>
                <w:rFonts w:ascii="Times New Roman" w:hAnsi="Times New Roman" w:eastAsia="Times New Roman" w:cs="Times New Roman"/>
                <w:spacing w:val="-23"/>
                <w:sz w:val="24"/>
                <w:szCs w:val="24"/>
              </w:rPr>
              <w:t>m</w:t>
            </w:r>
            <w:r>
              <w:rPr>
                <w:rFonts w:ascii="Times New Roman" w:hAnsi="Times New Roman" w:eastAsia="Times New Roman" w:cs="Times New Roman"/>
                <w:spacing w:val="5"/>
                <w:position w:val="7"/>
                <w:sz w:val="15"/>
                <w:szCs w:val="15"/>
              </w:rPr>
              <w:t>2</w:t>
            </w:r>
            <w:r>
              <w:rPr>
                <w:spacing w:val="-26"/>
                <w:sz w:val="24"/>
                <w:szCs w:val="24"/>
              </w:rPr>
              <w:t>）</w:t>
            </w:r>
          </w:p>
        </w:tc>
        <w:tc>
          <w:tcPr>
            <w:tcW w:w="3551" w:type="dxa"/>
            <w:vAlign w:val="top"/>
          </w:tcPr>
          <w:p w14:paraId="07C8258C">
            <w:pPr>
              <w:spacing w:before="292" w:line="188" w:lineRule="auto"/>
              <w:ind w:left="14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35000</w:t>
            </w:r>
          </w:p>
        </w:tc>
      </w:tr>
      <w:tr w14:paraId="4D25C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2" w:hRule="atLeast"/>
        </w:trPr>
        <w:tc>
          <w:tcPr>
            <w:tcW w:w="1171" w:type="dxa"/>
            <w:vAlign w:val="top"/>
          </w:tcPr>
          <w:p w14:paraId="5EC076E7">
            <w:pPr>
              <w:spacing w:line="243" w:lineRule="auto"/>
              <w:rPr>
                <w:rFonts w:ascii="Arial"/>
                <w:sz w:val="21"/>
              </w:rPr>
            </w:pPr>
          </w:p>
          <w:p w14:paraId="7FE45362">
            <w:pPr>
              <w:spacing w:line="243" w:lineRule="auto"/>
              <w:rPr>
                <w:rFonts w:ascii="Arial"/>
                <w:sz w:val="21"/>
              </w:rPr>
            </w:pPr>
          </w:p>
          <w:p w14:paraId="54308C8E">
            <w:pPr>
              <w:spacing w:line="243" w:lineRule="auto"/>
              <w:rPr>
                <w:rFonts w:ascii="Arial"/>
                <w:sz w:val="21"/>
              </w:rPr>
            </w:pPr>
          </w:p>
          <w:p w14:paraId="3BAD5272">
            <w:pPr>
              <w:spacing w:line="243" w:lineRule="auto"/>
              <w:rPr>
                <w:rFonts w:ascii="Arial"/>
                <w:sz w:val="21"/>
              </w:rPr>
            </w:pPr>
          </w:p>
          <w:p w14:paraId="7F599D63">
            <w:pPr>
              <w:spacing w:line="243" w:lineRule="auto"/>
              <w:rPr>
                <w:rFonts w:ascii="Arial"/>
                <w:sz w:val="21"/>
              </w:rPr>
            </w:pPr>
          </w:p>
          <w:p w14:paraId="33617857">
            <w:pPr>
              <w:spacing w:line="243" w:lineRule="auto"/>
              <w:rPr>
                <w:rFonts w:ascii="Arial"/>
                <w:sz w:val="21"/>
              </w:rPr>
            </w:pPr>
          </w:p>
          <w:p w14:paraId="51397C0F">
            <w:pPr>
              <w:spacing w:line="244" w:lineRule="auto"/>
              <w:rPr>
                <w:rFonts w:ascii="Arial"/>
                <w:sz w:val="21"/>
              </w:rPr>
            </w:pPr>
          </w:p>
          <w:p w14:paraId="72DFCBF1">
            <w:pPr>
              <w:spacing w:line="244" w:lineRule="auto"/>
              <w:rPr>
                <w:rFonts w:ascii="Arial"/>
                <w:sz w:val="21"/>
              </w:rPr>
            </w:pPr>
          </w:p>
          <w:p w14:paraId="23206B59">
            <w:pPr>
              <w:pStyle w:val="6"/>
              <w:spacing w:before="78" w:line="218" w:lineRule="auto"/>
              <w:ind w:left="112"/>
              <w:rPr>
                <w:sz w:val="24"/>
                <w:szCs w:val="24"/>
              </w:rPr>
            </w:pPr>
            <w:r>
              <w:rPr>
                <w:spacing w:val="-3"/>
                <w:sz w:val="24"/>
                <w:szCs w:val="24"/>
              </w:rPr>
              <w:t>专项评价</w:t>
            </w:r>
          </w:p>
          <w:p w14:paraId="73C6C7C0">
            <w:pPr>
              <w:pStyle w:val="6"/>
              <w:spacing w:before="26" w:line="220" w:lineRule="auto"/>
              <w:ind w:left="115"/>
              <w:rPr>
                <w:sz w:val="24"/>
                <w:szCs w:val="24"/>
              </w:rPr>
            </w:pPr>
            <w:r>
              <w:rPr>
                <w:spacing w:val="-4"/>
                <w:sz w:val="24"/>
                <w:szCs w:val="24"/>
              </w:rPr>
              <w:t>设置情况</w:t>
            </w:r>
          </w:p>
        </w:tc>
        <w:tc>
          <w:tcPr>
            <w:tcW w:w="7252" w:type="dxa"/>
            <w:gridSpan w:val="3"/>
            <w:vAlign w:val="top"/>
          </w:tcPr>
          <w:p w14:paraId="7564FEDE">
            <w:pPr>
              <w:pStyle w:val="6"/>
              <w:spacing w:before="257" w:line="358" w:lineRule="auto"/>
              <w:ind w:left="60" w:firstLine="475"/>
              <w:rPr>
                <w:sz w:val="24"/>
                <w:szCs w:val="24"/>
              </w:rPr>
            </w:pPr>
            <w:r>
              <w:rPr>
                <w:spacing w:val="-8"/>
                <w:sz w:val="24"/>
                <w:szCs w:val="24"/>
              </w:rPr>
              <w:t>根据《建设项目环境影响报告表编制技术指南（污染影响类</w:t>
            </w:r>
            <w:r>
              <w:rPr>
                <w:spacing w:val="-61"/>
                <w:w w:val="88"/>
                <w:sz w:val="24"/>
                <w:szCs w:val="24"/>
              </w:rPr>
              <w:t>）（</w:t>
            </w:r>
            <w:r>
              <w:rPr>
                <w:spacing w:val="-8"/>
                <w:sz w:val="24"/>
                <w:szCs w:val="24"/>
              </w:rPr>
              <w:t>试</w:t>
            </w:r>
            <w:r>
              <w:rPr>
                <w:spacing w:val="2"/>
                <w:sz w:val="24"/>
                <w:szCs w:val="24"/>
              </w:rPr>
              <w:t xml:space="preserve">  </w:t>
            </w:r>
            <w:r>
              <w:rPr>
                <w:spacing w:val="-5"/>
                <w:sz w:val="24"/>
                <w:szCs w:val="24"/>
              </w:rPr>
              <w:t>行）》“建设项目产生的环境影响需要深入论证的，应</w:t>
            </w:r>
            <w:r>
              <w:rPr>
                <w:spacing w:val="-6"/>
                <w:sz w:val="24"/>
                <w:szCs w:val="24"/>
              </w:rPr>
              <w:t>按照环境影响</w:t>
            </w:r>
            <w:r>
              <w:rPr>
                <w:sz w:val="24"/>
                <w:szCs w:val="24"/>
              </w:rPr>
              <w:t xml:space="preserve">  </w:t>
            </w:r>
            <w:r>
              <w:rPr>
                <w:spacing w:val="-5"/>
                <w:sz w:val="24"/>
                <w:szCs w:val="24"/>
              </w:rPr>
              <w:t>评价相关技术导则开展专项评价工作。根据建设项目排</w:t>
            </w:r>
            <w:r>
              <w:rPr>
                <w:spacing w:val="-6"/>
                <w:sz w:val="24"/>
                <w:szCs w:val="24"/>
              </w:rPr>
              <w:t>污情况及所涉</w:t>
            </w:r>
            <w:r>
              <w:rPr>
                <w:sz w:val="24"/>
                <w:szCs w:val="24"/>
              </w:rPr>
              <w:t xml:space="preserve">  </w:t>
            </w:r>
            <w:r>
              <w:rPr>
                <w:spacing w:val="-6"/>
                <w:sz w:val="24"/>
                <w:szCs w:val="24"/>
              </w:rPr>
              <w:t>环境敏感程度，确定专项评价的类别</w:t>
            </w:r>
            <w:r>
              <w:rPr>
                <w:spacing w:val="-88"/>
                <w:sz w:val="24"/>
                <w:szCs w:val="24"/>
              </w:rPr>
              <w:t xml:space="preserve"> </w:t>
            </w:r>
            <w:r>
              <w:rPr>
                <w:spacing w:val="-6"/>
                <w:sz w:val="24"/>
                <w:szCs w:val="24"/>
              </w:rPr>
              <w:t>”“土壤、声</w:t>
            </w:r>
            <w:r>
              <w:rPr>
                <w:spacing w:val="-7"/>
                <w:sz w:val="24"/>
                <w:szCs w:val="24"/>
              </w:rPr>
              <w:t>环境不开展专项评</w:t>
            </w:r>
            <w:r>
              <w:rPr>
                <w:sz w:val="24"/>
                <w:szCs w:val="24"/>
              </w:rPr>
              <w:t xml:space="preserve">  </w:t>
            </w:r>
            <w:r>
              <w:rPr>
                <w:spacing w:val="-2"/>
                <w:sz w:val="24"/>
                <w:szCs w:val="24"/>
              </w:rPr>
              <w:t>价。地下水原则上不开展专项评价，涉及集中式饮用水</w:t>
            </w:r>
            <w:r>
              <w:rPr>
                <w:spacing w:val="-3"/>
                <w:sz w:val="24"/>
                <w:szCs w:val="24"/>
              </w:rPr>
              <w:t>水源和热水、</w:t>
            </w:r>
            <w:r>
              <w:rPr>
                <w:sz w:val="24"/>
                <w:szCs w:val="24"/>
              </w:rPr>
              <w:t xml:space="preserve"> </w:t>
            </w:r>
            <w:r>
              <w:rPr>
                <w:spacing w:val="-9"/>
                <w:sz w:val="24"/>
                <w:szCs w:val="24"/>
              </w:rPr>
              <w:t>矿泉水、温泉等特殊地下水资源保护区的开展地下水</w:t>
            </w:r>
            <w:r>
              <w:rPr>
                <w:spacing w:val="-10"/>
                <w:sz w:val="24"/>
                <w:szCs w:val="24"/>
              </w:rPr>
              <w:t>专项评价工作</w:t>
            </w:r>
            <w:r>
              <w:rPr>
                <w:spacing w:val="-88"/>
                <w:sz w:val="24"/>
                <w:szCs w:val="24"/>
              </w:rPr>
              <w:t xml:space="preserve"> </w:t>
            </w:r>
            <w:r>
              <w:rPr>
                <w:spacing w:val="-10"/>
                <w:sz w:val="24"/>
                <w:szCs w:val="24"/>
              </w:rPr>
              <w:t>”。</w:t>
            </w:r>
            <w:r>
              <w:rPr>
                <w:sz w:val="24"/>
                <w:szCs w:val="24"/>
              </w:rPr>
              <w:t xml:space="preserve"> </w:t>
            </w:r>
            <w:r>
              <w:rPr>
                <w:spacing w:val="-5"/>
                <w:sz w:val="24"/>
                <w:szCs w:val="24"/>
              </w:rPr>
              <w:t>本项目专项评价设置情况详见表</w:t>
            </w:r>
            <w:r>
              <w:rPr>
                <w:spacing w:val="-24"/>
                <w:sz w:val="24"/>
                <w:szCs w:val="24"/>
              </w:rPr>
              <w:t xml:space="preserve"> </w:t>
            </w:r>
            <w:r>
              <w:rPr>
                <w:rFonts w:ascii="Times New Roman" w:hAnsi="Times New Roman" w:eastAsia="Times New Roman" w:cs="Times New Roman"/>
                <w:spacing w:val="-5"/>
                <w:sz w:val="24"/>
                <w:szCs w:val="24"/>
              </w:rPr>
              <w:t>1-1</w:t>
            </w:r>
            <w:r>
              <w:rPr>
                <w:spacing w:val="-5"/>
                <w:sz w:val="24"/>
                <w:szCs w:val="24"/>
              </w:rPr>
              <w:t>。</w:t>
            </w:r>
          </w:p>
          <w:p w14:paraId="22E4FCE3">
            <w:pPr>
              <w:pStyle w:val="6"/>
              <w:spacing w:line="226" w:lineRule="auto"/>
              <w:ind w:left="1986"/>
              <w:outlineLvl w:val="1"/>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本项目专项评价设置情况表</w:t>
            </w:r>
          </w:p>
          <w:p w14:paraId="04BC7D56">
            <w:pPr>
              <w:spacing w:line="133" w:lineRule="exact"/>
            </w:pPr>
          </w:p>
          <w:tbl>
            <w:tblPr>
              <w:tblStyle w:val="5"/>
              <w:tblW w:w="71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3102"/>
              <w:gridCol w:w="3089"/>
            </w:tblGrid>
            <w:tr w14:paraId="62FC9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33" w:type="dxa"/>
                  <w:vAlign w:val="top"/>
                </w:tcPr>
                <w:p w14:paraId="0360F0D6">
                  <w:pPr>
                    <w:pStyle w:val="6"/>
                    <w:spacing w:before="91" w:line="228" w:lineRule="auto"/>
                    <w:ind w:left="156"/>
                    <w:rPr>
                      <w:sz w:val="20"/>
                      <w:szCs w:val="20"/>
                    </w:rPr>
                  </w:pPr>
                  <w:r>
                    <w:rPr>
                      <w:spacing w:val="6"/>
                      <w:sz w:val="20"/>
                      <w:szCs w:val="20"/>
                    </w:rPr>
                    <w:t>专项评</w:t>
                  </w:r>
                </w:p>
                <w:p w14:paraId="4D19E034">
                  <w:pPr>
                    <w:pStyle w:val="6"/>
                    <w:spacing w:before="26" w:line="226" w:lineRule="auto"/>
                    <w:ind w:left="156"/>
                    <w:rPr>
                      <w:sz w:val="20"/>
                      <w:szCs w:val="20"/>
                    </w:rPr>
                  </w:pPr>
                  <w:r>
                    <w:rPr>
                      <w:spacing w:val="6"/>
                      <w:sz w:val="20"/>
                      <w:szCs w:val="20"/>
                    </w:rPr>
                    <w:t>价类别</w:t>
                  </w:r>
                </w:p>
              </w:tc>
              <w:tc>
                <w:tcPr>
                  <w:tcW w:w="3102" w:type="dxa"/>
                  <w:vAlign w:val="top"/>
                </w:tcPr>
                <w:p w14:paraId="176C0EFF">
                  <w:pPr>
                    <w:pStyle w:val="6"/>
                    <w:spacing w:before="228" w:line="228" w:lineRule="auto"/>
                    <w:ind w:left="1139"/>
                    <w:rPr>
                      <w:sz w:val="20"/>
                      <w:szCs w:val="20"/>
                    </w:rPr>
                  </w:pPr>
                  <w:r>
                    <w:rPr>
                      <w:spacing w:val="6"/>
                      <w:sz w:val="20"/>
                      <w:szCs w:val="20"/>
                    </w:rPr>
                    <w:t>设置原则</w:t>
                  </w:r>
                </w:p>
              </w:tc>
              <w:tc>
                <w:tcPr>
                  <w:tcW w:w="3089" w:type="dxa"/>
                  <w:vAlign w:val="top"/>
                </w:tcPr>
                <w:p w14:paraId="54EBAEE3">
                  <w:pPr>
                    <w:pStyle w:val="6"/>
                    <w:spacing w:before="228" w:line="227" w:lineRule="auto"/>
                    <w:ind w:left="1024"/>
                    <w:rPr>
                      <w:sz w:val="20"/>
                      <w:szCs w:val="20"/>
                    </w:rPr>
                  </w:pPr>
                  <w:r>
                    <w:rPr>
                      <w:spacing w:val="7"/>
                      <w:sz w:val="20"/>
                      <w:szCs w:val="20"/>
                    </w:rPr>
                    <w:t>本项目情况</w:t>
                  </w:r>
                </w:p>
              </w:tc>
            </w:tr>
          </w:tbl>
          <w:p w14:paraId="7B590DD3">
            <w:pPr>
              <w:spacing w:line="42" w:lineRule="exact"/>
              <w:rPr>
                <w:rFonts w:ascii="Arial"/>
                <w:sz w:val="3"/>
              </w:rPr>
            </w:pPr>
          </w:p>
        </w:tc>
      </w:tr>
    </w:tbl>
    <w:p w14:paraId="1C00884F">
      <w:pPr>
        <w:pStyle w:val="2"/>
      </w:pPr>
    </w:p>
    <w:p w14:paraId="1273F248">
      <w:pPr>
        <w:sectPr>
          <w:headerReference r:id="rId6" w:type="default"/>
          <w:footerReference r:id="rId7" w:type="default"/>
          <w:pgSz w:w="11906" w:h="16839"/>
          <w:pgMar w:top="400" w:right="1739" w:bottom="1259" w:left="1738" w:header="0" w:footer="1097" w:gutter="0"/>
          <w:cols w:space="720" w:num="1"/>
        </w:sectPr>
      </w:pPr>
    </w:p>
    <w:p w14:paraId="496CC13C">
      <w:pPr>
        <w:spacing w:before="19"/>
      </w:pPr>
    </w:p>
    <w:p w14:paraId="5F968454">
      <w:pPr>
        <w:spacing w:before="19"/>
      </w:pPr>
    </w:p>
    <w:p w14:paraId="1B07389D">
      <w:pPr>
        <w:spacing w:before="18"/>
      </w:pPr>
    </w:p>
    <w:p w14:paraId="74ED7CA6">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2D80D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2" w:hRule="atLeast"/>
        </w:trPr>
        <w:tc>
          <w:tcPr>
            <w:tcW w:w="1171" w:type="dxa"/>
            <w:vAlign w:val="top"/>
          </w:tcPr>
          <w:p w14:paraId="41488558">
            <w:pPr>
              <w:rPr>
                <w:rFonts w:ascii="Arial"/>
                <w:sz w:val="21"/>
              </w:rPr>
            </w:pPr>
          </w:p>
        </w:tc>
        <w:tc>
          <w:tcPr>
            <w:tcW w:w="7252" w:type="dxa"/>
            <w:vAlign w:val="top"/>
          </w:tcPr>
          <w:p w14:paraId="427BB0CB">
            <w:pPr>
              <w:spacing w:line="61" w:lineRule="exact"/>
            </w:pPr>
          </w:p>
          <w:tbl>
            <w:tblPr>
              <w:tblStyle w:val="5"/>
              <w:tblW w:w="712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3102"/>
              <w:gridCol w:w="3089"/>
            </w:tblGrid>
            <w:tr w14:paraId="793F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933" w:type="dxa"/>
                  <w:vAlign w:val="top"/>
                </w:tcPr>
                <w:p w14:paraId="65C18D14">
                  <w:pPr>
                    <w:spacing w:line="433" w:lineRule="auto"/>
                    <w:rPr>
                      <w:rFonts w:ascii="Arial"/>
                      <w:sz w:val="21"/>
                    </w:rPr>
                  </w:pPr>
                </w:p>
                <w:p w14:paraId="6E77B1C4">
                  <w:pPr>
                    <w:pStyle w:val="6"/>
                    <w:spacing w:before="65" w:line="228" w:lineRule="auto"/>
                    <w:ind w:left="264"/>
                    <w:rPr>
                      <w:sz w:val="20"/>
                      <w:szCs w:val="20"/>
                    </w:rPr>
                  </w:pPr>
                  <w:r>
                    <w:rPr>
                      <w:spacing w:val="3"/>
                      <w:sz w:val="20"/>
                      <w:szCs w:val="20"/>
                    </w:rPr>
                    <w:t>大气</w:t>
                  </w:r>
                </w:p>
              </w:tc>
              <w:tc>
                <w:tcPr>
                  <w:tcW w:w="3102" w:type="dxa"/>
                  <w:vAlign w:val="top"/>
                </w:tcPr>
                <w:p w14:paraId="2FE03049">
                  <w:pPr>
                    <w:pStyle w:val="6"/>
                    <w:spacing w:before="92" w:line="228" w:lineRule="auto"/>
                    <w:ind w:left="60"/>
                    <w:rPr>
                      <w:sz w:val="20"/>
                      <w:szCs w:val="20"/>
                    </w:rPr>
                  </w:pPr>
                  <w:r>
                    <w:rPr>
                      <w:spacing w:val="3"/>
                      <w:sz w:val="20"/>
                      <w:szCs w:val="20"/>
                    </w:rPr>
                    <w:t>排放废气含有毒有害污染物</w:t>
                  </w:r>
                  <w:r>
                    <w:rPr>
                      <w:spacing w:val="-29"/>
                      <w:sz w:val="20"/>
                      <w:szCs w:val="20"/>
                    </w:rPr>
                    <w:t xml:space="preserve"> </w:t>
                  </w:r>
                  <w:r>
                    <w:rPr>
                      <w:rFonts w:ascii="Times New Roman" w:hAnsi="Times New Roman" w:eastAsia="Times New Roman" w:cs="Times New Roman"/>
                      <w:spacing w:val="3"/>
                      <w:position w:val="6"/>
                      <w:sz w:val="13"/>
                      <w:szCs w:val="13"/>
                    </w:rPr>
                    <w:t>1</w:t>
                  </w:r>
                  <w:r>
                    <w:rPr>
                      <w:spacing w:val="3"/>
                      <w:sz w:val="20"/>
                      <w:szCs w:val="20"/>
                    </w:rPr>
                    <w:t>、二</w:t>
                  </w:r>
                </w:p>
                <w:p w14:paraId="7D19C17E">
                  <w:pPr>
                    <w:pStyle w:val="6"/>
                    <w:spacing w:before="26" w:line="221" w:lineRule="auto"/>
                    <w:ind w:left="79"/>
                    <w:rPr>
                      <w:sz w:val="20"/>
                      <w:szCs w:val="20"/>
                    </w:rPr>
                  </w:pPr>
                  <w:r>
                    <w:rPr>
                      <w:spacing w:val="7"/>
                      <w:sz w:val="20"/>
                      <w:szCs w:val="20"/>
                    </w:rPr>
                    <w:t>噁英、苯并</w:t>
                  </w:r>
                  <w:r>
                    <w:rPr>
                      <w:rFonts w:ascii="Times New Roman" w:hAnsi="Times New Roman" w:eastAsia="Times New Roman" w:cs="Times New Roman"/>
                      <w:spacing w:val="7"/>
                      <w:sz w:val="20"/>
                      <w:szCs w:val="20"/>
                    </w:rPr>
                    <w:t>[a]</w:t>
                  </w:r>
                  <w:r>
                    <w:rPr>
                      <w:spacing w:val="7"/>
                      <w:sz w:val="20"/>
                      <w:szCs w:val="20"/>
                    </w:rPr>
                    <w:t>芘、氰化物、氯气</w:t>
                  </w:r>
                </w:p>
                <w:p w14:paraId="0C580143">
                  <w:pPr>
                    <w:pStyle w:val="6"/>
                    <w:spacing w:before="31" w:line="228" w:lineRule="auto"/>
                    <w:ind w:left="86"/>
                    <w:rPr>
                      <w:sz w:val="20"/>
                      <w:szCs w:val="20"/>
                    </w:rPr>
                  </w:pPr>
                  <w:r>
                    <w:rPr>
                      <w:spacing w:val="7"/>
                      <w:sz w:val="20"/>
                      <w:szCs w:val="20"/>
                    </w:rPr>
                    <w:t>且场界外</w:t>
                  </w:r>
                  <w:r>
                    <w:rPr>
                      <w:spacing w:val="-34"/>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米范围内有环境空</w:t>
                  </w:r>
                </w:p>
                <w:p w14:paraId="7DF3D6BE">
                  <w:pPr>
                    <w:pStyle w:val="6"/>
                    <w:spacing w:before="27" w:line="228" w:lineRule="auto"/>
                    <w:ind w:left="428"/>
                    <w:rPr>
                      <w:sz w:val="20"/>
                      <w:szCs w:val="20"/>
                    </w:rPr>
                  </w:pPr>
                  <w:r>
                    <w:rPr>
                      <w:spacing w:val="5"/>
                      <w:sz w:val="20"/>
                      <w:szCs w:val="20"/>
                    </w:rPr>
                    <w:t>气保护目标</w:t>
                  </w:r>
                  <w:r>
                    <w:rPr>
                      <w:spacing w:val="-37"/>
                      <w:sz w:val="20"/>
                      <w:szCs w:val="20"/>
                    </w:rPr>
                    <w:t xml:space="preserve"> </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8"/>
                      <w:position w:val="6"/>
                      <w:sz w:val="13"/>
                      <w:szCs w:val="13"/>
                    </w:rPr>
                    <w:t xml:space="preserve"> </w:t>
                  </w:r>
                  <w:r>
                    <w:rPr>
                      <w:spacing w:val="5"/>
                      <w:sz w:val="20"/>
                      <w:szCs w:val="20"/>
                    </w:rPr>
                    <w:t>的建设项目</w:t>
                  </w:r>
                </w:p>
              </w:tc>
              <w:tc>
                <w:tcPr>
                  <w:tcW w:w="3089" w:type="dxa"/>
                  <w:vAlign w:val="top"/>
                </w:tcPr>
                <w:p w14:paraId="1FDE76F0">
                  <w:pPr>
                    <w:spacing w:line="433" w:lineRule="auto"/>
                    <w:rPr>
                      <w:rFonts w:ascii="Arial"/>
                      <w:sz w:val="21"/>
                    </w:rPr>
                  </w:pPr>
                </w:p>
                <w:p w14:paraId="15B0C69A">
                  <w:pPr>
                    <w:pStyle w:val="6"/>
                    <w:spacing w:before="65" w:line="228" w:lineRule="auto"/>
                    <w:ind w:left="713"/>
                    <w:rPr>
                      <w:sz w:val="20"/>
                      <w:szCs w:val="20"/>
                    </w:rPr>
                  </w:pPr>
                  <w:r>
                    <w:rPr>
                      <w:spacing w:val="8"/>
                      <w:sz w:val="20"/>
                      <w:szCs w:val="20"/>
                    </w:rPr>
                    <w:t>不涉及，无需开展</w:t>
                  </w:r>
                </w:p>
              </w:tc>
            </w:tr>
            <w:tr w14:paraId="67FD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33" w:type="dxa"/>
                  <w:vAlign w:val="top"/>
                </w:tcPr>
                <w:p w14:paraId="1B1825E2">
                  <w:pPr>
                    <w:spacing w:line="294" w:lineRule="auto"/>
                    <w:rPr>
                      <w:rFonts w:ascii="Arial"/>
                      <w:sz w:val="21"/>
                    </w:rPr>
                  </w:pPr>
                </w:p>
                <w:p w14:paraId="5DBE50BE">
                  <w:pPr>
                    <w:pStyle w:val="6"/>
                    <w:spacing w:before="65" w:line="228" w:lineRule="auto"/>
                    <w:ind w:left="155"/>
                    <w:rPr>
                      <w:sz w:val="20"/>
                      <w:szCs w:val="20"/>
                    </w:rPr>
                  </w:pPr>
                  <w:r>
                    <w:rPr>
                      <w:spacing w:val="6"/>
                      <w:sz w:val="20"/>
                      <w:szCs w:val="20"/>
                    </w:rPr>
                    <w:t>地表水</w:t>
                  </w:r>
                </w:p>
              </w:tc>
              <w:tc>
                <w:tcPr>
                  <w:tcW w:w="3102" w:type="dxa"/>
                  <w:vAlign w:val="top"/>
                </w:tcPr>
                <w:p w14:paraId="6DF2E26D">
                  <w:pPr>
                    <w:pStyle w:val="6"/>
                    <w:spacing w:before="90" w:line="251" w:lineRule="auto"/>
                    <w:ind w:left="87" w:right="80"/>
                    <w:rPr>
                      <w:sz w:val="20"/>
                      <w:szCs w:val="20"/>
                    </w:rPr>
                  </w:pPr>
                  <w:r>
                    <w:rPr>
                      <w:spacing w:val="9"/>
                      <w:sz w:val="20"/>
                      <w:szCs w:val="20"/>
                    </w:rPr>
                    <w:t>新增工业废水直排建设项目（槽</w:t>
                  </w:r>
                  <w:r>
                    <w:rPr>
                      <w:spacing w:val="1"/>
                      <w:sz w:val="20"/>
                      <w:szCs w:val="20"/>
                    </w:rPr>
                    <w:t xml:space="preserve"> </w:t>
                  </w:r>
                  <w:r>
                    <w:rPr>
                      <w:spacing w:val="9"/>
                      <w:sz w:val="20"/>
                      <w:szCs w:val="20"/>
                    </w:rPr>
                    <w:t>罐车外送污水处理厂的除外）；</w:t>
                  </w:r>
                  <w:r>
                    <w:rPr>
                      <w:spacing w:val="1"/>
                      <w:sz w:val="20"/>
                      <w:szCs w:val="20"/>
                    </w:rPr>
                    <w:t xml:space="preserve"> </w:t>
                  </w:r>
                  <w:r>
                    <w:rPr>
                      <w:spacing w:val="9"/>
                      <w:sz w:val="20"/>
                      <w:szCs w:val="20"/>
                    </w:rPr>
                    <w:t>新增废水直排的污水集中处理厂</w:t>
                  </w:r>
                </w:p>
              </w:tc>
              <w:tc>
                <w:tcPr>
                  <w:tcW w:w="3089" w:type="dxa"/>
                  <w:vAlign w:val="top"/>
                </w:tcPr>
                <w:p w14:paraId="5B8CE573">
                  <w:pPr>
                    <w:spacing w:line="294" w:lineRule="auto"/>
                    <w:rPr>
                      <w:rFonts w:ascii="Arial"/>
                      <w:sz w:val="21"/>
                    </w:rPr>
                  </w:pPr>
                </w:p>
                <w:p w14:paraId="2D51B19F">
                  <w:pPr>
                    <w:pStyle w:val="6"/>
                    <w:spacing w:before="65" w:line="228" w:lineRule="auto"/>
                    <w:ind w:left="713"/>
                    <w:rPr>
                      <w:sz w:val="20"/>
                      <w:szCs w:val="20"/>
                    </w:rPr>
                  </w:pPr>
                  <w:r>
                    <w:rPr>
                      <w:spacing w:val="8"/>
                      <w:sz w:val="20"/>
                      <w:szCs w:val="20"/>
                    </w:rPr>
                    <w:t>不涉及，无需开展</w:t>
                  </w:r>
                </w:p>
              </w:tc>
            </w:tr>
            <w:tr w14:paraId="32A6E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1" w:hRule="atLeast"/>
              </w:trPr>
              <w:tc>
                <w:tcPr>
                  <w:tcW w:w="933" w:type="dxa"/>
                  <w:vAlign w:val="top"/>
                </w:tcPr>
                <w:p w14:paraId="0FD0E8D0">
                  <w:pPr>
                    <w:spacing w:line="277" w:lineRule="auto"/>
                    <w:rPr>
                      <w:rFonts w:ascii="Arial"/>
                      <w:sz w:val="21"/>
                    </w:rPr>
                  </w:pPr>
                </w:p>
                <w:p w14:paraId="3DC4ADD6">
                  <w:pPr>
                    <w:spacing w:line="277" w:lineRule="auto"/>
                    <w:rPr>
                      <w:rFonts w:ascii="Arial"/>
                      <w:sz w:val="21"/>
                    </w:rPr>
                  </w:pPr>
                </w:p>
                <w:p w14:paraId="0B08E822">
                  <w:pPr>
                    <w:spacing w:line="277" w:lineRule="auto"/>
                    <w:rPr>
                      <w:rFonts w:ascii="Arial"/>
                      <w:sz w:val="21"/>
                    </w:rPr>
                  </w:pPr>
                </w:p>
                <w:p w14:paraId="4B5BDA78">
                  <w:pPr>
                    <w:spacing w:line="278" w:lineRule="auto"/>
                    <w:rPr>
                      <w:rFonts w:ascii="Arial"/>
                      <w:sz w:val="21"/>
                    </w:rPr>
                  </w:pPr>
                </w:p>
                <w:p w14:paraId="49C0A783">
                  <w:pPr>
                    <w:pStyle w:val="6"/>
                    <w:spacing w:before="65" w:line="228" w:lineRule="auto"/>
                    <w:ind w:left="261"/>
                    <w:rPr>
                      <w:sz w:val="20"/>
                      <w:szCs w:val="20"/>
                    </w:rPr>
                  </w:pPr>
                  <w:r>
                    <w:rPr>
                      <w:spacing w:val="4"/>
                      <w:sz w:val="20"/>
                      <w:szCs w:val="20"/>
                    </w:rPr>
                    <w:t>环境</w:t>
                  </w:r>
                </w:p>
                <w:p w14:paraId="275E47FC">
                  <w:pPr>
                    <w:pStyle w:val="6"/>
                    <w:spacing w:before="24" w:line="228" w:lineRule="auto"/>
                    <w:ind w:left="262"/>
                    <w:rPr>
                      <w:sz w:val="20"/>
                      <w:szCs w:val="20"/>
                    </w:rPr>
                  </w:pPr>
                  <w:r>
                    <w:rPr>
                      <w:spacing w:val="4"/>
                      <w:sz w:val="20"/>
                      <w:szCs w:val="20"/>
                    </w:rPr>
                    <w:t>风险</w:t>
                  </w:r>
                </w:p>
              </w:tc>
              <w:tc>
                <w:tcPr>
                  <w:tcW w:w="3102" w:type="dxa"/>
                  <w:vAlign w:val="top"/>
                </w:tcPr>
                <w:p w14:paraId="440538A7">
                  <w:pPr>
                    <w:spacing w:line="277" w:lineRule="auto"/>
                    <w:rPr>
                      <w:rFonts w:ascii="Arial"/>
                      <w:sz w:val="21"/>
                    </w:rPr>
                  </w:pPr>
                </w:p>
                <w:p w14:paraId="009D8EB1">
                  <w:pPr>
                    <w:spacing w:line="277" w:lineRule="auto"/>
                    <w:rPr>
                      <w:rFonts w:ascii="Arial"/>
                      <w:sz w:val="21"/>
                    </w:rPr>
                  </w:pPr>
                </w:p>
                <w:p w14:paraId="199C288F">
                  <w:pPr>
                    <w:spacing w:line="277" w:lineRule="auto"/>
                    <w:rPr>
                      <w:rFonts w:ascii="Arial"/>
                      <w:sz w:val="21"/>
                    </w:rPr>
                  </w:pPr>
                </w:p>
                <w:p w14:paraId="27833BB6">
                  <w:pPr>
                    <w:spacing w:line="277" w:lineRule="auto"/>
                    <w:rPr>
                      <w:rFonts w:ascii="Arial"/>
                      <w:sz w:val="21"/>
                    </w:rPr>
                  </w:pPr>
                </w:p>
                <w:p w14:paraId="2FDE66AC">
                  <w:pPr>
                    <w:pStyle w:val="6"/>
                    <w:spacing w:before="65" w:line="252" w:lineRule="auto"/>
                    <w:ind w:left="217" w:right="80" w:hanging="130"/>
                    <w:rPr>
                      <w:sz w:val="20"/>
                      <w:szCs w:val="20"/>
                    </w:rPr>
                  </w:pPr>
                  <w:r>
                    <w:rPr>
                      <w:spacing w:val="9"/>
                      <w:sz w:val="20"/>
                      <w:szCs w:val="20"/>
                    </w:rPr>
                    <w:t>有毒有害和易燃易爆危险物质存</w:t>
                  </w:r>
                  <w:r>
                    <w:rPr>
                      <w:spacing w:val="1"/>
                      <w:sz w:val="20"/>
                      <w:szCs w:val="20"/>
                    </w:rPr>
                    <w:t xml:space="preserve"> </w:t>
                  </w:r>
                  <w:r>
                    <w:rPr>
                      <w:spacing w:val="6"/>
                      <w:sz w:val="20"/>
                      <w:szCs w:val="20"/>
                    </w:rPr>
                    <w:t>储量超过临界量</w:t>
                  </w:r>
                  <w:r>
                    <w:rPr>
                      <w:spacing w:val="-38"/>
                      <w:sz w:val="20"/>
                      <w:szCs w:val="20"/>
                    </w:rPr>
                    <w:t xml:space="preserve"> </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5"/>
                      <w:w w:val="101"/>
                      <w:position w:val="6"/>
                      <w:sz w:val="13"/>
                      <w:szCs w:val="13"/>
                    </w:rPr>
                    <w:t xml:space="preserve"> </w:t>
                  </w:r>
                  <w:r>
                    <w:rPr>
                      <w:spacing w:val="6"/>
                      <w:sz w:val="20"/>
                      <w:szCs w:val="20"/>
                    </w:rPr>
                    <w:t>的建设项目</w:t>
                  </w:r>
                </w:p>
              </w:tc>
              <w:tc>
                <w:tcPr>
                  <w:tcW w:w="3089" w:type="dxa"/>
                  <w:vAlign w:val="top"/>
                </w:tcPr>
                <w:p w14:paraId="57EB7280">
                  <w:pPr>
                    <w:pStyle w:val="6"/>
                    <w:spacing w:before="90" w:line="227" w:lineRule="auto"/>
                    <w:ind w:left="79"/>
                    <w:rPr>
                      <w:sz w:val="20"/>
                      <w:szCs w:val="20"/>
                    </w:rPr>
                  </w:pPr>
                  <w:r>
                    <w:rPr>
                      <w:spacing w:val="9"/>
                      <w:sz w:val="20"/>
                      <w:szCs w:val="20"/>
                    </w:rPr>
                    <w:t>本项目为鄂托克经济开发区棋盘</w:t>
                  </w:r>
                </w:p>
                <w:p w14:paraId="23540B56">
                  <w:pPr>
                    <w:pStyle w:val="6"/>
                    <w:spacing w:before="24" w:line="228" w:lineRule="auto"/>
                    <w:ind w:left="78"/>
                    <w:rPr>
                      <w:sz w:val="20"/>
                      <w:szCs w:val="20"/>
                    </w:rPr>
                  </w:pPr>
                  <w:r>
                    <w:rPr>
                      <w:spacing w:val="9"/>
                      <w:sz w:val="20"/>
                      <w:szCs w:val="20"/>
                    </w:rPr>
                    <w:t>井产业园危险化学品车辆专用停</w:t>
                  </w:r>
                </w:p>
                <w:p w14:paraId="19B0D1D5">
                  <w:pPr>
                    <w:pStyle w:val="6"/>
                    <w:spacing w:before="24" w:line="228" w:lineRule="auto"/>
                    <w:ind w:left="63"/>
                    <w:rPr>
                      <w:rFonts w:ascii="Times New Roman" w:hAnsi="Times New Roman" w:eastAsia="Times New Roman" w:cs="Times New Roman"/>
                      <w:sz w:val="20"/>
                      <w:szCs w:val="20"/>
                    </w:rPr>
                  </w:pPr>
                  <w:r>
                    <w:rPr>
                      <w:spacing w:val="6"/>
                      <w:sz w:val="20"/>
                      <w:szCs w:val="20"/>
                    </w:rPr>
                    <w:t>车场建设项目，共设置停车位</w:t>
                  </w:r>
                  <w:r>
                    <w:rPr>
                      <w:spacing w:val="-29"/>
                      <w:sz w:val="20"/>
                      <w:szCs w:val="20"/>
                    </w:rPr>
                    <w:t xml:space="preserve"> </w:t>
                  </w:r>
                  <w:r>
                    <w:rPr>
                      <w:rFonts w:ascii="Times New Roman" w:hAnsi="Times New Roman" w:eastAsia="Times New Roman" w:cs="Times New Roman"/>
                      <w:spacing w:val="6"/>
                      <w:sz w:val="20"/>
                      <w:szCs w:val="20"/>
                    </w:rPr>
                    <w:t>92</w:t>
                  </w:r>
                </w:p>
                <w:p w14:paraId="4050D34F">
                  <w:pPr>
                    <w:pStyle w:val="6"/>
                    <w:spacing w:before="26" w:line="228" w:lineRule="auto"/>
                    <w:ind w:left="61"/>
                    <w:rPr>
                      <w:sz w:val="20"/>
                      <w:szCs w:val="20"/>
                    </w:rPr>
                  </w:pPr>
                  <w:r>
                    <w:rPr>
                      <w:spacing w:val="2"/>
                      <w:sz w:val="20"/>
                      <w:szCs w:val="20"/>
                    </w:rPr>
                    <w:t>个，包括重载车位</w:t>
                  </w:r>
                  <w:r>
                    <w:rPr>
                      <w:spacing w:val="-18"/>
                      <w:sz w:val="20"/>
                      <w:szCs w:val="20"/>
                    </w:rPr>
                    <w:t xml:space="preserve"> </w:t>
                  </w:r>
                  <w:r>
                    <w:rPr>
                      <w:rFonts w:ascii="Times New Roman" w:hAnsi="Times New Roman" w:eastAsia="Times New Roman" w:cs="Times New Roman"/>
                      <w:spacing w:val="2"/>
                      <w:sz w:val="20"/>
                      <w:szCs w:val="20"/>
                    </w:rPr>
                    <w:t xml:space="preserve">10 </w:t>
                  </w:r>
                  <w:r>
                    <w:rPr>
                      <w:spacing w:val="2"/>
                      <w:sz w:val="20"/>
                      <w:szCs w:val="20"/>
                    </w:rPr>
                    <w:t>个、空车车</w:t>
                  </w:r>
                </w:p>
                <w:p w14:paraId="3DB2B1C7">
                  <w:pPr>
                    <w:pStyle w:val="6"/>
                    <w:spacing w:before="27" w:line="228" w:lineRule="auto"/>
                    <w:ind w:left="61"/>
                    <w:rPr>
                      <w:sz w:val="20"/>
                      <w:szCs w:val="20"/>
                    </w:rPr>
                  </w:pPr>
                  <w:r>
                    <w:rPr>
                      <w:spacing w:val="2"/>
                      <w:sz w:val="20"/>
                      <w:szCs w:val="20"/>
                    </w:rPr>
                    <w:t>位</w:t>
                  </w:r>
                  <w:r>
                    <w:rPr>
                      <w:spacing w:val="-18"/>
                      <w:sz w:val="20"/>
                      <w:szCs w:val="20"/>
                    </w:rPr>
                    <w:t xml:space="preserve"> </w:t>
                  </w:r>
                  <w:r>
                    <w:rPr>
                      <w:rFonts w:ascii="Times New Roman" w:hAnsi="Times New Roman" w:eastAsia="Times New Roman" w:cs="Times New Roman"/>
                      <w:spacing w:val="2"/>
                      <w:sz w:val="20"/>
                      <w:szCs w:val="20"/>
                    </w:rPr>
                    <w:t xml:space="preserve">82 </w:t>
                  </w:r>
                  <w:r>
                    <w:rPr>
                      <w:spacing w:val="2"/>
                      <w:sz w:val="20"/>
                      <w:szCs w:val="20"/>
                    </w:rPr>
                    <w:t>个。根据《建设项目环境风</w:t>
                  </w:r>
                </w:p>
                <w:p w14:paraId="512DB4DE">
                  <w:pPr>
                    <w:pStyle w:val="6"/>
                    <w:spacing w:before="24" w:line="226" w:lineRule="auto"/>
                    <w:jc w:val="right"/>
                    <w:rPr>
                      <w:sz w:val="20"/>
                      <w:szCs w:val="20"/>
                    </w:rPr>
                  </w:pPr>
                  <w:r>
                    <w:rPr>
                      <w:spacing w:val="-3"/>
                      <w:sz w:val="20"/>
                      <w:szCs w:val="20"/>
                    </w:rPr>
                    <w:t>险评价技术导则》（</w:t>
                  </w:r>
                  <w:r>
                    <w:rPr>
                      <w:rFonts w:ascii="Times New Roman" w:hAnsi="Times New Roman" w:eastAsia="Times New Roman" w:cs="Times New Roman"/>
                      <w:spacing w:val="-3"/>
                      <w:sz w:val="20"/>
                      <w:szCs w:val="20"/>
                    </w:rPr>
                    <w:t>HJ169-2018</w:t>
                  </w:r>
                  <w:r>
                    <w:rPr>
                      <w:spacing w:val="-49"/>
                      <w:w w:val="92"/>
                      <w:sz w:val="20"/>
                      <w:szCs w:val="20"/>
                    </w:rPr>
                    <w:t>），</w:t>
                  </w:r>
                </w:p>
                <w:p w14:paraId="5CB98255">
                  <w:pPr>
                    <w:pStyle w:val="6"/>
                    <w:spacing w:before="29" w:line="227" w:lineRule="auto"/>
                    <w:ind w:left="79"/>
                    <w:rPr>
                      <w:sz w:val="20"/>
                      <w:szCs w:val="20"/>
                    </w:rPr>
                  </w:pPr>
                  <w:r>
                    <w:rPr>
                      <w:spacing w:val="9"/>
                      <w:sz w:val="20"/>
                      <w:szCs w:val="20"/>
                    </w:rPr>
                    <w:t>本项目重载车位日常车辆满负荷</w:t>
                  </w:r>
                </w:p>
                <w:p w14:paraId="7631D79A">
                  <w:pPr>
                    <w:pStyle w:val="6"/>
                    <w:spacing w:before="25" w:line="228" w:lineRule="auto"/>
                    <w:ind w:left="79"/>
                    <w:rPr>
                      <w:sz w:val="20"/>
                      <w:szCs w:val="20"/>
                    </w:rPr>
                  </w:pPr>
                  <w:r>
                    <w:rPr>
                      <w:spacing w:val="9"/>
                      <w:sz w:val="20"/>
                      <w:szCs w:val="20"/>
                    </w:rPr>
                    <w:t>停放时，危险化学品存储量超过</w:t>
                  </w:r>
                </w:p>
                <w:p w14:paraId="29764F14">
                  <w:pPr>
                    <w:pStyle w:val="6"/>
                    <w:spacing w:before="24" w:line="228" w:lineRule="auto"/>
                    <w:ind w:left="90"/>
                    <w:rPr>
                      <w:sz w:val="20"/>
                      <w:szCs w:val="20"/>
                    </w:rPr>
                  </w:pPr>
                  <w:r>
                    <w:rPr>
                      <w:spacing w:val="8"/>
                      <w:sz w:val="20"/>
                      <w:szCs w:val="20"/>
                    </w:rPr>
                    <w:t>临界量，需开展环境风险专题评</w:t>
                  </w:r>
                </w:p>
                <w:p w14:paraId="2602001F">
                  <w:pPr>
                    <w:pStyle w:val="6"/>
                    <w:spacing w:before="27" w:line="226" w:lineRule="auto"/>
                    <w:ind w:left="1130"/>
                    <w:rPr>
                      <w:sz w:val="20"/>
                      <w:szCs w:val="20"/>
                    </w:rPr>
                  </w:pPr>
                  <w:r>
                    <w:rPr>
                      <w:spacing w:val="4"/>
                      <w:sz w:val="20"/>
                      <w:szCs w:val="20"/>
                    </w:rPr>
                    <w:t>价工作。</w:t>
                  </w:r>
                </w:p>
              </w:tc>
            </w:tr>
            <w:tr w14:paraId="71451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933" w:type="dxa"/>
                  <w:vAlign w:val="top"/>
                </w:tcPr>
                <w:p w14:paraId="278A56DD">
                  <w:pPr>
                    <w:spacing w:line="431" w:lineRule="auto"/>
                    <w:rPr>
                      <w:rFonts w:ascii="Arial"/>
                      <w:sz w:val="21"/>
                    </w:rPr>
                  </w:pPr>
                </w:p>
                <w:p w14:paraId="7D5F3920">
                  <w:pPr>
                    <w:pStyle w:val="6"/>
                    <w:spacing w:before="65" w:line="233" w:lineRule="auto"/>
                    <w:ind w:left="263"/>
                    <w:rPr>
                      <w:sz w:val="20"/>
                      <w:szCs w:val="20"/>
                    </w:rPr>
                  </w:pPr>
                  <w:r>
                    <w:rPr>
                      <w:spacing w:val="3"/>
                      <w:sz w:val="20"/>
                      <w:szCs w:val="20"/>
                    </w:rPr>
                    <w:t>生态</w:t>
                  </w:r>
                </w:p>
              </w:tc>
              <w:tc>
                <w:tcPr>
                  <w:tcW w:w="3102" w:type="dxa"/>
                  <w:vAlign w:val="top"/>
                </w:tcPr>
                <w:p w14:paraId="334A5262">
                  <w:pPr>
                    <w:pStyle w:val="6"/>
                    <w:spacing w:before="90" w:line="228" w:lineRule="auto"/>
                    <w:ind w:left="89"/>
                    <w:rPr>
                      <w:sz w:val="20"/>
                      <w:szCs w:val="20"/>
                    </w:rPr>
                  </w:pPr>
                  <w:r>
                    <w:rPr>
                      <w:spacing w:val="7"/>
                      <w:sz w:val="20"/>
                      <w:szCs w:val="20"/>
                    </w:rPr>
                    <w:t>取水口下游</w:t>
                  </w:r>
                  <w:r>
                    <w:rPr>
                      <w:spacing w:val="-36"/>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米范围内有重要</w:t>
                  </w:r>
                </w:p>
                <w:p w14:paraId="7B360EF8">
                  <w:pPr>
                    <w:pStyle w:val="6"/>
                    <w:spacing w:before="24" w:line="228" w:lineRule="auto"/>
                    <w:jc w:val="right"/>
                    <w:rPr>
                      <w:sz w:val="20"/>
                      <w:szCs w:val="20"/>
                    </w:rPr>
                  </w:pPr>
                  <w:r>
                    <w:rPr>
                      <w:spacing w:val="2"/>
                      <w:sz w:val="20"/>
                      <w:szCs w:val="20"/>
                    </w:rPr>
                    <w:t>水生生物的自然产卵场、索饵场、</w:t>
                  </w:r>
                </w:p>
                <w:p w14:paraId="063E3AC5">
                  <w:pPr>
                    <w:pStyle w:val="6"/>
                    <w:spacing w:before="27" w:line="228" w:lineRule="auto"/>
                    <w:ind w:left="86"/>
                    <w:rPr>
                      <w:sz w:val="20"/>
                      <w:szCs w:val="20"/>
                    </w:rPr>
                  </w:pPr>
                  <w:r>
                    <w:rPr>
                      <w:spacing w:val="9"/>
                      <w:sz w:val="20"/>
                      <w:szCs w:val="20"/>
                    </w:rPr>
                    <w:t>越冬场和洄游通道的新增河道取</w:t>
                  </w:r>
                </w:p>
                <w:p w14:paraId="2EC20CB5">
                  <w:pPr>
                    <w:pStyle w:val="6"/>
                    <w:spacing w:before="23" w:line="228" w:lineRule="auto"/>
                    <w:ind w:left="612"/>
                    <w:rPr>
                      <w:sz w:val="20"/>
                      <w:szCs w:val="20"/>
                    </w:rPr>
                  </w:pPr>
                  <w:r>
                    <w:rPr>
                      <w:spacing w:val="8"/>
                      <w:sz w:val="20"/>
                      <w:szCs w:val="20"/>
                    </w:rPr>
                    <w:t>水的污染类建设项目</w:t>
                  </w:r>
                </w:p>
              </w:tc>
              <w:tc>
                <w:tcPr>
                  <w:tcW w:w="3089" w:type="dxa"/>
                  <w:vAlign w:val="top"/>
                </w:tcPr>
                <w:p w14:paraId="4328C8B6">
                  <w:pPr>
                    <w:spacing w:line="431" w:lineRule="auto"/>
                    <w:rPr>
                      <w:rFonts w:ascii="Arial"/>
                      <w:sz w:val="21"/>
                    </w:rPr>
                  </w:pPr>
                </w:p>
                <w:p w14:paraId="37424595">
                  <w:pPr>
                    <w:pStyle w:val="6"/>
                    <w:spacing w:before="65" w:line="228" w:lineRule="auto"/>
                    <w:ind w:left="713"/>
                    <w:rPr>
                      <w:sz w:val="20"/>
                      <w:szCs w:val="20"/>
                    </w:rPr>
                  </w:pPr>
                  <w:r>
                    <w:rPr>
                      <w:spacing w:val="8"/>
                      <w:sz w:val="20"/>
                      <w:szCs w:val="20"/>
                    </w:rPr>
                    <w:t>不涉及，无需开展</w:t>
                  </w:r>
                </w:p>
              </w:tc>
            </w:tr>
            <w:tr w14:paraId="5A30A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33" w:type="dxa"/>
                  <w:vAlign w:val="top"/>
                </w:tcPr>
                <w:p w14:paraId="677C103C">
                  <w:pPr>
                    <w:pStyle w:val="6"/>
                    <w:spacing w:before="228" w:line="228" w:lineRule="auto"/>
                    <w:ind w:left="260"/>
                    <w:rPr>
                      <w:sz w:val="20"/>
                      <w:szCs w:val="20"/>
                    </w:rPr>
                  </w:pPr>
                  <w:r>
                    <w:rPr>
                      <w:spacing w:val="5"/>
                      <w:sz w:val="20"/>
                      <w:szCs w:val="20"/>
                    </w:rPr>
                    <w:t>海洋</w:t>
                  </w:r>
                </w:p>
              </w:tc>
              <w:tc>
                <w:tcPr>
                  <w:tcW w:w="3102" w:type="dxa"/>
                  <w:vAlign w:val="top"/>
                </w:tcPr>
                <w:p w14:paraId="1654D9A4">
                  <w:pPr>
                    <w:pStyle w:val="6"/>
                    <w:spacing w:before="94" w:line="228" w:lineRule="auto"/>
                    <w:ind w:left="88"/>
                    <w:rPr>
                      <w:sz w:val="20"/>
                      <w:szCs w:val="20"/>
                    </w:rPr>
                  </w:pPr>
                  <w:r>
                    <w:rPr>
                      <w:spacing w:val="9"/>
                      <w:sz w:val="20"/>
                      <w:szCs w:val="20"/>
                    </w:rPr>
                    <w:t>直接向海排放污染物的海洋工程</w:t>
                  </w:r>
                </w:p>
                <w:p w14:paraId="715C6CF9">
                  <w:pPr>
                    <w:pStyle w:val="6"/>
                    <w:spacing w:before="24" w:line="228" w:lineRule="auto"/>
                    <w:ind w:left="1138"/>
                    <w:rPr>
                      <w:sz w:val="20"/>
                      <w:szCs w:val="20"/>
                    </w:rPr>
                  </w:pPr>
                  <w:r>
                    <w:rPr>
                      <w:spacing w:val="6"/>
                      <w:sz w:val="20"/>
                      <w:szCs w:val="20"/>
                    </w:rPr>
                    <w:t>建设项目</w:t>
                  </w:r>
                </w:p>
              </w:tc>
              <w:tc>
                <w:tcPr>
                  <w:tcW w:w="3089" w:type="dxa"/>
                  <w:vAlign w:val="top"/>
                </w:tcPr>
                <w:p w14:paraId="3370D8F0">
                  <w:pPr>
                    <w:pStyle w:val="6"/>
                    <w:spacing w:before="228" w:line="228" w:lineRule="auto"/>
                    <w:ind w:left="713"/>
                    <w:rPr>
                      <w:sz w:val="20"/>
                      <w:szCs w:val="20"/>
                    </w:rPr>
                  </w:pPr>
                  <w:r>
                    <w:rPr>
                      <w:spacing w:val="8"/>
                      <w:sz w:val="20"/>
                      <w:szCs w:val="20"/>
                    </w:rPr>
                    <w:t>不涉及，无需开展</w:t>
                  </w:r>
                </w:p>
              </w:tc>
            </w:tr>
            <w:tr w14:paraId="5854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7124" w:type="dxa"/>
                  <w:gridSpan w:val="3"/>
                  <w:vAlign w:val="top"/>
                </w:tcPr>
                <w:p w14:paraId="5A0039CF">
                  <w:pPr>
                    <w:pStyle w:val="6"/>
                    <w:spacing w:before="92" w:line="251" w:lineRule="auto"/>
                    <w:ind w:left="64" w:right="56"/>
                    <w:rPr>
                      <w:sz w:val="20"/>
                      <w:szCs w:val="20"/>
                    </w:rPr>
                  </w:pPr>
                  <w:r>
                    <w:rPr>
                      <w:spacing w:val="1"/>
                      <w:sz w:val="20"/>
                      <w:szCs w:val="20"/>
                    </w:rPr>
                    <w:t>注：</w:t>
                  </w:r>
                  <w:r>
                    <w:rPr>
                      <w:rFonts w:ascii="Times New Roman" w:hAnsi="Times New Roman" w:eastAsia="Times New Roman" w:cs="Times New Roman"/>
                      <w:spacing w:val="1"/>
                      <w:sz w:val="20"/>
                      <w:szCs w:val="20"/>
                    </w:rPr>
                    <w:t>1.</w:t>
                  </w:r>
                  <w:r>
                    <w:rPr>
                      <w:spacing w:val="1"/>
                      <w:sz w:val="20"/>
                      <w:szCs w:val="20"/>
                    </w:rPr>
                    <w:t>废气中有毒有害污染物指纳入《有毒有害大气污染物名录》的污染物（不</w:t>
                  </w:r>
                  <w:r>
                    <w:rPr>
                      <w:spacing w:val="10"/>
                      <w:sz w:val="20"/>
                      <w:szCs w:val="20"/>
                    </w:rPr>
                    <w:t xml:space="preserve"> </w:t>
                  </w:r>
                  <w:r>
                    <w:rPr>
                      <w:spacing w:val="7"/>
                      <w:sz w:val="20"/>
                      <w:szCs w:val="20"/>
                    </w:rPr>
                    <w:t>包括无排放标准的污染物）。</w:t>
                  </w:r>
                </w:p>
                <w:p w14:paraId="247E64CC">
                  <w:pPr>
                    <w:pStyle w:val="6"/>
                    <w:ind w:left="83" w:right="59" w:hanging="23"/>
                    <w:rPr>
                      <w:sz w:val="20"/>
                      <w:szCs w:val="20"/>
                    </w:rPr>
                  </w:pPr>
                  <w:r>
                    <w:rPr>
                      <w:rFonts w:ascii="Times New Roman" w:hAnsi="Times New Roman" w:eastAsia="Times New Roman" w:cs="Times New Roman"/>
                      <w:spacing w:val="7"/>
                      <w:sz w:val="20"/>
                      <w:szCs w:val="20"/>
                    </w:rPr>
                    <w:t>2.</w:t>
                  </w:r>
                  <w:r>
                    <w:rPr>
                      <w:spacing w:val="7"/>
                      <w:sz w:val="20"/>
                      <w:szCs w:val="20"/>
                    </w:rPr>
                    <w:t>环境空气保护目标指自然保护区、风景名胜区、居住区、文化区和农村地区</w:t>
                  </w:r>
                  <w:r>
                    <w:rPr>
                      <w:spacing w:val="2"/>
                      <w:sz w:val="20"/>
                      <w:szCs w:val="20"/>
                    </w:rPr>
                    <w:t xml:space="preserve"> </w:t>
                  </w:r>
                  <w:r>
                    <w:rPr>
                      <w:spacing w:val="6"/>
                      <w:sz w:val="20"/>
                      <w:szCs w:val="20"/>
                    </w:rPr>
                    <w:t>中人群较集中的区域。</w:t>
                  </w:r>
                </w:p>
                <w:p w14:paraId="228B9110">
                  <w:pPr>
                    <w:pStyle w:val="6"/>
                    <w:spacing w:before="23" w:line="239" w:lineRule="auto"/>
                    <w:ind w:left="80" w:right="77" w:hanging="15"/>
                    <w:rPr>
                      <w:sz w:val="20"/>
                      <w:szCs w:val="20"/>
                    </w:rPr>
                  </w:pPr>
                  <w:r>
                    <w:rPr>
                      <w:rFonts w:ascii="Times New Roman" w:hAnsi="Times New Roman" w:eastAsia="Times New Roman" w:cs="Times New Roman"/>
                      <w:spacing w:val="9"/>
                      <w:sz w:val="20"/>
                      <w:szCs w:val="20"/>
                    </w:rPr>
                    <w:t>3.</w:t>
                  </w:r>
                  <w:r>
                    <w:rPr>
                      <w:spacing w:val="9"/>
                      <w:sz w:val="20"/>
                      <w:szCs w:val="20"/>
                    </w:rPr>
                    <w:t>临界量及其计算方法可参考《建设项目环境风险</w:t>
                  </w:r>
                  <w:r>
                    <w:rPr>
                      <w:spacing w:val="8"/>
                      <w:sz w:val="20"/>
                      <w:szCs w:val="20"/>
                    </w:rPr>
                    <w:t>评价技术导则》（</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169</w:t>
                  </w:r>
                  <w:r>
                    <w:rPr>
                      <w:spacing w:val="8"/>
                      <w:sz w:val="20"/>
                      <w:szCs w:val="20"/>
                    </w:rPr>
                    <w:t>）</w:t>
                  </w:r>
                  <w:r>
                    <w:rPr>
                      <w:sz w:val="20"/>
                      <w:szCs w:val="20"/>
                    </w:rPr>
                    <w:t xml:space="preserve"> 附录</w:t>
                  </w:r>
                  <w:r>
                    <w:rPr>
                      <w:spacing w:val="-42"/>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28"/>
                      <w:sz w:val="20"/>
                      <w:szCs w:val="20"/>
                    </w:rPr>
                    <w:t xml:space="preserve"> </w:t>
                  </w:r>
                  <w:r>
                    <w:rPr>
                      <w:sz w:val="20"/>
                      <w:szCs w:val="20"/>
                    </w:rPr>
                    <w:t>、附录</w:t>
                  </w:r>
                  <w:r>
                    <w:rPr>
                      <w:spacing w:val="-38"/>
                      <w:sz w:val="20"/>
                      <w:szCs w:val="20"/>
                    </w:rPr>
                    <w:t xml:space="preserve"> </w:t>
                  </w:r>
                  <w:r>
                    <w:rPr>
                      <w:rFonts w:ascii="Times New Roman" w:hAnsi="Times New Roman" w:eastAsia="Times New Roman" w:cs="Times New Roman"/>
                      <w:sz w:val="20"/>
                      <w:szCs w:val="20"/>
                    </w:rPr>
                    <w:t>C</w:t>
                  </w:r>
                  <w:r>
                    <w:rPr>
                      <w:sz w:val="20"/>
                      <w:szCs w:val="20"/>
                    </w:rPr>
                    <w:t>。</w:t>
                  </w:r>
                </w:p>
              </w:tc>
            </w:tr>
          </w:tbl>
          <w:p w14:paraId="3C656538">
            <w:pPr>
              <w:spacing w:line="50" w:lineRule="exact"/>
              <w:rPr>
                <w:rFonts w:ascii="Arial"/>
                <w:sz w:val="4"/>
              </w:rPr>
            </w:pPr>
          </w:p>
        </w:tc>
      </w:tr>
      <w:tr w14:paraId="140FD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171" w:type="dxa"/>
            <w:vAlign w:val="top"/>
          </w:tcPr>
          <w:p w14:paraId="7F324C06">
            <w:pPr>
              <w:spacing w:line="326" w:lineRule="auto"/>
              <w:rPr>
                <w:rFonts w:ascii="Arial"/>
                <w:sz w:val="21"/>
              </w:rPr>
            </w:pPr>
          </w:p>
          <w:p w14:paraId="68900532">
            <w:pPr>
              <w:pStyle w:val="6"/>
              <w:spacing w:before="78" w:line="220" w:lineRule="auto"/>
              <w:ind w:left="112"/>
              <w:rPr>
                <w:sz w:val="24"/>
                <w:szCs w:val="24"/>
              </w:rPr>
            </w:pPr>
            <w:r>
              <w:rPr>
                <w:spacing w:val="-3"/>
                <w:sz w:val="24"/>
                <w:szCs w:val="24"/>
              </w:rPr>
              <w:t>规划情况</w:t>
            </w:r>
          </w:p>
        </w:tc>
        <w:tc>
          <w:tcPr>
            <w:tcW w:w="7252" w:type="dxa"/>
            <w:vAlign w:val="top"/>
          </w:tcPr>
          <w:p w14:paraId="3E04C379">
            <w:pPr>
              <w:pStyle w:val="6"/>
              <w:spacing w:before="97" w:line="360" w:lineRule="auto"/>
              <w:ind w:left="62" w:right="57" w:firstLine="485"/>
              <w:rPr>
                <w:sz w:val="24"/>
                <w:szCs w:val="24"/>
              </w:rPr>
            </w:pP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w:t>
            </w:r>
            <w:r>
              <w:rPr>
                <w:rFonts w:ascii="Times New Roman" w:hAnsi="Times New Roman" w:eastAsia="Times New Roman" w:cs="Times New Roman"/>
                <w:spacing w:val="2"/>
                <w:sz w:val="24"/>
                <w:szCs w:val="24"/>
              </w:rPr>
              <w:t>2020</w:t>
            </w:r>
            <w:r>
              <w:rPr>
                <w:rFonts w:ascii="Times New Roman" w:hAnsi="Times New Roman" w:eastAsia="Times New Roman" w:cs="Times New Roman"/>
                <w:spacing w:val="13"/>
                <w:sz w:val="24"/>
                <w:szCs w:val="24"/>
              </w:rPr>
              <w:t xml:space="preserve"> </w:t>
            </w:r>
            <w:r>
              <w:rPr>
                <w:spacing w:val="-2"/>
                <w:sz w:val="24"/>
                <w:szCs w:val="24"/>
              </w:rPr>
              <w:t>年</w:t>
            </w:r>
            <w:r>
              <w:rPr>
                <w:spacing w:val="-41"/>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w w:val="101"/>
                <w:sz w:val="24"/>
                <w:szCs w:val="24"/>
              </w:rPr>
              <w:t xml:space="preserve"> </w:t>
            </w:r>
            <w:r>
              <w:rPr>
                <w:spacing w:val="-2"/>
                <w:sz w:val="24"/>
                <w:szCs w:val="24"/>
              </w:rPr>
              <w:t>月，内蒙古君和万维空间规划设计有限公司）。</w:t>
            </w:r>
          </w:p>
        </w:tc>
      </w:tr>
      <w:tr w14:paraId="08619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4" w:hRule="atLeast"/>
        </w:trPr>
        <w:tc>
          <w:tcPr>
            <w:tcW w:w="1171" w:type="dxa"/>
            <w:vAlign w:val="top"/>
          </w:tcPr>
          <w:p w14:paraId="1616413F">
            <w:pPr>
              <w:spacing w:line="326" w:lineRule="auto"/>
              <w:rPr>
                <w:rFonts w:ascii="Arial"/>
                <w:sz w:val="21"/>
              </w:rPr>
            </w:pPr>
          </w:p>
          <w:p w14:paraId="2AF3DF01">
            <w:pPr>
              <w:pStyle w:val="6"/>
              <w:spacing w:before="78" w:line="220" w:lineRule="auto"/>
              <w:ind w:left="112"/>
              <w:rPr>
                <w:sz w:val="24"/>
                <w:szCs w:val="24"/>
              </w:rPr>
            </w:pPr>
            <w:r>
              <w:rPr>
                <w:spacing w:val="-3"/>
                <w:sz w:val="24"/>
                <w:szCs w:val="24"/>
              </w:rPr>
              <w:t>规划环境</w:t>
            </w:r>
          </w:p>
          <w:p w14:paraId="1B0F3F6A">
            <w:pPr>
              <w:pStyle w:val="6"/>
              <w:spacing w:before="25" w:line="218" w:lineRule="auto"/>
              <w:ind w:left="111"/>
              <w:rPr>
                <w:sz w:val="24"/>
                <w:szCs w:val="24"/>
              </w:rPr>
            </w:pPr>
            <w:r>
              <w:rPr>
                <w:spacing w:val="-3"/>
                <w:sz w:val="24"/>
                <w:szCs w:val="24"/>
              </w:rPr>
              <w:t>影响评价</w:t>
            </w:r>
          </w:p>
          <w:p w14:paraId="12B97202">
            <w:pPr>
              <w:pStyle w:val="6"/>
              <w:spacing w:before="26" w:line="220" w:lineRule="auto"/>
              <w:ind w:left="352"/>
              <w:rPr>
                <w:sz w:val="24"/>
                <w:szCs w:val="24"/>
              </w:rPr>
            </w:pPr>
            <w:r>
              <w:rPr>
                <w:spacing w:val="-6"/>
                <w:sz w:val="24"/>
                <w:szCs w:val="24"/>
              </w:rPr>
              <w:t>情况</w:t>
            </w:r>
          </w:p>
        </w:tc>
        <w:tc>
          <w:tcPr>
            <w:tcW w:w="7252" w:type="dxa"/>
            <w:vAlign w:val="top"/>
          </w:tcPr>
          <w:p w14:paraId="58219BA1">
            <w:pPr>
              <w:pStyle w:val="6"/>
              <w:spacing w:before="252" w:line="360" w:lineRule="auto"/>
              <w:ind w:left="60" w:right="57" w:firstLine="486"/>
              <w:jc w:val="both"/>
              <w:rPr>
                <w:sz w:val="24"/>
                <w:szCs w:val="24"/>
              </w:rPr>
            </w:pP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）棋盘井产</w:t>
            </w:r>
            <w:r>
              <w:rPr>
                <w:spacing w:val="17"/>
                <w:sz w:val="24"/>
                <w:szCs w:val="24"/>
              </w:rPr>
              <w:t xml:space="preserve"> </w:t>
            </w:r>
            <w:r>
              <w:rPr>
                <w:spacing w:val="1"/>
                <w:sz w:val="24"/>
                <w:szCs w:val="24"/>
              </w:rPr>
              <w:t>业园环境影响报告书》于</w:t>
            </w:r>
            <w:r>
              <w:rPr>
                <w:spacing w:val="-44"/>
                <w:sz w:val="24"/>
                <w:szCs w:val="24"/>
              </w:rPr>
              <w:t xml:space="preserve"> </w:t>
            </w:r>
            <w:r>
              <w:rPr>
                <w:rFonts w:ascii="Times New Roman" w:hAnsi="Times New Roman" w:eastAsia="Times New Roman" w:cs="Times New Roman"/>
                <w:spacing w:val="1"/>
                <w:sz w:val="24"/>
                <w:szCs w:val="24"/>
              </w:rPr>
              <w:t xml:space="preserve">2023 </w:t>
            </w:r>
            <w:r>
              <w:rPr>
                <w:spacing w:val="1"/>
                <w:sz w:val="24"/>
                <w:szCs w:val="24"/>
              </w:rPr>
              <w:t>年由内蒙古自治区生态环境厅出具了</w:t>
            </w:r>
            <w:r>
              <w:rPr>
                <w:sz w:val="24"/>
                <w:szCs w:val="24"/>
              </w:rPr>
              <w:t xml:space="preserve"> </w:t>
            </w:r>
            <w:r>
              <w:rPr>
                <w:spacing w:val="-2"/>
                <w:sz w:val="24"/>
                <w:szCs w:val="24"/>
              </w:rPr>
              <w:t>审查意见（内环审〔</w:t>
            </w:r>
            <w:r>
              <w:rPr>
                <w:rFonts w:ascii="Times New Roman" w:hAnsi="Times New Roman" w:eastAsia="Times New Roman" w:cs="Times New Roman"/>
                <w:spacing w:val="-2"/>
                <w:sz w:val="24"/>
                <w:szCs w:val="24"/>
              </w:rPr>
              <w:t>2023</w:t>
            </w:r>
            <w:r>
              <w:rPr>
                <w:spacing w:val="-2"/>
                <w:sz w:val="24"/>
                <w:szCs w:val="24"/>
              </w:rPr>
              <w:t>〕</w:t>
            </w:r>
            <w:r>
              <w:rPr>
                <w:rFonts w:ascii="Times New Roman" w:hAnsi="Times New Roman" w:eastAsia="Times New Roman" w:cs="Times New Roman"/>
                <w:spacing w:val="-2"/>
                <w:sz w:val="24"/>
                <w:szCs w:val="24"/>
              </w:rPr>
              <w:t>48</w:t>
            </w:r>
            <w:r>
              <w:rPr>
                <w:rFonts w:ascii="Times New Roman" w:hAnsi="Times New Roman" w:eastAsia="Times New Roman" w:cs="Times New Roman"/>
                <w:spacing w:val="28"/>
                <w:sz w:val="24"/>
                <w:szCs w:val="24"/>
              </w:rPr>
              <w:t xml:space="preserve"> </w:t>
            </w:r>
            <w:r>
              <w:rPr>
                <w:spacing w:val="-2"/>
                <w:sz w:val="24"/>
                <w:szCs w:val="24"/>
              </w:rPr>
              <w:t>号）。</w:t>
            </w:r>
          </w:p>
        </w:tc>
      </w:tr>
      <w:tr w14:paraId="1DBC5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5" w:hRule="atLeast"/>
        </w:trPr>
        <w:tc>
          <w:tcPr>
            <w:tcW w:w="1171" w:type="dxa"/>
            <w:vAlign w:val="top"/>
          </w:tcPr>
          <w:p w14:paraId="38C336EC">
            <w:pPr>
              <w:spacing w:line="407" w:lineRule="auto"/>
              <w:rPr>
                <w:rFonts w:ascii="Arial"/>
                <w:sz w:val="21"/>
              </w:rPr>
            </w:pPr>
          </w:p>
          <w:p w14:paraId="089F1211">
            <w:pPr>
              <w:pStyle w:val="6"/>
              <w:spacing w:before="78" w:line="221" w:lineRule="auto"/>
              <w:ind w:left="112"/>
              <w:rPr>
                <w:sz w:val="24"/>
                <w:szCs w:val="24"/>
              </w:rPr>
            </w:pPr>
            <w:r>
              <w:rPr>
                <w:spacing w:val="-3"/>
                <w:sz w:val="24"/>
                <w:szCs w:val="24"/>
              </w:rPr>
              <w:t>规划及规</w:t>
            </w:r>
          </w:p>
          <w:p w14:paraId="5E7030D1">
            <w:pPr>
              <w:pStyle w:val="6"/>
              <w:spacing w:before="21" w:line="220" w:lineRule="auto"/>
              <w:ind w:left="110"/>
              <w:rPr>
                <w:sz w:val="24"/>
                <w:szCs w:val="24"/>
              </w:rPr>
            </w:pPr>
            <w:r>
              <w:rPr>
                <w:spacing w:val="-3"/>
                <w:sz w:val="24"/>
                <w:szCs w:val="24"/>
              </w:rPr>
              <w:t>划环境影</w:t>
            </w:r>
          </w:p>
          <w:p w14:paraId="55A3441F">
            <w:pPr>
              <w:pStyle w:val="6"/>
              <w:spacing w:before="25" w:line="218" w:lineRule="auto"/>
              <w:ind w:left="123"/>
              <w:rPr>
                <w:sz w:val="24"/>
                <w:szCs w:val="24"/>
              </w:rPr>
            </w:pPr>
            <w:r>
              <w:rPr>
                <w:spacing w:val="-6"/>
                <w:sz w:val="24"/>
                <w:szCs w:val="24"/>
              </w:rPr>
              <w:t>响评价符</w:t>
            </w:r>
          </w:p>
          <w:p w14:paraId="0006877F">
            <w:pPr>
              <w:pStyle w:val="6"/>
              <w:spacing w:before="28" w:line="220" w:lineRule="auto"/>
              <w:ind w:left="112"/>
              <w:rPr>
                <w:sz w:val="24"/>
                <w:szCs w:val="24"/>
              </w:rPr>
            </w:pPr>
            <w:r>
              <w:rPr>
                <w:spacing w:val="-3"/>
                <w:sz w:val="24"/>
                <w:szCs w:val="24"/>
              </w:rPr>
              <w:t>合性分析</w:t>
            </w:r>
          </w:p>
        </w:tc>
        <w:tc>
          <w:tcPr>
            <w:tcW w:w="7252" w:type="dxa"/>
            <w:vAlign w:val="top"/>
          </w:tcPr>
          <w:p w14:paraId="09791C6C">
            <w:pPr>
              <w:pStyle w:val="6"/>
              <w:spacing w:before="253" w:line="360" w:lineRule="auto"/>
              <w:ind w:left="61" w:right="57" w:firstLine="480"/>
              <w:rPr>
                <w:sz w:val="24"/>
                <w:szCs w:val="24"/>
              </w:rPr>
            </w:pPr>
            <w:r>
              <w:rPr>
                <w:spacing w:val="3"/>
                <w:sz w:val="24"/>
                <w:szCs w:val="24"/>
              </w:rPr>
              <w:t>根据《鄂托克经济开发区国土空间总体规划（</w:t>
            </w:r>
            <w:r>
              <w:rPr>
                <w:rFonts w:ascii="Times New Roman" w:hAnsi="Times New Roman" w:eastAsia="Times New Roman" w:cs="Times New Roman"/>
                <w:spacing w:val="3"/>
                <w:sz w:val="24"/>
                <w:szCs w:val="24"/>
              </w:rPr>
              <w:t>202</w:t>
            </w:r>
            <w:r>
              <w:rPr>
                <w:rFonts w:ascii="Times New Roman" w:hAnsi="Times New Roman" w:eastAsia="Times New Roman" w:cs="Times New Roman"/>
                <w:spacing w:val="2"/>
                <w:sz w:val="24"/>
                <w:szCs w:val="24"/>
              </w:rPr>
              <w:t>1-2035</w:t>
            </w:r>
            <w:r>
              <w:rPr>
                <w:spacing w:val="2"/>
                <w:sz w:val="24"/>
                <w:szCs w:val="24"/>
              </w:rPr>
              <w:t>）》、</w:t>
            </w:r>
            <w:r>
              <w:rPr>
                <w:sz w:val="24"/>
                <w:szCs w:val="24"/>
              </w:rPr>
              <w:t xml:space="preserve"> </w:t>
            </w:r>
            <w:r>
              <w:rPr>
                <w:spacing w:val="3"/>
                <w:sz w:val="24"/>
                <w:szCs w:val="24"/>
              </w:rPr>
              <w:t>《鄂托克经济开发区国土空间总体规划（</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
                <w:sz w:val="24"/>
                <w:szCs w:val="24"/>
              </w:rPr>
              <w:t>021-2035</w:t>
            </w:r>
            <w:r>
              <w:rPr>
                <w:spacing w:val="2"/>
                <w:sz w:val="24"/>
                <w:szCs w:val="24"/>
              </w:rPr>
              <w:t>）棋盘井产业园</w:t>
            </w:r>
            <w:r>
              <w:rPr>
                <w:sz w:val="24"/>
                <w:szCs w:val="24"/>
              </w:rPr>
              <w:t xml:space="preserve"> </w:t>
            </w:r>
            <w:r>
              <w:rPr>
                <w:spacing w:val="-4"/>
                <w:sz w:val="24"/>
                <w:szCs w:val="24"/>
              </w:rPr>
              <w:t>环境影响报告书》，棋盘井产业园规划形成“一园两组团</w:t>
            </w:r>
            <w:r>
              <w:rPr>
                <w:spacing w:val="-73"/>
                <w:sz w:val="24"/>
                <w:szCs w:val="24"/>
              </w:rPr>
              <w:t xml:space="preserve"> </w:t>
            </w:r>
            <w:r>
              <w:rPr>
                <w:spacing w:val="-4"/>
                <w:sz w:val="24"/>
                <w:szCs w:val="24"/>
              </w:rPr>
              <w:t>”的布局形</w:t>
            </w:r>
            <w:r>
              <w:rPr>
                <w:sz w:val="24"/>
                <w:szCs w:val="24"/>
              </w:rPr>
              <w:t xml:space="preserve"> </w:t>
            </w:r>
            <w:r>
              <w:rPr>
                <w:spacing w:val="-1"/>
                <w:sz w:val="24"/>
                <w:szCs w:val="24"/>
              </w:rPr>
              <w:t>式，包括棋东、棋西两个项目区和一个生活服务区。</w:t>
            </w:r>
          </w:p>
        </w:tc>
      </w:tr>
    </w:tbl>
    <w:p w14:paraId="7B06634D">
      <w:pPr>
        <w:pStyle w:val="2"/>
      </w:pPr>
    </w:p>
    <w:p w14:paraId="75CE68E6">
      <w:pPr>
        <w:sectPr>
          <w:footerReference r:id="rId8" w:type="default"/>
          <w:pgSz w:w="11906" w:h="16839"/>
          <w:pgMar w:top="400" w:right="1739" w:bottom="1259" w:left="1738" w:header="0" w:footer="1097" w:gutter="0"/>
          <w:cols w:space="720" w:num="1"/>
        </w:sectPr>
      </w:pPr>
    </w:p>
    <w:p w14:paraId="5204D9A8">
      <w:pPr>
        <w:spacing w:before="19"/>
      </w:pPr>
    </w:p>
    <w:p w14:paraId="7FC46CA9">
      <w:pPr>
        <w:spacing w:before="19"/>
      </w:pPr>
    </w:p>
    <w:p w14:paraId="3F10E108">
      <w:pPr>
        <w:spacing w:before="18"/>
      </w:pPr>
    </w:p>
    <w:p w14:paraId="4E85978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2BA4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4" w:hRule="atLeast"/>
        </w:trPr>
        <w:tc>
          <w:tcPr>
            <w:tcW w:w="1171" w:type="dxa"/>
            <w:tcBorders>
              <w:bottom w:val="nil"/>
            </w:tcBorders>
            <w:vAlign w:val="top"/>
          </w:tcPr>
          <w:p w14:paraId="55423128">
            <w:pPr>
              <w:rPr>
                <w:rFonts w:ascii="Arial"/>
                <w:sz w:val="21"/>
              </w:rPr>
            </w:pPr>
          </w:p>
        </w:tc>
        <w:tc>
          <w:tcPr>
            <w:tcW w:w="7252" w:type="dxa"/>
            <w:tcBorders>
              <w:bottom w:val="nil"/>
            </w:tcBorders>
            <w:vAlign w:val="top"/>
          </w:tcPr>
          <w:p w14:paraId="5136A0A7">
            <w:pPr>
              <w:pStyle w:val="6"/>
              <w:spacing w:before="96" w:line="352" w:lineRule="auto"/>
              <w:ind w:left="60" w:right="29" w:firstLine="481"/>
              <w:jc w:val="both"/>
              <w:rPr>
                <w:sz w:val="24"/>
                <w:szCs w:val="24"/>
              </w:rPr>
            </w:pPr>
            <w:r>
              <w:rPr>
                <w:spacing w:val="-2"/>
                <w:sz w:val="24"/>
                <w:szCs w:val="24"/>
              </w:rPr>
              <w:t>本项目位于棋西项目区，棋西项目区规划用地面积</w:t>
            </w:r>
            <w:r>
              <w:rPr>
                <w:spacing w:val="-55"/>
                <w:sz w:val="24"/>
                <w:szCs w:val="24"/>
              </w:rPr>
              <w:t xml:space="preserve"> </w:t>
            </w:r>
            <w:r>
              <w:rPr>
                <w:rFonts w:ascii="Times New Roman" w:hAnsi="Times New Roman" w:eastAsia="Times New Roman" w:cs="Times New Roman"/>
                <w:spacing w:val="-2"/>
                <w:sz w:val="24"/>
                <w:szCs w:val="24"/>
              </w:rPr>
              <w:t>26.8</w:t>
            </w:r>
            <w:r>
              <w:rPr>
                <w:rFonts w:ascii="Times New Roman" w:hAnsi="Times New Roman" w:eastAsia="Times New Roman" w:cs="Times New Roman"/>
                <w:spacing w:val="-3"/>
                <w:sz w:val="24"/>
                <w:szCs w:val="24"/>
              </w:rPr>
              <w:t>148km</w:t>
            </w:r>
            <w:r>
              <w:rPr>
                <w:rFonts w:ascii="Times New Roman" w:hAnsi="Times New Roman" w:eastAsia="Times New Roman" w:cs="Times New Roman"/>
                <w:spacing w:val="-3"/>
                <w:position w:val="7"/>
                <w:sz w:val="15"/>
                <w:szCs w:val="15"/>
              </w:rPr>
              <w:t>2</w:t>
            </w:r>
            <w:r>
              <w:rPr>
                <w:spacing w:val="-3"/>
                <w:sz w:val="24"/>
                <w:szCs w:val="24"/>
              </w:rPr>
              <w:t>，</w:t>
            </w:r>
            <w:r>
              <w:rPr>
                <w:sz w:val="24"/>
                <w:szCs w:val="24"/>
              </w:rPr>
              <w:t xml:space="preserve"> </w:t>
            </w:r>
            <w:r>
              <w:rPr>
                <w:spacing w:val="-3"/>
                <w:sz w:val="24"/>
                <w:szCs w:val="24"/>
              </w:rPr>
              <w:t>四至范围为东至二号路，南至西鄂尔多斯保护区，西至乌海界，北至</w:t>
            </w:r>
            <w:r>
              <w:rPr>
                <w:spacing w:val="18"/>
                <w:sz w:val="24"/>
                <w:szCs w:val="24"/>
              </w:rPr>
              <w:t xml:space="preserve"> </w:t>
            </w:r>
            <w:r>
              <w:rPr>
                <w:spacing w:val="-3"/>
                <w:sz w:val="24"/>
                <w:szCs w:val="24"/>
              </w:rPr>
              <w:t>硅电大街，规划期内主要在现有园区基础上进行传统产业改造提升和</w:t>
            </w:r>
            <w:r>
              <w:rPr>
                <w:spacing w:val="18"/>
                <w:sz w:val="24"/>
                <w:szCs w:val="24"/>
              </w:rPr>
              <w:t xml:space="preserve"> </w:t>
            </w:r>
            <w:r>
              <w:rPr>
                <w:spacing w:val="-3"/>
                <w:sz w:val="24"/>
                <w:szCs w:val="24"/>
              </w:rPr>
              <w:t>园区提质，高质量建设全区低碳示范园区和循环经济园区，产业功能</w:t>
            </w:r>
            <w:r>
              <w:rPr>
                <w:spacing w:val="18"/>
                <w:sz w:val="24"/>
                <w:szCs w:val="24"/>
              </w:rPr>
              <w:t xml:space="preserve"> </w:t>
            </w:r>
            <w:r>
              <w:rPr>
                <w:spacing w:val="-1"/>
                <w:sz w:val="24"/>
                <w:szCs w:val="24"/>
              </w:rPr>
              <w:t>定位以冶金、煤焦化、新能源、新材料等工业为主。</w:t>
            </w:r>
          </w:p>
        </w:tc>
      </w:tr>
      <w:tr w14:paraId="78D0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8" w:hRule="atLeast"/>
        </w:trPr>
        <w:tc>
          <w:tcPr>
            <w:tcW w:w="1171" w:type="dxa"/>
            <w:tcBorders>
              <w:top w:val="nil"/>
              <w:bottom w:val="nil"/>
            </w:tcBorders>
            <w:vAlign w:val="top"/>
          </w:tcPr>
          <w:p w14:paraId="044ECC5F">
            <w:pPr>
              <w:rPr>
                <w:rFonts w:ascii="Arial"/>
                <w:sz w:val="21"/>
              </w:rPr>
            </w:pPr>
          </w:p>
        </w:tc>
        <w:tc>
          <w:tcPr>
            <w:tcW w:w="7252" w:type="dxa"/>
            <w:tcBorders>
              <w:top w:val="nil"/>
              <w:bottom w:val="nil"/>
            </w:tcBorders>
            <w:vAlign w:val="top"/>
          </w:tcPr>
          <w:p w14:paraId="4D799A2B">
            <w:pPr>
              <w:spacing w:line="5787" w:lineRule="exact"/>
              <w:ind w:firstLine="181"/>
            </w:pPr>
            <w:r>
              <w:rPr>
                <w:position w:val="-115"/>
              </w:rPr>
              <w:drawing>
                <wp:inline distT="0" distB="0" distL="0" distR="0">
                  <wp:extent cx="4368800" cy="36747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8"/>
                          <a:stretch>
                            <a:fillRect/>
                          </a:stretch>
                        </pic:blipFill>
                        <pic:spPr>
                          <a:xfrm>
                            <a:off x="0" y="0"/>
                            <a:ext cx="4369308" cy="3674745"/>
                          </a:xfrm>
                          <a:prstGeom prst="rect">
                            <a:avLst/>
                          </a:prstGeom>
                        </pic:spPr>
                      </pic:pic>
                    </a:graphicData>
                  </a:graphic>
                </wp:inline>
              </w:drawing>
            </w:r>
          </w:p>
        </w:tc>
      </w:tr>
      <w:tr w14:paraId="2F3B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6" w:hRule="atLeast"/>
        </w:trPr>
        <w:tc>
          <w:tcPr>
            <w:tcW w:w="1171" w:type="dxa"/>
            <w:tcBorders>
              <w:top w:val="nil"/>
            </w:tcBorders>
            <w:vAlign w:val="top"/>
          </w:tcPr>
          <w:p w14:paraId="2B237008">
            <w:pPr>
              <w:rPr>
                <w:rFonts w:ascii="Arial"/>
                <w:sz w:val="21"/>
              </w:rPr>
            </w:pPr>
          </w:p>
        </w:tc>
        <w:tc>
          <w:tcPr>
            <w:tcW w:w="7252" w:type="dxa"/>
            <w:tcBorders>
              <w:top w:val="nil"/>
            </w:tcBorders>
            <w:vAlign w:val="top"/>
          </w:tcPr>
          <w:p w14:paraId="6DE7CD8B">
            <w:pPr>
              <w:pStyle w:val="6"/>
              <w:spacing w:before="173" w:line="227" w:lineRule="auto"/>
              <w:ind w:left="1588"/>
              <w:outlineLvl w:val="1"/>
              <w:rPr>
                <w:sz w:val="20"/>
                <w:szCs w:val="20"/>
              </w:rPr>
            </w:pPr>
            <w:r>
              <w:rPr>
                <w:b/>
                <w:bCs/>
                <w:spacing w:val="5"/>
                <w:sz w:val="20"/>
                <w:szCs w:val="20"/>
              </w:rPr>
              <w:t>图</w:t>
            </w:r>
            <w:r>
              <w:rPr>
                <w:spacing w:val="-29"/>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本项目与棋西项目区相对位置示意图</w:t>
            </w:r>
          </w:p>
          <w:p w14:paraId="5D37686A">
            <w:pPr>
              <w:pStyle w:val="6"/>
              <w:spacing w:before="169" w:line="359" w:lineRule="auto"/>
              <w:ind w:left="60" w:right="57" w:firstLine="481"/>
              <w:rPr>
                <w:sz w:val="24"/>
                <w:szCs w:val="24"/>
              </w:rPr>
            </w:pPr>
            <w:r>
              <w:rPr>
                <w:spacing w:val="-3"/>
                <w:sz w:val="24"/>
                <w:szCs w:val="24"/>
              </w:rPr>
              <w:t>本项目为棋盘井产业园（棋西项目区）危险化学品车辆专用停车</w:t>
            </w:r>
            <w:r>
              <w:rPr>
                <w:spacing w:val="10"/>
                <w:sz w:val="24"/>
                <w:szCs w:val="24"/>
              </w:rPr>
              <w:t xml:space="preserve"> </w:t>
            </w:r>
            <w:r>
              <w:rPr>
                <w:spacing w:val="-3"/>
                <w:sz w:val="24"/>
                <w:szCs w:val="24"/>
              </w:rPr>
              <w:t>场建设项目，属于产业园区公共基础建设项目，已被纳入《鄂托克经</w:t>
            </w:r>
            <w:r>
              <w:rPr>
                <w:spacing w:val="18"/>
                <w:sz w:val="24"/>
                <w:szCs w:val="24"/>
              </w:rPr>
              <w:t xml:space="preserve"> </w:t>
            </w:r>
            <w:r>
              <w:rPr>
                <w:sz w:val="24"/>
                <w:szCs w:val="24"/>
              </w:rPr>
              <w:t>济开发区国土空间总体规划（</w:t>
            </w:r>
            <w:r>
              <w:rPr>
                <w:rFonts w:ascii="Times New Roman" w:hAnsi="Times New Roman" w:eastAsia="Times New Roman" w:cs="Times New Roman"/>
                <w:sz w:val="24"/>
                <w:szCs w:val="24"/>
              </w:rPr>
              <w:t>2021-2035</w:t>
            </w:r>
            <w:r>
              <w:rPr>
                <w:sz w:val="24"/>
                <w:szCs w:val="24"/>
              </w:rPr>
              <w:t>）</w:t>
            </w:r>
            <w:r>
              <w:rPr>
                <w:spacing w:val="-1"/>
                <w:sz w:val="24"/>
                <w:szCs w:val="24"/>
              </w:rPr>
              <w:t>》鄂托克经济开发区棋盘</w:t>
            </w:r>
            <w:r>
              <w:rPr>
                <w:sz w:val="24"/>
                <w:szCs w:val="24"/>
              </w:rPr>
              <w:t xml:space="preserve"> </w:t>
            </w:r>
            <w:r>
              <w:rPr>
                <w:spacing w:val="-4"/>
                <w:sz w:val="24"/>
                <w:szCs w:val="24"/>
              </w:rPr>
              <w:t>井产业园“十四五</w:t>
            </w:r>
            <w:r>
              <w:rPr>
                <w:spacing w:val="-72"/>
                <w:sz w:val="24"/>
                <w:szCs w:val="24"/>
              </w:rPr>
              <w:t xml:space="preserve"> </w:t>
            </w:r>
            <w:r>
              <w:rPr>
                <w:spacing w:val="-4"/>
                <w:sz w:val="24"/>
                <w:szCs w:val="24"/>
              </w:rPr>
              <w:t>”拟建项目。另外，《鄂托克经济开发区国土空间</w:t>
            </w:r>
            <w:r>
              <w:rPr>
                <w:sz w:val="24"/>
                <w:szCs w:val="24"/>
              </w:rPr>
              <w:t xml:space="preserve"> 总体规划（</w:t>
            </w:r>
            <w:r>
              <w:rPr>
                <w:rFonts w:ascii="Times New Roman" w:hAnsi="Times New Roman" w:eastAsia="Times New Roman" w:cs="Times New Roman"/>
                <w:sz w:val="24"/>
                <w:szCs w:val="24"/>
              </w:rPr>
              <w:t>2021-2035</w:t>
            </w:r>
            <w:r>
              <w:rPr>
                <w:sz w:val="24"/>
                <w:szCs w:val="24"/>
              </w:rPr>
              <w:t>）棋盘井产业园环境</w:t>
            </w:r>
            <w:r>
              <w:rPr>
                <w:spacing w:val="-1"/>
                <w:sz w:val="24"/>
                <w:szCs w:val="24"/>
              </w:rPr>
              <w:t>影响报告书》中表示，棋</w:t>
            </w:r>
            <w:r>
              <w:rPr>
                <w:sz w:val="24"/>
                <w:szCs w:val="24"/>
              </w:rPr>
              <w:t xml:space="preserve"> </w:t>
            </w:r>
            <w:r>
              <w:rPr>
                <w:spacing w:val="-2"/>
                <w:sz w:val="24"/>
                <w:szCs w:val="24"/>
              </w:rPr>
              <w:t>西项目区将依据工业和信息化部</w:t>
            </w:r>
            <w:r>
              <w:rPr>
                <w:spacing w:val="50"/>
                <w:sz w:val="24"/>
                <w:szCs w:val="24"/>
              </w:rPr>
              <w:t xml:space="preserve"> </w:t>
            </w:r>
            <w:r>
              <w:rPr>
                <w:spacing w:val="-2"/>
                <w:sz w:val="24"/>
                <w:szCs w:val="24"/>
              </w:rPr>
              <w:t>自然资源部 生态环境部 住房和城</w:t>
            </w:r>
            <w:r>
              <w:rPr>
                <w:sz w:val="24"/>
                <w:szCs w:val="24"/>
              </w:rPr>
              <w:t xml:space="preserve"> 乡建设部 交通运输部 应急管理部等多部门</w:t>
            </w:r>
            <w:r>
              <w:rPr>
                <w:spacing w:val="-1"/>
                <w:sz w:val="24"/>
                <w:szCs w:val="24"/>
              </w:rPr>
              <w:t>联合印发的《关于印发</w:t>
            </w:r>
            <w:r>
              <w:rPr>
                <w:sz w:val="24"/>
                <w:szCs w:val="24"/>
              </w:rPr>
              <w:t xml:space="preserve">  </w:t>
            </w:r>
            <w:r>
              <w:rPr>
                <w:spacing w:val="-3"/>
                <w:sz w:val="24"/>
                <w:szCs w:val="24"/>
              </w:rPr>
              <w:t>〈化工园区建设标准和认定管理办法（试行）的通知〉》（工信部联</w:t>
            </w:r>
            <w:r>
              <w:rPr>
                <w:spacing w:val="18"/>
                <w:sz w:val="24"/>
                <w:szCs w:val="24"/>
              </w:rPr>
              <w:t xml:space="preserve"> </w:t>
            </w:r>
            <w:r>
              <w:rPr>
                <w:sz w:val="24"/>
                <w:szCs w:val="24"/>
              </w:rPr>
              <w:t>原</w:t>
            </w:r>
            <w:r>
              <w:rPr>
                <w:rFonts w:ascii="Times New Roman" w:hAnsi="Times New Roman" w:eastAsia="Times New Roman" w:cs="Times New Roman"/>
                <w:sz w:val="24"/>
                <w:szCs w:val="24"/>
              </w:rPr>
              <w:t xml:space="preserve">[2021]220 </w:t>
            </w:r>
            <w:r>
              <w:rPr>
                <w:sz w:val="24"/>
                <w:szCs w:val="24"/>
              </w:rPr>
              <w:t>号）、《内蒙古自治区进一步</w:t>
            </w:r>
            <w:r>
              <w:rPr>
                <w:spacing w:val="-1"/>
                <w:sz w:val="24"/>
                <w:szCs w:val="24"/>
              </w:rPr>
              <w:t>规范化工行业项目建设的</w:t>
            </w:r>
            <w:r>
              <w:rPr>
                <w:sz w:val="24"/>
                <w:szCs w:val="24"/>
              </w:rPr>
              <w:t xml:space="preserve"> </w:t>
            </w:r>
            <w:r>
              <w:rPr>
                <w:spacing w:val="-1"/>
                <w:sz w:val="24"/>
                <w:szCs w:val="24"/>
              </w:rPr>
              <w:t>若干规定》（内工信原工字〔</w:t>
            </w:r>
            <w:r>
              <w:rPr>
                <w:rFonts w:ascii="Times New Roman" w:hAnsi="Times New Roman" w:eastAsia="Times New Roman" w:cs="Times New Roman"/>
                <w:spacing w:val="-1"/>
                <w:sz w:val="24"/>
                <w:szCs w:val="24"/>
              </w:rPr>
              <w:t>2019</w:t>
            </w:r>
            <w:r>
              <w:rPr>
                <w:spacing w:val="-1"/>
                <w:sz w:val="24"/>
                <w:szCs w:val="24"/>
              </w:rPr>
              <w:t>〕</w:t>
            </w:r>
            <w:r>
              <w:rPr>
                <w:rFonts w:ascii="Times New Roman" w:hAnsi="Times New Roman" w:eastAsia="Times New Roman" w:cs="Times New Roman"/>
                <w:spacing w:val="-1"/>
                <w:sz w:val="24"/>
                <w:szCs w:val="24"/>
              </w:rPr>
              <w:t>269</w:t>
            </w:r>
            <w:r>
              <w:rPr>
                <w:rFonts w:ascii="Times New Roman" w:hAnsi="Times New Roman" w:eastAsia="Times New Roman" w:cs="Times New Roman"/>
                <w:spacing w:val="21"/>
                <w:sz w:val="24"/>
                <w:szCs w:val="24"/>
              </w:rPr>
              <w:t xml:space="preserve"> </w:t>
            </w:r>
            <w:r>
              <w:rPr>
                <w:spacing w:val="-1"/>
                <w:sz w:val="24"/>
                <w:szCs w:val="24"/>
              </w:rPr>
              <w:t>号）等要求，规范危险化学</w:t>
            </w:r>
            <w:r>
              <w:rPr>
                <w:sz w:val="24"/>
                <w:szCs w:val="24"/>
              </w:rPr>
              <w:t xml:space="preserve"> </w:t>
            </w:r>
            <w:r>
              <w:rPr>
                <w:spacing w:val="-3"/>
                <w:sz w:val="24"/>
                <w:szCs w:val="24"/>
              </w:rPr>
              <w:t>品及其废弃物运输管理，设置危险化学品运输车辆专用停车场。本项</w:t>
            </w:r>
          </w:p>
        </w:tc>
      </w:tr>
    </w:tbl>
    <w:p w14:paraId="63B790D2">
      <w:pPr>
        <w:pStyle w:val="2"/>
        <w:spacing w:line="179" w:lineRule="exact"/>
        <w:rPr>
          <w:sz w:val="15"/>
        </w:rPr>
      </w:pPr>
    </w:p>
    <w:p w14:paraId="770B6AC0">
      <w:pPr>
        <w:spacing w:line="179" w:lineRule="exact"/>
        <w:rPr>
          <w:sz w:val="15"/>
          <w:szCs w:val="15"/>
        </w:rPr>
        <w:sectPr>
          <w:footerReference r:id="rId9" w:type="default"/>
          <w:pgSz w:w="11906" w:h="16839"/>
          <w:pgMar w:top="400" w:right="1739" w:bottom="1259" w:left="1738" w:header="0" w:footer="1097" w:gutter="0"/>
          <w:cols w:space="720" w:num="1"/>
        </w:sectPr>
      </w:pPr>
    </w:p>
    <w:p w14:paraId="544D9F3C">
      <w:pPr>
        <w:spacing w:before="19"/>
      </w:pPr>
    </w:p>
    <w:p w14:paraId="00DF2F9D">
      <w:pPr>
        <w:spacing w:before="19"/>
      </w:pPr>
    </w:p>
    <w:p w14:paraId="0A3039E5">
      <w:pPr>
        <w:spacing w:before="18"/>
      </w:pPr>
    </w:p>
    <w:p w14:paraId="53DE374E">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5620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1171" w:type="dxa"/>
            <w:vAlign w:val="top"/>
          </w:tcPr>
          <w:p w14:paraId="290365ED">
            <w:pPr>
              <w:rPr>
                <w:rFonts w:ascii="Arial"/>
                <w:sz w:val="21"/>
              </w:rPr>
            </w:pPr>
          </w:p>
        </w:tc>
        <w:tc>
          <w:tcPr>
            <w:tcW w:w="7252" w:type="dxa"/>
            <w:vAlign w:val="top"/>
          </w:tcPr>
          <w:p w14:paraId="17897C25">
            <w:pPr>
              <w:pStyle w:val="6"/>
              <w:spacing w:before="94" w:line="360" w:lineRule="auto"/>
              <w:ind w:left="60" w:right="57" w:firstLine="46"/>
              <w:jc w:val="both"/>
              <w:rPr>
                <w:sz w:val="24"/>
                <w:szCs w:val="24"/>
              </w:rPr>
            </w:pPr>
            <w:r>
              <w:rPr>
                <w:spacing w:val="-4"/>
                <w:sz w:val="24"/>
                <w:szCs w:val="24"/>
              </w:rPr>
              <w:t>目建成后，可为危险化学品车辆提供安全、规范的停放场所，一方面</w:t>
            </w:r>
            <w:r>
              <w:rPr>
                <w:spacing w:val="1"/>
                <w:sz w:val="24"/>
                <w:szCs w:val="24"/>
              </w:rPr>
              <w:t xml:space="preserve"> </w:t>
            </w:r>
            <w:r>
              <w:rPr>
                <w:spacing w:val="-3"/>
                <w:sz w:val="24"/>
                <w:szCs w:val="24"/>
              </w:rPr>
              <w:t>可以降低园区危险化学品运输安全风险，在较大程度上避免突发事故</w:t>
            </w:r>
            <w:r>
              <w:rPr>
                <w:spacing w:val="18"/>
                <w:sz w:val="24"/>
                <w:szCs w:val="24"/>
              </w:rPr>
              <w:t xml:space="preserve"> </w:t>
            </w:r>
            <w:r>
              <w:rPr>
                <w:spacing w:val="-3"/>
                <w:sz w:val="24"/>
                <w:szCs w:val="24"/>
              </w:rPr>
              <w:t>造成环境污染；另一方面有助于规范危险化学品运输行业秩序，提高</w:t>
            </w:r>
            <w:r>
              <w:rPr>
                <w:spacing w:val="18"/>
                <w:sz w:val="24"/>
                <w:szCs w:val="24"/>
              </w:rPr>
              <w:t xml:space="preserve"> </w:t>
            </w:r>
            <w:r>
              <w:rPr>
                <w:spacing w:val="-3"/>
                <w:sz w:val="24"/>
                <w:szCs w:val="24"/>
              </w:rPr>
              <w:t>园区物流行业整体安全水平，引导运输企业加强安全管理，提升服务</w:t>
            </w:r>
            <w:r>
              <w:rPr>
                <w:spacing w:val="18"/>
                <w:sz w:val="24"/>
                <w:szCs w:val="24"/>
              </w:rPr>
              <w:t xml:space="preserve"> </w:t>
            </w:r>
            <w:r>
              <w:rPr>
                <w:spacing w:val="-1"/>
                <w:sz w:val="24"/>
                <w:szCs w:val="24"/>
              </w:rPr>
              <w:t>质量，符合园区国土空间规划及规划环境影响评价结论。</w:t>
            </w:r>
          </w:p>
        </w:tc>
      </w:tr>
      <w:tr w14:paraId="6EDB2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8" w:hRule="atLeast"/>
        </w:trPr>
        <w:tc>
          <w:tcPr>
            <w:tcW w:w="1171" w:type="dxa"/>
            <w:vAlign w:val="top"/>
          </w:tcPr>
          <w:p w14:paraId="5B11FCB6">
            <w:pPr>
              <w:spacing w:line="243" w:lineRule="auto"/>
              <w:rPr>
                <w:rFonts w:ascii="Arial"/>
                <w:sz w:val="21"/>
              </w:rPr>
            </w:pPr>
          </w:p>
          <w:p w14:paraId="07DB2A0F">
            <w:pPr>
              <w:spacing w:line="243" w:lineRule="auto"/>
              <w:rPr>
                <w:rFonts w:ascii="Arial"/>
                <w:sz w:val="21"/>
              </w:rPr>
            </w:pPr>
          </w:p>
          <w:p w14:paraId="1216D7EB">
            <w:pPr>
              <w:spacing w:line="243" w:lineRule="auto"/>
              <w:rPr>
                <w:rFonts w:ascii="Arial"/>
                <w:sz w:val="21"/>
              </w:rPr>
            </w:pPr>
          </w:p>
          <w:p w14:paraId="72D98DAB">
            <w:pPr>
              <w:spacing w:line="243" w:lineRule="auto"/>
              <w:rPr>
                <w:rFonts w:ascii="Arial"/>
                <w:sz w:val="21"/>
              </w:rPr>
            </w:pPr>
          </w:p>
          <w:p w14:paraId="743B703A">
            <w:pPr>
              <w:spacing w:line="243" w:lineRule="auto"/>
              <w:rPr>
                <w:rFonts w:ascii="Arial"/>
                <w:sz w:val="21"/>
              </w:rPr>
            </w:pPr>
          </w:p>
          <w:p w14:paraId="20429E08">
            <w:pPr>
              <w:spacing w:line="243" w:lineRule="auto"/>
              <w:rPr>
                <w:rFonts w:ascii="Arial"/>
                <w:sz w:val="21"/>
              </w:rPr>
            </w:pPr>
          </w:p>
          <w:p w14:paraId="67D2CD86">
            <w:pPr>
              <w:spacing w:line="243" w:lineRule="auto"/>
              <w:rPr>
                <w:rFonts w:ascii="Arial"/>
                <w:sz w:val="21"/>
              </w:rPr>
            </w:pPr>
          </w:p>
          <w:p w14:paraId="15F7693D">
            <w:pPr>
              <w:spacing w:line="243" w:lineRule="auto"/>
              <w:rPr>
                <w:rFonts w:ascii="Arial"/>
                <w:sz w:val="21"/>
              </w:rPr>
            </w:pPr>
          </w:p>
          <w:p w14:paraId="4319FF91">
            <w:pPr>
              <w:spacing w:line="243" w:lineRule="auto"/>
              <w:rPr>
                <w:rFonts w:ascii="Arial"/>
                <w:sz w:val="21"/>
              </w:rPr>
            </w:pPr>
          </w:p>
          <w:p w14:paraId="0004903F">
            <w:pPr>
              <w:spacing w:line="243" w:lineRule="auto"/>
              <w:rPr>
                <w:rFonts w:ascii="Arial"/>
                <w:sz w:val="21"/>
              </w:rPr>
            </w:pPr>
          </w:p>
          <w:p w14:paraId="6AD7C38D">
            <w:pPr>
              <w:spacing w:line="243" w:lineRule="auto"/>
              <w:rPr>
                <w:rFonts w:ascii="Arial"/>
                <w:sz w:val="21"/>
              </w:rPr>
            </w:pPr>
          </w:p>
          <w:p w14:paraId="02288245">
            <w:pPr>
              <w:spacing w:line="243" w:lineRule="auto"/>
              <w:rPr>
                <w:rFonts w:ascii="Arial"/>
                <w:sz w:val="21"/>
              </w:rPr>
            </w:pPr>
          </w:p>
          <w:p w14:paraId="50D47FE3">
            <w:pPr>
              <w:spacing w:line="243" w:lineRule="auto"/>
              <w:rPr>
                <w:rFonts w:ascii="Arial"/>
                <w:sz w:val="21"/>
              </w:rPr>
            </w:pPr>
          </w:p>
          <w:p w14:paraId="1A61DD13">
            <w:pPr>
              <w:spacing w:line="243" w:lineRule="auto"/>
              <w:rPr>
                <w:rFonts w:ascii="Arial"/>
                <w:sz w:val="21"/>
              </w:rPr>
            </w:pPr>
          </w:p>
          <w:p w14:paraId="65A01A44">
            <w:pPr>
              <w:spacing w:line="243" w:lineRule="auto"/>
              <w:rPr>
                <w:rFonts w:ascii="Arial"/>
                <w:sz w:val="21"/>
              </w:rPr>
            </w:pPr>
          </w:p>
          <w:p w14:paraId="1446044F">
            <w:pPr>
              <w:spacing w:line="243" w:lineRule="auto"/>
              <w:rPr>
                <w:rFonts w:ascii="Arial"/>
                <w:sz w:val="21"/>
              </w:rPr>
            </w:pPr>
          </w:p>
          <w:p w14:paraId="2C93A409">
            <w:pPr>
              <w:spacing w:line="243" w:lineRule="auto"/>
              <w:rPr>
                <w:rFonts w:ascii="Arial"/>
                <w:sz w:val="21"/>
              </w:rPr>
            </w:pPr>
          </w:p>
          <w:p w14:paraId="301428F1">
            <w:pPr>
              <w:spacing w:line="244" w:lineRule="auto"/>
              <w:rPr>
                <w:rFonts w:ascii="Arial"/>
                <w:sz w:val="21"/>
              </w:rPr>
            </w:pPr>
          </w:p>
          <w:p w14:paraId="1A75FBAB">
            <w:pPr>
              <w:spacing w:line="244" w:lineRule="auto"/>
              <w:rPr>
                <w:rFonts w:ascii="Arial"/>
                <w:sz w:val="21"/>
              </w:rPr>
            </w:pPr>
          </w:p>
          <w:p w14:paraId="59081E2A">
            <w:pPr>
              <w:spacing w:line="244" w:lineRule="auto"/>
              <w:rPr>
                <w:rFonts w:ascii="Arial"/>
                <w:sz w:val="21"/>
              </w:rPr>
            </w:pPr>
          </w:p>
          <w:p w14:paraId="095249C5">
            <w:pPr>
              <w:spacing w:line="244" w:lineRule="auto"/>
              <w:rPr>
                <w:rFonts w:ascii="Arial"/>
                <w:sz w:val="21"/>
              </w:rPr>
            </w:pPr>
          </w:p>
          <w:p w14:paraId="26FD8157">
            <w:pPr>
              <w:spacing w:line="244" w:lineRule="auto"/>
              <w:rPr>
                <w:rFonts w:ascii="Arial"/>
                <w:sz w:val="21"/>
              </w:rPr>
            </w:pPr>
          </w:p>
          <w:p w14:paraId="6DE52F3F">
            <w:pPr>
              <w:pStyle w:val="6"/>
              <w:spacing w:before="78" w:line="241" w:lineRule="auto"/>
              <w:ind w:left="233" w:right="103" w:hanging="121"/>
              <w:rPr>
                <w:sz w:val="24"/>
                <w:szCs w:val="24"/>
              </w:rPr>
            </w:pPr>
            <w:r>
              <w:rPr>
                <w:spacing w:val="-3"/>
                <w:sz w:val="24"/>
                <w:szCs w:val="24"/>
              </w:rPr>
              <w:t>其他符合</w:t>
            </w:r>
            <w:r>
              <w:rPr>
                <w:sz w:val="24"/>
                <w:szCs w:val="24"/>
              </w:rPr>
              <w:t xml:space="preserve"> </w:t>
            </w:r>
            <w:r>
              <w:rPr>
                <w:spacing w:val="-5"/>
                <w:sz w:val="24"/>
                <w:szCs w:val="24"/>
              </w:rPr>
              <w:t>性分析</w:t>
            </w:r>
          </w:p>
        </w:tc>
        <w:tc>
          <w:tcPr>
            <w:tcW w:w="7252" w:type="dxa"/>
            <w:vAlign w:val="top"/>
          </w:tcPr>
          <w:p w14:paraId="1A21A7DA">
            <w:pPr>
              <w:pStyle w:val="6"/>
              <w:spacing w:before="249" w:line="219" w:lineRule="auto"/>
              <w:ind w:left="68"/>
              <w:outlineLvl w:val="1"/>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9"/>
                <w:sz w:val="24"/>
                <w:szCs w:val="24"/>
              </w:rPr>
              <w:t xml:space="preserve"> </w:t>
            </w:r>
            <w:r>
              <w:rPr>
                <w:b/>
                <w:bCs/>
                <w:spacing w:val="-6"/>
                <w:sz w:val="24"/>
                <w:szCs w:val="24"/>
              </w:rPr>
              <w:t>、产业政策符合性分析</w:t>
            </w:r>
          </w:p>
          <w:p w14:paraId="52BE5472">
            <w:pPr>
              <w:pStyle w:val="6"/>
              <w:spacing w:before="181" w:line="359" w:lineRule="auto"/>
              <w:ind w:left="61" w:firstLine="479"/>
              <w:rPr>
                <w:sz w:val="24"/>
                <w:szCs w:val="24"/>
              </w:rPr>
            </w:pPr>
            <w:r>
              <w:rPr>
                <w:spacing w:val="-1"/>
                <w:sz w:val="24"/>
                <w:szCs w:val="24"/>
              </w:rPr>
              <w:t>本项目主要从事产业园区危险品运输车辆专业停车场管理服务，</w:t>
            </w:r>
            <w:r>
              <w:rPr>
                <w:spacing w:val="13"/>
                <w:sz w:val="24"/>
                <w:szCs w:val="24"/>
              </w:rPr>
              <w:t xml:space="preserve"> </w:t>
            </w:r>
            <w:r>
              <w:rPr>
                <w:spacing w:val="2"/>
                <w:sz w:val="24"/>
                <w:szCs w:val="24"/>
              </w:rPr>
              <w:t>根据《产业结构调整指导目录》（</w:t>
            </w:r>
            <w:r>
              <w:rPr>
                <w:rFonts w:ascii="Times New Roman" w:hAnsi="Times New Roman" w:eastAsia="Times New Roman" w:cs="Times New Roman"/>
                <w:spacing w:val="2"/>
                <w:sz w:val="24"/>
                <w:szCs w:val="24"/>
              </w:rPr>
              <w:t xml:space="preserve">2024 </w:t>
            </w:r>
            <w:r>
              <w:rPr>
                <w:spacing w:val="2"/>
                <w:sz w:val="24"/>
                <w:szCs w:val="24"/>
              </w:rPr>
              <w:t>年本</w:t>
            </w:r>
            <w:r>
              <w:rPr>
                <w:spacing w:val="12"/>
                <w:sz w:val="24"/>
                <w:szCs w:val="24"/>
              </w:rPr>
              <w:t>），</w:t>
            </w:r>
            <w:r>
              <w:rPr>
                <w:spacing w:val="2"/>
                <w:sz w:val="24"/>
                <w:szCs w:val="24"/>
              </w:rPr>
              <w:t>本项目不属于淘汰</w:t>
            </w:r>
            <w:r>
              <w:rPr>
                <w:sz w:val="24"/>
                <w:szCs w:val="24"/>
              </w:rPr>
              <w:t xml:space="preserve"> </w:t>
            </w:r>
            <w:r>
              <w:rPr>
                <w:spacing w:val="-8"/>
                <w:sz w:val="24"/>
                <w:szCs w:val="24"/>
              </w:rPr>
              <w:t>类和限制类行业，属于允许类项目，项目建设符合国</w:t>
            </w:r>
            <w:r>
              <w:rPr>
                <w:spacing w:val="-9"/>
                <w:sz w:val="24"/>
                <w:szCs w:val="24"/>
              </w:rPr>
              <w:t>家产业政策要求。</w:t>
            </w:r>
          </w:p>
          <w:p w14:paraId="2183D7DE">
            <w:pPr>
              <w:pStyle w:val="6"/>
              <w:spacing w:before="2" w:line="359" w:lineRule="auto"/>
              <w:ind w:left="57" w:right="57" w:firstLine="485"/>
              <w:rPr>
                <w:sz w:val="24"/>
                <w:szCs w:val="24"/>
              </w:rPr>
            </w:pPr>
            <w:r>
              <w:rPr>
                <w:spacing w:val="-3"/>
                <w:sz w:val="24"/>
                <w:szCs w:val="24"/>
              </w:rPr>
              <w:t>本项目已经取得了《鄂托克旗发展和改革委员会关于鄂托克经济</w:t>
            </w:r>
            <w:r>
              <w:rPr>
                <w:spacing w:val="10"/>
                <w:sz w:val="24"/>
                <w:szCs w:val="24"/>
              </w:rPr>
              <w:t xml:space="preserve"> </w:t>
            </w:r>
            <w:r>
              <w:rPr>
                <w:spacing w:val="6"/>
                <w:sz w:val="24"/>
                <w:szCs w:val="24"/>
              </w:rPr>
              <w:t>开发区棋盘井产业园危险化学品车辆专用停车场建设项目可</w:t>
            </w:r>
            <w:r>
              <w:rPr>
                <w:spacing w:val="5"/>
                <w:sz w:val="24"/>
                <w:szCs w:val="24"/>
              </w:rPr>
              <w:t>行性研</w:t>
            </w:r>
            <w:r>
              <w:rPr>
                <w:sz w:val="24"/>
                <w:szCs w:val="24"/>
              </w:rPr>
              <w:t xml:space="preserve"> </w:t>
            </w:r>
            <w:r>
              <w:rPr>
                <w:spacing w:val="8"/>
                <w:sz w:val="24"/>
                <w:szCs w:val="24"/>
              </w:rPr>
              <w:t>究报告的批复》</w:t>
            </w:r>
            <w:r>
              <w:rPr>
                <w:spacing w:val="-93"/>
                <w:sz w:val="24"/>
                <w:szCs w:val="24"/>
              </w:rPr>
              <w:t xml:space="preserve"> </w:t>
            </w:r>
            <w:r>
              <w:rPr>
                <w:spacing w:val="8"/>
                <w:sz w:val="24"/>
                <w:szCs w:val="24"/>
              </w:rPr>
              <w:t>（鄂旗发改审批发〔</w:t>
            </w:r>
            <w:r>
              <w:rPr>
                <w:rFonts w:ascii="Times New Roman" w:hAnsi="Times New Roman" w:eastAsia="Times New Roman" w:cs="Times New Roman"/>
                <w:spacing w:val="8"/>
                <w:sz w:val="24"/>
                <w:szCs w:val="24"/>
              </w:rPr>
              <w:t>2024</w:t>
            </w:r>
            <w:r>
              <w:rPr>
                <w:spacing w:val="8"/>
                <w:sz w:val="24"/>
                <w:szCs w:val="24"/>
              </w:rPr>
              <w:t>〕</w:t>
            </w:r>
            <w:r>
              <w:rPr>
                <w:rFonts w:ascii="Times New Roman" w:hAnsi="Times New Roman" w:eastAsia="Times New Roman" w:cs="Times New Roman"/>
                <w:spacing w:val="8"/>
                <w:sz w:val="24"/>
                <w:szCs w:val="24"/>
              </w:rPr>
              <w:t>88</w:t>
            </w:r>
            <w:r>
              <w:rPr>
                <w:rFonts w:ascii="Times New Roman" w:hAnsi="Times New Roman" w:eastAsia="Times New Roman" w:cs="Times New Roman"/>
                <w:spacing w:val="29"/>
                <w:w w:val="101"/>
                <w:sz w:val="24"/>
                <w:szCs w:val="24"/>
              </w:rPr>
              <w:t xml:space="preserve"> </w:t>
            </w:r>
            <w:r>
              <w:rPr>
                <w:spacing w:val="8"/>
                <w:sz w:val="24"/>
                <w:szCs w:val="24"/>
              </w:rPr>
              <w:t>号</w:t>
            </w:r>
            <w:r>
              <w:rPr>
                <w:spacing w:val="-1"/>
                <w:sz w:val="24"/>
                <w:szCs w:val="24"/>
              </w:rPr>
              <w:t>）</w:t>
            </w:r>
            <w:r>
              <w:rPr>
                <w:spacing w:val="-65"/>
                <w:sz w:val="24"/>
                <w:szCs w:val="24"/>
              </w:rPr>
              <w:t xml:space="preserve"> </w:t>
            </w:r>
            <w:r>
              <w:rPr>
                <w:spacing w:val="-1"/>
                <w:sz w:val="24"/>
                <w:szCs w:val="24"/>
              </w:rPr>
              <w:t>，</w:t>
            </w:r>
            <w:r>
              <w:rPr>
                <w:spacing w:val="7"/>
                <w:sz w:val="24"/>
                <w:szCs w:val="24"/>
              </w:rPr>
              <w:t>项目代码：</w:t>
            </w:r>
            <w:r>
              <w:rPr>
                <w:sz w:val="24"/>
                <w:szCs w:val="24"/>
              </w:rPr>
              <w:t xml:space="preserve"> </w:t>
            </w:r>
            <w:r>
              <w:rPr>
                <w:rFonts w:ascii="Times New Roman" w:hAnsi="Times New Roman" w:eastAsia="Times New Roman" w:cs="Times New Roman"/>
                <w:spacing w:val="-1"/>
                <w:sz w:val="24"/>
                <w:szCs w:val="24"/>
              </w:rPr>
              <w:t>2403-150624-04-01-668505</w:t>
            </w:r>
            <w:r>
              <w:rPr>
                <w:rFonts w:ascii="Times New Roman" w:hAnsi="Times New Roman" w:eastAsia="Times New Roman" w:cs="Times New Roman"/>
                <w:spacing w:val="-27"/>
                <w:sz w:val="24"/>
                <w:szCs w:val="24"/>
              </w:rPr>
              <w:t xml:space="preserve"> </w:t>
            </w:r>
            <w:r>
              <w:rPr>
                <w:spacing w:val="-1"/>
                <w:sz w:val="24"/>
                <w:szCs w:val="24"/>
              </w:rPr>
              <w:t>，项目建设符合地方产业政策要求。</w:t>
            </w:r>
          </w:p>
          <w:p w14:paraId="6E5E378A">
            <w:pPr>
              <w:pStyle w:val="6"/>
              <w:spacing w:line="220" w:lineRule="auto"/>
              <w:ind w:left="57"/>
              <w:outlineLvl w:val="1"/>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29"/>
                <w:sz w:val="24"/>
                <w:szCs w:val="24"/>
              </w:rPr>
              <w:t xml:space="preserve"> </w:t>
            </w:r>
            <w:r>
              <w:rPr>
                <w:b/>
                <w:bCs/>
                <w:spacing w:val="-6"/>
                <w:sz w:val="24"/>
                <w:szCs w:val="24"/>
              </w:rPr>
              <w:t>、选址合理性分析</w:t>
            </w:r>
          </w:p>
          <w:p w14:paraId="55D3D107">
            <w:pPr>
              <w:pStyle w:val="6"/>
              <w:spacing w:before="179" w:line="359" w:lineRule="auto"/>
              <w:ind w:left="60" w:right="57" w:firstLine="481"/>
              <w:jc w:val="both"/>
              <w:rPr>
                <w:sz w:val="24"/>
                <w:szCs w:val="24"/>
              </w:rPr>
            </w:pPr>
            <w:r>
              <w:rPr>
                <w:spacing w:val="-3"/>
                <w:sz w:val="24"/>
                <w:szCs w:val="24"/>
              </w:rPr>
              <w:t>本项目位于鄂托克经济开发区棋盘井产业园棋西项目区内，拟建</w:t>
            </w:r>
            <w:r>
              <w:rPr>
                <w:spacing w:val="10"/>
                <w:sz w:val="24"/>
                <w:szCs w:val="24"/>
              </w:rPr>
              <w:t xml:space="preserve"> </w:t>
            </w:r>
            <w:r>
              <w:rPr>
                <w:spacing w:val="-3"/>
                <w:sz w:val="24"/>
                <w:szCs w:val="24"/>
              </w:rPr>
              <w:t>场址位于棋盘井镇二号路东，工业街南，金海路西，南环路北，中心</w:t>
            </w:r>
            <w:r>
              <w:rPr>
                <w:spacing w:val="18"/>
                <w:sz w:val="24"/>
                <w:szCs w:val="24"/>
              </w:rPr>
              <w:t xml:space="preserve"> </w:t>
            </w:r>
            <w:r>
              <w:rPr>
                <w:spacing w:val="-3"/>
                <w:sz w:val="24"/>
                <w:szCs w:val="24"/>
              </w:rPr>
              <w:t>坐标为</w:t>
            </w:r>
            <w:r>
              <w:rPr>
                <w:spacing w:val="-50"/>
                <w:sz w:val="24"/>
                <w:szCs w:val="24"/>
              </w:rPr>
              <w:t xml:space="preserve"> </w:t>
            </w:r>
            <w:r>
              <w:rPr>
                <w:rFonts w:ascii="Times New Roman" w:hAnsi="Times New Roman" w:eastAsia="Times New Roman" w:cs="Times New Roman"/>
                <w:spacing w:val="-3"/>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3"/>
                <w:sz w:val="24"/>
                <w:szCs w:val="24"/>
              </w:rPr>
              <w:t>′52.116″</w:t>
            </w:r>
            <w:r>
              <w:rPr>
                <w:spacing w:val="-3"/>
                <w:sz w:val="24"/>
                <w:szCs w:val="24"/>
              </w:rPr>
              <w:t>、</w:t>
            </w:r>
            <w:r>
              <w:rPr>
                <w:rFonts w:ascii="Times New Roman" w:hAnsi="Times New Roman" w:eastAsia="Times New Roman" w:cs="Times New Roman"/>
                <w:spacing w:val="-3"/>
                <w:sz w:val="24"/>
                <w:szCs w:val="24"/>
              </w:rPr>
              <w:t>N39°21′42.032″</w:t>
            </w:r>
            <w:r>
              <w:rPr>
                <w:spacing w:val="-3"/>
                <w:sz w:val="24"/>
                <w:szCs w:val="24"/>
              </w:rPr>
              <w:t>，周边公路网络纵横交错，四</w:t>
            </w:r>
            <w:r>
              <w:rPr>
                <w:sz w:val="24"/>
                <w:szCs w:val="24"/>
              </w:rPr>
              <w:t xml:space="preserve"> </w:t>
            </w:r>
            <w:r>
              <w:rPr>
                <w:spacing w:val="-1"/>
                <w:sz w:val="24"/>
                <w:szCs w:val="24"/>
              </w:rPr>
              <w:t>通八达，运出、运入货物十分方便。</w:t>
            </w:r>
          </w:p>
          <w:p w14:paraId="306458E9">
            <w:pPr>
              <w:pStyle w:val="6"/>
              <w:spacing w:before="2" w:line="359" w:lineRule="auto"/>
              <w:ind w:left="59" w:right="57" w:firstLine="481"/>
              <w:jc w:val="both"/>
              <w:rPr>
                <w:sz w:val="24"/>
                <w:szCs w:val="24"/>
              </w:rPr>
            </w:pPr>
            <w:r>
              <w:rPr>
                <w:spacing w:val="-3"/>
                <w:sz w:val="24"/>
                <w:szCs w:val="24"/>
              </w:rPr>
              <w:t>拟建地现状为空地，周边基础设施一应俱全，场地较为平坦，东</w:t>
            </w:r>
            <w:r>
              <w:rPr>
                <w:spacing w:val="11"/>
                <w:sz w:val="24"/>
                <w:szCs w:val="24"/>
              </w:rPr>
              <w:t xml:space="preserve"> </w:t>
            </w:r>
            <w:r>
              <w:rPr>
                <w:spacing w:val="-2"/>
                <w:sz w:val="24"/>
                <w:szCs w:val="24"/>
              </w:rPr>
              <w:t>侧为空地、金海路，西侧有棋盘井泰发祥汽</w:t>
            </w:r>
            <w:r>
              <w:rPr>
                <w:spacing w:val="-3"/>
                <w:sz w:val="24"/>
                <w:szCs w:val="24"/>
              </w:rPr>
              <w:t>车城，西南侧有一加油站</w:t>
            </w:r>
            <w:r>
              <w:rPr>
                <w:sz w:val="24"/>
                <w:szCs w:val="24"/>
              </w:rPr>
              <w:t xml:space="preserve"> （距离本项目停车区约</w:t>
            </w:r>
            <w:r>
              <w:rPr>
                <w:spacing w:val="-28"/>
                <w:sz w:val="24"/>
                <w:szCs w:val="24"/>
              </w:rPr>
              <w:t xml:space="preserve"> </w:t>
            </w:r>
            <w:r>
              <w:rPr>
                <w:rFonts w:ascii="Times New Roman" w:hAnsi="Times New Roman" w:eastAsia="Times New Roman" w:cs="Times New Roman"/>
                <w:sz w:val="24"/>
                <w:szCs w:val="24"/>
              </w:rPr>
              <w:t>170m</w:t>
            </w:r>
            <w:r>
              <w:rPr>
                <w:spacing w:val="8"/>
                <w:sz w:val="24"/>
                <w:szCs w:val="24"/>
              </w:rPr>
              <w:t>），</w:t>
            </w:r>
            <w:r>
              <w:rPr>
                <w:sz w:val="24"/>
                <w:szCs w:val="24"/>
              </w:rPr>
              <w:t>南侧为南环路、京拉</w:t>
            </w:r>
            <w:r>
              <w:rPr>
                <w:spacing w:val="-1"/>
                <w:sz w:val="24"/>
                <w:szCs w:val="24"/>
              </w:rPr>
              <w:t>线，北侧为空</w:t>
            </w:r>
            <w:r>
              <w:rPr>
                <w:sz w:val="24"/>
                <w:szCs w:val="24"/>
              </w:rPr>
              <w:t xml:space="preserve"> </w:t>
            </w:r>
            <w:r>
              <w:rPr>
                <w:spacing w:val="-2"/>
                <w:sz w:val="24"/>
                <w:szCs w:val="24"/>
              </w:rPr>
              <w:t>地和工业街，符合《化工园区危险品运输车</w:t>
            </w:r>
            <w:r>
              <w:rPr>
                <w:spacing w:val="-3"/>
                <w:sz w:val="24"/>
                <w:szCs w:val="24"/>
              </w:rPr>
              <w:t>辆停车场建设标准》化工</w:t>
            </w:r>
            <w:r>
              <w:rPr>
                <w:sz w:val="24"/>
                <w:szCs w:val="24"/>
              </w:rPr>
              <w:t xml:space="preserve"> </w:t>
            </w:r>
            <w:r>
              <w:rPr>
                <w:spacing w:val="-2"/>
                <w:sz w:val="24"/>
                <w:szCs w:val="24"/>
              </w:rPr>
              <w:t>园区危险品运输车辆停车场与化工园区的公</w:t>
            </w:r>
            <w:r>
              <w:rPr>
                <w:spacing w:val="-3"/>
                <w:sz w:val="24"/>
                <w:szCs w:val="24"/>
              </w:rPr>
              <w:t>用设施防火间距要求。本</w:t>
            </w:r>
            <w:r>
              <w:rPr>
                <w:sz w:val="24"/>
                <w:szCs w:val="24"/>
              </w:rPr>
              <w:t xml:space="preserve"> </w:t>
            </w:r>
            <w:r>
              <w:rPr>
                <w:spacing w:val="1"/>
                <w:sz w:val="24"/>
                <w:szCs w:val="24"/>
              </w:rPr>
              <w:t>项目距离西鄂尔多斯自然保护区实验区的最近距离为</w:t>
            </w:r>
            <w:r>
              <w:rPr>
                <w:spacing w:val="-23"/>
                <w:sz w:val="24"/>
                <w:szCs w:val="24"/>
              </w:rPr>
              <w:t xml:space="preserve"> </w:t>
            </w:r>
            <w:r>
              <w:rPr>
                <w:rFonts w:ascii="Times New Roman" w:hAnsi="Times New Roman" w:eastAsia="Times New Roman" w:cs="Times New Roman"/>
                <w:spacing w:val="1"/>
                <w:sz w:val="24"/>
                <w:szCs w:val="24"/>
              </w:rPr>
              <w:t>1.85</w:t>
            </w:r>
            <w:r>
              <w:rPr>
                <w:rFonts w:ascii="Times New Roman" w:hAnsi="Times New Roman" w:eastAsia="Times New Roman" w:cs="Times New Roman"/>
                <w:sz w:val="24"/>
                <w:szCs w:val="24"/>
              </w:rPr>
              <w:t>km</w:t>
            </w:r>
            <w:r>
              <w:rPr>
                <w:rFonts w:ascii="Times New Roman" w:hAnsi="Times New Roman" w:eastAsia="Times New Roman" w:cs="Times New Roman"/>
                <w:spacing w:val="-25"/>
                <w:sz w:val="24"/>
                <w:szCs w:val="24"/>
              </w:rPr>
              <w:t xml:space="preserve"> </w:t>
            </w:r>
            <w:r>
              <w:rPr>
                <w:spacing w:val="1"/>
                <w:sz w:val="24"/>
                <w:szCs w:val="24"/>
              </w:rPr>
              <w:t>，距离</w:t>
            </w:r>
            <w:r>
              <w:rPr>
                <w:sz w:val="24"/>
                <w:szCs w:val="24"/>
              </w:rPr>
              <w:t xml:space="preserve"> </w:t>
            </w:r>
            <w:r>
              <w:rPr>
                <w:spacing w:val="2"/>
                <w:sz w:val="24"/>
                <w:szCs w:val="24"/>
              </w:rPr>
              <w:t>棋盘井镇水源地的最近距离为</w:t>
            </w:r>
            <w:r>
              <w:rPr>
                <w:spacing w:val="-45"/>
                <w:sz w:val="24"/>
                <w:szCs w:val="24"/>
              </w:rPr>
              <w:t xml:space="preserve"> </w:t>
            </w:r>
            <w:r>
              <w:rPr>
                <w:rFonts w:ascii="Times New Roman" w:hAnsi="Times New Roman" w:eastAsia="Times New Roman" w:cs="Times New Roman"/>
                <w:spacing w:val="2"/>
                <w:sz w:val="24"/>
                <w:szCs w:val="24"/>
              </w:rPr>
              <w:t>6.54</w:t>
            </w:r>
            <w:r>
              <w:rPr>
                <w:rFonts w:ascii="Times New Roman" w:hAnsi="Times New Roman" w:eastAsia="Times New Roman" w:cs="Times New Roman"/>
                <w:sz w:val="24"/>
                <w:szCs w:val="24"/>
              </w:rPr>
              <w:t>km</w:t>
            </w:r>
            <w:r>
              <w:rPr>
                <w:rFonts w:ascii="Times New Roman" w:hAnsi="Times New Roman" w:eastAsia="Times New Roman" w:cs="Times New Roman"/>
                <w:spacing w:val="-25"/>
                <w:sz w:val="24"/>
                <w:szCs w:val="24"/>
              </w:rPr>
              <w:t xml:space="preserve"> </w:t>
            </w:r>
            <w:r>
              <w:rPr>
                <w:spacing w:val="2"/>
                <w:sz w:val="24"/>
                <w:szCs w:val="24"/>
              </w:rPr>
              <w:t>，拟建厂址</w:t>
            </w:r>
            <w:r>
              <w:rPr>
                <w:spacing w:val="1"/>
                <w:sz w:val="24"/>
                <w:szCs w:val="24"/>
              </w:rPr>
              <w:t>范围内不涉及自然</w:t>
            </w:r>
            <w:r>
              <w:rPr>
                <w:sz w:val="24"/>
                <w:szCs w:val="24"/>
              </w:rPr>
              <w:t xml:space="preserve"> </w:t>
            </w:r>
            <w:r>
              <w:rPr>
                <w:spacing w:val="-2"/>
                <w:sz w:val="24"/>
                <w:szCs w:val="24"/>
              </w:rPr>
              <w:t>保护区、风景旅游区、文物保护区等特殊环</w:t>
            </w:r>
            <w:r>
              <w:rPr>
                <w:spacing w:val="-3"/>
                <w:sz w:val="24"/>
                <w:szCs w:val="24"/>
              </w:rPr>
              <w:t>境敏感区，从环保角度分</w:t>
            </w:r>
            <w:r>
              <w:rPr>
                <w:sz w:val="24"/>
                <w:szCs w:val="24"/>
              </w:rPr>
              <w:t xml:space="preserve"> </w:t>
            </w:r>
            <w:r>
              <w:rPr>
                <w:spacing w:val="-1"/>
                <w:sz w:val="24"/>
                <w:szCs w:val="24"/>
              </w:rPr>
              <w:t>析，项目选址合理。</w:t>
            </w:r>
          </w:p>
          <w:p w14:paraId="6ED90389">
            <w:pPr>
              <w:pStyle w:val="6"/>
              <w:spacing w:before="1" w:line="219" w:lineRule="auto"/>
              <w:ind w:left="56"/>
              <w:outlineLvl w:val="1"/>
              <w:rPr>
                <w:sz w:val="24"/>
                <w:szCs w:val="24"/>
              </w:rPr>
            </w:pPr>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25"/>
                <w:sz w:val="24"/>
                <w:szCs w:val="24"/>
              </w:rPr>
              <w:t xml:space="preserve"> </w:t>
            </w:r>
            <w:r>
              <w:rPr>
                <w:b/>
                <w:bCs/>
                <w:spacing w:val="-7"/>
                <w:sz w:val="24"/>
                <w:szCs w:val="24"/>
              </w:rPr>
              <w:t>、“三线一单</w:t>
            </w:r>
            <w:r>
              <w:rPr>
                <w:spacing w:val="-88"/>
                <w:sz w:val="24"/>
                <w:szCs w:val="24"/>
              </w:rPr>
              <w:t xml:space="preserve"> </w:t>
            </w:r>
            <w:r>
              <w:rPr>
                <w:b/>
                <w:bCs/>
                <w:spacing w:val="-7"/>
                <w:sz w:val="24"/>
                <w:szCs w:val="24"/>
              </w:rPr>
              <w:t>”符合性分析</w:t>
            </w:r>
          </w:p>
          <w:p w14:paraId="1B95C511">
            <w:pPr>
              <w:pStyle w:val="6"/>
              <w:spacing w:before="183"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）生态保护红线</w:t>
            </w:r>
          </w:p>
        </w:tc>
      </w:tr>
    </w:tbl>
    <w:p w14:paraId="0CD7A7D4">
      <w:pPr>
        <w:pStyle w:val="2"/>
        <w:spacing w:line="167" w:lineRule="exact"/>
        <w:rPr>
          <w:sz w:val="14"/>
        </w:rPr>
      </w:pPr>
    </w:p>
    <w:p w14:paraId="0993A3F8">
      <w:pPr>
        <w:spacing w:line="167" w:lineRule="exact"/>
        <w:rPr>
          <w:sz w:val="14"/>
          <w:szCs w:val="14"/>
        </w:rPr>
        <w:sectPr>
          <w:footerReference r:id="rId10" w:type="default"/>
          <w:pgSz w:w="11906" w:h="16839"/>
          <w:pgMar w:top="400" w:right="1739" w:bottom="1259" w:left="1738" w:header="0" w:footer="1097" w:gutter="0"/>
          <w:cols w:space="720" w:num="1"/>
        </w:sectPr>
      </w:pPr>
    </w:p>
    <w:p w14:paraId="4E54473C">
      <w:pPr>
        <w:spacing w:before="19"/>
      </w:pPr>
    </w:p>
    <w:p w14:paraId="5522DC3A">
      <w:pPr>
        <w:spacing w:before="19"/>
      </w:pPr>
    </w:p>
    <w:p w14:paraId="1B9C7750">
      <w:pPr>
        <w:spacing w:before="18"/>
      </w:pPr>
    </w:p>
    <w:p w14:paraId="33F7980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CB3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171" w:type="dxa"/>
            <w:tcBorders>
              <w:bottom w:val="nil"/>
            </w:tcBorders>
            <w:vAlign w:val="top"/>
          </w:tcPr>
          <w:p w14:paraId="2239A6E3">
            <w:pPr>
              <w:rPr>
                <w:rFonts w:ascii="Arial"/>
                <w:sz w:val="21"/>
              </w:rPr>
            </w:pPr>
          </w:p>
        </w:tc>
        <w:tc>
          <w:tcPr>
            <w:tcW w:w="7252" w:type="dxa"/>
            <w:tcBorders>
              <w:bottom w:val="nil"/>
            </w:tcBorders>
            <w:vAlign w:val="top"/>
          </w:tcPr>
          <w:p w14:paraId="0D21E7C6">
            <w:pPr>
              <w:pStyle w:val="6"/>
              <w:spacing w:before="98" w:line="350" w:lineRule="auto"/>
              <w:ind w:left="60" w:right="57" w:firstLine="481"/>
              <w:jc w:val="both"/>
              <w:rPr>
                <w:sz w:val="24"/>
                <w:szCs w:val="24"/>
              </w:rPr>
            </w:pPr>
            <w:r>
              <w:rPr>
                <w:spacing w:val="-3"/>
                <w:sz w:val="24"/>
                <w:szCs w:val="24"/>
              </w:rPr>
              <w:t>本项目位于鄂托克经济开发区棋盘井产业园棋西项目区内，将棋</w:t>
            </w:r>
            <w:r>
              <w:rPr>
                <w:spacing w:val="10"/>
                <w:sz w:val="24"/>
                <w:szCs w:val="24"/>
              </w:rPr>
              <w:t xml:space="preserve"> </w:t>
            </w:r>
            <w:r>
              <w:rPr>
                <w:spacing w:val="-3"/>
                <w:sz w:val="24"/>
                <w:szCs w:val="24"/>
              </w:rPr>
              <w:t>盘井产业园范围与鄂尔多斯市生态保护红线分布叠图可知，棋盘井产</w:t>
            </w:r>
            <w:r>
              <w:rPr>
                <w:spacing w:val="18"/>
                <w:sz w:val="24"/>
                <w:szCs w:val="24"/>
              </w:rPr>
              <w:t xml:space="preserve"> </w:t>
            </w:r>
            <w:r>
              <w:rPr>
                <w:spacing w:val="-3"/>
                <w:sz w:val="24"/>
                <w:szCs w:val="24"/>
              </w:rPr>
              <w:t>业园不在鄂尔多斯市生态保护红线范围内，因此本项目不在鄂尔多斯</w:t>
            </w:r>
            <w:r>
              <w:rPr>
                <w:spacing w:val="18"/>
                <w:sz w:val="24"/>
                <w:szCs w:val="24"/>
              </w:rPr>
              <w:t xml:space="preserve"> </w:t>
            </w:r>
            <w:r>
              <w:rPr>
                <w:spacing w:val="-1"/>
                <w:sz w:val="24"/>
                <w:szCs w:val="24"/>
              </w:rPr>
              <w:t>市生态保护红线范围内。</w:t>
            </w:r>
          </w:p>
        </w:tc>
      </w:tr>
      <w:tr w14:paraId="3568E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4" w:hRule="atLeast"/>
        </w:trPr>
        <w:tc>
          <w:tcPr>
            <w:tcW w:w="1171" w:type="dxa"/>
            <w:tcBorders>
              <w:top w:val="nil"/>
              <w:bottom w:val="nil"/>
            </w:tcBorders>
            <w:vAlign w:val="top"/>
          </w:tcPr>
          <w:p w14:paraId="45FCB21D">
            <w:pPr>
              <w:rPr>
                <w:rFonts w:ascii="Arial"/>
                <w:sz w:val="21"/>
              </w:rPr>
            </w:pPr>
          </w:p>
        </w:tc>
        <w:tc>
          <w:tcPr>
            <w:tcW w:w="7252" w:type="dxa"/>
            <w:tcBorders>
              <w:top w:val="nil"/>
              <w:bottom w:val="nil"/>
            </w:tcBorders>
            <w:vAlign w:val="top"/>
          </w:tcPr>
          <w:p w14:paraId="382C5A31">
            <w:pPr>
              <w:spacing w:before="1" w:line="4943" w:lineRule="exact"/>
              <w:ind w:firstLine="121"/>
            </w:pPr>
            <w:r>
              <w:rPr>
                <w:position w:val="-98"/>
              </w:rPr>
              <w:drawing>
                <wp:inline distT="0" distB="0" distL="0" distR="0">
                  <wp:extent cx="4443730" cy="31381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9"/>
                          <a:stretch>
                            <a:fillRect/>
                          </a:stretch>
                        </pic:blipFill>
                        <pic:spPr>
                          <a:xfrm>
                            <a:off x="0" y="0"/>
                            <a:ext cx="4443983" cy="3138551"/>
                          </a:xfrm>
                          <a:prstGeom prst="rect">
                            <a:avLst/>
                          </a:prstGeom>
                        </pic:spPr>
                      </pic:pic>
                    </a:graphicData>
                  </a:graphic>
                </wp:inline>
              </w:drawing>
            </w:r>
          </w:p>
        </w:tc>
      </w:tr>
      <w:tr w14:paraId="7F5D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3" w:hRule="atLeast"/>
        </w:trPr>
        <w:tc>
          <w:tcPr>
            <w:tcW w:w="1171" w:type="dxa"/>
            <w:tcBorders>
              <w:top w:val="nil"/>
            </w:tcBorders>
            <w:vAlign w:val="top"/>
          </w:tcPr>
          <w:p w14:paraId="55A33311">
            <w:pPr>
              <w:rPr>
                <w:rFonts w:ascii="Arial"/>
                <w:sz w:val="21"/>
              </w:rPr>
            </w:pPr>
          </w:p>
        </w:tc>
        <w:tc>
          <w:tcPr>
            <w:tcW w:w="7252" w:type="dxa"/>
            <w:tcBorders>
              <w:top w:val="nil"/>
            </w:tcBorders>
            <w:vAlign w:val="top"/>
          </w:tcPr>
          <w:p w14:paraId="520BA704">
            <w:pPr>
              <w:spacing w:line="259" w:lineRule="auto"/>
              <w:rPr>
                <w:rFonts w:ascii="Arial"/>
                <w:sz w:val="21"/>
              </w:rPr>
            </w:pPr>
          </w:p>
          <w:p w14:paraId="6ACFB933">
            <w:pPr>
              <w:pStyle w:val="6"/>
              <w:spacing w:before="65" w:line="227" w:lineRule="auto"/>
              <w:ind w:left="848"/>
              <w:outlineLvl w:val="1"/>
              <w:rPr>
                <w:sz w:val="20"/>
                <w:szCs w:val="20"/>
              </w:rPr>
            </w:pPr>
            <w:r>
              <w:rPr>
                <w:b/>
                <w:bCs/>
                <w:spacing w:val="6"/>
                <w:sz w:val="20"/>
                <w:szCs w:val="20"/>
              </w:rPr>
              <w:t>图</w:t>
            </w:r>
            <w:r>
              <w:rPr>
                <w:spacing w:val="-31"/>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棋盘井产业园与鄂尔多斯市生态红线分布位置关系图</w:t>
            </w:r>
          </w:p>
          <w:p w14:paraId="5163AAD7">
            <w:pPr>
              <w:pStyle w:val="6"/>
              <w:spacing w:before="169"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）环境质量底线</w:t>
            </w:r>
          </w:p>
          <w:p w14:paraId="2230D170">
            <w:pPr>
              <w:pStyle w:val="6"/>
              <w:spacing w:before="186" w:line="359" w:lineRule="auto"/>
              <w:ind w:left="60" w:firstLine="480"/>
              <w:rPr>
                <w:sz w:val="24"/>
                <w:szCs w:val="24"/>
              </w:rPr>
            </w:pPr>
            <w:r>
              <w:rPr>
                <w:spacing w:val="-4"/>
                <w:sz w:val="24"/>
                <w:szCs w:val="24"/>
              </w:rPr>
              <w:t>本项目位于鄂托克经济开发区棋盘井产业园棋西项目区内，根据</w:t>
            </w:r>
            <w:r>
              <w:rPr>
                <w:spacing w:val="17"/>
                <w:sz w:val="24"/>
                <w:szCs w:val="24"/>
              </w:rPr>
              <w:t xml:space="preserve"> </w:t>
            </w:r>
            <w:r>
              <w:rPr>
                <w:spacing w:val="-2"/>
                <w:sz w:val="24"/>
                <w:szCs w:val="24"/>
              </w:rPr>
              <w:t>内蒙古自治区生态环境厅发布的《内蒙古自治区生态环境状况公报》</w:t>
            </w:r>
            <w:r>
              <w:rPr>
                <w:spacing w:val="18"/>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2023 </w:t>
            </w:r>
            <w:r>
              <w:rPr>
                <w:spacing w:val="3"/>
                <w:sz w:val="24"/>
                <w:szCs w:val="24"/>
              </w:rPr>
              <w:t>年</w:t>
            </w:r>
            <w:r>
              <w:rPr>
                <w:spacing w:val="12"/>
                <w:sz w:val="24"/>
                <w:szCs w:val="24"/>
              </w:rPr>
              <w:t>），</w:t>
            </w:r>
            <w:r>
              <w:rPr>
                <w:spacing w:val="3"/>
                <w:sz w:val="24"/>
                <w:szCs w:val="24"/>
              </w:rPr>
              <w:t>鄂尔多斯市环境空气达标；项目区周边没有地表水，</w:t>
            </w:r>
            <w:r>
              <w:rPr>
                <w:spacing w:val="1"/>
                <w:sz w:val="24"/>
                <w:szCs w:val="24"/>
              </w:rPr>
              <w:t xml:space="preserve"> </w:t>
            </w:r>
            <w:r>
              <w:rPr>
                <w:spacing w:val="-3"/>
                <w:sz w:val="24"/>
                <w:szCs w:val="24"/>
              </w:rPr>
              <w:t>没有集中式饮用水水源和分散式饮用水水源地，没有《建</w:t>
            </w:r>
            <w:r>
              <w:rPr>
                <w:spacing w:val="-4"/>
                <w:sz w:val="24"/>
                <w:szCs w:val="24"/>
              </w:rPr>
              <w:t>设项目环境</w:t>
            </w:r>
            <w:r>
              <w:rPr>
                <w:sz w:val="24"/>
                <w:szCs w:val="24"/>
              </w:rPr>
              <w:t xml:space="preserve"> </w:t>
            </w:r>
            <w:r>
              <w:rPr>
                <w:spacing w:val="-3"/>
                <w:sz w:val="24"/>
                <w:szCs w:val="24"/>
              </w:rPr>
              <w:t>影响评价分类管理名录》中所界定的涉及地下水的环境敏</w:t>
            </w:r>
            <w:r>
              <w:rPr>
                <w:spacing w:val="-4"/>
                <w:sz w:val="24"/>
                <w:szCs w:val="24"/>
              </w:rPr>
              <w:t>感区，根据</w:t>
            </w:r>
            <w:r>
              <w:rPr>
                <w:sz w:val="24"/>
                <w:szCs w:val="24"/>
              </w:rPr>
              <w:t xml:space="preserve"> </w:t>
            </w:r>
            <w:r>
              <w:rPr>
                <w:spacing w:val="2"/>
                <w:sz w:val="24"/>
                <w:szCs w:val="24"/>
              </w:rPr>
              <w:t>《鄂托克经济开发区国土空间总体规划（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w:t>
            </w:r>
            <w:r>
              <w:rPr>
                <w:spacing w:val="1"/>
                <w:sz w:val="24"/>
                <w:szCs w:val="24"/>
              </w:rPr>
              <w:t>产业园</w:t>
            </w:r>
            <w:r>
              <w:rPr>
                <w:sz w:val="24"/>
                <w:szCs w:val="24"/>
              </w:rPr>
              <w:t xml:space="preserve"> </w:t>
            </w:r>
            <w:r>
              <w:rPr>
                <w:spacing w:val="2"/>
                <w:sz w:val="24"/>
                <w:szCs w:val="24"/>
              </w:rPr>
              <w:t>环境影响报告书》（</w:t>
            </w:r>
            <w:r>
              <w:rPr>
                <w:rFonts w:ascii="Times New Roman" w:hAnsi="Times New Roman" w:eastAsia="Times New Roman" w:cs="Times New Roman"/>
                <w:spacing w:val="2"/>
                <w:sz w:val="24"/>
                <w:szCs w:val="24"/>
              </w:rPr>
              <w:t xml:space="preserve">2023 </w:t>
            </w:r>
            <w:r>
              <w:rPr>
                <w:spacing w:val="2"/>
                <w:sz w:val="24"/>
                <w:szCs w:val="24"/>
              </w:rPr>
              <w:t>年</w:t>
            </w:r>
            <w:r>
              <w:rPr>
                <w:spacing w:val="-47"/>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0"/>
                <w:sz w:val="24"/>
                <w:szCs w:val="24"/>
              </w:rPr>
              <w:t xml:space="preserve"> </w:t>
            </w:r>
            <w:r>
              <w:rPr>
                <w:spacing w:val="2"/>
                <w:sz w:val="24"/>
                <w:szCs w:val="24"/>
              </w:rPr>
              <w:t>月</w:t>
            </w:r>
            <w:r>
              <w:rPr>
                <w:spacing w:val="-4"/>
                <w:sz w:val="24"/>
                <w:szCs w:val="24"/>
              </w:rPr>
              <w:t>），</w:t>
            </w:r>
            <w:r>
              <w:rPr>
                <w:spacing w:val="2"/>
                <w:sz w:val="24"/>
                <w:szCs w:val="24"/>
              </w:rPr>
              <w:t>通过对棋西园区内同一点位不</w:t>
            </w:r>
            <w:r>
              <w:rPr>
                <w:sz w:val="24"/>
                <w:szCs w:val="24"/>
              </w:rPr>
              <w:t xml:space="preserve"> </w:t>
            </w:r>
            <w:r>
              <w:rPr>
                <w:spacing w:val="-3"/>
                <w:sz w:val="24"/>
                <w:szCs w:val="24"/>
              </w:rPr>
              <w:t>同年份的地下水现状监测数据进行地下水环境质量趋势分</w:t>
            </w:r>
            <w:r>
              <w:rPr>
                <w:spacing w:val="-4"/>
                <w:sz w:val="24"/>
                <w:szCs w:val="24"/>
              </w:rPr>
              <w:t>析可知，园</w:t>
            </w:r>
            <w:r>
              <w:rPr>
                <w:sz w:val="24"/>
                <w:szCs w:val="24"/>
              </w:rPr>
              <w:t xml:space="preserve"> </w:t>
            </w:r>
            <w:r>
              <w:rPr>
                <w:spacing w:val="5"/>
                <w:sz w:val="24"/>
                <w:szCs w:val="24"/>
              </w:rPr>
              <w:t>区内地下水没有出现恶化趋势；项目区周边均为空地或其他工业企</w:t>
            </w:r>
            <w:r>
              <w:rPr>
                <w:sz w:val="24"/>
                <w:szCs w:val="24"/>
              </w:rPr>
              <w:t xml:space="preserve"> </w:t>
            </w:r>
            <w:r>
              <w:rPr>
                <w:spacing w:val="-3"/>
                <w:sz w:val="24"/>
                <w:szCs w:val="24"/>
              </w:rPr>
              <w:t>业，没有需要保持安静的建筑物及建筑物集中区。本项目</w:t>
            </w:r>
            <w:r>
              <w:rPr>
                <w:spacing w:val="-4"/>
                <w:sz w:val="24"/>
                <w:szCs w:val="24"/>
              </w:rPr>
              <w:t>为棋盘井产</w:t>
            </w:r>
            <w:r>
              <w:rPr>
                <w:sz w:val="24"/>
                <w:szCs w:val="24"/>
              </w:rPr>
              <w:t xml:space="preserve"> </w:t>
            </w:r>
            <w:r>
              <w:rPr>
                <w:spacing w:val="-3"/>
                <w:sz w:val="24"/>
                <w:szCs w:val="24"/>
              </w:rPr>
              <w:t>业园（棋西项目区）危险化学品车辆专用停车场建设项目</w:t>
            </w:r>
            <w:r>
              <w:rPr>
                <w:spacing w:val="-4"/>
                <w:sz w:val="24"/>
                <w:szCs w:val="24"/>
              </w:rPr>
              <w:t>，属于产业</w:t>
            </w:r>
            <w:r>
              <w:rPr>
                <w:sz w:val="24"/>
                <w:szCs w:val="24"/>
              </w:rPr>
              <w:t xml:space="preserve"> </w:t>
            </w:r>
            <w:r>
              <w:rPr>
                <w:spacing w:val="-8"/>
                <w:sz w:val="24"/>
                <w:szCs w:val="24"/>
              </w:rPr>
              <w:t>园区公共基础建设项目，项目投入运营后会产生一定量</w:t>
            </w:r>
            <w:r>
              <w:rPr>
                <w:spacing w:val="-9"/>
                <w:sz w:val="24"/>
                <w:szCs w:val="24"/>
              </w:rPr>
              <w:t>的废气、废水、</w:t>
            </w:r>
          </w:p>
        </w:tc>
      </w:tr>
    </w:tbl>
    <w:p w14:paraId="3586A19A">
      <w:pPr>
        <w:pStyle w:val="2"/>
      </w:pPr>
    </w:p>
    <w:p w14:paraId="39458C6D">
      <w:pPr>
        <w:sectPr>
          <w:footerReference r:id="rId11" w:type="default"/>
          <w:pgSz w:w="11906" w:h="16839"/>
          <w:pgMar w:top="400" w:right="1739" w:bottom="1257" w:left="1738" w:header="0" w:footer="1097" w:gutter="0"/>
          <w:cols w:space="720" w:num="1"/>
        </w:sectPr>
      </w:pPr>
    </w:p>
    <w:p w14:paraId="305272CF">
      <w:pPr>
        <w:spacing w:before="19"/>
      </w:pPr>
    </w:p>
    <w:p w14:paraId="4C674D79">
      <w:pPr>
        <w:spacing w:before="19"/>
      </w:pPr>
    </w:p>
    <w:p w14:paraId="0AF6A189">
      <w:pPr>
        <w:spacing w:before="18"/>
      </w:pPr>
    </w:p>
    <w:p w14:paraId="6C92B854">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BD76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247F458C">
            <w:pPr>
              <w:rPr>
                <w:rFonts w:ascii="Arial"/>
                <w:sz w:val="21"/>
              </w:rPr>
            </w:pPr>
          </w:p>
        </w:tc>
        <w:tc>
          <w:tcPr>
            <w:tcW w:w="7252" w:type="dxa"/>
            <w:vAlign w:val="top"/>
          </w:tcPr>
          <w:p w14:paraId="23D9CBCA">
            <w:pPr>
              <w:pStyle w:val="6"/>
              <w:spacing w:before="98" w:line="359" w:lineRule="auto"/>
              <w:ind w:left="60" w:right="57" w:firstLine="12"/>
              <w:jc w:val="both"/>
              <w:rPr>
                <w:sz w:val="24"/>
                <w:szCs w:val="24"/>
              </w:rPr>
            </w:pPr>
            <w:r>
              <w:rPr>
                <w:spacing w:val="-3"/>
                <w:sz w:val="24"/>
                <w:szCs w:val="24"/>
              </w:rPr>
              <w:t>噪声以及固体废物，但经治理之后对环境污染较小，固体废物可做到</w:t>
            </w:r>
            <w:r>
              <w:rPr>
                <w:spacing w:val="5"/>
                <w:sz w:val="24"/>
                <w:szCs w:val="24"/>
              </w:rPr>
              <w:t xml:space="preserve"> </w:t>
            </w:r>
            <w:r>
              <w:rPr>
                <w:spacing w:val="-3"/>
                <w:sz w:val="24"/>
                <w:szCs w:val="24"/>
              </w:rPr>
              <w:t>合理处置，采取本报告提出的相应污染防治措施，本项目的实施不会</w:t>
            </w:r>
            <w:r>
              <w:rPr>
                <w:spacing w:val="18"/>
                <w:sz w:val="24"/>
                <w:szCs w:val="24"/>
              </w:rPr>
              <w:t xml:space="preserve"> </w:t>
            </w:r>
            <w:r>
              <w:rPr>
                <w:spacing w:val="-1"/>
                <w:sz w:val="24"/>
                <w:szCs w:val="24"/>
              </w:rPr>
              <w:t>对区域环境质量底线造成冲击。</w:t>
            </w:r>
          </w:p>
          <w:p w14:paraId="41341038">
            <w:pPr>
              <w:pStyle w:val="6"/>
              <w:spacing w:line="220" w:lineRule="auto"/>
              <w:ind w:left="55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）资源利用上线</w:t>
            </w:r>
          </w:p>
          <w:p w14:paraId="69D84850">
            <w:pPr>
              <w:pStyle w:val="6"/>
              <w:spacing w:before="181" w:line="359" w:lineRule="auto"/>
              <w:ind w:left="60" w:right="57" w:firstLine="481"/>
              <w:rPr>
                <w:sz w:val="24"/>
                <w:szCs w:val="24"/>
              </w:rPr>
            </w:pPr>
            <w:r>
              <w:rPr>
                <w:spacing w:val="-3"/>
                <w:sz w:val="24"/>
                <w:szCs w:val="24"/>
              </w:rPr>
              <w:t>本项目为危化品车辆停车场项目，运营过程中会消耗一定量的电</w:t>
            </w:r>
            <w:r>
              <w:rPr>
                <w:spacing w:val="10"/>
                <w:sz w:val="24"/>
                <w:szCs w:val="24"/>
              </w:rPr>
              <w:t xml:space="preserve"> </w:t>
            </w:r>
            <w:r>
              <w:rPr>
                <w:spacing w:val="-4"/>
                <w:sz w:val="24"/>
                <w:szCs w:val="24"/>
              </w:rPr>
              <w:t>源、水资源等资源，可通过内部管理，以“节能、降耗</w:t>
            </w:r>
            <w:r>
              <w:rPr>
                <w:spacing w:val="-72"/>
                <w:sz w:val="24"/>
                <w:szCs w:val="24"/>
              </w:rPr>
              <w:t xml:space="preserve"> </w:t>
            </w:r>
            <w:r>
              <w:rPr>
                <w:spacing w:val="-4"/>
                <w:sz w:val="24"/>
                <w:szCs w:val="24"/>
              </w:rPr>
              <w:t>”为目标，有</w:t>
            </w:r>
            <w:r>
              <w:rPr>
                <w:sz w:val="24"/>
                <w:szCs w:val="24"/>
              </w:rPr>
              <w:t xml:space="preserve"> </w:t>
            </w:r>
            <w:r>
              <w:rPr>
                <w:spacing w:val="-3"/>
                <w:sz w:val="24"/>
                <w:szCs w:val="24"/>
              </w:rPr>
              <w:t>效地控制资源消耗。项目所用的电源、水资源均依托园区给水管网和</w:t>
            </w:r>
            <w:r>
              <w:rPr>
                <w:spacing w:val="18"/>
                <w:sz w:val="24"/>
                <w:szCs w:val="24"/>
              </w:rPr>
              <w:t xml:space="preserve"> </w:t>
            </w:r>
            <w:r>
              <w:rPr>
                <w:spacing w:val="-3"/>
                <w:sz w:val="24"/>
                <w:szCs w:val="24"/>
              </w:rPr>
              <w:t>电网，能源消耗量在园区的可接受范围内，不会突破区域资源利用上</w:t>
            </w:r>
            <w:r>
              <w:rPr>
                <w:spacing w:val="18"/>
                <w:sz w:val="24"/>
                <w:szCs w:val="24"/>
              </w:rPr>
              <w:t xml:space="preserve"> </w:t>
            </w:r>
            <w:r>
              <w:rPr>
                <w:spacing w:val="-5"/>
                <w:sz w:val="24"/>
                <w:szCs w:val="24"/>
              </w:rPr>
              <w:t>线。</w:t>
            </w:r>
          </w:p>
          <w:p w14:paraId="36D49E2F">
            <w:pPr>
              <w:pStyle w:val="6"/>
              <w:spacing w:line="220" w:lineRule="auto"/>
              <w:ind w:left="55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）生态环境准入清单</w:t>
            </w:r>
          </w:p>
          <w:p w14:paraId="418C7D44">
            <w:pPr>
              <w:pStyle w:val="6"/>
              <w:spacing w:before="183" w:line="359" w:lineRule="auto"/>
              <w:ind w:left="60" w:right="5" w:firstLine="483"/>
              <w:rPr>
                <w:sz w:val="24"/>
                <w:szCs w:val="24"/>
              </w:rPr>
            </w:pPr>
            <w:r>
              <w:rPr>
                <w:spacing w:val="-3"/>
                <w:sz w:val="24"/>
                <w:szCs w:val="24"/>
              </w:rPr>
              <w:t>为深入贯彻习近平生态文明思想，全面落实《中共中央国务院关</w:t>
            </w:r>
            <w:r>
              <w:rPr>
                <w:spacing w:val="8"/>
                <w:sz w:val="24"/>
                <w:szCs w:val="24"/>
              </w:rPr>
              <w:t xml:space="preserve"> </w:t>
            </w:r>
            <w:r>
              <w:rPr>
                <w:spacing w:val="6"/>
                <w:sz w:val="24"/>
                <w:szCs w:val="24"/>
              </w:rPr>
              <w:t>于全面加强生态环境保护坚决打好污染防治攻坚战的</w:t>
            </w:r>
            <w:r>
              <w:rPr>
                <w:spacing w:val="5"/>
                <w:sz w:val="24"/>
                <w:szCs w:val="24"/>
              </w:rPr>
              <w:t>意见》（中发</w:t>
            </w:r>
            <w:r>
              <w:rPr>
                <w:sz w:val="24"/>
                <w:szCs w:val="24"/>
              </w:rPr>
              <w:t xml:space="preserve"> </w:t>
            </w:r>
            <w:r>
              <w:rPr>
                <w:rFonts w:ascii="Times New Roman" w:hAnsi="Times New Roman" w:eastAsia="Times New Roman" w:cs="Times New Roman"/>
                <w:spacing w:val="-2"/>
                <w:sz w:val="24"/>
                <w:szCs w:val="24"/>
              </w:rPr>
              <w:t>[2018]17</w:t>
            </w:r>
            <w:r>
              <w:rPr>
                <w:rFonts w:ascii="Times New Roman" w:hAnsi="Times New Roman" w:eastAsia="Times New Roman" w:cs="Times New Roman"/>
                <w:spacing w:val="16"/>
                <w:sz w:val="24"/>
                <w:szCs w:val="24"/>
              </w:rPr>
              <w:t xml:space="preserve"> </w:t>
            </w:r>
            <w:r>
              <w:rPr>
                <w:spacing w:val="-2"/>
                <w:sz w:val="24"/>
                <w:szCs w:val="24"/>
              </w:rPr>
              <w:t>号）精神，构建生态环境分区管控体系，扎实推进鄂尔多斯</w:t>
            </w:r>
            <w:r>
              <w:rPr>
                <w:sz w:val="24"/>
                <w:szCs w:val="24"/>
              </w:rPr>
              <w:t xml:space="preserve"> </w:t>
            </w:r>
            <w:r>
              <w:rPr>
                <w:spacing w:val="-3"/>
                <w:sz w:val="24"/>
                <w:szCs w:val="24"/>
              </w:rPr>
              <w:t>市环境治理体系和治理能力现代化，根据《内蒙古自治区人民政府关</w:t>
            </w:r>
            <w:r>
              <w:rPr>
                <w:spacing w:val="18"/>
                <w:sz w:val="24"/>
                <w:szCs w:val="24"/>
              </w:rPr>
              <w:t xml:space="preserve"> </w:t>
            </w:r>
            <w:r>
              <w:rPr>
                <w:spacing w:val="-3"/>
                <w:sz w:val="24"/>
                <w:szCs w:val="24"/>
              </w:rPr>
              <w:t>于实施“三线一单</w:t>
            </w:r>
            <w:r>
              <w:rPr>
                <w:spacing w:val="-88"/>
                <w:sz w:val="24"/>
                <w:szCs w:val="24"/>
              </w:rPr>
              <w:t xml:space="preserve"> </w:t>
            </w:r>
            <w:r>
              <w:rPr>
                <w:spacing w:val="-3"/>
                <w:sz w:val="24"/>
                <w:szCs w:val="24"/>
              </w:rPr>
              <w:t>”生态环境分区管控的意见》（内政发〔</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4"/>
                <w:sz w:val="24"/>
                <w:szCs w:val="24"/>
              </w:rPr>
              <w:t>20</w:t>
            </w:r>
            <w:r>
              <w:rPr>
                <w:spacing w:val="-4"/>
                <w:sz w:val="24"/>
                <w:szCs w:val="24"/>
              </w:rPr>
              <w:t>〕</w:t>
            </w:r>
            <w:r>
              <w:rPr>
                <w:rFonts w:ascii="Times New Roman" w:hAnsi="Times New Roman" w:eastAsia="Times New Roman" w:cs="Times New Roman"/>
                <w:spacing w:val="-4"/>
                <w:sz w:val="24"/>
                <w:szCs w:val="24"/>
              </w:rPr>
              <w:t>24</w:t>
            </w:r>
            <w:r>
              <w:rPr>
                <w:rFonts w:ascii="Times New Roman" w:hAnsi="Times New Roman" w:eastAsia="Times New Roman" w:cs="Times New Roman"/>
                <w:sz w:val="24"/>
                <w:szCs w:val="24"/>
              </w:rPr>
              <w:t xml:space="preserve">  </w:t>
            </w:r>
            <w:r>
              <w:rPr>
                <w:spacing w:val="-3"/>
                <w:sz w:val="24"/>
                <w:szCs w:val="24"/>
              </w:rPr>
              <w:t>号）精神，实施鄂尔多斯市生态环境分区管控（即生态保护红线、环</w:t>
            </w:r>
            <w:r>
              <w:rPr>
                <w:spacing w:val="18"/>
                <w:sz w:val="24"/>
                <w:szCs w:val="24"/>
              </w:rPr>
              <w:t xml:space="preserve"> </w:t>
            </w:r>
            <w:r>
              <w:rPr>
                <w:spacing w:val="-2"/>
                <w:sz w:val="24"/>
                <w:szCs w:val="24"/>
              </w:rPr>
              <w:t>境质量底线、资源利用上线和生态环境准入清单</w:t>
            </w:r>
            <w:r>
              <w:rPr>
                <w:spacing w:val="-8"/>
                <w:sz w:val="24"/>
                <w:szCs w:val="24"/>
              </w:rPr>
              <w:t>），</w:t>
            </w:r>
            <w:r>
              <w:rPr>
                <w:spacing w:val="-2"/>
                <w:sz w:val="24"/>
                <w:szCs w:val="24"/>
              </w:rPr>
              <w:t>鄂尔多斯市人民</w:t>
            </w:r>
            <w:r>
              <w:rPr>
                <w:sz w:val="24"/>
                <w:szCs w:val="24"/>
              </w:rPr>
              <w:t xml:space="preserve"> </w:t>
            </w:r>
            <w:r>
              <w:rPr>
                <w:spacing w:val="-3"/>
                <w:sz w:val="24"/>
                <w:szCs w:val="24"/>
              </w:rPr>
              <w:t>政府于</w:t>
            </w:r>
            <w:r>
              <w:rPr>
                <w:spacing w:val="-55"/>
                <w:sz w:val="24"/>
                <w:szCs w:val="24"/>
              </w:rPr>
              <w:t xml:space="preserve"> </w:t>
            </w:r>
            <w:r>
              <w:rPr>
                <w:rFonts w:ascii="Times New Roman" w:hAnsi="Times New Roman" w:eastAsia="Times New Roman" w:cs="Times New Roman"/>
                <w:spacing w:val="-3"/>
                <w:sz w:val="24"/>
                <w:szCs w:val="24"/>
              </w:rPr>
              <w:t xml:space="preserve">2021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w w:val="101"/>
                <w:sz w:val="24"/>
                <w:szCs w:val="24"/>
              </w:rPr>
              <w:t xml:space="preserve"> </w:t>
            </w:r>
            <w:r>
              <w:rPr>
                <w:spacing w:val="-3"/>
                <w:sz w:val="24"/>
                <w:szCs w:val="24"/>
              </w:rPr>
              <w:t>月</w:t>
            </w:r>
            <w:r>
              <w:rPr>
                <w:spacing w:val="-32"/>
                <w:sz w:val="24"/>
                <w:szCs w:val="24"/>
              </w:rPr>
              <w:t xml:space="preserve"> </w:t>
            </w:r>
            <w:r>
              <w:rPr>
                <w:rFonts w:ascii="Times New Roman" w:hAnsi="Times New Roman" w:eastAsia="Times New Roman" w:cs="Times New Roman"/>
                <w:spacing w:val="-3"/>
                <w:sz w:val="24"/>
                <w:szCs w:val="24"/>
              </w:rPr>
              <w:t xml:space="preserve">17  </w:t>
            </w:r>
            <w:r>
              <w:rPr>
                <w:spacing w:val="-3"/>
                <w:sz w:val="24"/>
                <w:szCs w:val="24"/>
              </w:rPr>
              <w:t>日发布《鄂尔多斯市人民政府关于</w:t>
            </w:r>
            <w:r>
              <w:rPr>
                <w:rFonts w:ascii="Times New Roman" w:hAnsi="Times New Roman" w:eastAsia="Times New Roman" w:cs="Times New Roman"/>
                <w:spacing w:val="-3"/>
                <w:sz w:val="24"/>
                <w:szCs w:val="24"/>
              </w:rPr>
              <w:t>“</w:t>
            </w:r>
            <w:r>
              <w:rPr>
                <w:spacing w:val="-3"/>
                <w:sz w:val="24"/>
                <w:szCs w:val="24"/>
              </w:rPr>
              <w:t>三线</w:t>
            </w:r>
            <w:r>
              <w:rPr>
                <w:spacing w:val="-4"/>
                <w:sz w:val="24"/>
                <w:szCs w:val="24"/>
              </w:rPr>
              <w:t>一单</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spacing w:val="-1"/>
                <w:sz w:val="24"/>
                <w:szCs w:val="24"/>
              </w:rPr>
              <w:t>生态环境分区管控的实施意见》（鄂府发〔</w:t>
            </w:r>
            <w:r>
              <w:rPr>
                <w:rFonts w:ascii="Times New Roman" w:hAnsi="Times New Roman" w:eastAsia="Times New Roman" w:cs="Times New Roman"/>
                <w:spacing w:val="-1"/>
                <w:sz w:val="24"/>
                <w:szCs w:val="24"/>
              </w:rPr>
              <w:t>2021</w:t>
            </w:r>
            <w:r>
              <w:rPr>
                <w:spacing w:val="-1"/>
                <w:sz w:val="24"/>
                <w:szCs w:val="24"/>
              </w:rPr>
              <w:t>〕</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15"/>
                <w:sz w:val="24"/>
                <w:szCs w:val="24"/>
              </w:rPr>
              <w:t xml:space="preserve"> </w:t>
            </w:r>
            <w:r>
              <w:rPr>
                <w:spacing w:val="-2"/>
                <w:sz w:val="24"/>
                <w:szCs w:val="24"/>
              </w:rPr>
              <w:t>号</w:t>
            </w:r>
            <w:r>
              <w:rPr>
                <w:spacing w:val="5"/>
                <w:sz w:val="24"/>
                <w:szCs w:val="24"/>
              </w:rPr>
              <w:t>），</w:t>
            </w:r>
            <w:r>
              <w:rPr>
                <w:spacing w:val="-2"/>
                <w:sz w:val="24"/>
                <w:szCs w:val="24"/>
              </w:rPr>
              <w:t>根据鄂</w:t>
            </w:r>
            <w:r>
              <w:rPr>
                <w:sz w:val="24"/>
                <w:szCs w:val="24"/>
              </w:rPr>
              <w:t xml:space="preserve"> </w:t>
            </w:r>
            <w:r>
              <w:rPr>
                <w:spacing w:val="-3"/>
                <w:sz w:val="24"/>
                <w:szCs w:val="24"/>
              </w:rPr>
              <w:t>尔多斯市生态环境功能、自然资源禀赋和经济社会发展实际，划定环</w:t>
            </w:r>
            <w:r>
              <w:rPr>
                <w:spacing w:val="18"/>
                <w:sz w:val="24"/>
                <w:szCs w:val="24"/>
              </w:rPr>
              <w:t xml:space="preserve"> </w:t>
            </w:r>
            <w:r>
              <w:rPr>
                <w:spacing w:val="-3"/>
                <w:sz w:val="24"/>
                <w:szCs w:val="24"/>
              </w:rPr>
              <w:t>境管控单元，实施差别化生态环境管控措施，促进生态环境质量持续</w:t>
            </w:r>
            <w:r>
              <w:rPr>
                <w:spacing w:val="18"/>
                <w:sz w:val="24"/>
                <w:szCs w:val="24"/>
              </w:rPr>
              <w:t xml:space="preserve"> </w:t>
            </w:r>
            <w:r>
              <w:rPr>
                <w:spacing w:val="2"/>
                <w:sz w:val="24"/>
                <w:szCs w:val="24"/>
              </w:rPr>
              <w:t>改善。</w:t>
            </w:r>
            <w:r>
              <w:rPr>
                <w:rFonts w:ascii="Times New Roman" w:hAnsi="Times New Roman" w:eastAsia="Times New Roman" w:cs="Times New Roman"/>
                <w:spacing w:val="2"/>
                <w:sz w:val="24"/>
                <w:szCs w:val="24"/>
              </w:rPr>
              <w:t xml:space="preserve">2024 </w:t>
            </w:r>
            <w:r>
              <w:rPr>
                <w:spacing w:val="2"/>
                <w:sz w:val="24"/>
                <w:szCs w:val="24"/>
              </w:rPr>
              <w:t>年</w:t>
            </w:r>
            <w:r>
              <w:rPr>
                <w:spacing w:val="-36"/>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20"/>
                <w:sz w:val="24"/>
                <w:szCs w:val="24"/>
              </w:rPr>
              <w:t xml:space="preserve"> </w:t>
            </w:r>
            <w:r>
              <w:rPr>
                <w:spacing w:val="2"/>
                <w:sz w:val="24"/>
                <w:szCs w:val="24"/>
              </w:rPr>
              <w:t>月，鄂尔多斯市生态环境局发布《鄂尔多斯市生态</w:t>
            </w:r>
            <w:r>
              <w:rPr>
                <w:sz w:val="24"/>
                <w:szCs w:val="24"/>
              </w:rPr>
              <w:t xml:space="preserve"> </w:t>
            </w:r>
            <w:r>
              <w:rPr>
                <w:spacing w:val="4"/>
                <w:sz w:val="24"/>
                <w:szCs w:val="24"/>
              </w:rPr>
              <w:t>环境分区管控动态更新成果（</w:t>
            </w:r>
            <w:r>
              <w:rPr>
                <w:rFonts w:ascii="Times New Roman" w:hAnsi="Times New Roman" w:eastAsia="Times New Roman" w:cs="Times New Roman"/>
                <w:spacing w:val="4"/>
                <w:sz w:val="24"/>
                <w:szCs w:val="24"/>
              </w:rPr>
              <w:t xml:space="preserve">2023 </w:t>
            </w:r>
            <w:r>
              <w:rPr>
                <w:spacing w:val="4"/>
                <w:sz w:val="24"/>
                <w:szCs w:val="24"/>
              </w:rPr>
              <w:t>年版）》，依据生态保护红线、</w:t>
            </w:r>
            <w:r>
              <w:rPr>
                <w:spacing w:val="6"/>
                <w:sz w:val="24"/>
                <w:szCs w:val="24"/>
              </w:rPr>
              <w:t xml:space="preserve"> </w:t>
            </w:r>
            <w:r>
              <w:rPr>
                <w:spacing w:val="-3"/>
                <w:sz w:val="24"/>
                <w:szCs w:val="24"/>
              </w:rPr>
              <w:t>环境质量底线、资源利用上线等调整情况，结合全市经济社会发展和</w:t>
            </w:r>
            <w:r>
              <w:rPr>
                <w:spacing w:val="18"/>
                <w:sz w:val="24"/>
                <w:szCs w:val="24"/>
              </w:rPr>
              <w:t xml:space="preserve"> </w:t>
            </w:r>
            <w:r>
              <w:rPr>
                <w:spacing w:val="-3"/>
                <w:sz w:val="24"/>
                <w:szCs w:val="24"/>
              </w:rPr>
              <w:t>生态环境保护实际，调整优先保护、重点管控、一般管控三类环境管</w:t>
            </w:r>
            <w:r>
              <w:rPr>
                <w:spacing w:val="18"/>
                <w:sz w:val="24"/>
                <w:szCs w:val="24"/>
              </w:rPr>
              <w:t xml:space="preserve"> </w:t>
            </w:r>
            <w:r>
              <w:rPr>
                <w:spacing w:val="-3"/>
                <w:sz w:val="24"/>
                <w:szCs w:val="24"/>
              </w:rPr>
              <w:t>控单元，分区分类实施精细化管控。生态环境准入清单保持一定的延</w:t>
            </w:r>
            <w:r>
              <w:rPr>
                <w:spacing w:val="18"/>
                <w:sz w:val="24"/>
                <w:szCs w:val="24"/>
              </w:rPr>
              <w:t xml:space="preserve"> </w:t>
            </w:r>
            <w:r>
              <w:rPr>
                <w:spacing w:val="-4"/>
                <w:sz w:val="24"/>
                <w:szCs w:val="24"/>
              </w:rPr>
              <w:t>续性，维持“市级总体管控要求—单元管控要求</w:t>
            </w:r>
            <w:r>
              <w:rPr>
                <w:spacing w:val="-72"/>
                <w:sz w:val="24"/>
                <w:szCs w:val="24"/>
              </w:rPr>
              <w:t xml:space="preserve"> </w:t>
            </w:r>
            <w:r>
              <w:rPr>
                <w:spacing w:val="-4"/>
                <w:sz w:val="24"/>
                <w:szCs w:val="24"/>
              </w:rPr>
              <w:t>”二个层级框架（即</w:t>
            </w:r>
            <w:r>
              <w:rPr>
                <w:sz w:val="24"/>
                <w:szCs w:val="24"/>
              </w:rPr>
              <w:t xml:space="preserve"> </w:t>
            </w:r>
            <w:r>
              <w:rPr>
                <w:rFonts w:ascii="Times New Roman" w:hAnsi="Times New Roman" w:eastAsia="Times New Roman" w:cs="Times New Roman"/>
                <w:sz w:val="24"/>
                <w:szCs w:val="24"/>
              </w:rPr>
              <w:t xml:space="preserve">1 </w:t>
            </w:r>
            <w:r>
              <w:rPr>
                <w:sz w:val="24"/>
                <w:szCs w:val="24"/>
              </w:rPr>
              <w:t>个鄂尔多斯市总体准入清单、</w:t>
            </w:r>
            <w:r>
              <w:rPr>
                <w:rFonts w:ascii="Times New Roman" w:hAnsi="Times New Roman" w:eastAsia="Times New Roman" w:cs="Times New Roman"/>
                <w:sz w:val="24"/>
                <w:szCs w:val="24"/>
              </w:rPr>
              <w:t xml:space="preserve">171 </w:t>
            </w:r>
            <w:r>
              <w:rPr>
                <w:sz w:val="24"/>
                <w:szCs w:val="24"/>
              </w:rPr>
              <w:t>个环境</w:t>
            </w:r>
            <w:r>
              <w:rPr>
                <w:spacing w:val="-1"/>
                <w:sz w:val="24"/>
                <w:szCs w:val="24"/>
              </w:rPr>
              <w:t>管控单元准入清单）。</w:t>
            </w:r>
          </w:p>
          <w:p w14:paraId="78231831">
            <w:pPr>
              <w:pStyle w:val="6"/>
              <w:spacing w:line="219" w:lineRule="auto"/>
              <w:ind w:left="543"/>
              <w:rPr>
                <w:sz w:val="24"/>
                <w:szCs w:val="24"/>
              </w:rPr>
            </w:pPr>
            <w:r>
              <w:rPr>
                <w:spacing w:val="6"/>
                <w:sz w:val="24"/>
                <w:szCs w:val="24"/>
              </w:rPr>
              <w:t>调整后，全市按优先保护、重点管控、一般管控三大类划分为</w:t>
            </w:r>
          </w:p>
        </w:tc>
      </w:tr>
    </w:tbl>
    <w:p w14:paraId="3E12D24F">
      <w:pPr>
        <w:pStyle w:val="2"/>
      </w:pPr>
    </w:p>
    <w:p w14:paraId="28A3E6B8">
      <w:pPr>
        <w:sectPr>
          <w:footerReference r:id="rId12" w:type="default"/>
          <w:pgSz w:w="11906" w:h="16839"/>
          <w:pgMar w:top="400" w:right="1739" w:bottom="1259" w:left="1738" w:header="0" w:footer="1097" w:gutter="0"/>
          <w:cols w:space="720" w:num="1"/>
        </w:sectPr>
      </w:pPr>
    </w:p>
    <w:p w14:paraId="229B722B">
      <w:pPr>
        <w:spacing w:before="19"/>
      </w:pPr>
    </w:p>
    <w:p w14:paraId="24D092BA">
      <w:pPr>
        <w:spacing w:before="19"/>
      </w:pPr>
    </w:p>
    <w:p w14:paraId="38221AF3">
      <w:pPr>
        <w:spacing w:before="18"/>
      </w:pPr>
    </w:p>
    <w:p w14:paraId="3A7A9C4F">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74C61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4" w:hRule="atLeast"/>
        </w:trPr>
        <w:tc>
          <w:tcPr>
            <w:tcW w:w="1171" w:type="dxa"/>
            <w:vAlign w:val="top"/>
          </w:tcPr>
          <w:p w14:paraId="454C170D">
            <w:pPr>
              <w:rPr>
                <w:rFonts w:ascii="Arial"/>
                <w:sz w:val="21"/>
              </w:rPr>
            </w:pPr>
          </w:p>
        </w:tc>
        <w:tc>
          <w:tcPr>
            <w:tcW w:w="7252" w:type="dxa"/>
            <w:vAlign w:val="top"/>
          </w:tcPr>
          <w:p w14:paraId="15845D50">
            <w:pPr>
              <w:pStyle w:val="6"/>
              <w:spacing w:before="93" w:line="339" w:lineRule="auto"/>
              <w:ind w:left="60" w:firstLine="19"/>
              <w:rPr>
                <w:sz w:val="24"/>
                <w:szCs w:val="24"/>
              </w:rPr>
            </w:pPr>
            <w:r>
              <w:rPr>
                <w:rFonts w:ascii="Times New Roman" w:hAnsi="Times New Roman" w:eastAsia="Times New Roman" w:cs="Times New Roman"/>
                <w:spacing w:val="-5"/>
                <w:sz w:val="24"/>
                <w:szCs w:val="24"/>
              </w:rPr>
              <w:t xml:space="preserve">171 </w:t>
            </w:r>
            <w:r>
              <w:rPr>
                <w:spacing w:val="-5"/>
                <w:sz w:val="24"/>
                <w:szCs w:val="24"/>
              </w:rPr>
              <w:t>个环境管控单元。其中，优先保护单元</w:t>
            </w:r>
            <w:r>
              <w:rPr>
                <w:spacing w:val="-52"/>
                <w:sz w:val="24"/>
                <w:szCs w:val="24"/>
              </w:rPr>
              <w:t xml:space="preserve"> </w:t>
            </w:r>
            <w:r>
              <w:rPr>
                <w:rFonts w:ascii="Times New Roman" w:hAnsi="Times New Roman" w:eastAsia="Times New Roman" w:cs="Times New Roman"/>
                <w:spacing w:val="-5"/>
                <w:sz w:val="24"/>
                <w:szCs w:val="24"/>
              </w:rPr>
              <w:t xml:space="preserve">76 </w:t>
            </w:r>
            <w:r>
              <w:rPr>
                <w:spacing w:val="-5"/>
                <w:sz w:val="24"/>
                <w:szCs w:val="24"/>
              </w:rPr>
              <w:t>个，面积占</w:t>
            </w:r>
            <w:r>
              <w:rPr>
                <w:spacing w:val="-6"/>
                <w:sz w:val="24"/>
                <w:szCs w:val="24"/>
              </w:rPr>
              <w:t>比</w:t>
            </w:r>
            <w:r>
              <w:rPr>
                <w:spacing w:val="-50"/>
                <w:sz w:val="24"/>
                <w:szCs w:val="24"/>
              </w:rPr>
              <w:t xml:space="preserve"> </w:t>
            </w:r>
            <w:r>
              <w:rPr>
                <w:rFonts w:ascii="Times New Roman" w:hAnsi="Times New Roman" w:eastAsia="Times New Roman" w:cs="Times New Roman"/>
                <w:spacing w:val="-6"/>
                <w:sz w:val="24"/>
                <w:szCs w:val="24"/>
              </w:rPr>
              <w:t>64.35%</w:t>
            </w:r>
            <w:r>
              <w:rPr>
                <w:spacing w:val="-6"/>
                <w:sz w:val="24"/>
                <w:szCs w:val="24"/>
              </w:rPr>
              <w:t>；</w:t>
            </w:r>
            <w:r>
              <w:rPr>
                <w:sz w:val="24"/>
                <w:szCs w:val="24"/>
              </w:rPr>
              <w:t xml:space="preserve"> </w:t>
            </w:r>
            <w:r>
              <w:rPr>
                <w:spacing w:val="-3"/>
                <w:sz w:val="24"/>
                <w:szCs w:val="24"/>
              </w:rPr>
              <w:t>重点管控单元</w:t>
            </w:r>
            <w:r>
              <w:rPr>
                <w:spacing w:val="-45"/>
                <w:sz w:val="24"/>
                <w:szCs w:val="24"/>
              </w:rPr>
              <w:t xml:space="preserve"> </w:t>
            </w:r>
            <w:r>
              <w:rPr>
                <w:rFonts w:ascii="Times New Roman" w:hAnsi="Times New Roman" w:eastAsia="Times New Roman" w:cs="Times New Roman"/>
                <w:spacing w:val="-3"/>
                <w:sz w:val="24"/>
                <w:szCs w:val="24"/>
              </w:rPr>
              <w:t xml:space="preserve">86 </w:t>
            </w:r>
            <w:r>
              <w:rPr>
                <w:spacing w:val="-3"/>
                <w:sz w:val="24"/>
                <w:szCs w:val="24"/>
              </w:rPr>
              <w:t>个，面积占比</w:t>
            </w:r>
            <w:r>
              <w:rPr>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w:t>
            </w:r>
            <w:r>
              <w:rPr>
                <w:spacing w:val="-3"/>
                <w:sz w:val="24"/>
                <w:szCs w:val="24"/>
              </w:rPr>
              <w:t>；一般管控单元</w:t>
            </w:r>
            <w:r>
              <w:rPr>
                <w:spacing w:val="-51"/>
                <w:sz w:val="24"/>
                <w:szCs w:val="24"/>
              </w:rPr>
              <w:t xml:space="preserve"> </w:t>
            </w:r>
            <w:r>
              <w:rPr>
                <w:rFonts w:ascii="Times New Roman" w:hAnsi="Times New Roman" w:eastAsia="Times New Roman" w:cs="Times New Roman"/>
                <w:spacing w:val="-4"/>
                <w:sz w:val="24"/>
                <w:szCs w:val="24"/>
              </w:rPr>
              <w:t xml:space="preserve">9 </w:t>
            </w:r>
            <w:r>
              <w:rPr>
                <w:spacing w:val="-4"/>
                <w:sz w:val="24"/>
                <w:szCs w:val="24"/>
              </w:rPr>
              <w:t>个，面积占</w:t>
            </w:r>
            <w:r>
              <w:rPr>
                <w:sz w:val="24"/>
                <w:szCs w:val="24"/>
              </w:rPr>
              <w:t xml:space="preserve"> </w:t>
            </w:r>
            <w:r>
              <w:rPr>
                <w:spacing w:val="-3"/>
                <w:sz w:val="24"/>
                <w:szCs w:val="24"/>
              </w:rPr>
              <w:t>比</w:t>
            </w:r>
            <w:r>
              <w:rPr>
                <w:spacing w:val="-51"/>
                <w:sz w:val="24"/>
                <w:szCs w:val="24"/>
              </w:rPr>
              <w:t xml:space="preserve"> </w:t>
            </w:r>
            <w:r>
              <w:rPr>
                <w:rFonts w:ascii="Times New Roman" w:hAnsi="Times New Roman" w:eastAsia="Times New Roman" w:cs="Times New Roman"/>
                <w:spacing w:val="-3"/>
                <w:sz w:val="24"/>
                <w:szCs w:val="24"/>
              </w:rPr>
              <w:t>7.56%</w:t>
            </w:r>
            <w:r>
              <w:rPr>
                <w:rFonts w:ascii="Times New Roman" w:hAnsi="Times New Roman" w:eastAsia="Times New Roman" w:cs="Times New Roman"/>
                <w:spacing w:val="-28"/>
                <w:sz w:val="24"/>
                <w:szCs w:val="24"/>
              </w:rPr>
              <w:t xml:space="preserve"> </w:t>
            </w:r>
            <w:r>
              <w:rPr>
                <w:spacing w:val="-3"/>
                <w:sz w:val="24"/>
                <w:szCs w:val="24"/>
              </w:rPr>
              <w:t>。优先保护单元以生态环境保护优先为原则，依法禁止或限</w:t>
            </w:r>
            <w:r>
              <w:rPr>
                <w:sz w:val="24"/>
                <w:szCs w:val="24"/>
              </w:rPr>
              <w:t xml:space="preserve"> </w:t>
            </w:r>
            <w:r>
              <w:rPr>
                <w:spacing w:val="-8"/>
                <w:sz w:val="24"/>
                <w:szCs w:val="24"/>
              </w:rPr>
              <w:t>制大规模、高强度的工业开发和城镇建设，确保生态环</w:t>
            </w:r>
            <w:r>
              <w:rPr>
                <w:spacing w:val="-9"/>
                <w:sz w:val="24"/>
                <w:szCs w:val="24"/>
              </w:rPr>
              <w:t>境功能不降低。</w:t>
            </w:r>
            <w:r>
              <w:rPr>
                <w:sz w:val="24"/>
                <w:szCs w:val="24"/>
              </w:rPr>
              <w:t xml:space="preserve"> </w:t>
            </w:r>
            <w:r>
              <w:rPr>
                <w:spacing w:val="-3"/>
                <w:sz w:val="24"/>
                <w:szCs w:val="24"/>
              </w:rPr>
              <w:t>重点管控单元应不断提升资源利用效率，有针对性地加强</w:t>
            </w:r>
            <w:r>
              <w:rPr>
                <w:spacing w:val="-4"/>
                <w:sz w:val="24"/>
                <w:szCs w:val="24"/>
              </w:rPr>
              <w:t>污染物排放</w:t>
            </w:r>
            <w:r>
              <w:rPr>
                <w:sz w:val="24"/>
                <w:szCs w:val="24"/>
              </w:rPr>
              <w:t xml:space="preserve"> </w:t>
            </w:r>
            <w:r>
              <w:rPr>
                <w:spacing w:val="-3"/>
                <w:sz w:val="24"/>
                <w:szCs w:val="24"/>
              </w:rPr>
              <w:t>控制和环境风险防控，解决生态环境质量不达标、生态环</w:t>
            </w:r>
            <w:r>
              <w:rPr>
                <w:spacing w:val="-4"/>
                <w:sz w:val="24"/>
                <w:szCs w:val="24"/>
              </w:rPr>
              <w:t>境风险高等</w:t>
            </w:r>
            <w:r>
              <w:rPr>
                <w:sz w:val="24"/>
                <w:szCs w:val="24"/>
              </w:rPr>
              <w:t xml:space="preserve"> </w:t>
            </w:r>
            <w:r>
              <w:rPr>
                <w:spacing w:val="-1"/>
                <w:sz w:val="24"/>
                <w:szCs w:val="24"/>
              </w:rPr>
              <w:t>问题。一般管控单元主要落实生态环境保护基本</w:t>
            </w:r>
            <w:r>
              <w:rPr>
                <w:spacing w:val="-2"/>
                <w:sz w:val="24"/>
                <w:szCs w:val="24"/>
              </w:rPr>
              <w:t>要求。</w:t>
            </w:r>
          </w:p>
          <w:p w14:paraId="135FD0E3">
            <w:pPr>
              <w:pStyle w:val="6"/>
              <w:spacing w:before="187" w:line="217" w:lineRule="auto"/>
              <w:ind w:left="540"/>
              <w:rPr>
                <w:sz w:val="24"/>
                <w:szCs w:val="24"/>
              </w:rPr>
            </w:pPr>
            <w:r>
              <w:rPr>
                <w:spacing w:val="-1"/>
                <w:sz w:val="24"/>
                <w:szCs w:val="24"/>
              </w:rPr>
              <w:t>①《鄂尔多斯市生态环境准入清单》</w:t>
            </w:r>
          </w:p>
          <w:p w14:paraId="12797695">
            <w:pPr>
              <w:pStyle w:val="6"/>
              <w:spacing w:before="189" w:line="358" w:lineRule="auto"/>
              <w:ind w:left="61" w:right="53" w:firstLine="480"/>
              <w:jc w:val="both"/>
              <w:rPr>
                <w:sz w:val="24"/>
                <w:szCs w:val="24"/>
              </w:rPr>
            </w:pPr>
            <w:r>
              <w:rPr>
                <w:spacing w:val="-3"/>
                <w:sz w:val="24"/>
                <w:szCs w:val="24"/>
              </w:rPr>
              <w:t>鄂尔多斯市基于生态保护红线、环境质量底线、资源利用上线，</w:t>
            </w:r>
            <w:r>
              <w:rPr>
                <w:spacing w:val="15"/>
                <w:sz w:val="24"/>
                <w:szCs w:val="24"/>
              </w:rPr>
              <w:t xml:space="preserve"> </w:t>
            </w:r>
            <w:r>
              <w:rPr>
                <w:spacing w:val="-3"/>
                <w:sz w:val="24"/>
                <w:szCs w:val="24"/>
              </w:rPr>
              <w:t>充分吸纳整合已有相关规划、功能区划、行动计划等要求，从空间布</w:t>
            </w:r>
            <w:r>
              <w:rPr>
                <w:spacing w:val="17"/>
                <w:sz w:val="24"/>
                <w:szCs w:val="24"/>
              </w:rPr>
              <w:t xml:space="preserve"> </w:t>
            </w:r>
            <w:r>
              <w:rPr>
                <w:spacing w:val="-3"/>
                <w:sz w:val="24"/>
                <w:szCs w:val="24"/>
              </w:rPr>
              <w:t>局约束、污染物排放管控、环境风险防控和资源开发效率等方面明确</w:t>
            </w:r>
            <w:r>
              <w:rPr>
                <w:spacing w:val="17"/>
                <w:sz w:val="24"/>
                <w:szCs w:val="24"/>
              </w:rPr>
              <w:t xml:space="preserve"> </w:t>
            </w:r>
            <w:r>
              <w:rPr>
                <w:spacing w:val="-3"/>
                <w:sz w:val="24"/>
                <w:szCs w:val="24"/>
              </w:rPr>
              <w:t>生态环境准入要求，建立两级生态环境准入清单管控</w:t>
            </w:r>
            <w:r>
              <w:rPr>
                <w:spacing w:val="-4"/>
                <w:sz w:val="24"/>
                <w:szCs w:val="24"/>
              </w:rPr>
              <w:t>体系（即</w:t>
            </w:r>
            <w:r>
              <w:rPr>
                <w:spacing w:val="-32"/>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个鄂</w:t>
            </w:r>
            <w:r>
              <w:rPr>
                <w:sz w:val="24"/>
                <w:szCs w:val="24"/>
              </w:rPr>
              <w:t xml:space="preserve"> 尔多斯市总体准入清单、</w:t>
            </w:r>
            <w:r>
              <w:rPr>
                <w:rFonts w:ascii="Times New Roman" w:hAnsi="Times New Roman" w:eastAsia="Times New Roman" w:cs="Times New Roman"/>
                <w:sz w:val="24"/>
                <w:szCs w:val="24"/>
              </w:rPr>
              <w:t xml:space="preserve">171 </w:t>
            </w:r>
            <w:r>
              <w:rPr>
                <w:sz w:val="24"/>
                <w:szCs w:val="24"/>
              </w:rPr>
              <w:t>个环境管</w:t>
            </w:r>
            <w:r>
              <w:rPr>
                <w:spacing w:val="-1"/>
                <w:sz w:val="24"/>
                <w:szCs w:val="24"/>
              </w:rPr>
              <w:t>控单元准入清单）。本项目与</w:t>
            </w:r>
            <w:r>
              <w:rPr>
                <w:sz w:val="24"/>
                <w:szCs w:val="24"/>
              </w:rPr>
              <w:t xml:space="preserve"> </w:t>
            </w:r>
            <w:r>
              <w:rPr>
                <w:spacing w:val="-1"/>
                <w:sz w:val="24"/>
                <w:szCs w:val="24"/>
              </w:rPr>
              <w:t>鄂尔多斯市总体准入清单的符合性分析如下表所示：</w:t>
            </w:r>
          </w:p>
          <w:p w14:paraId="4F054781">
            <w:pPr>
              <w:pStyle w:val="6"/>
              <w:spacing w:line="226" w:lineRule="auto"/>
              <w:ind w:left="1038"/>
              <w:outlineLvl w:val="1"/>
              <w:rPr>
                <w:sz w:val="20"/>
                <w:szCs w:val="20"/>
              </w:rPr>
            </w:pPr>
            <w:r>
              <w:rPr>
                <w:b/>
                <w:bCs/>
                <w:spacing w:val="6"/>
                <w:sz w:val="20"/>
                <w:szCs w:val="20"/>
              </w:rPr>
              <w:t>表</w:t>
            </w:r>
            <w:r>
              <w:rPr>
                <w:spacing w:val="-19"/>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本项目与鄂尔多斯市总体准入清单的符合性分析</w:t>
            </w:r>
          </w:p>
          <w:p w14:paraId="744A3FED">
            <w:pPr>
              <w:spacing w:line="131" w:lineRule="exact"/>
            </w:pPr>
          </w:p>
          <w:tbl>
            <w:tblPr>
              <w:tblStyle w:val="5"/>
              <w:tblW w:w="7132"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5044"/>
              <w:gridCol w:w="1316"/>
              <w:gridCol w:w="367"/>
            </w:tblGrid>
            <w:tr w14:paraId="3753A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05" w:type="dxa"/>
                  <w:textDirection w:val="tbRlV"/>
                  <w:vAlign w:val="top"/>
                </w:tcPr>
                <w:p w14:paraId="04B6E557">
                  <w:pPr>
                    <w:pStyle w:val="6"/>
                    <w:spacing w:before="84" w:line="216" w:lineRule="auto"/>
                    <w:ind w:left="35"/>
                    <w:rPr>
                      <w:sz w:val="20"/>
                      <w:szCs w:val="20"/>
                    </w:rPr>
                  </w:pPr>
                  <w:r>
                    <w:rPr>
                      <w:spacing w:val="8"/>
                      <w:sz w:val="20"/>
                      <w:szCs w:val="20"/>
                    </w:rPr>
                    <w:t>管</w:t>
                  </w:r>
                  <w:r>
                    <w:rPr>
                      <w:spacing w:val="-36"/>
                      <w:sz w:val="20"/>
                      <w:szCs w:val="20"/>
                    </w:rPr>
                    <w:t xml:space="preserve"> </w:t>
                  </w:r>
                  <w:r>
                    <w:rPr>
                      <w:spacing w:val="8"/>
                      <w:sz w:val="20"/>
                      <w:szCs w:val="20"/>
                    </w:rPr>
                    <w:t>控</w:t>
                  </w:r>
                  <w:r>
                    <w:rPr>
                      <w:spacing w:val="-35"/>
                      <w:sz w:val="20"/>
                      <w:szCs w:val="20"/>
                    </w:rPr>
                    <w:t xml:space="preserve"> </w:t>
                  </w:r>
                  <w:r>
                    <w:rPr>
                      <w:spacing w:val="8"/>
                      <w:sz w:val="20"/>
                      <w:szCs w:val="20"/>
                    </w:rPr>
                    <w:t>纬</w:t>
                  </w:r>
                  <w:r>
                    <w:rPr>
                      <w:spacing w:val="-38"/>
                      <w:sz w:val="20"/>
                      <w:szCs w:val="20"/>
                    </w:rPr>
                    <w:t xml:space="preserve"> </w:t>
                  </w:r>
                  <w:r>
                    <w:rPr>
                      <w:spacing w:val="8"/>
                      <w:sz w:val="20"/>
                      <w:szCs w:val="20"/>
                    </w:rPr>
                    <w:t>度</w:t>
                  </w:r>
                </w:p>
              </w:tc>
              <w:tc>
                <w:tcPr>
                  <w:tcW w:w="5044" w:type="dxa"/>
                  <w:vAlign w:val="top"/>
                </w:tcPr>
                <w:p w14:paraId="5AD76EB9">
                  <w:pPr>
                    <w:spacing w:line="376" w:lineRule="auto"/>
                    <w:rPr>
                      <w:rFonts w:ascii="Arial"/>
                      <w:sz w:val="21"/>
                    </w:rPr>
                  </w:pPr>
                </w:p>
                <w:p w14:paraId="100C4BEA">
                  <w:pPr>
                    <w:pStyle w:val="6"/>
                    <w:spacing w:before="65" w:line="228" w:lineRule="auto"/>
                    <w:ind w:left="2109"/>
                    <w:rPr>
                      <w:sz w:val="20"/>
                      <w:szCs w:val="20"/>
                    </w:rPr>
                  </w:pPr>
                  <w:r>
                    <w:rPr>
                      <w:spacing w:val="6"/>
                      <w:sz w:val="20"/>
                      <w:szCs w:val="20"/>
                    </w:rPr>
                    <w:t>准入要求</w:t>
                  </w:r>
                </w:p>
              </w:tc>
              <w:tc>
                <w:tcPr>
                  <w:tcW w:w="1316" w:type="dxa"/>
                  <w:vAlign w:val="top"/>
                </w:tcPr>
                <w:p w14:paraId="114857F3">
                  <w:pPr>
                    <w:spacing w:line="376" w:lineRule="auto"/>
                    <w:rPr>
                      <w:rFonts w:ascii="Arial"/>
                      <w:sz w:val="21"/>
                    </w:rPr>
                  </w:pPr>
                </w:p>
                <w:p w14:paraId="27CECFF6">
                  <w:pPr>
                    <w:pStyle w:val="6"/>
                    <w:spacing w:before="65" w:line="227" w:lineRule="auto"/>
                    <w:ind w:left="141"/>
                    <w:rPr>
                      <w:sz w:val="20"/>
                      <w:szCs w:val="20"/>
                    </w:rPr>
                  </w:pPr>
                  <w:r>
                    <w:rPr>
                      <w:spacing w:val="7"/>
                      <w:sz w:val="20"/>
                      <w:szCs w:val="20"/>
                    </w:rPr>
                    <w:t>本项目情况</w:t>
                  </w:r>
                </w:p>
              </w:tc>
              <w:tc>
                <w:tcPr>
                  <w:tcW w:w="367" w:type="dxa"/>
                  <w:textDirection w:val="tbRlV"/>
                  <w:vAlign w:val="top"/>
                </w:tcPr>
                <w:p w14:paraId="5BE64DE3">
                  <w:pPr>
                    <w:pStyle w:val="6"/>
                    <w:spacing w:before="42" w:line="215" w:lineRule="auto"/>
                    <w:ind w:left="35"/>
                    <w:rPr>
                      <w:sz w:val="20"/>
                      <w:szCs w:val="20"/>
                    </w:rPr>
                  </w:pPr>
                  <w:r>
                    <w:rPr>
                      <w:spacing w:val="8"/>
                      <w:sz w:val="20"/>
                      <w:szCs w:val="20"/>
                    </w:rPr>
                    <w:t>是</w:t>
                  </w:r>
                  <w:r>
                    <w:rPr>
                      <w:spacing w:val="-36"/>
                      <w:sz w:val="20"/>
                      <w:szCs w:val="20"/>
                    </w:rPr>
                    <w:t xml:space="preserve"> </w:t>
                  </w:r>
                  <w:r>
                    <w:rPr>
                      <w:spacing w:val="8"/>
                      <w:sz w:val="20"/>
                      <w:szCs w:val="20"/>
                    </w:rPr>
                    <w:t>否</w:t>
                  </w:r>
                  <w:r>
                    <w:rPr>
                      <w:spacing w:val="-35"/>
                      <w:sz w:val="20"/>
                      <w:szCs w:val="20"/>
                    </w:rPr>
                    <w:t xml:space="preserve"> </w:t>
                  </w:r>
                  <w:r>
                    <w:rPr>
                      <w:spacing w:val="8"/>
                      <w:sz w:val="20"/>
                      <w:szCs w:val="20"/>
                    </w:rPr>
                    <w:t>符</w:t>
                  </w:r>
                  <w:r>
                    <w:rPr>
                      <w:spacing w:val="-38"/>
                      <w:sz w:val="20"/>
                      <w:szCs w:val="20"/>
                    </w:rPr>
                    <w:t xml:space="preserve"> </w:t>
                  </w:r>
                  <w:r>
                    <w:rPr>
                      <w:spacing w:val="8"/>
                      <w:sz w:val="20"/>
                      <w:szCs w:val="20"/>
                    </w:rPr>
                    <w:t>合</w:t>
                  </w:r>
                </w:p>
              </w:tc>
            </w:tr>
            <w:tr w14:paraId="7F63F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2" w:hRule="atLeast"/>
              </w:trPr>
              <w:tc>
                <w:tcPr>
                  <w:tcW w:w="405" w:type="dxa"/>
                  <w:textDirection w:val="tbRlV"/>
                  <w:vAlign w:val="top"/>
                </w:tcPr>
                <w:p w14:paraId="7CD7FCCD">
                  <w:pPr>
                    <w:pStyle w:val="6"/>
                    <w:spacing w:before="84" w:line="215" w:lineRule="auto"/>
                    <w:ind w:left="2074"/>
                    <w:rPr>
                      <w:sz w:val="20"/>
                      <w:szCs w:val="20"/>
                    </w:rPr>
                  </w:pPr>
                  <w:r>
                    <w:rPr>
                      <w:spacing w:val="8"/>
                      <w:sz w:val="20"/>
                      <w:szCs w:val="20"/>
                    </w:rPr>
                    <w:t>空</w:t>
                  </w:r>
                  <w:r>
                    <w:rPr>
                      <w:spacing w:val="-34"/>
                      <w:sz w:val="20"/>
                      <w:szCs w:val="20"/>
                    </w:rPr>
                    <w:t xml:space="preserve"> </w:t>
                  </w:r>
                  <w:r>
                    <w:rPr>
                      <w:spacing w:val="8"/>
                      <w:sz w:val="20"/>
                      <w:szCs w:val="20"/>
                    </w:rPr>
                    <w:t>间</w:t>
                  </w:r>
                  <w:r>
                    <w:rPr>
                      <w:spacing w:val="-36"/>
                      <w:sz w:val="20"/>
                      <w:szCs w:val="20"/>
                    </w:rPr>
                    <w:t xml:space="preserve"> </w:t>
                  </w:r>
                  <w:r>
                    <w:rPr>
                      <w:spacing w:val="8"/>
                      <w:sz w:val="20"/>
                      <w:szCs w:val="20"/>
                    </w:rPr>
                    <w:t>布</w:t>
                  </w:r>
                  <w:r>
                    <w:rPr>
                      <w:spacing w:val="-37"/>
                      <w:sz w:val="20"/>
                      <w:szCs w:val="20"/>
                    </w:rPr>
                    <w:t xml:space="preserve"> </w:t>
                  </w:r>
                  <w:r>
                    <w:rPr>
                      <w:spacing w:val="8"/>
                      <w:sz w:val="20"/>
                      <w:szCs w:val="20"/>
                    </w:rPr>
                    <w:t>局</w:t>
                  </w:r>
                  <w:r>
                    <w:rPr>
                      <w:spacing w:val="-35"/>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5044" w:type="dxa"/>
                  <w:vAlign w:val="top"/>
                </w:tcPr>
                <w:p w14:paraId="0783B80B">
                  <w:pPr>
                    <w:pStyle w:val="6"/>
                    <w:spacing w:before="30" w:line="252" w:lineRule="auto"/>
                    <w:ind w:left="114" w:right="107" w:firstLine="8"/>
                    <w:rPr>
                      <w:sz w:val="20"/>
                      <w:szCs w:val="20"/>
                    </w:rPr>
                  </w:pPr>
                  <w:r>
                    <w:rPr>
                      <w:spacing w:val="9"/>
                      <w:sz w:val="20"/>
                      <w:szCs w:val="20"/>
                    </w:rPr>
                    <w:t>除国家规划布局和自治区延链补链的现代煤化工项目</w:t>
                  </w:r>
                  <w:r>
                    <w:rPr>
                      <w:sz w:val="20"/>
                      <w:szCs w:val="20"/>
                    </w:rPr>
                    <w:t xml:space="preserve"> </w:t>
                  </w:r>
                  <w:r>
                    <w:rPr>
                      <w:spacing w:val="8"/>
                      <w:sz w:val="20"/>
                      <w:szCs w:val="20"/>
                    </w:rPr>
                    <w:t>外，“十四五</w:t>
                  </w:r>
                  <w:r>
                    <w:rPr>
                      <w:spacing w:val="-68"/>
                      <w:sz w:val="20"/>
                      <w:szCs w:val="20"/>
                    </w:rPr>
                    <w:t xml:space="preserve"> </w:t>
                  </w:r>
                  <w:r>
                    <w:rPr>
                      <w:spacing w:val="8"/>
                      <w:sz w:val="20"/>
                      <w:szCs w:val="20"/>
                    </w:rPr>
                    <w:t>”期间原则上不再审批新的现代煤化工</w:t>
                  </w:r>
                  <w:r>
                    <w:rPr>
                      <w:sz w:val="20"/>
                      <w:szCs w:val="20"/>
                    </w:rPr>
                    <w:t xml:space="preserve"> </w:t>
                  </w:r>
                  <w:r>
                    <w:rPr>
                      <w:spacing w:val="7"/>
                      <w:sz w:val="20"/>
                      <w:szCs w:val="20"/>
                    </w:rPr>
                    <w:t>项目。严禁新建虚拟货币“挖矿</w:t>
                  </w:r>
                  <w:r>
                    <w:rPr>
                      <w:spacing w:val="-70"/>
                      <w:sz w:val="20"/>
                      <w:szCs w:val="20"/>
                    </w:rPr>
                    <w:t xml:space="preserve"> </w:t>
                  </w:r>
                  <w:r>
                    <w:rPr>
                      <w:spacing w:val="7"/>
                      <w:sz w:val="20"/>
                      <w:szCs w:val="20"/>
                    </w:rPr>
                    <w:t>”项目。</w:t>
                  </w:r>
                </w:p>
                <w:p w14:paraId="75F64349">
                  <w:pPr>
                    <w:pStyle w:val="6"/>
                    <w:spacing w:before="1" w:line="251" w:lineRule="auto"/>
                    <w:ind w:left="110" w:right="107"/>
                    <w:rPr>
                      <w:sz w:val="20"/>
                      <w:szCs w:val="20"/>
                    </w:rPr>
                  </w:pPr>
                  <w:r>
                    <w:rPr>
                      <w:spacing w:val="9"/>
                      <w:sz w:val="20"/>
                      <w:szCs w:val="20"/>
                    </w:rPr>
                    <w:t>禁止布局现有化工园区以外新的化工园区。严格控制</w:t>
                  </w:r>
                  <w:r>
                    <w:rPr>
                      <w:spacing w:val="12"/>
                      <w:sz w:val="20"/>
                      <w:szCs w:val="20"/>
                    </w:rPr>
                    <w:t xml:space="preserve"> </w:t>
                  </w:r>
                  <w:r>
                    <w:rPr>
                      <w:spacing w:val="9"/>
                      <w:sz w:val="20"/>
                      <w:szCs w:val="20"/>
                    </w:rPr>
                    <w:t>新建、扩建高耗水项目，促进火力发电、焦化等高耗</w:t>
                  </w:r>
                  <w:r>
                    <w:rPr>
                      <w:spacing w:val="11"/>
                      <w:sz w:val="20"/>
                      <w:szCs w:val="20"/>
                    </w:rPr>
                    <w:t xml:space="preserve"> </w:t>
                  </w:r>
                  <w:r>
                    <w:rPr>
                      <w:spacing w:val="9"/>
                      <w:sz w:val="20"/>
                      <w:szCs w:val="20"/>
                    </w:rPr>
                    <w:t>水行业节水改造。严格落实水资源超载地区新增用水</w:t>
                  </w:r>
                  <w:r>
                    <w:rPr>
                      <w:spacing w:val="11"/>
                      <w:sz w:val="20"/>
                      <w:szCs w:val="20"/>
                    </w:rPr>
                    <w:t xml:space="preserve"> </w:t>
                  </w:r>
                  <w:r>
                    <w:rPr>
                      <w:spacing w:val="8"/>
                      <w:sz w:val="20"/>
                      <w:szCs w:val="20"/>
                    </w:rPr>
                    <w:t>项目和取水许可“双限批</w:t>
                  </w:r>
                  <w:r>
                    <w:rPr>
                      <w:spacing w:val="-66"/>
                      <w:sz w:val="20"/>
                      <w:szCs w:val="20"/>
                    </w:rPr>
                    <w:t xml:space="preserve"> </w:t>
                  </w:r>
                  <w:r>
                    <w:rPr>
                      <w:spacing w:val="8"/>
                      <w:sz w:val="20"/>
                      <w:szCs w:val="20"/>
                    </w:rPr>
                    <w:t>”。对未达到国家和自治区</w:t>
                  </w:r>
                  <w:r>
                    <w:rPr>
                      <w:sz w:val="20"/>
                      <w:szCs w:val="20"/>
                    </w:rPr>
                    <w:t xml:space="preserve"> </w:t>
                  </w:r>
                  <w:r>
                    <w:rPr>
                      <w:spacing w:val="9"/>
                      <w:sz w:val="20"/>
                      <w:szCs w:val="20"/>
                    </w:rPr>
                    <w:t>先进用水定额标准的新建工业项目一律不予审批取</w:t>
                  </w:r>
                </w:p>
                <w:p w14:paraId="1E63314F">
                  <w:pPr>
                    <w:pStyle w:val="6"/>
                    <w:spacing w:before="3" w:line="251" w:lineRule="auto"/>
                    <w:ind w:left="109" w:right="107" w:firstLine="3"/>
                    <w:rPr>
                      <w:sz w:val="20"/>
                      <w:szCs w:val="20"/>
                    </w:rPr>
                  </w:pPr>
                  <w:r>
                    <w:rPr>
                      <w:spacing w:val="9"/>
                      <w:sz w:val="20"/>
                      <w:szCs w:val="20"/>
                    </w:rPr>
                    <w:t>水，对超过取用水定额标准的现有工业项目要尽快实</w:t>
                  </w:r>
                  <w:r>
                    <w:rPr>
                      <w:spacing w:val="10"/>
                      <w:sz w:val="20"/>
                      <w:szCs w:val="20"/>
                    </w:rPr>
                    <w:t xml:space="preserve"> </w:t>
                  </w:r>
                  <w:r>
                    <w:rPr>
                      <w:spacing w:val="9"/>
                      <w:sz w:val="20"/>
                      <w:szCs w:val="20"/>
                    </w:rPr>
                    <w:t>施节水改造，改造后仍达不到国家和自治区用水定额</w:t>
                  </w:r>
                  <w:r>
                    <w:rPr>
                      <w:spacing w:val="13"/>
                      <w:sz w:val="20"/>
                      <w:szCs w:val="20"/>
                    </w:rPr>
                    <w:t xml:space="preserve"> </w:t>
                  </w:r>
                  <w:r>
                    <w:rPr>
                      <w:spacing w:val="9"/>
                      <w:sz w:val="20"/>
                      <w:szCs w:val="20"/>
                    </w:rPr>
                    <w:t>通用值的，延续取水许可时不予批准。严格控制耕地</w:t>
                  </w:r>
                  <w:r>
                    <w:rPr>
                      <w:spacing w:val="13"/>
                      <w:sz w:val="20"/>
                      <w:szCs w:val="20"/>
                    </w:rPr>
                    <w:t xml:space="preserve"> </w:t>
                  </w:r>
                  <w:r>
                    <w:rPr>
                      <w:spacing w:val="7"/>
                      <w:sz w:val="20"/>
                      <w:szCs w:val="20"/>
                    </w:rPr>
                    <w:t>灌溉面积，坚守“</w:t>
                  </w:r>
                  <w:r>
                    <w:rPr>
                      <w:spacing w:val="-71"/>
                      <w:sz w:val="20"/>
                      <w:szCs w:val="20"/>
                    </w:rPr>
                    <w:t xml:space="preserve"> </w:t>
                  </w:r>
                  <w:r>
                    <w:rPr>
                      <w:spacing w:val="7"/>
                      <w:sz w:val="20"/>
                      <w:szCs w:val="20"/>
                    </w:rPr>
                    <w:t>四水四定</w:t>
                  </w:r>
                  <w:r>
                    <w:rPr>
                      <w:spacing w:val="-70"/>
                      <w:sz w:val="20"/>
                      <w:szCs w:val="20"/>
                    </w:rPr>
                    <w:t xml:space="preserve"> </w:t>
                  </w:r>
                  <w:r>
                    <w:rPr>
                      <w:spacing w:val="7"/>
                      <w:sz w:val="20"/>
                      <w:szCs w:val="20"/>
                    </w:rPr>
                    <w:t>”底线，不得借助新建、</w:t>
                  </w:r>
                  <w:r>
                    <w:rPr>
                      <w:sz w:val="20"/>
                      <w:szCs w:val="20"/>
                    </w:rPr>
                    <w:t xml:space="preserve"> </w:t>
                  </w:r>
                  <w:r>
                    <w:rPr>
                      <w:spacing w:val="9"/>
                      <w:sz w:val="20"/>
                      <w:szCs w:val="20"/>
                    </w:rPr>
                    <w:t>扩建、改建项目擅自增大灌溉面积，对于地类属性为</w:t>
                  </w:r>
                  <w:r>
                    <w:rPr>
                      <w:spacing w:val="13"/>
                      <w:sz w:val="20"/>
                      <w:szCs w:val="20"/>
                    </w:rPr>
                    <w:t xml:space="preserve"> </w:t>
                  </w:r>
                  <w:r>
                    <w:rPr>
                      <w:spacing w:val="8"/>
                      <w:sz w:val="20"/>
                      <w:szCs w:val="20"/>
                    </w:rPr>
                    <w:t>非耕地的，逐步退出种植，还林还草。</w:t>
                  </w:r>
                </w:p>
                <w:p w14:paraId="5E275E4A">
                  <w:pPr>
                    <w:pStyle w:val="6"/>
                    <w:spacing w:before="1" w:line="246" w:lineRule="auto"/>
                    <w:ind w:left="109" w:right="107"/>
                    <w:rPr>
                      <w:sz w:val="20"/>
                      <w:szCs w:val="20"/>
                    </w:rPr>
                  </w:pPr>
                  <w:r>
                    <w:rPr>
                      <w:spacing w:val="9"/>
                      <w:sz w:val="20"/>
                      <w:szCs w:val="20"/>
                    </w:rPr>
                    <w:t>拆除黄河沿岸国堤内临时和移动建筑，黄河滩区主河</w:t>
                  </w:r>
                  <w:r>
                    <w:rPr>
                      <w:spacing w:val="12"/>
                      <w:sz w:val="20"/>
                      <w:szCs w:val="20"/>
                    </w:rPr>
                    <w:t xml:space="preserve"> </w:t>
                  </w:r>
                  <w:r>
                    <w:rPr>
                      <w:spacing w:val="9"/>
                      <w:sz w:val="20"/>
                      <w:szCs w:val="20"/>
                    </w:rPr>
                    <w:t>槽内全面禁种高杆作物，禁止使用农药、化肥；低滩</w:t>
                  </w:r>
                  <w:r>
                    <w:rPr>
                      <w:spacing w:val="13"/>
                      <w:sz w:val="20"/>
                      <w:szCs w:val="20"/>
                    </w:rPr>
                    <w:t xml:space="preserve"> </w:t>
                  </w:r>
                  <w:r>
                    <w:rPr>
                      <w:spacing w:val="9"/>
                      <w:sz w:val="20"/>
                      <w:szCs w:val="20"/>
                    </w:rPr>
                    <w:t>区大力开展农药化肥减量、有机肥增量行动；高滩区</w:t>
                  </w:r>
                  <w:r>
                    <w:rPr>
                      <w:spacing w:val="13"/>
                      <w:sz w:val="20"/>
                      <w:szCs w:val="20"/>
                    </w:rPr>
                    <w:t xml:space="preserve"> </w:t>
                  </w:r>
                  <w:r>
                    <w:rPr>
                      <w:spacing w:val="9"/>
                      <w:sz w:val="20"/>
                      <w:szCs w:val="20"/>
                    </w:rPr>
                    <w:t>内合理管控农药、化肥，积极推广使用有机肥。推动</w:t>
                  </w:r>
                  <w:r>
                    <w:rPr>
                      <w:spacing w:val="13"/>
                      <w:sz w:val="20"/>
                      <w:szCs w:val="20"/>
                    </w:rPr>
                    <w:t xml:space="preserve"> </w:t>
                  </w:r>
                  <w:r>
                    <w:rPr>
                      <w:spacing w:val="9"/>
                      <w:sz w:val="20"/>
                      <w:szCs w:val="20"/>
                    </w:rPr>
                    <w:t>沿黄一定范围内高耗水、高污染企业迁入合规园区，</w:t>
                  </w:r>
                  <w:r>
                    <w:rPr>
                      <w:spacing w:val="13"/>
                      <w:sz w:val="20"/>
                      <w:szCs w:val="20"/>
                    </w:rPr>
                    <w:t xml:space="preserve"> </w:t>
                  </w:r>
                  <w:r>
                    <w:rPr>
                      <w:spacing w:val="9"/>
                      <w:sz w:val="20"/>
                      <w:szCs w:val="20"/>
                    </w:rPr>
                    <w:t>严禁在黄河干流及主要支流临岸一定范围内新建“两</w:t>
                  </w:r>
                  <w:r>
                    <w:rPr>
                      <w:spacing w:val="13"/>
                      <w:sz w:val="20"/>
                      <w:szCs w:val="20"/>
                    </w:rPr>
                    <w:t xml:space="preserve"> </w:t>
                  </w:r>
                  <w:r>
                    <w:rPr>
                      <w:spacing w:val="8"/>
                      <w:sz w:val="20"/>
                      <w:szCs w:val="20"/>
                    </w:rPr>
                    <w:t>高一资</w:t>
                  </w:r>
                  <w:r>
                    <w:rPr>
                      <w:spacing w:val="-64"/>
                      <w:sz w:val="20"/>
                      <w:szCs w:val="20"/>
                    </w:rPr>
                    <w:t xml:space="preserve"> </w:t>
                  </w:r>
                  <w:r>
                    <w:rPr>
                      <w:spacing w:val="8"/>
                      <w:sz w:val="20"/>
                      <w:szCs w:val="20"/>
                    </w:rPr>
                    <w:t>”项目及相关产业园区。禁止在黄河干支流岸</w:t>
                  </w:r>
                </w:p>
              </w:tc>
              <w:tc>
                <w:tcPr>
                  <w:tcW w:w="1316" w:type="dxa"/>
                  <w:vAlign w:val="top"/>
                </w:tcPr>
                <w:p w14:paraId="39B271CE">
                  <w:pPr>
                    <w:pStyle w:val="6"/>
                    <w:spacing w:before="31" w:line="227" w:lineRule="auto"/>
                    <w:ind w:left="141"/>
                    <w:rPr>
                      <w:sz w:val="20"/>
                      <w:szCs w:val="20"/>
                    </w:rPr>
                  </w:pPr>
                  <w:r>
                    <w:rPr>
                      <w:spacing w:val="7"/>
                      <w:sz w:val="20"/>
                      <w:szCs w:val="20"/>
                    </w:rPr>
                    <w:t>本项目不属</w:t>
                  </w:r>
                </w:p>
                <w:p w14:paraId="7DFDE967">
                  <w:pPr>
                    <w:pStyle w:val="6"/>
                    <w:spacing w:before="28" w:line="226" w:lineRule="auto"/>
                    <w:ind w:left="143"/>
                    <w:rPr>
                      <w:sz w:val="20"/>
                      <w:szCs w:val="20"/>
                    </w:rPr>
                  </w:pPr>
                  <w:r>
                    <w:rPr>
                      <w:spacing w:val="7"/>
                      <w:sz w:val="20"/>
                      <w:szCs w:val="20"/>
                    </w:rPr>
                    <w:t>于现代煤化</w:t>
                  </w:r>
                </w:p>
                <w:p w14:paraId="48BA1075">
                  <w:pPr>
                    <w:pStyle w:val="6"/>
                    <w:spacing w:before="25" w:line="228" w:lineRule="auto"/>
                    <w:ind w:left="142"/>
                    <w:rPr>
                      <w:sz w:val="20"/>
                      <w:szCs w:val="20"/>
                    </w:rPr>
                  </w:pPr>
                  <w:r>
                    <w:rPr>
                      <w:spacing w:val="8"/>
                      <w:sz w:val="20"/>
                      <w:szCs w:val="20"/>
                    </w:rPr>
                    <w:t>工项目；不</w:t>
                  </w:r>
                </w:p>
                <w:p w14:paraId="7AA3320F">
                  <w:pPr>
                    <w:pStyle w:val="6"/>
                    <w:spacing w:before="27" w:line="225" w:lineRule="auto"/>
                    <w:ind w:left="142"/>
                    <w:rPr>
                      <w:sz w:val="20"/>
                      <w:szCs w:val="20"/>
                    </w:rPr>
                  </w:pPr>
                  <w:r>
                    <w:rPr>
                      <w:spacing w:val="7"/>
                      <w:sz w:val="20"/>
                      <w:szCs w:val="20"/>
                    </w:rPr>
                    <w:t>属于虚拟货</w:t>
                  </w:r>
                </w:p>
                <w:p w14:paraId="414DD43C">
                  <w:pPr>
                    <w:pStyle w:val="6"/>
                    <w:spacing w:before="26" w:line="227" w:lineRule="auto"/>
                    <w:ind w:left="163"/>
                    <w:rPr>
                      <w:sz w:val="20"/>
                      <w:szCs w:val="20"/>
                    </w:rPr>
                  </w:pPr>
                  <w:r>
                    <w:rPr>
                      <w:spacing w:val="17"/>
                      <w:sz w:val="20"/>
                      <w:szCs w:val="20"/>
                    </w:rPr>
                    <w:t>币“挖矿</w:t>
                  </w:r>
                  <w:r>
                    <w:rPr>
                      <w:spacing w:val="-68"/>
                      <w:sz w:val="20"/>
                      <w:szCs w:val="20"/>
                    </w:rPr>
                    <w:t xml:space="preserve"> </w:t>
                  </w:r>
                  <w:r>
                    <w:rPr>
                      <w:spacing w:val="17"/>
                      <w:sz w:val="20"/>
                      <w:szCs w:val="20"/>
                    </w:rPr>
                    <w:t>”</w:t>
                  </w:r>
                </w:p>
                <w:p w14:paraId="79452191">
                  <w:pPr>
                    <w:pStyle w:val="6"/>
                    <w:spacing w:before="25" w:line="228" w:lineRule="auto"/>
                    <w:ind w:left="143"/>
                    <w:rPr>
                      <w:sz w:val="20"/>
                      <w:szCs w:val="20"/>
                    </w:rPr>
                  </w:pPr>
                  <w:r>
                    <w:rPr>
                      <w:spacing w:val="7"/>
                      <w:sz w:val="20"/>
                      <w:szCs w:val="20"/>
                    </w:rPr>
                    <w:t>项目；不属</w:t>
                  </w:r>
                </w:p>
                <w:p w14:paraId="28819124">
                  <w:pPr>
                    <w:pStyle w:val="6"/>
                    <w:spacing w:before="28" w:line="228" w:lineRule="auto"/>
                    <w:ind w:left="143"/>
                    <w:rPr>
                      <w:sz w:val="20"/>
                      <w:szCs w:val="20"/>
                    </w:rPr>
                  </w:pPr>
                  <w:r>
                    <w:rPr>
                      <w:spacing w:val="7"/>
                      <w:sz w:val="20"/>
                      <w:szCs w:val="20"/>
                    </w:rPr>
                    <w:t>于新建化工</w:t>
                  </w:r>
                </w:p>
                <w:p w14:paraId="3A5E6550">
                  <w:pPr>
                    <w:pStyle w:val="6"/>
                    <w:spacing w:before="24" w:line="229" w:lineRule="auto"/>
                    <w:ind w:left="157"/>
                    <w:rPr>
                      <w:sz w:val="20"/>
                      <w:szCs w:val="20"/>
                    </w:rPr>
                  </w:pPr>
                  <w:r>
                    <w:rPr>
                      <w:spacing w:val="4"/>
                      <w:sz w:val="20"/>
                      <w:szCs w:val="20"/>
                    </w:rPr>
                    <w:t>园区；不属</w:t>
                  </w:r>
                </w:p>
                <w:p w14:paraId="3143D43B">
                  <w:pPr>
                    <w:pStyle w:val="6"/>
                    <w:spacing w:before="25" w:line="228" w:lineRule="auto"/>
                    <w:ind w:left="143"/>
                    <w:rPr>
                      <w:sz w:val="20"/>
                      <w:szCs w:val="20"/>
                    </w:rPr>
                  </w:pPr>
                  <w:r>
                    <w:rPr>
                      <w:spacing w:val="7"/>
                      <w:sz w:val="20"/>
                      <w:szCs w:val="20"/>
                    </w:rPr>
                    <w:t>于高耗水项</w:t>
                  </w:r>
                </w:p>
                <w:p w14:paraId="6F0B13D5">
                  <w:pPr>
                    <w:pStyle w:val="6"/>
                    <w:spacing w:before="24" w:line="229" w:lineRule="auto"/>
                    <w:ind w:left="180"/>
                    <w:rPr>
                      <w:sz w:val="20"/>
                      <w:szCs w:val="20"/>
                    </w:rPr>
                  </w:pPr>
                  <w:r>
                    <w:rPr>
                      <w:sz w:val="20"/>
                      <w:szCs w:val="20"/>
                    </w:rPr>
                    <w:t>目；不取用</w:t>
                  </w:r>
                </w:p>
                <w:p w14:paraId="3CE55645">
                  <w:pPr>
                    <w:pStyle w:val="6"/>
                    <w:spacing w:before="25" w:line="228" w:lineRule="auto"/>
                    <w:ind w:left="140"/>
                    <w:rPr>
                      <w:sz w:val="20"/>
                      <w:szCs w:val="20"/>
                    </w:rPr>
                  </w:pPr>
                  <w:r>
                    <w:rPr>
                      <w:spacing w:val="8"/>
                      <w:sz w:val="20"/>
                      <w:szCs w:val="20"/>
                    </w:rPr>
                    <w:t>地下水，不</w:t>
                  </w:r>
                </w:p>
                <w:p w14:paraId="2A14F3B5">
                  <w:pPr>
                    <w:pStyle w:val="6"/>
                    <w:spacing w:before="25" w:line="228" w:lineRule="auto"/>
                    <w:ind w:left="142"/>
                    <w:rPr>
                      <w:sz w:val="20"/>
                      <w:szCs w:val="20"/>
                    </w:rPr>
                  </w:pPr>
                  <w:r>
                    <w:rPr>
                      <w:spacing w:val="7"/>
                      <w:sz w:val="20"/>
                      <w:szCs w:val="20"/>
                    </w:rPr>
                    <w:t>涉及取水许</w:t>
                  </w:r>
                </w:p>
                <w:p w14:paraId="55E5B345">
                  <w:pPr>
                    <w:pStyle w:val="6"/>
                    <w:spacing w:before="26" w:line="228" w:lineRule="auto"/>
                    <w:ind w:left="142"/>
                    <w:rPr>
                      <w:sz w:val="20"/>
                      <w:szCs w:val="20"/>
                    </w:rPr>
                  </w:pPr>
                  <w:r>
                    <w:rPr>
                      <w:spacing w:val="8"/>
                      <w:sz w:val="20"/>
                      <w:szCs w:val="20"/>
                    </w:rPr>
                    <w:t>可审批；项</w:t>
                  </w:r>
                </w:p>
                <w:p w14:paraId="64A0F0A8">
                  <w:pPr>
                    <w:pStyle w:val="6"/>
                    <w:spacing w:before="25" w:line="229" w:lineRule="auto"/>
                    <w:ind w:left="180"/>
                    <w:rPr>
                      <w:sz w:val="20"/>
                      <w:szCs w:val="20"/>
                    </w:rPr>
                  </w:pPr>
                  <w:r>
                    <w:rPr>
                      <w:sz w:val="20"/>
                      <w:szCs w:val="20"/>
                    </w:rPr>
                    <w:t>目用地不属</w:t>
                  </w:r>
                </w:p>
                <w:p w14:paraId="4A7BCBA4">
                  <w:pPr>
                    <w:pStyle w:val="6"/>
                    <w:spacing w:before="25" w:line="227" w:lineRule="auto"/>
                    <w:ind w:left="143"/>
                    <w:rPr>
                      <w:sz w:val="20"/>
                      <w:szCs w:val="20"/>
                    </w:rPr>
                  </w:pPr>
                  <w:r>
                    <w:rPr>
                      <w:spacing w:val="7"/>
                      <w:sz w:val="20"/>
                      <w:szCs w:val="20"/>
                    </w:rPr>
                    <w:t>于耕地，不</w:t>
                  </w:r>
                </w:p>
                <w:p w14:paraId="0A3F323B">
                  <w:pPr>
                    <w:pStyle w:val="6"/>
                    <w:spacing w:before="25" w:line="227" w:lineRule="auto"/>
                    <w:ind w:left="142"/>
                    <w:rPr>
                      <w:sz w:val="20"/>
                      <w:szCs w:val="20"/>
                    </w:rPr>
                  </w:pPr>
                  <w:r>
                    <w:rPr>
                      <w:spacing w:val="7"/>
                      <w:sz w:val="20"/>
                      <w:szCs w:val="20"/>
                    </w:rPr>
                    <w:t>涉及耕地灌</w:t>
                  </w:r>
                </w:p>
                <w:p w14:paraId="2422BF61">
                  <w:pPr>
                    <w:pStyle w:val="6"/>
                    <w:spacing w:before="28" w:line="229" w:lineRule="auto"/>
                    <w:ind w:left="139"/>
                    <w:rPr>
                      <w:sz w:val="20"/>
                      <w:szCs w:val="20"/>
                    </w:rPr>
                  </w:pPr>
                  <w:r>
                    <w:rPr>
                      <w:spacing w:val="8"/>
                      <w:sz w:val="20"/>
                      <w:szCs w:val="20"/>
                    </w:rPr>
                    <w:t>溉，不涉及</w:t>
                  </w:r>
                </w:p>
                <w:p w14:paraId="4E6636AE">
                  <w:pPr>
                    <w:pStyle w:val="6"/>
                    <w:spacing w:before="23" w:line="228" w:lineRule="auto"/>
                    <w:ind w:left="141"/>
                    <w:rPr>
                      <w:sz w:val="20"/>
                      <w:szCs w:val="20"/>
                    </w:rPr>
                  </w:pPr>
                  <w:r>
                    <w:rPr>
                      <w:spacing w:val="5"/>
                      <w:sz w:val="20"/>
                      <w:szCs w:val="20"/>
                    </w:rPr>
                    <w:t>使用农药、</w:t>
                  </w:r>
                </w:p>
                <w:p w14:paraId="7DCC6C61">
                  <w:pPr>
                    <w:pStyle w:val="6"/>
                    <w:spacing w:before="27" w:line="227" w:lineRule="auto"/>
                    <w:ind w:left="352"/>
                    <w:rPr>
                      <w:sz w:val="20"/>
                      <w:szCs w:val="20"/>
                    </w:rPr>
                  </w:pPr>
                  <w:r>
                    <w:rPr>
                      <w:spacing w:val="2"/>
                      <w:sz w:val="20"/>
                      <w:szCs w:val="20"/>
                    </w:rPr>
                    <w:t>化肥。</w:t>
                  </w:r>
                </w:p>
                <w:p w14:paraId="40067762">
                  <w:pPr>
                    <w:pStyle w:val="6"/>
                    <w:spacing w:before="25" w:line="227" w:lineRule="auto"/>
                    <w:ind w:left="141"/>
                    <w:rPr>
                      <w:sz w:val="20"/>
                      <w:szCs w:val="20"/>
                    </w:rPr>
                  </w:pPr>
                  <w:r>
                    <w:rPr>
                      <w:spacing w:val="7"/>
                      <w:sz w:val="20"/>
                      <w:szCs w:val="20"/>
                    </w:rPr>
                    <w:t>本项目不属</w:t>
                  </w:r>
                </w:p>
                <w:p w14:paraId="54CAAD45">
                  <w:pPr>
                    <w:pStyle w:val="6"/>
                    <w:spacing w:before="26" w:line="216" w:lineRule="auto"/>
                    <w:ind w:left="143"/>
                    <w:rPr>
                      <w:sz w:val="20"/>
                      <w:szCs w:val="20"/>
                    </w:rPr>
                  </w:pPr>
                  <w:r>
                    <w:rPr>
                      <w:spacing w:val="5"/>
                      <w:sz w:val="20"/>
                      <w:szCs w:val="20"/>
                    </w:rPr>
                    <w:t>于高耗水、</w:t>
                  </w:r>
                </w:p>
              </w:tc>
              <w:tc>
                <w:tcPr>
                  <w:tcW w:w="367" w:type="dxa"/>
                  <w:textDirection w:val="tbRlV"/>
                  <w:vAlign w:val="top"/>
                </w:tcPr>
                <w:p w14:paraId="01570138">
                  <w:pPr>
                    <w:pStyle w:val="6"/>
                    <w:spacing w:before="42" w:line="215" w:lineRule="auto"/>
                    <w:ind w:left="2619"/>
                    <w:rPr>
                      <w:sz w:val="20"/>
                      <w:szCs w:val="20"/>
                    </w:rPr>
                  </w:pPr>
                  <w:r>
                    <w:rPr>
                      <w:spacing w:val="8"/>
                      <w:sz w:val="20"/>
                      <w:szCs w:val="20"/>
                    </w:rPr>
                    <w:t>符</w:t>
                  </w:r>
                  <w:r>
                    <w:rPr>
                      <w:spacing w:val="-38"/>
                      <w:sz w:val="20"/>
                      <w:szCs w:val="20"/>
                    </w:rPr>
                    <w:t xml:space="preserve"> </w:t>
                  </w:r>
                  <w:r>
                    <w:rPr>
                      <w:spacing w:val="8"/>
                      <w:sz w:val="20"/>
                      <w:szCs w:val="20"/>
                    </w:rPr>
                    <w:t>合</w:t>
                  </w:r>
                </w:p>
              </w:tc>
            </w:tr>
          </w:tbl>
          <w:p w14:paraId="65C45C07">
            <w:pPr>
              <w:spacing w:line="52" w:lineRule="exact"/>
              <w:rPr>
                <w:rFonts w:ascii="Arial"/>
                <w:sz w:val="4"/>
              </w:rPr>
            </w:pPr>
          </w:p>
        </w:tc>
      </w:tr>
    </w:tbl>
    <w:p w14:paraId="249D1FB7">
      <w:pPr>
        <w:pStyle w:val="2"/>
        <w:spacing w:line="216" w:lineRule="exact"/>
        <w:rPr>
          <w:sz w:val="18"/>
        </w:rPr>
      </w:pPr>
    </w:p>
    <w:p w14:paraId="79C2CD99">
      <w:pPr>
        <w:spacing w:line="216" w:lineRule="exact"/>
        <w:rPr>
          <w:sz w:val="18"/>
          <w:szCs w:val="18"/>
        </w:rPr>
        <w:sectPr>
          <w:footerReference r:id="rId13" w:type="default"/>
          <w:pgSz w:w="11906" w:h="16839"/>
          <w:pgMar w:top="400" w:right="1739" w:bottom="1257" w:left="1738" w:header="0" w:footer="1097" w:gutter="0"/>
          <w:cols w:space="720" w:num="1"/>
        </w:sectPr>
      </w:pPr>
    </w:p>
    <w:p w14:paraId="488D3F64">
      <w:pPr>
        <w:spacing w:before="19"/>
      </w:pPr>
    </w:p>
    <w:p w14:paraId="2E8F1F80">
      <w:pPr>
        <w:spacing w:before="19"/>
      </w:pPr>
    </w:p>
    <w:p w14:paraId="2C3CC97C">
      <w:pPr>
        <w:spacing w:before="18"/>
      </w:pPr>
    </w:p>
    <w:p w14:paraId="0F9ABCB3">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5CC00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758" w:hRule="atLeast"/>
        </w:trPr>
        <w:tc>
          <w:tcPr>
            <w:tcW w:w="1180" w:type="dxa"/>
            <w:vAlign w:val="top"/>
          </w:tcPr>
          <w:p w14:paraId="0CF6E5AB">
            <w:pPr>
              <w:rPr>
                <w:rFonts w:ascii="Arial"/>
                <w:sz w:val="21"/>
              </w:rPr>
            </w:pPr>
          </w:p>
        </w:tc>
        <w:tc>
          <w:tcPr>
            <w:tcW w:w="404" w:type="dxa"/>
            <w:vAlign w:val="top"/>
          </w:tcPr>
          <w:p w14:paraId="0D821FD1">
            <w:pPr>
              <w:rPr>
                <w:rFonts w:ascii="Arial"/>
                <w:sz w:val="21"/>
              </w:rPr>
            </w:pPr>
          </w:p>
        </w:tc>
        <w:tc>
          <w:tcPr>
            <w:tcW w:w="5085" w:type="dxa"/>
            <w:vAlign w:val="top"/>
          </w:tcPr>
          <w:p w14:paraId="62E7E169">
            <w:pPr>
              <w:pStyle w:val="6"/>
              <w:spacing w:before="109" w:line="251" w:lineRule="auto"/>
              <w:ind w:left="164" w:right="93" w:firstLine="3"/>
              <w:rPr>
                <w:sz w:val="20"/>
                <w:szCs w:val="20"/>
              </w:rPr>
            </w:pPr>
            <w:r>
              <w:rPr>
                <w:spacing w:val="9"/>
                <w:sz w:val="20"/>
                <w:szCs w:val="20"/>
              </w:rPr>
              <w:t>线管控范围内（黄河干流鄂尔多斯段和本市行政区域</w:t>
            </w:r>
            <w:r>
              <w:rPr>
                <w:spacing w:val="10"/>
                <w:sz w:val="20"/>
                <w:szCs w:val="20"/>
              </w:rPr>
              <w:t xml:space="preserve"> </w:t>
            </w:r>
            <w:r>
              <w:rPr>
                <w:spacing w:val="9"/>
                <w:sz w:val="20"/>
                <w:szCs w:val="20"/>
              </w:rPr>
              <w:t>内黄河支流）新建、扩建化工园区和化工项目。禁止</w:t>
            </w:r>
            <w:r>
              <w:rPr>
                <w:spacing w:val="13"/>
                <w:sz w:val="20"/>
                <w:szCs w:val="20"/>
              </w:rPr>
              <w:t xml:space="preserve"> </w:t>
            </w:r>
            <w:r>
              <w:rPr>
                <w:spacing w:val="9"/>
                <w:sz w:val="20"/>
                <w:szCs w:val="20"/>
              </w:rPr>
              <w:t>在黄河干流岸线和重要支流岸线的管控范围内新建、</w:t>
            </w:r>
            <w:r>
              <w:rPr>
                <w:spacing w:val="13"/>
                <w:sz w:val="20"/>
                <w:szCs w:val="20"/>
              </w:rPr>
              <w:t xml:space="preserve"> </w:t>
            </w:r>
            <w:r>
              <w:rPr>
                <w:spacing w:val="9"/>
                <w:sz w:val="20"/>
                <w:szCs w:val="20"/>
              </w:rPr>
              <w:t>改建、扩建尾矿库；但是以提升安全水平、生态环境</w:t>
            </w:r>
            <w:r>
              <w:rPr>
                <w:spacing w:val="13"/>
                <w:sz w:val="20"/>
                <w:szCs w:val="20"/>
              </w:rPr>
              <w:t xml:space="preserve"> </w:t>
            </w:r>
            <w:r>
              <w:rPr>
                <w:spacing w:val="9"/>
                <w:sz w:val="20"/>
                <w:szCs w:val="20"/>
              </w:rPr>
              <w:t>保护水平为目的的改建除外。对已备案但尚未开工的</w:t>
            </w:r>
            <w:r>
              <w:rPr>
                <w:spacing w:val="13"/>
                <w:sz w:val="20"/>
                <w:szCs w:val="20"/>
              </w:rPr>
              <w:t xml:space="preserve"> </w:t>
            </w:r>
            <w:r>
              <w:rPr>
                <w:spacing w:val="9"/>
                <w:sz w:val="20"/>
                <w:szCs w:val="20"/>
              </w:rPr>
              <w:t>拟建工业项目，指导督促和协调帮助企业将项目调整</w:t>
            </w:r>
            <w:r>
              <w:rPr>
                <w:spacing w:val="13"/>
                <w:sz w:val="20"/>
                <w:szCs w:val="20"/>
              </w:rPr>
              <w:t xml:space="preserve"> </w:t>
            </w:r>
            <w:r>
              <w:rPr>
                <w:spacing w:val="9"/>
                <w:sz w:val="20"/>
                <w:szCs w:val="20"/>
              </w:rPr>
              <w:t>转入合规工业园区内建设。布局在园区外的现有重化</w:t>
            </w:r>
            <w:r>
              <w:rPr>
                <w:spacing w:val="13"/>
                <w:sz w:val="20"/>
                <w:szCs w:val="20"/>
              </w:rPr>
              <w:t xml:space="preserve"> </w:t>
            </w:r>
            <w:r>
              <w:rPr>
                <w:spacing w:val="9"/>
                <w:sz w:val="20"/>
                <w:szCs w:val="20"/>
              </w:rPr>
              <w:t>工企业，严禁在原址审批新增产能项目。鼓励有条件</w:t>
            </w:r>
            <w:r>
              <w:rPr>
                <w:spacing w:val="13"/>
                <w:sz w:val="20"/>
                <w:szCs w:val="20"/>
              </w:rPr>
              <w:t xml:space="preserve"> </w:t>
            </w:r>
            <w:r>
              <w:rPr>
                <w:spacing w:val="8"/>
                <w:sz w:val="20"/>
                <w:szCs w:val="20"/>
              </w:rPr>
              <w:t>的已建成工业项目搬迁入园。“十四五</w:t>
            </w:r>
            <w:r>
              <w:rPr>
                <w:spacing w:val="-64"/>
                <w:sz w:val="20"/>
                <w:szCs w:val="20"/>
              </w:rPr>
              <w:t xml:space="preserve"> </w:t>
            </w:r>
            <w:r>
              <w:rPr>
                <w:spacing w:val="8"/>
                <w:sz w:val="20"/>
                <w:szCs w:val="20"/>
              </w:rPr>
              <w:t>”时期，沿黄</w:t>
            </w:r>
            <w:r>
              <w:rPr>
                <w:sz w:val="20"/>
                <w:szCs w:val="20"/>
              </w:rPr>
              <w:t xml:space="preserve"> </w:t>
            </w:r>
            <w:r>
              <w:rPr>
                <w:spacing w:val="9"/>
                <w:sz w:val="20"/>
                <w:szCs w:val="20"/>
              </w:rPr>
              <w:t>地区工业项目入园及严控高污染、高耗水、高耗能项</w:t>
            </w:r>
            <w:r>
              <w:rPr>
                <w:spacing w:val="13"/>
                <w:sz w:val="20"/>
                <w:szCs w:val="20"/>
              </w:rPr>
              <w:t xml:space="preserve"> </w:t>
            </w:r>
            <w:r>
              <w:rPr>
                <w:spacing w:val="8"/>
                <w:sz w:val="20"/>
                <w:szCs w:val="20"/>
              </w:rPr>
              <w:t>目应严格参照《关于“十四五</w:t>
            </w:r>
            <w:r>
              <w:rPr>
                <w:spacing w:val="-64"/>
                <w:sz w:val="20"/>
                <w:szCs w:val="20"/>
              </w:rPr>
              <w:t xml:space="preserve"> </w:t>
            </w:r>
            <w:r>
              <w:rPr>
                <w:spacing w:val="8"/>
                <w:sz w:val="20"/>
                <w:szCs w:val="20"/>
              </w:rPr>
              <w:t>”推进沿黄重点地区工</w:t>
            </w:r>
            <w:r>
              <w:rPr>
                <w:sz w:val="20"/>
                <w:szCs w:val="20"/>
              </w:rPr>
              <w:t xml:space="preserve"> </w:t>
            </w:r>
            <w:r>
              <w:rPr>
                <w:spacing w:val="9"/>
                <w:sz w:val="20"/>
                <w:szCs w:val="20"/>
              </w:rPr>
              <w:t>业项目入园及严控高污染、高耗水、高耗能项目的通</w:t>
            </w:r>
            <w:r>
              <w:rPr>
                <w:spacing w:val="13"/>
                <w:sz w:val="20"/>
                <w:szCs w:val="20"/>
              </w:rPr>
              <w:t xml:space="preserve"> </w:t>
            </w:r>
            <w:r>
              <w:rPr>
                <w:spacing w:val="7"/>
                <w:sz w:val="20"/>
                <w:szCs w:val="20"/>
              </w:rPr>
              <w:t>知》文件要求执行。</w:t>
            </w:r>
          </w:p>
          <w:p w14:paraId="482DA516">
            <w:pPr>
              <w:pStyle w:val="6"/>
              <w:spacing w:before="3" w:line="250" w:lineRule="auto"/>
              <w:ind w:left="166" w:right="93"/>
              <w:rPr>
                <w:sz w:val="20"/>
                <w:szCs w:val="20"/>
              </w:rPr>
            </w:pPr>
            <w:r>
              <w:rPr>
                <w:spacing w:val="9"/>
                <w:sz w:val="20"/>
                <w:szCs w:val="20"/>
              </w:rPr>
              <w:t>按照规模化布局的原则，对各园区的产业和项目进行</w:t>
            </w:r>
            <w:r>
              <w:rPr>
                <w:spacing w:val="11"/>
                <w:sz w:val="20"/>
                <w:szCs w:val="20"/>
              </w:rPr>
              <w:t xml:space="preserve"> </w:t>
            </w:r>
            <w:r>
              <w:rPr>
                <w:spacing w:val="9"/>
                <w:sz w:val="20"/>
                <w:szCs w:val="20"/>
              </w:rPr>
              <w:t>严格的筛选，明确煤制油、煤制气、煤制烯烃、煤制</w:t>
            </w:r>
            <w:r>
              <w:rPr>
                <w:spacing w:val="11"/>
                <w:sz w:val="20"/>
                <w:szCs w:val="20"/>
              </w:rPr>
              <w:t xml:space="preserve"> </w:t>
            </w:r>
            <w:r>
              <w:rPr>
                <w:spacing w:val="9"/>
                <w:sz w:val="20"/>
                <w:szCs w:val="20"/>
              </w:rPr>
              <w:t>芳烃以及下游延伸产业的规模。严格落实《进一步规</w:t>
            </w:r>
            <w:r>
              <w:rPr>
                <w:spacing w:val="11"/>
                <w:sz w:val="20"/>
                <w:szCs w:val="20"/>
              </w:rPr>
              <w:t xml:space="preserve"> </w:t>
            </w:r>
            <w:r>
              <w:rPr>
                <w:spacing w:val="9"/>
                <w:sz w:val="20"/>
                <w:szCs w:val="20"/>
              </w:rPr>
              <w:t>范化工行业项目建设的若干规定（内工信原工字</w:t>
            </w:r>
          </w:p>
          <w:p w14:paraId="134F4124">
            <w:pPr>
              <w:pStyle w:val="6"/>
              <w:spacing w:before="3" w:line="251" w:lineRule="auto"/>
              <w:ind w:left="164" w:right="20" w:firstLine="9"/>
              <w:rPr>
                <w:sz w:val="20"/>
                <w:szCs w:val="20"/>
              </w:rPr>
            </w:pPr>
            <w:r>
              <w:rPr>
                <w:rFonts w:ascii="Times New Roman" w:hAnsi="Times New Roman" w:eastAsia="Times New Roman" w:cs="Times New Roman"/>
                <w:spacing w:val="-6"/>
                <w:sz w:val="20"/>
                <w:szCs w:val="20"/>
              </w:rPr>
              <w:t>[2019]269</w:t>
            </w:r>
            <w:r>
              <w:rPr>
                <w:rFonts w:ascii="Times New Roman" w:hAnsi="Times New Roman" w:eastAsia="Times New Roman" w:cs="Times New Roman"/>
                <w:spacing w:val="18"/>
                <w:w w:val="101"/>
                <w:sz w:val="20"/>
                <w:szCs w:val="20"/>
              </w:rPr>
              <w:t xml:space="preserve"> </w:t>
            </w:r>
            <w:r>
              <w:rPr>
                <w:spacing w:val="-6"/>
                <w:sz w:val="20"/>
                <w:szCs w:val="20"/>
              </w:rPr>
              <w:t>号</w:t>
            </w:r>
            <w:r>
              <w:rPr>
                <w:spacing w:val="-40"/>
                <w:sz w:val="20"/>
                <w:szCs w:val="20"/>
              </w:rPr>
              <w:t>），</w:t>
            </w:r>
            <w:r>
              <w:rPr>
                <w:spacing w:val="-6"/>
                <w:sz w:val="20"/>
                <w:szCs w:val="20"/>
              </w:rPr>
              <w:t>“三区三线</w:t>
            </w:r>
            <w:r>
              <w:rPr>
                <w:spacing w:val="-70"/>
                <w:sz w:val="20"/>
                <w:szCs w:val="20"/>
              </w:rPr>
              <w:t xml:space="preserve"> </w:t>
            </w:r>
            <w:r>
              <w:rPr>
                <w:spacing w:val="-6"/>
                <w:sz w:val="20"/>
                <w:szCs w:val="20"/>
              </w:rPr>
              <w:t>”内不得核准、备案新（改、</w:t>
            </w:r>
            <w:r>
              <w:rPr>
                <w:sz w:val="20"/>
                <w:szCs w:val="20"/>
              </w:rPr>
              <w:t xml:space="preserve"> </w:t>
            </w:r>
            <w:r>
              <w:rPr>
                <w:spacing w:val="9"/>
                <w:sz w:val="20"/>
                <w:szCs w:val="20"/>
              </w:rPr>
              <w:t>扩）建危险化学品项目。新（改、扩）建危险化学品</w:t>
            </w:r>
            <w:r>
              <w:rPr>
                <w:spacing w:val="13"/>
                <w:sz w:val="20"/>
                <w:szCs w:val="20"/>
              </w:rPr>
              <w:t xml:space="preserve"> </w:t>
            </w:r>
            <w:r>
              <w:rPr>
                <w:spacing w:val="9"/>
                <w:sz w:val="20"/>
                <w:szCs w:val="20"/>
              </w:rPr>
              <w:t>项目（安全、环保、节能和智能化改造项目除外）必</w:t>
            </w:r>
            <w:r>
              <w:rPr>
                <w:spacing w:val="13"/>
                <w:sz w:val="20"/>
                <w:szCs w:val="20"/>
              </w:rPr>
              <w:t xml:space="preserve"> </w:t>
            </w:r>
            <w:r>
              <w:rPr>
                <w:spacing w:val="9"/>
                <w:sz w:val="20"/>
                <w:szCs w:val="20"/>
              </w:rPr>
              <w:t>须进入自治区已经认定的化工园区，化工园区外不得</w:t>
            </w:r>
            <w:r>
              <w:rPr>
                <w:spacing w:val="13"/>
                <w:sz w:val="20"/>
                <w:szCs w:val="20"/>
              </w:rPr>
              <w:t xml:space="preserve"> </w:t>
            </w:r>
            <w:r>
              <w:rPr>
                <w:spacing w:val="9"/>
                <w:sz w:val="20"/>
                <w:szCs w:val="20"/>
              </w:rPr>
              <w:t>核准、备案新（改扩）建危险化学品项目。禁止建设</w:t>
            </w:r>
            <w:r>
              <w:rPr>
                <w:spacing w:val="13"/>
                <w:sz w:val="20"/>
                <w:szCs w:val="20"/>
              </w:rPr>
              <w:t xml:space="preserve"> </w:t>
            </w:r>
            <w:r>
              <w:rPr>
                <w:spacing w:val="9"/>
                <w:sz w:val="20"/>
                <w:szCs w:val="20"/>
              </w:rPr>
              <w:t>达不到安全标准的落后生产工艺未委托符合相应资质</w:t>
            </w:r>
            <w:r>
              <w:rPr>
                <w:spacing w:val="13"/>
                <w:sz w:val="20"/>
                <w:szCs w:val="20"/>
              </w:rPr>
              <w:t xml:space="preserve"> </w:t>
            </w:r>
            <w:r>
              <w:rPr>
                <w:spacing w:val="9"/>
                <w:sz w:val="20"/>
                <w:szCs w:val="20"/>
              </w:rPr>
              <w:t>要求的设计单位进行工艺设计、搬迁使用旧设备的新</w:t>
            </w:r>
            <w:r>
              <w:rPr>
                <w:spacing w:val="13"/>
                <w:sz w:val="20"/>
                <w:szCs w:val="20"/>
              </w:rPr>
              <w:t xml:space="preserve"> </w:t>
            </w:r>
            <w:r>
              <w:rPr>
                <w:spacing w:val="7"/>
                <w:sz w:val="20"/>
                <w:szCs w:val="20"/>
              </w:rPr>
              <w:t>（改、扩）建项目。</w:t>
            </w:r>
          </w:p>
          <w:p w14:paraId="47113104">
            <w:pPr>
              <w:pStyle w:val="6"/>
              <w:spacing w:before="2" w:line="251" w:lineRule="auto"/>
              <w:ind w:left="164" w:right="93" w:firstLine="1"/>
              <w:rPr>
                <w:sz w:val="20"/>
                <w:szCs w:val="20"/>
              </w:rPr>
            </w:pPr>
            <w:r>
              <w:rPr>
                <w:spacing w:val="9"/>
                <w:sz w:val="20"/>
                <w:szCs w:val="20"/>
              </w:rPr>
              <w:t>煤化工产业需布设在产业园区，并符合所在园区的规</w:t>
            </w:r>
            <w:r>
              <w:rPr>
                <w:spacing w:val="11"/>
                <w:sz w:val="20"/>
                <w:szCs w:val="20"/>
              </w:rPr>
              <w:t xml:space="preserve"> </w:t>
            </w:r>
            <w:r>
              <w:rPr>
                <w:spacing w:val="9"/>
                <w:sz w:val="20"/>
                <w:szCs w:val="20"/>
              </w:rPr>
              <w:t>划及规划环评要求。项目远离生态红线控制区，并与</w:t>
            </w:r>
            <w:r>
              <w:rPr>
                <w:spacing w:val="13"/>
                <w:sz w:val="20"/>
                <w:szCs w:val="20"/>
              </w:rPr>
              <w:t xml:space="preserve"> </w:t>
            </w:r>
            <w:r>
              <w:rPr>
                <w:spacing w:val="9"/>
                <w:sz w:val="20"/>
                <w:szCs w:val="20"/>
              </w:rPr>
              <w:t>居民区或城市规划的居住用地保持一定缓冲距离。</w:t>
            </w:r>
          </w:p>
          <w:p w14:paraId="6350B312">
            <w:pPr>
              <w:pStyle w:val="6"/>
              <w:spacing w:before="1" w:line="227" w:lineRule="auto"/>
              <w:ind w:left="182"/>
              <w:rPr>
                <w:sz w:val="20"/>
                <w:szCs w:val="20"/>
              </w:rPr>
            </w:pPr>
            <w:r>
              <w:rPr>
                <w:spacing w:val="5"/>
                <w:sz w:val="20"/>
                <w:szCs w:val="20"/>
              </w:rPr>
              <w:t>园区产业准入标准：</w:t>
            </w:r>
          </w:p>
          <w:p w14:paraId="77CDD99D">
            <w:pPr>
              <w:pStyle w:val="6"/>
              <w:spacing w:before="24" w:line="252" w:lineRule="auto"/>
              <w:ind w:left="167" w:right="93" w:hanging="1"/>
              <w:rPr>
                <w:sz w:val="20"/>
                <w:szCs w:val="20"/>
              </w:rPr>
            </w:pPr>
            <w:r>
              <w:rPr>
                <w:spacing w:val="9"/>
                <w:sz w:val="20"/>
                <w:szCs w:val="20"/>
              </w:rPr>
              <w:t>煤化工行业。除在建项目和列入国家规划项目外，原</w:t>
            </w:r>
            <w:r>
              <w:rPr>
                <w:spacing w:val="11"/>
                <w:sz w:val="20"/>
                <w:szCs w:val="20"/>
              </w:rPr>
              <w:t xml:space="preserve"> </w:t>
            </w:r>
            <w:r>
              <w:rPr>
                <w:spacing w:val="9"/>
                <w:sz w:val="20"/>
                <w:szCs w:val="20"/>
              </w:rPr>
              <w:t>则上不再新批单纯煤制甲醇、煤制烯烃等项目，确需</w:t>
            </w:r>
            <w:r>
              <w:rPr>
                <w:spacing w:val="10"/>
                <w:sz w:val="20"/>
                <w:szCs w:val="20"/>
              </w:rPr>
              <w:t xml:space="preserve"> </w:t>
            </w:r>
            <w:r>
              <w:rPr>
                <w:spacing w:val="8"/>
                <w:sz w:val="20"/>
                <w:szCs w:val="20"/>
              </w:rPr>
              <w:t>建设的必须配套下游延伸加工项目。</w:t>
            </w:r>
          </w:p>
          <w:p w14:paraId="2BA9801D">
            <w:pPr>
              <w:pStyle w:val="6"/>
              <w:spacing w:before="5" w:line="251" w:lineRule="auto"/>
              <w:ind w:left="164" w:right="20"/>
              <w:rPr>
                <w:sz w:val="20"/>
                <w:szCs w:val="20"/>
              </w:rPr>
            </w:pPr>
            <w:r>
              <w:rPr>
                <w:spacing w:val="9"/>
                <w:sz w:val="20"/>
                <w:szCs w:val="20"/>
              </w:rPr>
              <w:t>焦化行业。通过产能置换新建的顶装焦炉炭化室高度</w:t>
            </w:r>
            <w:r>
              <w:rPr>
                <w:spacing w:val="12"/>
                <w:sz w:val="20"/>
                <w:szCs w:val="20"/>
              </w:rPr>
              <w:t xml:space="preserve"> </w:t>
            </w:r>
            <w:r>
              <w:rPr>
                <w:spacing w:val="7"/>
                <w:sz w:val="20"/>
                <w:szCs w:val="20"/>
              </w:rPr>
              <w:t>不小于</w:t>
            </w:r>
            <w:r>
              <w:rPr>
                <w:spacing w:val="-20"/>
                <w:sz w:val="20"/>
                <w:szCs w:val="20"/>
              </w:rPr>
              <w:t xml:space="preserve"> </w:t>
            </w:r>
            <w:r>
              <w:rPr>
                <w:rFonts w:ascii="Times New Roman" w:hAnsi="Times New Roman" w:eastAsia="Times New Roman" w:cs="Times New Roman"/>
                <w:spacing w:val="7"/>
                <w:sz w:val="20"/>
                <w:szCs w:val="20"/>
              </w:rPr>
              <w:t xml:space="preserve">7.0 </w:t>
            </w:r>
            <w:r>
              <w:rPr>
                <w:spacing w:val="7"/>
                <w:sz w:val="20"/>
                <w:szCs w:val="20"/>
              </w:rPr>
              <w:t>米、捣固焦炉炭化室高度不小于</w:t>
            </w:r>
            <w:r>
              <w:rPr>
                <w:spacing w:val="-36"/>
                <w:sz w:val="20"/>
                <w:szCs w:val="20"/>
              </w:rPr>
              <w:t xml:space="preserve"> </w:t>
            </w:r>
            <w:r>
              <w:rPr>
                <w:rFonts w:ascii="Times New Roman" w:hAnsi="Times New Roman" w:eastAsia="Times New Roman" w:cs="Times New Roman"/>
                <w:spacing w:val="7"/>
                <w:sz w:val="20"/>
                <w:szCs w:val="20"/>
              </w:rPr>
              <w:t xml:space="preserve">6.25 </w:t>
            </w:r>
            <w:r>
              <w:rPr>
                <w:spacing w:val="7"/>
                <w:sz w:val="20"/>
                <w:szCs w:val="20"/>
              </w:rPr>
              <w:t>米。</w:t>
            </w:r>
            <w:r>
              <w:rPr>
                <w:sz w:val="20"/>
                <w:szCs w:val="20"/>
              </w:rPr>
              <w:t xml:space="preserve"> </w:t>
            </w:r>
            <w:r>
              <w:rPr>
                <w:spacing w:val="9"/>
                <w:sz w:val="20"/>
                <w:szCs w:val="20"/>
              </w:rPr>
              <w:t>常规焦炉、半焦炉须同步配套煤气净化和利用设施；</w:t>
            </w:r>
            <w:r>
              <w:rPr>
                <w:spacing w:val="1"/>
                <w:sz w:val="20"/>
                <w:szCs w:val="20"/>
              </w:rPr>
              <w:t xml:space="preserve">  </w:t>
            </w:r>
            <w:r>
              <w:rPr>
                <w:spacing w:val="9"/>
                <w:sz w:val="20"/>
                <w:szCs w:val="20"/>
              </w:rPr>
              <w:t>热回收焦炉须同步配套热能回收设施；钢铁联合企业</w:t>
            </w:r>
            <w:r>
              <w:rPr>
                <w:spacing w:val="13"/>
                <w:sz w:val="20"/>
                <w:szCs w:val="20"/>
              </w:rPr>
              <w:t xml:space="preserve"> </w:t>
            </w:r>
            <w:r>
              <w:rPr>
                <w:spacing w:val="10"/>
                <w:sz w:val="20"/>
                <w:szCs w:val="20"/>
              </w:rPr>
              <w:t xml:space="preserve">焦炉须同步配套干熄焦装置和焦炉煤气精脱硫装置。 </w:t>
            </w:r>
            <w:r>
              <w:rPr>
                <w:spacing w:val="9"/>
                <w:sz w:val="20"/>
                <w:szCs w:val="20"/>
              </w:rPr>
              <w:t>水泥行业。通过产能置换新建的水泥熟料生产线规模</w:t>
            </w:r>
            <w:r>
              <w:rPr>
                <w:spacing w:val="13"/>
                <w:sz w:val="20"/>
                <w:szCs w:val="20"/>
              </w:rPr>
              <w:t xml:space="preserve"> </w:t>
            </w:r>
            <w:r>
              <w:rPr>
                <w:spacing w:val="5"/>
                <w:sz w:val="20"/>
                <w:szCs w:val="20"/>
              </w:rPr>
              <w:t>不得低于</w:t>
            </w:r>
            <w:r>
              <w:rPr>
                <w:spacing w:val="-35"/>
                <w:sz w:val="20"/>
                <w:szCs w:val="20"/>
              </w:rPr>
              <w:t xml:space="preserve"> </w:t>
            </w:r>
            <w:r>
              <w:rPr>
                <w:rFonts w:ascii="Times New Roman" w:hAnsi="Times New Roman" w:eastAsia="Times New Roman" w:cs="Times New Roman"/>
                <w:spacing w:val="5"/>
                <w:sz w:val="20"/>
                <w:szCs w:val="20"/>
              </w:rPr>
              <w:t>4000</w:t>
            </w:r>
            <w:r>
              <w:rPr>
                <w:rFonts w:ascii="Times New Roman" w:hAnsi="Times New Roman" w:eastAsia="Times New Roman" w:cs="Times New Roman"/>
                <w:spacing w:val="19"/>
                <w:w w:val="101"/>
                <w:sz w:val="20"/>
                <w:szCs w:val="20"/>
              </w:rPr>
              <w:t xml:space="preserve"> </w:t>
            </w:r>
            <w:r>
              <w:rPr>
                <w:spacing w:val="5"/>
                <w:sz w:val="20"/>
                <w:szCs w:val="20"/>
              </w:rPr>
              <w:t>吨</w:t>
            </w:r>
            <w:r>
              <w:rPr>
                <w:rFonts w:ascii="Times New Roman" w:hAnsi="Times New Roman" w:eastAsia="Times New Roman" w:cs="Times New Roman"/>
                <w:spacing w:val="5"/>
                <w:sz w:val="20"/>
                <w:szCs w:val="20"/>
              </w:rPr>
              <w:t>/</w:t>
            </w:r>
            <w:r>
              <w:rPr>
                <w:spacing w:val="5"/>
                <w:sz w:val="20"/>
                <w:szCs w:val="20"/>
              </w:rPr>
              <w:t>日，水泥磨机直径不得小于</w:t>
            </w:r>
            <w:r>
              <w:rPr>
                <w:spacing w:val="-37"/>
                <w:sz w:val="20"/>
                <w:szCs w:val="20"/>
              </w:rPr>
              <w:t xml:space="preserve"> </w:t>
            </w:r>
            <w:r>
              <w:rPr>
                <w:rFonts w:ascii="Times New Roman" w:hAnsi="Times New Roman" w:eastAsia="Times New Roman" w:cs="Times New Roman"/>
                <w:spacing w:val="5"/>
                <w:sz w:val="20"/>
                <w:szCs w:val="20"/>
              </w:rPr>
              <w:t xml:space="preserve">3.8 </w:t>
            </w:r>
            <w:r>
              <w:rPr>
                <w:spacing w:val="5"/>
                <w:sz w:val="20"/>
                <w:szCs w:val="20"/>
              </w:rPr>
              <w:t>米。</w:t>
            </w:r>
            <w:r>
              <w:rPr>
                <w:sz w:val="20"/>
                <w:szCs w:val="20"/>
              </w:rPr>
              <w:t xml:space="preserve"> </w:t>
            </w:r>
            <w:r>
              <w:rPr>
                <w:spacing w:val="9"/>
                <w:sz w:val="20"/>
                <w:szCs w:val="20"/>
              </w:rPr>
              <w:t>严格执行新建、改建、扩建工程项目安全设施、职业</w:t>
            </w:r>
            <w:r>
              <w:rPr>
                <w:spacing w:val="13"/>
                <w:sz w:val="20"/>
                <w:szCs w:val="20"/>
              </w:rPr>
              <w:t xml:space="preserve"> </w:t>
            </w:r>
            <w:r>
              <w:rPr>
                <w:spacing w:val="8"/>
                <w:sz w:val="20"/>
                <w:szCs w:val="20"/>
              </w:rPr>
              <w:t>健康“三同时</w:t>
            </w:r>
            <w:r>
              <w:rPr>
                <w:spacing w:val="-64"/>
                <w:sz w:val="20"/>
                <w:szCs w:val="20"/>
              </w:rPr>
              <w:t xml:space="preserve"> </w:t>
            </w:r>
            <w:r>
              <w:rPr>
                <w:spacing w:val="8"/>
                <w:sz w:val="20"/>
                <w:szCs w:val="20"/>
              </w:rPr>
              <w:t>”制度，严格把控高危行业安全准入条</w:t>
            </w:r>
            <w:r>
              <w:rPr>
                <w:sz w:val="20"/>
                <w:szCs w:val="20"/>
              </w:rPr>
              <w:t xml:space="preserve"> </w:t>
            </w:r>
            <w:r>
              <w:rPr>
                <w:spacing w:val="9"/>
                <w:sz w:val="20"/>
                <w:szCs w:val="20"/>
              </w:rPr>
              <w:t>件，高危项目审批必须把安全生产作为前置条件，实</w:t>
            </w:r>
            <w:r>
              <w:rPr>
                <w:spacing w:val="13"/>
                <w:sz w:val="20"/>
                <w:szCs w:val="20"/>
              </w:rPr>
              <w:t xml:space="preserve"> </w:t>
            </w:r>
            <w:r>
              <w:rPr>
                <w:spacing w:val="8"/>
                <w:sz w:val="20"/>
                <w:szCs w:val="20"/>
              </w:rPr>
              <w:t>行重大安全风险“一票否决</w:t>
            </w:r>
            <w:r>
              <w:rPr>
                <w:spacing w:val="-64"/>
                <w:sz w:val="20"/>
                <w:szCs w:val="20"/>
              </w:rPr>
              <w:t xml:space="preserve"> </w:t>
            </w:r>
            <w:r>
              <w:rPr>
                <w:spacing w:val="8"/>
                <w:sz w:val="20"/>
                <w:szCs w:val="20"/>
              </w:rPr>
              <w:t>”。各园区应编制《安全</w:t>
            </w:r>
            <w:r>
              <w:rPr>
                <w:sz w:val="20"/>
                <w:szCs w:val="20"/>
              </w:rPr>
              <w:t xml:space="preserve"> </w:t>
            </w:r>
            <w:r>
              <w:rPr>
                <w:spacing w:val="9"/>
                <w:sz w:val="20"/>
                <w:szCs w:val="20"/>
              </w:rPr>
              <w:t>准入管理办法》，对企业的安全准入条件做详细的规</w:t>
            </w:r>
            <w:r>
              <w:rPr>
                <w:spacing w:val="13"/>
                <w:sz w:val="20"/>
                <w:szCs w:val="20"/>
              </w:rPr>
              <w:t xml:space="preserve"> </w:t>
            </w:r>
            <w:r>
              <w:rPr>
                <w:sz w:val="20"/>
                <w:szCs w:val="20"/>
              </w:rPr>
              <w:t>定。</w:t>
            </w:r>
          </w:p>
          <w:p w14:paraId="05B4BFA9">
            <w:pPr>
              <w:pStyle w:val="6"/>
              <w:spacing w:before="1" w:line="251" w:lineRule="auto"/>
              <w:ind w:left="165" w:right="93"/>
              <w:rPr>
                <w:sz w:val="20"/>
                <w:szCs w:val="20"/>
              </w:rPr>
            </w:pPr>
            <w:r>
              <w:rPr>
                <w:spacing w:val="9"/>
                <w:sz w:val="20"/>
                <w:szCs w:val="20"/>
              </w:rPr>
              <w:t>新上工业项目要严格控制高碳产业的重复建设，引导</w:t>
            </w:r>
            <w:r>
              <w:rPr>
                <w:spacing w:val="11"/>
                <w:sz w:val="20"/>
                <w:szCs w:val="20"/>
              </w:rPr>
              <w:t xml:space="preserve"> </w:t>
            </w:r>
            <w:r>
              <w:rPr>
                <w:spacing w:val="8"/>
                <w:sz w:val="20"/>
                <w:szCs w:val="20"/>
              </w:rPr>
              <w:t>地区间产业有序转移。</w:t>
            </w:r>
          </w:p>
          <w:p w14:paraId="16CE472A">
            <w:pPr>
              <w:pStyle w:val="6"/>
              <w:spacing w:before="1" w:line="251" w:lineRule="auto"/>
              <w:ind w:left="170" w:right="93"/>
              <w:rPr>
                <w:sz w:val="20"/>
                <w:szCs w:val="20"/>
              </w:rPr>
            </w:pPr>
            <w:r>
              <w:rPr>
                <w:spacing w:val="9"/>
                <w:sz w:val="20"/>
                <w:szCs w:val="20"/>
              </w:rPr>
              <w:t>强化源头管控，对不符合产业政策、产业定位、未落</w:t>
            </w:r>
            <w:r>
              <w:rPr>
                <w:spacing w:val="7"/>
                <w:sz w:val="20"/>
                <w:szCs w:val="20"/>
              </w:rPr>
              <w:t xml:space="preserve"> </w:t>
            </w:r>
            <w:r>
              <w:rPr>
                <w:spacing w:val="8"/>
                <w:sz w:val="20"/>
                <w:szCs w:val="20"/>
              </w:rPr>
              <w:t>实用能指标的高耗能项目，不予立项。</w:t>
            </w:r>
          </w:p>
          <w:p w14:paraId="79C6E052">
            <w:pPr>
              <w:pStyle w:val="6"/>
              <w:spacing w:before="1" w:line="227" w:lineRule="auto"/>
              <w:ind w:left="166"/>
              <w:rPr>
                <w:sz w:val="20"/>
                <w:szCs w:val="20"/>
              </w:rPr>
            </w:pPr>
            <w:r>
              <w:rPr>
                <w:spacing w:val="8"/>
                <w:sz w:val="20"/>
                <w:szCs w:val="20"/>
              </w:rPr>
              <w:t>严禁新上不符合产业政策、“三线一单</w:t>
            </w:r>
            <w:r>
              <w:rPr>
                <w:spacing w:val="-66"/>
                <w:sz w:val="20"/>
                <w:szCs w:val="20"/>
              </w:rPr>
              <w:t xml:space="preserve"> </w:t>
            </w:r>
            <w:r>
              <w:rPr>
                <w:spacing w:val="8"/>
                <w:sz w:val="20"/>
                <w:szCs w:val="20"/>
              </w:rPr>
              <w:t>”生态环境分</w:t>
            </w:r>
          </w:p>
        </w:tc>
        <w:tc>
          <w:tcPr>
            <w:tcW w:w="1327" w:type="dxa"/>
            <w:vAlign w:val="top"/>
          </w:tcPr>
          <w:p w14:paraId="6BADBDE9">
            <w:pPr>
              <w:pStyle w:val="6"/>
              <w:spacing w:before="104" w:line="228" w:lineRule="auto"/>
              <w:ind w:left="159"/>
              <w:rPr>
                <w:sz w:val="20"/>
                <w:szCs w:val="20"/>
              </w:rPr>
            </w:pPr>
            <w:r>
              <w:rPr>
                <w:spacing w:val="7"/>
                <w:sz w:val="20"/>
                <w:szCs w:val="20"/>
              </w:rPr>
              <w:t>高污染企业</w:t>
            </w:r>
          </w:p>
          <w:p w14:paraId="7D753BAD">
            <w:pPr>
              <w:pStyle w:val="6"/>
              <w:spacing w:before="24" w:line="228" w:lineRule="auto"/>
              <w:ind w:left="155"/>
              <w:rPr>
                <w:sz w:val="20"/>
                <w:szCs w:val="20"/>
              </w:rPr>
            </w:pPr>
            <w:r>
              <w:rPr>
                <w:spacing w:val="8"/>
                <w:sz w:val="20"/>
                <w:szCs w:val="20"/>
              </w:rPr>
              <w:t>和“两高一</w:t>
            </w:r>
          </w:p>
          <w:p w14:paraId="19A8049A">
            <w:pPr>
              <w:pStyle w:val="6"/>
              <w:spacing w:before="25" w:line="228" w:lineRule="auto"/>
              <w:ind w:left="163"/>
              <w:rPr>
                <w:sz w:val="20"/>
                <w:szCs w:val="20"/>
              </w:rPr>
            </w:pPr>
            <w:r>
              <w:rPr>
                <w:spacing w:val="-2"/>
                <w:sz w:val="20"/>
                <w:szCs w:val="20"/>
              </w:rPr>
              <w:t>资</w:t>
            </w:r>
            <w:r>
              <w:rPr>
                <w:spacing w:val="-70"/>
                <w:sz w:val="20"/>
                <w:szCs w:val="20"/>
              </w:rPr>
              <w:t xml:space="preserve"> </w:t>
            </w:r>
            <w:r>
              <w:rPr>
                <w:spacing w:val="-2"/>
                <w:sz w:val="20"/>
                <w:szCs w:val="20"/>
              </w:rPr>
              <w:t>”项目；</w:t>
            </w:r>
          </w:p>
          <w:p w14:paraId="4D7BB792">
            <w:pPr>
              <w:pStyle w:val="6"/>
              <w:spacing w:before="26" w:line="229" w:lineRule="auto"/>
              <w:ind w:left="157"/>
              <w:rPr>
                <w:sz w:val="20"/>
                <w:szCs w:val="20"/>
              </w:rPr>
            </w:pPr>
            <w:r>
              <w:rPr>
                <w:spacing w:val="7"/>
                <w:sz w:val="20"/>
                <w:szCs w:val="20"/>
              </w:rPr>
              <w:t>不属于化工</w:t>
            </w:r>
          </w:p>
          <w:p w14:paraId="18C37FF4">
            <w:pPr>
              <w:pStyle w:val="6"/>
              <w:spacing w:before="23" w:line="229" w:lineRule="auto"/>
              <w:ind w:left="171"/>
              <w:rPr>
                <w:sz w:val="20"/>
                <w:szCs w:val="20"/>
              </w:rPr>
            </w:pPr>
            <w:r>
              <w:rPr>
                <w:spacing w:val="4"/>
                <w:sz w:val="20"/>
                <w:szCs w:val="20"/>
              </w:rPr>
              <w:t>园区、化工</w:t>
            </w:r>
          </w:p>
          <w:p w14:paraId="68E69281">
            <w:pPr>
              <w:pStyle w:val="6"/>
              <w:spacing w:before="25" w:line="228" w:lineRule="auto"/>
              <w:ind w:left="157"/>
              <w:rPr>
                <w:sz w:val="20"/>
                <w:szCs w:val="20"/>
              </w:rPr>
            </w:pPr>
            <w:r>
              <w:rPr>
                <w:spacing w:val="7"/>
                <w:sz w:val="20"/>
                <w:szCs w:val="20"/>
              </w:rPr>
              <w:t>项目、尾矿</w:t>
            </w:r>
          </w:p>
          <w:p w14:paraId="37602C44">
            <w:pPr>
              <w:pStyle w:val="6"/>
              <w:spacing w:before="24" w:line="228" w:lineRule="auto"/>
              <w:ind w:left="155"/>
              <w:rPr>
                <w:sz w:val="20"/>
                <w:szCs w:val="20"/>
              </w:rPr>
            </w:pPr>
            <w:r>
              <w:rPr>
                <w:spacing w:val="7"/>
                <w:sz w:val="20"/>
                <w:szCs w:val="20"/>
              </w:rPr>
              <w:t>库；项目位</w:t>
            </w:r>
          </w:p>
          <w:p w14:paraId="7B5F6FDF">
            <w:pPr>
              <w:pStyle w:val="6"/>
              <w:spacing w:before="27" w:line="228" w:lineRule="auto"/>
              <w:ind w:left="157"/>
              <w:rPr>
                <w:sz w:val="20"/>
                <w:szCs w:val="20"/>
              </w:rPr>
            </w:pPr>
            <w:r>
              <w:rPr>
                <w:spacing w:val="7"/>
                <w:sz w:val="20"/>
                <w:szCs w:val="20"/>
              </w:rPr>
              <w:t>于自治区已</w:t>
            </w:r>
          </w:p>
          <w:p w14:paraId="79F9B8D9">
            <w:pPr>
              <w:pStyle w:val="6"/>
              <w:spacing w:before="24" w:line="228" w:lineRule="auto"/>
              <w:ind w:left="156"/>
              <w:rPr>
                <w:sz w:val="20"/>
                <w:szCs w:val="20"/>
              </w:rPr>
            </w:pPr>
            <w:r>
              <w:rPr>
                <w:spacing w:val="7"/>
                <w:sz w:val="20"/>
                <w:szCs w:val="20"/>
              </w:rPr>
              <w:t>经认定的化</w:t>
            </w:r>
          </w:p>
          <w:p w14:paraId="3849AF43">
            <w:pPr>
              <w:pStyle w:val="6"/>
              <w:spacing w:before="26" w:line="250" w:lineRule="auto"/>
              <w:ind w:left="258" w:right="177" w:hanging="102"/>
              <w:rPr>
                <w:sz w:val="20"/>
                <w:szCs w:val="20"/>
              </w:rPr>
            </w:pPr>
            <w:r>
              <w:rPr>
                <w:spacing w:val="-3"/>
                <w:sz w:val="20"/>
                <w:szCs w:val="20"/>
              </w:rPr>
              <w:t>工园区内，</w:t>
            </w:r>
            <w:r>
              <w:rPr>
                <w:spacing w:val="1"/>
                <w:sz w:val="20"/>
                <w:szCs w:val="20"/>
              </w:rPr>
              <w:t xml:space="preserve"> </w:t>
            </w:r>
            <w:r>
              <w:rPr>
                <w:spacing w:val="7"/>
                <w:sz w:val="20"/>
                <w:szCs w:val="20"/>
              </w:rPr>
              <w:t>选址不在</w:t>
            </w:r>
          </w:p>
          <w:p w14:paraId="4D91D5CB">
            <w:pPr>
              <w:pStyle w:val="6"/>
              <w:spacing w:before="1" w:line="232" w:lineRule="auto"/>
              <w:ind w:left="249"/>
              <w:rPr>
                <w:sz w:val="20"/>
                <w:szCs w:val="20"/>
              </w:rPr>
            </w:pPr>
            <w:r>
              <w:rPr>
                <w:spacing w:val="9"/>
                <w:sz w:val="20"/>
                <w:szCs w:val="20"/>
              </w:rPr>
              <w:t>“三区三</w:t>
            </w:r>
          </w:p>
          <w:p w14:paraId="6CB150CC">
            <w:pPr>
              <w:pStyle w:val="6"/>
              <w:spacing w:before="22" w:line="228" w:lineRule="auto"/>
              <w:ind w:left="156"/>
              <w:rPr>
                <w:sz w:val="20"/>
                <w:szCs w:val="20"/>
              </w:rPr>
            </w:pPr>
            <w:r>
              <w:rPr>
                <w:spacing w:val="1"/>
                <w:sz w:val="20"/>
                <w:szCs w:val="20"/>
              </w:rPr>
              <w:t>线</w:t>
            </w:r>
            <w:r>
              <w:rPr>
                <w:spacing w:val="-68"/>
                <w:sz w:val="20"/>
                <w:szCs w:val="20"/>
              </w:rPr>
              <w:t xml:space="preserve"> </w:t>
            </w:r>
            <w:r>
              <w:rPr>
                <w:spacing w:val="1"/>
                <w:sz w:val="20"/>
                <w:szCs w:val="20"/>
              </w:rPr>
              <w:t>”；项目</w:t>
            </w:r>
          </w:p>
          <w:p w14:paraId="764AC8C9">
            <w:pPr>
              <w:pStyle w:val="6"/>
              <w:spacing w:before="25" w:line="228" w:lineRule="auto"/>
              <w:ind w:left="153"/>
              <w:rPr>
                <w:sz w:val="20"/>
                <w:szCs w:val="20"/>
              </w:rPr>
            </w:pPr>
            <w:r>
              <w:rPr>
                <w:spacing w:val="8"/>
                <w:sz w:val="20"/>
                <w:szCs w:val="20"/>
              </w:rPr>
              <w:t>委托符合相</w:t>
            </w:r>
          </w:p>
          <w:p w14:paraId="336BA772">
            <w:pPr>
              <w:pStyle w:val="6"/>
              <w:spacing w:before="25" w:line="228" w:lineRule="auto"/>
              <w:ind w:left="154"/>
              <w:rPr>
                <w:sz w:val="20"/>
                <w:szCs w:val="20"/>
              </w:rPr>
            </w:pPr>
            <w:r>
              <w:rPr>
                <w:spacing w:val="8"/>
                <w:sz w:val="20"/>
                <w:szCs w:val="20"/>
              </w:rPr>
              <w:t>应资质要求</w:t>
            </w:r>
          </w:p>
          <w:p w14:paraId="6A1E9CC8">
            <w:pPr>
              <w:pStyle w:val="6"/>
              <w:spacing w:before="27" w:line="228" w:lineRule="auto"/>
              <w:ind w:left="171"/>
              <w:rPr>
                <w:sz w:val="20"/>
                <w:szCs w:val="20"/>
              </w:rPr>
            </w:pPr>
            <w:r>
              <w:rPr>
                <w:spacing w:val="4"/>
                <w:sz w:val="20"/>
                <w:szCs w:val="20"/>
              </w:rPr>
              <w:t>的设计单位</w:t>
            </w:r>
          </w:p>
          <w:p w14:paraId="2E82944C">
            <w:pPr>
              <w:pStyle w:val="6"/>
              <w:spacing w:before="24" w:line="228" w:lineRule="auto"/>
              <w:ind w:left="152"/>
              <w:rPr>
                <w:sz w:val="20"/>
                <w:szCs w:val="20"/>
              </w:rPr>
            </w:pPr>
            <w:r>
              <w:rPr>
                <w:spacing w:val="8"/>
                <w:sz w:val="20"/>
                <w:szCs w:val="20"/>
              </w:rPr>
              <w:t>进行工艺设</w:t>
            </w:r>
          </w:p>
          <w:p w14:paraId="23B73D48">
            <w:pPr>
              <w:pStyle w:val="6"/>
              <w:spacing w:before="24" w:line="228" w:lineRule="auto"/>
              <w:ind w:left="154"/>
              <w:rPr>
                <w:sz w:val="20"/>
                <w:szCs w:val="20"/>
              </w:rPr>
            </w:pPr>
            <w:r>
              <w:rPr>
                <w:spacing w:val="8"/>
                <w:sz w:val="20"/>
                <w:szCs w:val="20"/>
              </w:rPr>
              <w:t>计；符合所</w:t>
            </w:r>
          </w:p>
          <w:p w14:paraId="6ED8B0F5">
            <w:pPr>
              <w:pStyle w:val="6"/>
              <w:spacing w:before="27" w:line="229" w:lineRule="auto"/>
              <w:ind w:left="153"/>
              <w:rPr>
                <w:sz w:val="20"/>
                <w:szCs w:val="20"/>
              </w:rPr>
            </w:pPr>
            <w:r>
              <w:rPr>
                <w:spacing w:val="8"/>
                <w:sz w:val="20"/>
                <w:szCs w:val="20"/>
              </w:rPr>
              <w:t>在园区的规</w:t>
            </w:r>
          </w:p>
          <w:p w14:paraId="70F9CDB2">
            <w:pPr>
              <w:pStyle w:val="6"/>
              <w:spacing w:before="22" w:line="230" w:lineRule="auto"/>
              <w:ind w:left="153"/>
              <w:rPr>
                <w:sz w:val="20"/>
                <w:szCs w:val="20"/>
              </w:rPr>
            </w:pPr>
            <w:r>
              <w:rPr>
                <w:spacing w:val="8"/>
                <w:sz w:val="20"/>
                <w:szCs w:val="20"/>
              </w:rPr>
              <w:t>划及规划环</w:t>
            </w:r>
          </w:p>
          <w:p w14:paraId="73BF8987">
            <w:pPr>
              <w:pStyle w:val="6"/>
              <w:spacing w:before="26" w:line="228" w:lineRule="auto"/>
              <w:ind w:left="153"/>
              <w:rPr>
                <w:sz w:val="20"/>
                <w:szCs w:val="20"/>
              </w:rPr>
            </w:pPr>
            <w:r>
              <w:rPr>
                <w:spacing w:val="8"/>
                <w:sz w:val="20"/>
                <w:szCs w:val="20"/>
              </w:rPr>
              <w:t>评要求；项</w:t>
            </w:r>
          </w:p>
          <w:p w14:paraId="615C3374">
            <w:pPr>
              <w:pStyle w:val="6"/>
              <w:spacing w:before="24" w:line="228" w:lineRule="auto"/>
              <w:ind w:left="194"/>
              <w:rPr>
                <w:sz w:val="20"/>
                <w:szCs w:val="20"/>
              </w:rPr>
            </w:pPr>
            <w:r>
              <w:rPr>
                <w:sz w:val="20"/>
                <w:szCs w:val="20"/>
              </w:rPr>
              <w:t>目远离生态</w:t>
            </w:r>
          </w:p>
          <w:p w14:paraId="58C48EF3">
            <w:pPr>
              <w:pStyle w:val="6"/>
              <w:spacing w:before="26" w:line="228" w:lineRule="auto"/>
              <w:ind w:left="264"/>
              <w:rPr>
                <w:sz w:val="20"/>
                <w:szCs w:val="20"/>
              </w:rPr>
            </w:pPr>
            <w:r>
              <w:rPr>
                <w:spacing w:val="6"/>
                <w:sz w:val="20"/>
                <w:szCs w:val="20"/>
              </w:rPr>
              <w:t>红线控制</w:t>
            </w:r>
          </w:p>
          <w:p w14:paraId="4FC366C9">
            <w:pPr>
              <w:pStyle w:val="6"/>
              <w:spacing w:before="24" w:line="228" w:lineRule="auto"/>
              <w:ind w:left="169"/>
              <w:rPr>
                <w:sz w:val="20"/>
                <w:szCs w:val="20"/>
              </w:rPr>
            </w:pPr>
            <w:r>
              <w:rPr>
                <w:spacing w:val="5"/>
                <w:sz w:val="20"/>
                <w:szCs w:val="20"/>
              </w:rPr>
              <w:t>区，并与居</w:t>
            </w:r>
          </w:p>
          <w:p w14:paraId="6A7861AF">
            <w:pPr>
              <w:pStyle w:val="6"/>
              <w:spacing w:before="26" w:line="228" w:lineRule="auto"/>
              <w:ind w:left="174"/>
              <w:rPr>
                <w:sz w:val="20"/>
                <w:szCs w:val="20"/>
              </w:rPr>
            </w:pPr>
            <w:r>
              <w:rPr>
                <w:spacing w:val="4"/>
                <w:sz w:val="20"/>
                <w:szCs w:val="20"/>
              </w:rPr>
              <w:t>民区或城市</w:t>
            </w:r>
          </w:p>
          <w:p w14:paraId="2122620E">
            <w:pPr>
              <w:pStyle w:val="6"/>
              <w:spacing w:before="25" w:line="228" w:lineRule="auto"/>
              <w:ind w:left="155"/>
              <w:rPr>
                <w:sz w:val="20"/>
                <w:szCs w:val="20"/>
              </w:rPr>
            </w:pPr>
            <w:r>
              <w:rPr>
                <w:spacing w:val="7"/>
                <w:sz w:val="20"/>
                <w:szCs w:val="20"/>
              </w:rPr>
              <w:t>规划的居住</w:t>
            </w:r>
          </w:p>
          <w:p w14:paraId="150E786A">
            <w:pPr>
              <w:pStyle w:val="6"/>
              <w:spacing w:before="28" w:line="251" w:lineRule="auto"/>
              <w:ind w:left="264" w:right="126" w:hanging="108"/>
              <w:rPr>
                <w:sz w:val="20"/>
                <w:szCs w:val="20"/>
              </w:rPr>
            </w:pPr>
            <w:r>
              <w:rPr>
                <w:spacing w:val="7"/>
                <w:sz w:val="20"/>
                <w:szCs w:val="20"/>
              </w:rPr>
              <w:t>用地保持一</w:t>
            </w:r>
            <w:r>
              <w:rPr>
                <w:spacing w:val="3"/>
                <w:sz w:val="20"/>
                <w:szCs w:val="20"/>
              </w:rPr>
              <w:t xml:space="preserve"> </w:t>
            </w:r>
            <w:r>
              <w:rPr>
                <w:spacing w:val="6"/>
                <w:sz w:val="20"/>
                <w:szCs w:val="20"/>
              </w:rPr>
              <w:t>定缓冲距</w:t>
            </w:r>
          </w:p>
          <w:p w14:paraId="2326E4DF">
            <w:pPr>
              <w:pStyle w:val="6"/>
              <w:spacing w:line="228" w:lineRule="auto"/>
              <w:ind w:left="472"/>
              <w:rPr>
                <w:sz w:val="20"/>
                <w:szCs w:val="20"/>
              </w:rPr>
            </w:pPr>
            <w:r>
              <w:rPr>
                <w:spacing w:val="-2"/>
                <w:sz w:val="20"/>
                <w:szCs w:val="20"/>
              </w:rPr>
              <w:t>离。</w:t>
            </w:r>
          </w:p>
          <w:p w14:paraId="4E1153D2">
            <w:pPr>
              <w:pStyle w:val="6"/>
              <w:spacing w:before="24" w:line="227" w:lineRule="auto"/>
              <w:ind w:left="155"/>
              <w:rPr>
                <w:sz w:val="20"/>
                <w:szCs w:val="20"/>
              </w:rPr>
            </w:pPr>
            <w:r>
              <w:rPr>
                <w:spacing w:val="7"/>
                <w:sz w:val="20"/>
                <w:szCs w:val="20"/>
              </w:rPr>
              <w:t>本项目不属</w:t>
            </w:r>
          </w:p>
          <w:p w14:paraId="79610FDD">
            <w:pPr>
              <w:pStyle w:val="6"/>
              <w:spacing w:before="28" w:line="228" w:lineRule="auto"/>
              <w:ind w:left="157"/>
              <w:rPr>
                <w:sz w:val="20"/>
                <w:szCs w:val="20"/>
              </w:rPr>
            </w:pPr>
            <w:r>
              <w:rPr>
                <w:spacing w:val="7"/>
                <w:sz w:val="20"/>
                <w:szCs w:val="20"/>
              </w:rPr>
              <w:t>于煤化工行</w:t>
            </w:r>
          </w:p>
          <w:p w14:paraId="60557643">
            <w:pPr>
              <w:pStyle w:val="6"/>
              <w:spacing w:before="24" w:line="229" w:lineRule="auto"/>
              <w:ind w:left="153"/>
              <w:rPr>
                <w:sz w:val="20"/>
                <w:szCs w:val="20"/>
              </w:rPr>
            </w:pPr>
            <w:r>
              <w:rPr>
                <w:spacing w:val="8"/>
                <w:sz w:val="20"/>
                <w:szCs w:val="20"/>
              </w:rPr>
              <w:t>业；不属于</w:t>
            </w:r>
          </w:p>
          <w:p w14:paraId="61947CC4">
            <w:pPr>
              <w:pStyle w:val="6"/>
              <w:spacing w:before="25" w:line="228" w:lineRule="auto"/>
              <w:ind w:left="154"/>
              <w:rPr>
                <w:sz w:val="20"/>
                <w:szCs w:val="20"/>
              </w:rPr>
            </w:pPr>
            <w:r>
              <w:rPr>
                <w:spacing w:val="5"/>
                <w:sz w:val="20"/>
                <w:szCs w:val="20"/>
              </w:rPr>
              <w:t>焦化行业；</w:t>
            </w:r>
          </w:p>
          <w:p w14:paraId="66B78182">
            <w:pPr>
              <w:pStyle w:val="6"/>
              <w:spacing w:before="24" w:line="228" w:lineRule="auto"/>
              <w:ind w:left="157"/>
              <w:rPr>
                <w:sz w:val="20"/>
                <w:szCs w:val="20"/>
              </w:rPr>
            </w:pPr>
            <w:r>
              <w:rPr>
                <w:spacing w:val="7"/>
                <w:sz w:val="20"/>
                <w:szCs w:val="20"/>
              </w:rPr>
              <w:t>不属于水泥</w:t>
            </w:r>
          </w:p>
          <w:p w14:paraId="2DD81220">
            <w:pPr>
              <w:pStyle w:val="6"/>
              <w:spacing w:before="25" w:line="228" w:lineRule="auto"/>
              <w:ind w:left="157"/>
              <w:rPr>
                <w:sz w:val="20"/>
                <w:szCs w:val="20"/>
              </w:rPr>
            </w:pPr>
            <w:r>
              <w:rPr>
                <w:spacing w:val="7"/>
                <w:sz w:val="20"/>
                <w:szCs w:val="20"/>
              </w:rPr>
              <w:t>行业；不侵</w:t>
            </w:r>
          </w:p>
          <w:p w14:paraId="68D04AA2">
            <w:pPr>
              <w:pStyle w:val="6"/>
              <w:spacing w:before="26" w:line="228" w:lineRule="auto"/>
              <w:ind w:left="188"/>
              <w:rPr>
                <w:sz w:val="20"/>
                <w:szCs w:val="20"/>
              </w:rPr>
            </w:pPr>
            <w:r>
              <w:rPr>
                <w:spacing w:val="4"/>
                <w:sz w:val="20"/>
                <w:szCs w:val="20"/>
              </w:rPr>
              <w:t>占河道、围</w:t>
            </w:r>
          </w:p>
          <w:p w14:paraId="0FCA400A">
            <w:pPr>
              <w:pStyle w:val="6"/>
              <w:spacing w:before="27" w:line="228" w:lineRule="auto"/>
              <w:ind w:left="153"/>
              <w:rPr>
                <w:sz w:val="20"/>
                <w:szCs w:val="20"/>
              </w:rPr>
            </w:pPr>
            <w:r>
              <w:rPr>
                <w:spacing w:val="8"/>
                <w:sz w:val="20"/>
                <w:szCs w:val="20"/>
              </w:rPr>
              <w:t>垦湖泊、非</w:t>
            </w:r>
          </w:p>
          <w:p w14:paraId="4CCB3069">
            <w:pPr>
              <w:pStyle w:val="6"/>
              <w:spacing w:before="24" w:line="227" w:lineRule="auto"/>
              <w:ind w:left="155"/>
              <w:rPr>
                <w:sz w:val="20"/>
                <w:szCs w:val="20"/>
              </w:rPr>
            </w:pPr>
            <w:r>
              <w:rPr>
                <w:spacing w:val="8"/>
                <w:sz w:val="20"/>
                <w:szCs w:val="20"/>
              </w:rPr>
              <w:t>法采砂；符</w:t>
            </w:r>
          </w:p>
          <w:p w14:paraId="5E8B4B4E">
            <w:pPr>
              <w:pStyle w:val="6"/>
              <w:spacing w:before="27" w:line="228" w:lineRule="auto"/>
              <w:ind w:left="155"/>
              <w:rPr>
                <w:sz w:val="20"/>
                <w:szCs w:val="20"/>
              </w:rPr>
            </w:pPr>
            <w:r>
              <w:rPr>
                <w:spacing w:val="8"/>
                <w:sz w:val="20"/>
                <w:szCs w:val="20"/>
              </w:rPr>
              <w:t>合园区产业</w:t>
            </w:r>
          </w:p>
          <w:p w14:paraId="11D03F08">
            <w:pPr>
              <w:pStyle w:val="6"/>
              <w:spacing w:before="24" w:line="228" w:lineRule="auto"/>
              <w:ind w:left="153"/>
              <w:rPr>
                <w:sz w:val="20"/>
                <w:szCs w:val="20"/>
              </w:rPr>
            </w:pPr>
            <w:r>
              <w:rPr>
                <w:spacing w:val="8"/>
                <w:sz w:val="20"/>
                <w:szCs w:val="20"/>
              </w:rPr>
              <w:t>政策、产业</w:t>
            </w:r>
          </w:p>
          <w:p w14:paraId="672A7D97">
            <w:pPr>
              <w:pStyle w:val="6"/>
              <w:spacing w:before="25" w:line="228" w:lineRule="auto"/>
              <w:ind w:left="370"/>
              <w:rPr>
                <w:sz w:val="20"/>
                <w:szCs w:val="20"/>
              </w:rPr>
            </w:pPr>
            <w:r>
              <w:rPr>
                <w:spacing w:val="1"/>
                <w:sz w:val="20"/>
                <w:szCs w:val="20"/>
              </w:rPr>
              <w:t>定位。</w:t>
            </w:r>
          </w:p>
          <w:p w14:paraId="3C40DA1A">
            <w:pPr>
              <w:pStyle w:val="6"/>
              <w:spacing w:before="27" w:line="227" w:lineRule="auto"/>
              <w:ind w:left="155"/>
              <w:rPr>
                <w:sz w:val="20"/>
                <w:szCs w:val="20"/>
              </w:rPr>
            </w:pPr>
            <w:r>
              <w:rPr>
                <w:spacing w:val="7"/>
                <w:sz w:val="20"/>
                <w:szCs w:val="20"/>
              </w:rPr>
              <w:t>本项目不属</w:t>
            </w:r>
          </w:p>
          <w:p w14:paraId="01DC98EE">
            <w:pPr>
              <w:pStyle w:val="6"/>
              <w:spacing w:before="25" w:line="229" w:lineRule="auto"/>
              <w:ind w:left="157"/>
              <w:rPr>
                <w:sz w:val="20"/>
                <w:szCs w:val="20"/>
              </w:rPr>
            </w:pPr>
            <w:r>
              <w:rPr>
                <w:spacing w:val="7"/>
                <w:sz w:val="20"/>
                <w:szCs w:val="20"/>
              </w:rPr>
              <w:t>于焦炭、兰</w:t>
            </w:r>
          </w:p>
          <w:p w14:paraId="36EA0AF9">
            <w:pPr>
              <w:pStyle w:val="6"/>
              <w:spacing w:before="25" w:line="229" w:lineRule="auto"/>
              <w:ind w:left="157"/>
              <w:rPr>
                <w:sz w:val="20"/>
                <w:szCs w:val="20"/>
              </w:rPr>
            </w:pPr>
            <w:r>
              <w:rPr>
                <w:spacing w:val="-3"/>
                <w:sz w:val="20"/>
                <w:szCs w:val="20"/>
              </w:rPr>
              <w:t>炭、</w:t>
            </w:r>
            <w:r>
              <w:rPr>
                <w:spacing w:val="-60"/>
                <w:sz w:val="20"/>
                <w:szCs w:val="20"/>
              </w:rPr>
              <w:t xml:space="preserve"> </w:t>
            </w:r>
            <w:r>
              <w:rPr>
                <w:spacing w:val="-3"/>
                <w:sz w:val="20"/>
                <w:szCs w:val="20"/>
              </w:rPr>
              <w:t>电石、</w:t>
            </w:r>
          </w:p>
          <w:p w14:paraId="11770D1E">
            <w:pPr>
              <w:pStyle w:val="6"/>
              <w:spacing w:before="23" w:line="252" w:lineRule="auto"/>
              <w:ind w:left="129" w:right="29" w:firstLine="32"/>
              <w:rPr>
                <w:sz w:val="20"/>
                <w:szCs w:val="20"/>
              </w:rPr>
            </w:pPr>
            <w:r>
              <w:rPr>
                <w:spacing w:val="9"/>
                <w:sz w:val="20"/>
                <w:szCs w:val="20"/>
              </w:rPr>
              <w:t>聚氯乙烯、</w:t>
            </w:r>
            <w:r>
              <w:rPr>
                <w:sz w:val="20"/>
                <w:szCs w:val="20"/>
              </w:rPr>
              <w:t xml:space="preserve">  </w:t>
            </w:r>
            <w:r>
              <w:rPr>
                <w:spacing w:val="-7"/>
                <w:sz w:val="20"/>
                <w:szCs w:val="20"/>
              </w:rPr>
              <w:t>烧碱、纯碱、</w:t>
            </w:r>
            <w:r>
              <w:rPr>
                <w:spacing w:val="3"/>
                <w:sz w:val="20"/>
                <w:szCs w:val="20"/>
              </w:rPr>
              <w:t xml:space="preserve"> </w:t>
            </w:r>
            <w:r>
              <w:rPr>
                <w:spacing w:val="13"/>
                <w:sz w:val="20"/>
                <w:szCs w:val="20"/>
              </w:rPr>
              <w:t>合成氨、尿</w:t>
            </w:r>
          </w:p>
          <w:p w14:paraId="2A9D6E38">
            <w:pPr>
              <w:pStyle w:val="6"/>
              <w:spacing w:before="1" w:line="227" w:lineRule="auto"/>
              <w:ind w:left="156"/>
              <w:rPr>
                <w:sz w:val="20"/>
                <w:szCs w:val="20"/>
              </w:rPr>
            </w:pPr>
            <w:r>
              <w:rPr>
                <w:spacing w:val="5"/>
                <w:sz w:val="20"/>
                <w:szCs w:val="20"/>
              </w:rPr>
              <w:t>素、磷按、</w:t>
            </w:r>
          </w:p>
          <w:p w14:paraId="7BAAF3F9">
            <w:pPr>
              <w:pStyle w:val="6"/>
              <w:spacing w:before="25" w:line="228" w:lineRule="auto"/>
              <w:ind w:left="181"/>
              <w:rPr>
                <w:sz w:val="20"/>
                <w:szCs w:val="20"/>
              </w:rPr>
            </w:pPr>
            <w:r>
              <w:rPr>
                <w:spacing w:val="2"/>
                <w:sz w:val="20"/>
                <w:szCs w:val="20"/>
              </w:rPr>
              <w:t>甲醇、乙二</w:t>
            </w:r>
          </w:p>
          <w:p w14:paraId="5AD07703">
            <w:pPr>
              <w:pStyle w:val="6"/>
              <w:spacing w:before="25" w:line="228" w:lineRule="auto"/>
              <w:ind w:left="156"/>
              <w:rPr>
                <w:sz w:val="20"/>
                <w:szCs w:val="20"/>
              </w:rPr>
            </w:pPr>
            <w:r>
              <w:rPr>
                <w:spacing w:val="5"/>
                <w:sz w:val="20"/>
                <w:szCs w:val="20"/>
              </w:rPr>
              <w:t>醇、黄磷、</w:t>
            </w:r>
          </w:p>
        </w:tc>
        <w:tc>
          <w:tcPr>
            <w:tcW w:w="427" w:type="dxa"/>
            <w:vAlign w:val="top"/>
          </w:tcPr>
          <w:p w14:paraId="2324A6D2">
            <w:pPr>
              <w:rPr>
                <w:rFonts w:ascii="Arial"/>
                <w:sz w:val="21"/>
              </w:rPr>
            </w:pPr>
          </w:p>
        </w:tc>
      </w:tr>
    </w:tbl>
    <w:p w14:paraId="69C60203">
      <w:pPr>
        <w:pStyle w:val="2"/>
      </w:pPr>
    </w:p>
    <w:p w14:paraId="22369FBB">
      <w:pPr>
        <w:sectPr>
          <w:footerReference r:id="rId14" w:type="default"/>
          <w:pgSz w:w="11906" w:h="16839"/>
          <w:pgMar w:top="400" w:right="1739" w:bottom="1259" w:left="1738" w:header="0" w:footer="1097" w:gutter="0"/>
          <w:cols w:space="720" w:num="1"/>
        </w:sectPr>
      </w:pPr>
    </w:p>
    <w:p w14:paraId="50E2E2F2">
      <w:pPr>
        <w:spacing w:before="19"/>
      </w:pPr>
    </w:p>
    <w:p w14:paraId="44E09ECB">
      <w:pPr>
        <w:spacing w:before="19"/>
      </w:pPr>
    </w:p>
    <w:p w14:paraId="790F8A55">
      <w:pPr>
        <w:spacing w:before="18"/>
      </w:pPr>
    </w:p>
    <w:p w14:paraId="16020CC8">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82EE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3" w:hRule="atLeast"/>
        </w:trPr>
        <w:tc>
          <w:tcPr>
            <w:tcW w:w="1180" w:type="dxa"/>
            <w:vMerge w:val="restart"/>
            <w:tcBorders>
              <w:bottom w:val="nil"/>
            </w:tcBorders>
            <w:vAlign w:val="top"/>
          </w:tcPr>
          <w:p w14:paraId="73BC57B6">
            <w:pPr>
              <w:rPr>
                <w:rFonts w:ascii="Arial"/>
                <w:sz w:val="21"/>
              </w:rPr>
            </w:pPr>
          </w:p>
        </w:tc>
        <w:tc>
          <w:tcPr>
            <w:tcW w:w="404" w:type="dxa"/>
            <w:vAlign w:val="top"/>
          </w:tcPr>
          <w:p w14:paraId="5977E685">
            <w:pPr>
              <w:rPr>
                <w:rFonts w:ascii="Arial"/>
                <w:sz w:val="21"/>
              </w:rPr>
            </w:pPr>
          </w:p>
        </w:tc>
        <w:tc>
          <w:tcPr>
            <w:tcW w:w="5085" w:type="dxa"/>
            <w:vAlign w:val="top"/>
          </w:tcPr>
          <w:p w14:paraId="538655C9">
            <w:pPr>
              <w:pStyle w:val="6"/>
              <w:spacing w:before="104" w:line="251" w:lineRule="auto"/>
              <w:ind w:left="165" w:right="93" w:firstLine="15"/>
              <w:jc w:val="both"/>
              <w:rPr>
                <w:sz w:val="20"/>
                <w:szCs w:val="20"/>
              </w:rPr>
            </w:pPr>
            <w:r>
              <w:rPr>
                <w:spacing w:val="9"/>
                <w:sz w:val="20"/>
                <w:szCs w:val="20"/>
              </w:rPr>
              <w:t>区管控方案、规划、环评、能耗以及水耗等相</w:t>
            </w:r>
            <w:r>
              <w:rPr>
                <w:spacing w:val="8"/>
                <w:sz w:val="20"/>
                <w:szCs w:val="20"/>
              </w:rPr>
              <w:t>关规定</w:t>
            </w:r>
            <w:r>
              <w:rPr>
                <w:sz w:val="20"/>
                <w:szCs w:val="20"/>
              </w:rPr>
              <w:t xml:space="preserve"> </w:t>
            </w:r>
            <w:r>
              <w:rPr>
                <w:spacing w:val="9"/>
                <w:sz w:val="20"/>
                <w:szCs w:val="20"/>
              </w:rPr>
              <w:t>的项目。加强河湖空间管控，严禁侵占河道、围垦湖</w:t>
            </w:r>
            <w:r>
              <w:rPr>
                <w:spacing w:val="12"/>
                <w:sz w:val="20"/>
                <w:szCs w:val="20"/>
              </w:rPr>
              <w:t xml:space="preserve"> </w:t>
            </w:r>
            <w:r>
              <w:rPr>
                <w:spacing w:val="9"/>
                <w:sz w:val="20"/>
                <w:szCs w:val="20"/>
              </w:rPr>
              <w:t>泊、非法采砂，确保岸线优化配置、集约开发和可持</w:t>
            </w:r>
            <w:r>
              <w:rPr>
                <w:spacing w:val="12"/>
                <w:sz w:val="20"/>
                <w:szCs w:val="20"/>
              </w:rPr>
              <w:t xml:space="preserve"> </w:t>
            </w:r>
            <w:r>
              <w:rPr>
                <w:spacing w:val="9"/>
                <w:sz w:val="20"/>
                <w:szCs w:val="20"/>
              </w:rPr>
              <w:t>续利用。从严格管控园区空间开发边界、构建存量用</w:t>
            </w:r>
            <w:r>
              <w:rPr>
                <w:spacing w:val="12"/>
                <w:sz w:val="20"/>
                <w:szCs w:val="20"/>
              </w:rPr>
              <w:t xml:space="preserve"> </w:t>
            </w:r>
            <w:r>
              <w:rPr>
                <w:spacing w:val="9"/>
                <w:sz w:val="20"/>
                <w:szCs w:val="20"/>
              </w:rPr>
              <w:t>地评价退出机制、完善产业用地再开发分类引导等方</w:t>
            </w:r>
            <w:r>
              <w:rPr>
                <w:spacing w:val="12"/>
                <w:sz w:val="20"/>
                <w:szCs w:val="20"/>
              </w:rPr>
              <w:t xml:space="preserve"> </w:t>
            </w:r>
            <w:r>
              <w:rPr>
                <w:spacing w:val="8"/>
                <w:sz w:val="20"/>
                <w:szCs w:val="20"/>
              </w:rPr>
              <w:t>面优化构建工业园区空间体系。</w:t>
            </w:r>
          </w:p>
          <w:p w14:paraId="009D296A">
            <w:pPr>
              <w:pStyle w:val="6"/>
              <w:spacing w:line="226" w:lineRule="auto"/>
              <w:ind w:left="166"/>
              <w:rPr>
                <w:sz w:val="20"/>
                <w:szCs w:val="20"/>
              </w:rPr>
            </w:pPr>
            <w:r>
              <w:rPr>
                <w:spacing w:val="8"/>
                <w:sz w:val="20"/>
                <w:szCs w:val="20"/>
              </w:rPr>
              <w:t>严格耗煤项目审批管理，控制煤炭增量消费。</w:t>
            </w:r>
          </w:p>
          <w:p w14:paraId="6C6049A1">
            <w:pPr>
              <w:pStyle w:val="6"/>
              <w:spacing w:before="44" w:line="251" w:lineRule="auto"/>
              <w:ind w:left="164" w:right="5" w:firstLine="3"/>
              <w:rPr>
                <w:sz w:val="20"/>
                <w:szCs w:val="20"/>
              </w:rPr>
            </w:pPr>
            <w:r>
              <w:rPr>
                <w:spacing w:val="-1"/>
                <w:sz w:val="20"/>
                <w:szCs w:val="20"/>
              </w:rPr>
              <w:t>从</w:t>
            </w:r>
            <w:r>
              <w:rPr>
                <w:spacing w:val="-32"/>
                <w:sz w:val="20"/>
                <w:szCs w:val="20"/>
              </w:rPr>
              <w:t xml:space="preserve"> </w:t>
            </w:r>
            <w:r>
              <w:rPr>
                <w:rFonts w:ascii="Times New Roman" w:hAnsi="Times New Roman" w:eastAsia="Times New Roman" w:cs="Times New Roman"/>
                <w:spacing w:val="-1"/>
                <w:sz w:val="20"/>
                <w:szCs w:val="20"/>
              </w:rPr>
              <w:t>2021</w:t>
            </w:r>
            <w:r>
              <w:rPr>
                <w:rFonts w:ascii="Times New Roman" w:hAnsi="Times New Roman" w:eastAsia="Times New Roman" w:cs="Times New Roman"/>
                <w:spacing w:val="12"/>
                <w:w w:val="101"/>
                <w:sz w:val="20"/>
                <w:szCs w:val="20"/>
              </w:rPr>
              <w:t xml:space="preserve"> </w:t>
            </w:r>
            <w:r>
              <w:rPr>
                <w:spacing w:val="-1"/>
                <w:sz w:val="20"/>
                <w:szCs w:val="20"/>
              </w:rPr>
              <w:t>年起，不再审批焦炭、兰炭、电石、聚氯乙烯、</w:t>
            </w:r>
            <w:r>
              <w:rPr>
                <w:sz w:val="20"/>
                <w:szCs w:val="20"/>
              </w:rPr>
              <w:t xml:space="preserve"> </w:t>
            </w:r>
            <w:r>
              <w:rPr>
                <w:spacing w:val="9"/>
                <w:sz w:val="20"/>
                <w:szCs w:val="20"/>
              </w:rPr>
              <w:t>烧碱（废盐综合利用的离子膜烧碱装置除外）、纯碱</w:t>
            </w:r>
            <w:r>
              <w:rPr>
                <w:spacing w:val="6"/>
                <w:sz w:val="20"/>
                <w:szCs w:val="20"/>
              </w:rPr>
              <w:t xml:space="preserve">  （《西部地区鼓励类产业目录（</w:t>
            </w:r>
            <w:r>
              <w:rPr>
                <w:rFonts w:ascii="Times New Roman" w:hAnsi="Times New Roman" w:eastAsia="Times New Roman" w:cs="Times New Roman"/>
                <w:spacing w:val="6"/>
                <w:sz w:val="20"/>
                <w:szCs w:val="20"/>
              </w:rPr>
              <w:t xml:space="preserve">2020 </w:t>
            </w:r>
            <w:r>
              <w:rPr>
                <w:spacing w:val="6"/>
                <w:sz w:val="20"/>
                <w:szCs w:val="20"/>
              </w:rPr>
              <w:t>年本）》中内蒙</w:t>
            </w:r>
            <w:r>
              <w:rPr>
                <w:spacing w:val="8"/>
                <w:sz w:val="20"/>
                <w:szCs w:val="20"/>
              </w:rPr>
              <w:t xml:space="preserve">  </w:t>
            </w:r>
            <w:r>
              <w:rPr>
                <w:spacing w:val="9"/>
                <w:sz w:val="20"/>
                <w:szCs w:val="20"/>
              </w:rPr>
              <w:t>古鼓励类项目除外）、合成氨（确有必要建设的焦炉</w:t>
            </w:r>
            <w:r>
              <w:rPr>
                <w:spacing w:val="6"/>
                <w:sz w:val="20"/>
                <w:szCs w:val="20"/>
              </w:rPr>
              <w:t xml:space="preserve">  </w:t>
            </w:r>
            <w:r>
              <w:rPr>
                <w:spacing w:val="9"/>
                <w:sz w:val="20"/>
                <w:szCs w:val="20"/>
              </w:rPr>
              <w:t>煤气综合利用制合成気、可再生能源制复制合成复除</w:t>
            </w:r>
            <w:r>
              <w:rPr>
                <w:spacing w:val="6"/>
                <w:sz w:val="20"/>
                <w:szCs w:val="20"/>
              </w:rPr>
              <w:t xml:space="preserve">  </w:t>
            </w:r>
            <w:r>
              <w:rPr>
                <w:spacing w:val="7"/>
                <w:sz w:val="20"/>
                <w:szCs w:val="20"/>
              </w:rPr>
              <w:t>外）、尿素、磷按、</w:t>
            </w:r>
            <w:r>
              <w:rPr>
                <w:spacing w:val="-41"/>
                <w:sz w:val="20"/>
                <w:szCs w:val="20"/>
              </w:rPr>
              <w:t xml:space="preserve"> </w:t>
            </w:r>
            <w:r>
              <w:rPr>
                <w:spacing w:val="7"/>
                <w:sz w:val="20"/>
                <w:szCs w:val="20"/>
              </w:rPr>
              <w:t>甲醇（确有必要建设的焦炉煤气</w:t>
            </w:r>
            <w:r>
              <w:rPr>
                <w:sz w:val="20"/>
                <w:szCs w:val="20"/>
              </w:rPr>
              <w:t xml:space="preserve">  </w:t>
            </w:r>
            <w:r>
              <w:rPr>
                <w:spacing w:val="9"/>
                <w:sz w:val="20"/>
                <w:szCs w:val="20"/>
              </w:rPr>
              <w:t>综合利用制甲醇、可再生能源制氢制甲醇除外）、乙</w:t>
            </w:r>
            <w:r>
              <w:rPr>
                <w:spacing w:val="6"/>
                <w:sz w:val="20"/>
                <w:szCs w:val="20"/>
              </w:rPr>
              <w:t xml:space="preserve">  </w:t>
            </w:r>
            <w:r>
              <w:rPr>
                <w:spacing w:val="9"/>
                <w:sz w:val="20"/>
                <w:szCs w:val="20"/>
              </w:rPr>
              <w:t>二醇、黄磷、水泥（熟料）、平板玻璃、超高功率以</w:t>
            </w:r>
            <w:r>
              <w:rPr>
                <w:spacing w:val="6"/>
                <w:sz w:val="20"/>
                <w:szCs w:val="20"/>
              </w:rPr>
              <w:t xml:space="preserve">  </w:t>
            </w:r>
            <w:r>
              <w:rPr>
                <w:spacing w:val="9"/>
                <w:sz w:val="20"/>
                <w:szCs w:val="20"/>
              </w:rPr>
              <w:t>下石墨电极、钢铁（已进入产能置换公示阶段的，按</w:t>
            </w:r>
            <w:r>
              <w:rPr>
                <w:spacing w:val="6"/>
                <w:sz w:val="20"/>
                <w:szCs w:val="20"/>
              </w:rPr>
              <w:t xml:space="preserve">  </w:t>
            </w:r>
            <w:r>
              <w:rPr>
                <w:spacing w:val="9"/>
                <w:sz w:val="20"/>
                <w:szCs w:val="20"/>
              </w:rPr>
              <w:t>国家规定执行）、铁合金（作为多晶硅配套原料、可</w:t>
            </w:r>
            <w:r>
              <w:rPr>
                <w:spacing w:val="6"/>
                <w:sz w:val="20"/>
                <w:szCs w:val="20"/>
              </w:rPr>
              <w:t xml:space="preserve">  </w:t>
            </w:r>
            <w:r>
              <w:rPr>
                <w:spacing w:val="3"/>
                <w:sz w:val="20"/>
                <w:szCs w:val="20"/>
              </w:rPr>
              <w:t>再生能源电力使用比例达到</w:t>
            </w:r>
            <w:r>
              <w:rPr>
                <w:spacing w:val="-34"/>
                <w:sz w:val="20"/>
                <w:szCs w:val="20"/>
              </w:rPr>
              <w:t xml:space="preserve"> </w:t>
            </w:r>
            <w:r>
              <w:rPr>
                <w:rFonts w:ascii="Times New Roman" w:hAnsi="Times New Roman" w:eastAsia="Times New Roman" w:cs="Times New Roman"/>
                <w:spacing w:val="3"/>
                <w:sz w:val="20"/>
                <w:szCs w:val="20"/>
              </w:rPr>
              <w:t>60%</w:t>
            </w:r>
            <w:r>
              <w:rPr>
                <w:spacing w:val="3"/>
                <w:sz w:val="20"/>
                <w:szCs w:val="20"/>
              </w:rPr>
              <w:t>以上的工业硅除外）、</w:t>
            </w:r>
            <w:r>
              <w:rPr>
                <w:sz w:val="20"/>
                <w:szCs w:val="20"/>
              </w:rPr>
              <w:t xml:space="preserve"> </w:t>
            </w:r>
            <w:r>
              <w:rPr>
                <w:spacing w:val="9"/>
                <w:sz w:val="20"/>
                <w:szCs w:val="20"/>
              </w:rPr>
              <w:t>电解铝（国家批复同意的高铝粉煤灰提取氧化铝配套</w:t>
            </w:r>
            <w:r>
              <w:rPr>
                <w:spacing w:val="6"/>
                <w:sz w:val="20"/>
                <w:szCs w:val="20"/>
              </w:rPr>
              <w:t xml:space="preserve">  </w:t>
            </w:r>
            <w:r>
              <w:rPr>
                <w:spacing w:val="-4"/>
                <w:sz w:val="20"/>
                <w:szCs w:val="20"/>
              </w:rPr>
              <w:t>电解铝除外）、氧化铝（高铝粉煤灰提取氧化铝除外）、</w:t>
            </w:r>
            <w:r>
              <w:rPr>
                <w:spacing w:val="8"/>
                <w:sz w:val="20"/>
                <w:szCs w:val="20"/>
              </w:rPr>
              <w:t xml:space="preserve"> </w:t>
            </w:r>
            <w:r>
              <w:rPr>
                <w:spacing w:val="9"/>
                <w:sz w:val="20"/>
                <w:szCs w:val="20"/>
              </w:rPr>
              <w:t>蓝宝石等新增产能项目；确有必要建设的，须在区内</w:t>
            </w:r>
            <w:r>
              <w:rPr>
                <w:spacing w:val="6"/>
                <w:sz w:val="20"/>
                <w:szCs w:val="20"/>
              </w:rPr>
              <w:t xml:space="preserve">  </w:t>
            </w:r>
            <w:r>
              <w:rPr>
                <w:spacing w:val="9"/>
                <w:sz w:val="20"/>
                <w:szCs w:val="20"/>
              </w:rPr>
              <w:t>实施产能减量或等量置换。新建、改扩建单晶硅项目</w:t>
            </w:r>
            <w:r>
              <w:rPr>
                <w:spacing w:val="6"/>
                <w:sz w:val="20"/>
                <w:szCs w:val="20"/>
              </w:rPr>
              <w:t xml:space="preserve">  </w:t>
            </w:r>
            <w:r>
              <w:rPr>
                <w:spacing w:val="9"/>
                <w:sz w:val="20"/>
                <w:szCs w:val="20"/>
              </w:rPr>
              <w:t>原则上要配套切片、太阳能电池组件等下游加工生产</w:t>
            </w:r>
            <w:r>
              <w:rPr>
                <w:spacing w:val="6"/>
                <w:sz w:val="20"/>
                <w:szCs w:val="20"/>
              </w:rPr>
              <w:t xml:space="preserve">  </w:t>
            </w:r>
            <w:r>
              <w:rPr>
                <w:spacing w:val="9"/>
                <w:sz w:val="20"/>
                <w:szCs w:val="20"/>
              </w:rPr>
              <w:t>线，多晶硅（颗粒硅）项目区内下游转化率原则上要</w:t>
            </w:r>
            <w:r>
              <w:rPr>
                <w:spacing w:val="6"/>
                <w:sz w:val="20"/>
                <w:szCs w:val="20"/>
              </w:rPr>
              <w:t xml:space="preserve">  </w:t>
            </w:r>
            <w:r>
              <w:rPr>
                <w:spacing w:val="8"/>
                <w:sz w:val="20"/>
                <w:szCs w:val="20"/>
              </w:rPr>
              <w:t>达到</w:t>
            </w:r>
            <w:r>
              <w:rPr>
                <w:spacing w:val="-36"/>
                <w:sz w:val="20"/>
                <w:szCs w:val="20"/>
              </w:rPr>
              <w:t xml:space="preserve"> </w:t>
            </w:r>
            <w:r>
              <w:rPr>
                <w:rFonts w:ascii="Times New Roman" w:hAnsi="Times New Roman" w:eastAsia="Times New Roman" w:cs="Times New Roman"/>
                <w:spacing w:val="8"/>
                <w:sz w:val="20"/>
                <w:szCs w:val="20"/>
              </w:rPr>
              <w:t>70%</w:t>
            </w:r>
            <w:r>
              <w:rPr>
                <w:spacing w:val="8"/>
                <w:sz w:val="20"/>
                <w:szCs w:val="20"/>
              </w:rPr>
              <w:t>以上（半导体级多晶硅除外）。实行严格的</w:t>
            </w:r>
            <w:r>
              <w:rPr>
                <w:sz w:val="20"/>
                <w:szCs w:val="20"/>
              </w:rPr>
              <w:t xml:space="preserve">  </w:t>
            </w:r>
            <w:r>
              <w:rPr>
                <w:spacing w:val="9"/>
                <w:sz w:val="20"/>
                <w:szCs w:val="20"/>
              </w:rPr>
              <w:t>矿山地质环境准入制度。不符合绿色矿山建设标准的</w:t>
            </w:r>
            <w:r>
              <w:rPr>
                <w:spacing w:val="6"/>
                <w:sz w:val="20"/>
                <w:szCs w:val="20"/>
              </w:rPr>
              <w:t xml:space="preserve">  </w:t>
            </w:r>
            <w:r>
              <w:rPr>
                <w:spacing w:val="9"/>
                <w:sz w:val="20"/>
                <w:szCs w:val="20"/>
              </w:rPr>
              <w:t>矿山企业依法逐步退出市场。严格执行《内蒙古自治区绿色矿山建设方案》《鄂尔多斯市绿色矿山建设方</w:t>
            </w:r>
            <w:r>
              <w:rPr>
                <w:spacing w:val="6"/>
                <w:sz w:val="20"/>
                <w:szCs w:val="20"/>
              </w:rPr>
              <w:t xml:space="preserve">  </w:t>
            </w:r>
            <w:r>
              <w:rPr>
                <w:spacing w:val="9"/>
                <w:sz w:val="20"/>
                <w:szCs w:val="20"/>
              </w:rPr>
              <w:t>案》及相关技术要求。合理确定煤炭开发强度及重大</w:t>
            </w:r>
            <w:r>
              <w:rPr>
                <w:spacing w:val="6"/>
                <w:sz w:val="20"/>
                <w:szCs w:val="20"/>
              </w:rPr>
              <w:t xml:space="preserve">  </w:t>
            </w:r>
            <w:r>
              <w:rPr>
                <w:spacing w:val="9"/>
                <w:sz w:val="20"/>
                <w:szCs w:val="20"/>
              </w:rPr>
              <w:t>煤矿项目的生产和建设规模，淘汰一批落后煤矿，引</w:t>
            </w:r>
            <w:r>
              <w:rPr>
                <w:spacing w:val="6"/>
                <w:sz w:val="20"/>
                <w:szCs w:val="20"/>
              </w:rPr>
              <w:t xml:space="preserve">  </w:t>
            </w:r>
            <w:r>
              <w:rPr>
                <w:spacing w:val="8"/>
                <w:sz w:val="20"/>
                <w:szCs w:val="20"/>
              </w:rPr>
              <w:t>导</w:t>
            </w:r>
            <w:r>
              <w:rPr>
                <w:spacing w:val="-34"/>
                <w:sz w:val="20"/>
                <w:szCs w:val="20"/>
              </w:rPr>
              <w:t xml:space="preserve"> </w:t>
            </w:r>
            <w:r>
              <w:rPr>
                <w:rFonts w:ascii="Times New Roman" w:hAnsi="Times New Roman" w:eastAsia="Times New Roman" w:cs="Times New Roman"/>
                <w:spacing w:val="8"/>
                <w:sz w:val="20"/>
                <w:szCs w:val="20"/>
              </w:rPr>
              <w:t xml:space="preserve">60 </w:t>
            </w:r>
            <w:r>
              <w:rPr>
                <w:spacing w:val="8"/>
                <w:sz w:val="20"/>
                <w:szCs w:val="20"/>
              </w:rPr>
              <w:t>万吨</w:t>
            </w:r>
            <w:r>
              <w:rPr>
                <w:rFonts w:ascii="Times New Roman" w:hAnsi="Times New Roman" w:eastAsia="Times New Roman" w:cs="Times New Roman"/>
                <w:spacing w:val="8"/>
                <w:sz w:val="20"/>
                <w:szCs w:val="20"/>
              </w:rPr>
              <w:t>/</w:t>
            </w:r>
            <w:r>
              <w:rPr>
                <w:spacing w:val="8"/>
                <w:sz w:val="20"/>
                <w:szCs w:val="20"/>
              </w:rPr>
              <w:t>年以下煤矿有序退出。新建煤矿按照绿色</w:t>
            </w:r>
            <w:r>
              <w:rPr>
                <w:sz w:val="20"/>
                <w:szCs w:val="20"/>
              </w:rPr>
              <w:t xml:space="preserve">  </w:t>
            </w:r>
            <w:r>
              <w:rPr>
                <w:spacing w:val="6"/>
                <w:sz w:val="20"/>
                <w:szCs w:val="20"/>
              </w:rPr>
              <w:t>矿山标准建设，生产煤矿加快达标建设，</w:t>
            </w:r>
            <w:r>
              <w:rPr>
                <w:rFonts w:ascii="Times New Roman" w:hAnsi="Times New Roman" w:eastAsia="Times New Roman" w:cs="Times New Roman"/>
                <w:spacing w:val="6"/>
                <w:sz w:val="20"/>
                <w:szCs w:val="20"/>
              </w:rPr>
              <w:t xml:space="preserve">2025 </w:t>
            </w:r>
            <w:r>
              <w:rPr>
                <w:spacing w:val="6"/>
                <w:sz w:val="20"/>
                <w:szCs w:val="20"/>
              </w:rPr>
              <w:t>年绿色</w:t>
            </w:r>
            <w:r>
              <w:rPr>
                <w:spacing w:val="8"/>
                <w:sz w:val="20"/>
                <w:szCs w:val="20"/>
              </w:rPr>
              <w:t xml:space="preserve">  </w:t>
            </w:r>
            <w:r>
              <w:rPr>
                <w:spacing w:val="6"/>
                <w:sz w:val="20"/>
                <w:szCs w:val="20"/>
              </w:rPr>
              <w:t>矿山达标率达到</w:t>
            </w:r>
            <w:r>
              <w:rPr>
                <w:spacing w:val="-7"/>
                <w:sz w:val="20"/>
                <w:szCs w:val="20"/>
              </w:rPr>
              <w:t xml:space="preserve"> </w:t>
            </w:r>
            <w:r>
              <w:rPr>
                <w:rFonts w:ascii="Times New Roman" w:hAnsi="Times New Roman" w:eastAsia="Times New Roman" w:cs="Times New Roman"/>
                <w:spacing w:val="6"/>
                <w:sz w:val="20"/>
                <w:szCs w:val="20"/>
              </w:rPr>
              <w:t>100%</w:t>
            </w:r>
            <w:r>
              <w:rPr>
                <w:rFonts w:ascii="Times New Roman" w:hAnsi="Times New Roman" w:eastAsia="Times New Roman" w:cs="Times New Roman"/>
                <w:spacing w:val="-20"/>
                <w:sz w:val="20"/>
                <w:szCs w:val="20"/>
              </w:rPr>
              <w:t xml:space="preserve"> </w:t>
            </w:r>
            <w:r>
              <w:rPr>
                <w:spacing w:val="6"/>
                <w:sz w:val="20"/>
                <w:szCs w:val="20"/>
              </w:rPr>
              <w:t>。严格落实《矿山生态环境保</w:t>
            </w:r>
            <w:r>
              <w:rPr>
                <w:sz w:val="20"/>
                <w:szCs w:val="20"/>
              </w:rPr>
              <w:t xml:space="preserve">  </w:t>
            </w:r>
            <w:r>
              <w:rPr>
                <w:spacing w:val="4"/>
                <w:sz w:val="20"/>
                <w:szCs w:val="20"/>
              </w:rPr>
              <w:t>护与污染防治技术政策》（环发</w:t>
            </w:r>
            <w:r>
              <w:rPr>
                <w:rFonts w:ascii="Times New Roman" w:hAnsi="Times New Roman" w:eastAsia="Times New Roman" w:cs="Times New Roman"/>
                <w:spacing w:val="4"/>
                <w:sz w:val="20"/>
                <w:szCs w:val="20"/>
              </w:rPr>
              <w:t>[2005]109</w:t>
            </w:r>
            <w:r>
              <w:rPr>
                <w:rFonts w:ascii="Times New Roman" w:hAnsi="Times New Roman" w:eastAsia="Times New Roman" w:cs="Times New Roman"/>
                <w:spacing w:val="27"/>
                <w:w w:val="101"/>
                <w:sz w:val="20"/>
                <w:szCs w:val="20"/>
              </w:rPr>
              <w:t xml:space="preserve"> </w:t>
            </w:r>
            <w:r>
              <w:rPr>
                <w:spacing w:val="4"/>
                <w:sz w:val="20"/>
                <w:szCs w:val="20"/>
              </w:rPr>
              <w:t>号）、《内</w:t>
            </w:r>
            <w:r>
              <w:rPr>
                <w:sz w:val="20"/>
                <w:szCs w:val="20"/>
              </w:rPr>
              <w:t xml:space="preserve"> </w:t>
            </w:r>
            <w:r>
              <w:rPr>
                <w:spacing w:val="9"/>
                <w:sz w:val="20"/>
                <w:szCs w:val="20"/>
              </w:rPr>
              <w:t>蒙古自治区矿山地质环境治理办法》、《内蒙古自治区矿山地质环境实施细则》、内蒙古自治区人民政府</w:t>
            </w:r>
            <w:r>
              <w:rPr>
                <w:spacing w:val="6"/>
                <w:sz w:val="20"/>
                <w:szCs w:val="20"/>
              </w:rPr>
              <w:t xml:space="preserve">  </w:t>
            </w:r>
            <w:r>
              <w:rPr>
                <w:spacing w:val="9"/>
                <w:sz w:val="20"/>
                <w:szCs w:val="20"/>
              </w:rPr>
              <w:t>办公厅《关于矿产资源开发中加强草原生态保护的意</w:t>
            </w:r>
            <w:r>
              <w:rPr>
                <w:spacing w:val="6"/>
                <w:sz w:val="20"/>
                <w:szCs w:val="20"/>
              </w:rPr>
              <w:t xml:space="preserve">  </w:t>
            </w:r>
            <w:r>
              <w:rPr>
                <w:spacing w:val="8"/>
                <w:sz w:val="20"/>
                <w:szCs w:val="20"/>
              </w:rPr>
              <w:t>见》（内政办发〔</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7 </w:t>
            </w:r>
            <w:r>
              <w:rPr>
                <w:spacing w:val="8"/>
                <w:sz w:val="20"/>
                <w:szCs w:val="20"/>
              </w:rPr>
              <w:t>号）、《内蒙古自治区绿</w:t>
            </w:r>
            <w:r>
              <w:rPr>
                <w:spacing w:val="4"/>
                <w:sz w:val="20"/>
                <w:szCs w:val="20"/>
              </w:rPr>
              <w:t xml:space="preserve">  </w:t>
            </w:r>
            <w:r>
              <w:rPr>
                <w:spacing w:val="9"/>
                <w:sz w:val="20"/>
                <w:szCs w:val="20"/>
              </w:rPr>
              <w:t>色矿山建设方案》、《鄂尔多斯市绿色矿山建设管理</w:t>
            </w:r>
            <w:r>
              <w:rPr>
                <w:spacing w:val="6"/>
                <w:sz w:val="20"/>
                <w:szCs w:val="20"/>
              </w:rPr>
              <w:t xml:space="preserve">  </w:t>
            </w:r>
            <w:r>
              <w:rPr>
                <w:spacing w:val="9"/>
                <w:sz w:val="20"/>
                <w:szCs w:val="20"/>
              </w:rPr>
              <w:t>条例》、《鄂尔多斯市绿色矿山建设方案》（鄂府办</w:t>
            </w:r>
            <w:r>
              <w:rPr>
                <w:spacing w:val="6"/>
                <w:sz w:val="20"/>
                <w:szCs w:val="20"/>
              </w:rPr>
              <w:t xml:space="preserve">  </w:t>
            </w:r>
            <w:r>
              <w:rPr>
                <w:spacing w:val="5"/>
                <w:sz w:val="20"/>
                <w:szCs w:val="20"/>
              </w:rPr>
              <w:t>发〔</w:t>
            </w:r>
            <w:r>
              <w:rPr>
                <w:rFonts w:ascii="Times New Roman" w:hAnsi="Times New Roman" w:eastAsia="Times New Roman" w:cs="Times New Roman"/>
                <w:spacing w:val="5"/>
                <w:sz w:val="20"/>
                <w:szCs w:val="20"/>
              </w:rPr>
              <w:t>2021</w:t>
            </w:r>
            <w:r>
              <w:rPr>
                <w:spacing w:val="5"/>
                <w:sz w:val="20"/>
                <w:szCs w:val="20"/>
              </w:rPr>
              <w:t>〕</w:t>
            </w:r>
            <w:r>
              <w:rPr>
                <w:rFonts w:ascii="Times New Roman" w:hAnsi="Times New Roman" w:eastAsia="Times New Roman" w:cs="Times New Roman"/>
                <w:spacing w:val="5"/>
                <w:sz w:val="20"/>
                <w:szCs w:val="20"/>
              </w:rPr>
              <w:t>26</w:t>
            </w:r>
            <w:r>
              <w:rPr>
                <w:rFonts w:ascii="Times New Roman" w:hAnsi="Times New Roman" w:eastAsia="Times New Roman" w:cs="Times New Roman"/>
                <w:spacing w:val="15"/>
                <w:sz w:val="20"/>
                <w:szCs w:val="20"/>
              </w:rPr>
              <w:t xml:space="preserve"> </w:t>
            </w:r>
            <w:r>
              <w:rPr>
                <w:spacing w:val="5"/>
                <w:sz w:val="20"/>
                <w:szCs w:val="20"/>
              </w:rPr>
              <w:t>号）、《鄂尔多斯市“十四五</w:t>
            </w:r>
            <w:r>
              <w:rPr>
                <w:spacing w:val="-70"/>
                <w:sz w:val="20"/>
                <w:szCs w:val="20"/>
              </w:rPr>
              <w:t xml:space="preserve"> </w:t>
            </w:r>
            <w:r>
              <w:rPr>
                <w:spacing w:val="5"/>
                <w:sz w:val="20"/>
                <w:szCs w:val="20"/>
              </w:rPr>
              <w:t>”能</w:t>
            </w:r>
            <w:r>
              <w:rPr>
                <w:spacing w:val="4"/>
                <w:sz w:val="20"/>
                <w:szCs w:val="20"/>
              </w:rPr>
              <w:t>源综</w:t>
            </w:r>
            <w:r>
              <w:rPr>
                <w:sz w:val="20"/>
                <w:szCs w:val="20"/>
              </w:rPr>
              <w:t xml:space="preserve">  </w:t>
            </w:r>
            <w:r>
              <w:rPr>
                <w:spacing w:val="8"/>
                <w:sz w:val="20"/>
                <w:szCs w:val="20"/>
              </w:rPr>
              <w:t>合发展规划》及相关技术要求。</w:t>
            </w:r>
          </w:p>
        </w:tc>
        <w:tc>
          <w:tcPr>
            <w:tcW w:w="1327" w:type="dxa"/>
            <w:vAlign w:val="top"/>
          </w:tcPr>
          <w:p w14:paraId="06BB065B">
            <w:pPr>
              <w:pStyle w:val="6"/>
              <w:spacing w:before="104" w:line="227" w:lineRule="auto"/>
              <w:ind w:left="156"/>
              <w:rPr>
                <w:sz w:val="20"/>
                <w:szCs w:val="20"/>
              </w:rPr>
            </w:pPr>
            <w:r>
              <w:rPr>
                <w:spacing w:val="7"/>
                <w:sz w:val="20"/>
                <w:szCs w:val="20"/>
              </w:rPr>
              <w:t>水泥、平板</w:t>
            </w:r>
          </w:p>
          <w:p w14:paraId="6F85B768">
            <w:pPr>
              <w:pStyle w:val="6"/>
              <w:spacing w:before="24" w:line="228" w:lineRule="auto"/>
              <w:ind w:left="157"/>
              <w:rPr>
                <w:sz w:val="20"/>
                <w:szCs w:val="20"/>
              </w:rPr>
            </w:pPr>
            <w:r>
              <w:rPr>
                <w:spacing w:val="7"/>
                <w:sz w:val="20"/>
                <w:szCs w:val="20"/>
              </w:rPr>
              <w:t>玻璃、超高</w:t>
            </w:r>
          </w:p>
          <w:p w14:paraId="3A4E6172">
            <w:pPr>
              <w:pStyle w:val="6"/>
              <w:spacing w:before="24" w:line="228" w:lineRule="auto"/>
              <w:ind w:left="157"/>
              <w:rPr>
                <w:sz w:val="20"/>
                <w:szCs w:val="20"/>
              </w:rPr>
            </w:pPr>
            <w:r>
              <w:rPr>
                <w:spacing w:val="7"/>
                <w:sz w:val="20"/>
                <w:szCs w:val="20"/>
              </w:rPr>
              <w:t>功率以下石</w:t>
            </w:r>
          </w:p>
          <w:p w14:paraId="47D462B8">
            <w:pPr>
              <w:pStyle w:val="6"/>
              <w:spacing w:before="27" w:line="251" w:lineRule="auto"/>
              <w:ind w:left="129" w:right="29" w:firstLine="30"/>
              <w:jc w:val="both"/>
              <w:rPr>
                <w:sz w:val="20"/>
                <w:szCs w:val="20"/>
              </w:rPr>
            </w:pPr>
            <w:r>
              <w:rPr>
                <w:spacing w:val="7"/>
                <w:sz w:val="20"/>
                <w:szCs w:val="20"/>
              </w:rPr>
              <w:t>墨电极、钢</w:t>
            </w:r>
            <w:r>
              <w:rPr>
                <w:sz w:val="20"/>
                <w:szCs w:val="20"/>
              </w:rPr>
              <w:t xml:space="preserve">  </w:t>
            </w:r>
            <w:r>
              <w:rPr>
                <w:spacing w:val="-7"/>
                <w:sz w:val="20"/>
                <w:szCs w:val="20"/>
              </w:rPr>
              <w:t>铁、铁合金、</w:t>
            </w:r>
            <w:r>
              <w:rPr>
                <w:spacing w:val="3"/>
                <w:sz w:val="20"/>
                <w:szCs w:val="20"/>
              </w:rPr>
              <w:t xml:space="preserve"> </w:t>
            </w:r>
            <w:r>
              <w:rPr>
                <w:spacing w:val="13"/>
                <w:sz w:val="20"/>
                <w:szCs w:val="20"/>
              </w:rPr>
              <w:t>电解铝、氧</w:t>
            </w:r>
          </w:p>
          <w:p w14:paraId="44C6A4C4">
            <w:pPr>
              <w:pStyle w:val="6"/>
              <w:spacing w:line="229" w:lineRule="auto"/>
              <w:ind w:left="155"/>
              <w:rPr>
                <w:sz w:val="20"/>
                <w:szCs w:val="20"/>
              </w:rPr>
            </w:pPr>
            <w:r>
              <w:rPr>
                <w:spacing w:val="7"/>
                <w:sz w:val="20"/>
                <w:szCs w:val="20"/>
              </w:rPr>
              <w:t>化铝、蓝宝</w:t>
            </w:r>
          </w:p>
          <w:p w14:paraId="382E2BC8">
            <w:pPr>
              <w:pStyle w:val="6"/>
              <w:spacing w:before="25" w:line="228" w:lineRule="auto"/>
              <w:ind w:left="155"/>
              <w:rPr>
                <w:sz w:val="20"/>
                <w:szCs w:val="20"/>
              </w:rPr>
            </w:pPr>
            <w:r>
              <w:rPr>
                <w:spacing w:val="7"/>
                <w:sz w:val="20"/>
                <w:szCs w:val="20"/>
              </w:rPr>
              <w:t>石等新增产</w:t>
            </w:r>
          </w:p>
          <w:p w14:paraId="6EBCF20E">
            <w:pPr>
              <w:pStyle w:val="6"/>
              <w:spacing w:before="24" w:line="228" w:lineRule="auto"/>
              <w:ind w:left="162"/>
              <w:rPr>
                <w:sz w:val="20"/>
                <w:szCs w:val="20"/>
              </w:rPr>
            </w:pPr>
            <w:r>
              <w:rPr>
                <w:spacing w:val="7"/>
                <w:sz w:val="20"/>
                <w:szCs w:val="20"/>
              </w:rPr>
              <w:t>能项目；不</w:t>
            </w:r>
          </w:p>
          <w:p w14:paraId="0BC70813">
            <w:pPr>
              <w:pStyle w:val="6"/>
              <w:spacing w:before="27" w:line="228" w:lineRule="auto"/>
              <w:ind w:left="261"/>
              <w:rPr>
                <w:sz w:val="20"/>
                <w:szCs w:val="20"/>
              </w:rPr>
            </w:pPr>
            <w:r>
              <w:rPr>
                <w:spacing w:val="6"/>
                <w:sz w:val="20"/>
                <w:szCs w:val="20"/>
              </w:rPr>
              <w:t>属于单晶</w:t>
            </w:r>
          </w:p>
          <w:p w14:paraId="5046071D">
            <w:pPr>
              <w:pStyle w:val="6"/>
              <w:spacing w:before="24" w:line="229" w:lineRule="auto"/>
              <w:ind w:left="153"/>
              <w:rPr>
                <w:sz w:val="20"/>
                <w:szCs w:val="20"/>
              </w:rPr>
            </w:pPr>
            <w:r>
              <w:rPr>
                <w:spacing w:val="8"/>
                <w:sz w:val="20"/>
                <w:szCs w:val="20"/>
              </w:rPr>
              <w:t>硅、多晶硅</w:t>
            </w:r>
          </w:p>
          <w:p w14:paraId="4473CEE0">
            <w:pPr>
              <w:pStyle w:val="6"/>
              <w:spacing w:before="23" w:line="228" w:lineRule="auto"/>
              <w:ind w:left="157"/>
              <w:rPr>
                <w:sz w:val="20"/>
                <w:szCs w:val="20"/>
              </w:rPr>
            </w:pPr>
            <w:r>
              <w:rPr>
                <w:spacing w:val="7"/>
                <w:sz w:val="20"/>
                <w:szCs w:val="20"/>
              </w:rPr>
              <w:t>项目；不属</w:t>
            </w:r>
          </w:p>
          <w:p w14:paraId="18381092">
            <w:pPr>
              <w:pStyle w:val="6"/>
              <w:spacing w:before="26" w:line="228" w:lineRule="auto"/>
              <w:ind w:left="157"/>
              <w:rPr>
                <w:sz w:val="20"/>
                <w:szCs w:val="20"/>
              </w:rPr>
            </w:pPr>
            <w:r>
              <w:rPr>
                <w:spacing w:val="7"/>
                <w:sz w:val="20"/>
                <w:szCs w:val="20"/>
              </w:rPr>
              <w:t>于矿山、煤</w:t>
            </w:r>
          </w:p>
          <w:p w14:paraId="69B4345B">
            <w:pPr>
              <w:pStyle w:val="6"/>
              <w:spacing w:before="27" w:line="228" w:lineRule="auto"/>
              <w:ind w:left="263"/>
              <w:rPr>
                <w:sz w:val="20"/>
                <w:szCs w:val="20"/>
              </w:rPr>
            </w:pPr>
            <w:r>
              <w:rPr>
                <w:spacing w:val="6"/>
                <w:sz w:val="20"/>
                <w:szCs w:val="20"/>
              </w:rPr>
              <w:t>炭开发项</w:t>
            </w:r>
          </w:p>
          <w:p w14:paraId="6441EE25">
            <w:pPr>
              <w:pStyle w:val="6"/>
              <w:spacing w:before="24" w:line="228" w:lineRule="auto"/>
              <w:ind w:left="194"/>
              <w:rPr>
                <w:sz w:val="20"/>
                <w:szCs w:val="20"/>
              </w:rPr>
            </w:pPr>
            <w:r>
              <w:rPr>
                <w:sz w:val="20"/>
                <w:szCs w:val="20"/>
              </w:rPr>
              <w:t>目。《内蒙</w:t>
            </w:r>
          </w:p>
          <w:p w14:paraId="707FD3C1">
            <w:pPr>
              <w:pStyle w:val="6"/>
              <w:spacing w:before="27" w:line="228" w:lineRule="auto"/>
              <w:ind w:left="159"/>
              <w:rPr>
                <w:sz w:val="20"/>
                <w:szCs w:val="20"/>
              </w:rPr>
            </w:pPr>
            <w:r>
              <w:rPr>
                <w:spacing w:val="7"/>
                <w:sz w:val="20"/>
                <w:szCs w:val="20"/>
              </w:rPr>
              <w:t>古自治区国</w:t>
            </w:r>
          </w:p>
          <w:p w14:paraId="0C85CEEA">
            <w:pPr>
              <w:pStyle w:val="6"/>
              <w:spacing w:before="25" w:line="228" w:lineRule="auto"/>
              <w:ind w:left="156"/>
              <w:rPr>
                <w:sz w:val="20"/>
                <w:szCs w:val="20"/>
              </w:rPr>
            </w:pPr>
            <w:r>
              <w:rPr>
                <w:spacing w:val="7"/>
                <w:sz w:val="20"/>
                <w:szCs w:val="20"/>
              </w:rPr>
              <w:t>家重点生态</w:t>
            </w:r>
          </w:p>
          <w:p w14:paraId="04D09722">
            <w:pPr>
              <w:pStyle w:val="6"/>
              <w:spacing w:before="23" w:line="228" w:lineRule="auto"/>
              <w:ind w:left="157"/>
              <w:rPr>
                <w:sz w:val="20"/>
                <w:szCs w:val="20"/>
              </w:rPr>
            </w:pPr>
            <w:r>
              <w:rPr>
                <w:spacing w:val="7"/>
                <w:sz w:val="20"/>
                <w:szCs w:val="20"/>
              </w:rPr>
              <w:t>功能区产业</w:t>
            </w:r>
          </w:p>
          <w:p w14:paraId="23B5CCC5">
            <w:pPr>
              <w:pStyle w:val="6"/>
              <w:spacing w:before="27" w:line="228" w:lineRule="auto"/>
              <w:ind w:left="156"/>
              <w:rPr>
                <w:sz w:val="20"/>
                <w:szCs w:val="20"/>
              </w:rPr>
            </w:pPr>
            <w:r>
              <w:rPr>
                <w:spacing w:val="7"/>
                <w:sz w:val="20"/>
                <w:szCs w:val="20"/>
              </w:rPr>
              <w:t>准入负面清</w:t>
            </w:r>
          </w:p>
          <w:p w14:paraId="625CDDEB">
            <w:pPr>
              <w:pStyle w:val="6"/>
              <w:spacing w:before="24" w:line="224" w:lineRule="auto"/>
              <w:jc w:val="right"/>
              <w:rPr>
                <w:sz w:val="20"/>
                <w:szCs w:val="20"/>
              </w:rPr>
            </w:pPr>
            <w:r>
              <w:rPr>
                <w:spacing w:val="-3"/>
                <w:sz w:val="20"/>
                <w:szCs w:val="20"/>
              </w:rPr>
              <w:t>单（试行）》</w:t>
            </w:r>
          </w:p>
          <w:p w14:paraId="6C346785">
            <w:pPr>
              <w:pStyle w:val="6"/>
              <w:spacing w:before="31" w:line="228" w:lineRule="auto"/>
              <w:ind w:left="270"/>
              <w:rPr>
                <w:sz w:val="20"/>
                <w:szCs w:val="20"/>
              </w:rPr>
            </w:pPr>
            <w:r>
              <w:rPr>
                <w:spacing w:val="4"/>
                <w:sz w:val="20"/>
                <w:szCs w:val="20"/>
              </w:rPr>
              <w:t>（内政发</w:t>
            </w:r>
          </w:p>
          <w:p w14:paraId="0B210FCC">
            <w:pPr>
              <w:pStyle w:val="6"/>
              <w:spacing w:before="24" w:line="238" w:lineRule="auto"/>
              <w:ind w:left="187"/>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11</w:t>
            </w:r>
          </w:p>
          <w:p w14:paraId="197B9E4B">
            <w:pPr>
              <w:pStyle w:val="6"/>
              <w:spacing w:before="16" w:line="228" w:lineRule="auto"/>
              <w:ind w:left="135"/>
              <w:rPr>
                <w:sz w:val="20"/>
                <w:szCs w:val="20"/>
              </w:rPr>
            </w:pPr>
            <w:r>
              <w:rPr>
                <w:spacing w:val="7"/>
                <w:sz w:val="20"/>
                <w:szCs w:val="20"/>
              </w:rPr>
              <w:t>号）将全区</w:t>
            </w:r>
          </w:p>
          <w:p w14:paraId="61DFA5F4">
            <w:pPr>
              <w:pStyle w:val="6"/>
              <w:spacing w:before="24" w:line="226" w:lineRule="auto"/>
              <w:ind w:left="125"/>
              <w:rPr>
                <w:sz w:val="20"/>
                <w:szCs w:val="20"/>
              </w:rPr>
            </w:pPr>
            <w:r>
              <w:rPr>
                <w:rFonts w:ascii="Times New Roman" w:hAnsi="Times New Roman" w:eastAsia="Times New Roman" w:cs="Times New Roman"/>
                <w:spacing w:val="6"/>
                <w:sz w:val="20"/>
                <w:szCs w:val="20"/>
              </w:rPr>
              <w:t xml:space="preserve">43 </w:t>
            </w:r>
            <w:r>
              <w:rPr>
                <w:spacing w:val="6"/>
                <w:sz w:val="20"/>
                <w:szCs w:val="20"/>
              </w:rPr>
              <w:t>个旗县市</w:t>
            </w:r>
          </w:p>
          <w:p w14:paraId="1B18A55E">
            <w:pPr>
              <w:pStyle w:val="6"/>
              <w:spacing w:before="29" w:line="227" w:lineRule="auto"/>
              <w:ind w:left="157"/>
              <w:rPr>
                <w:sz w:val="20"/>
                <w:szCs w:val="20"/>
              </w:rPr>
            </w:pPr>
            <w:r>
              <w:rPr>
                <w:spacing w:val="7"/>
                <w:sz w:val="20"/>
                <w:szCs w:val="20"/>
              </w:rPr>
              <w:t>行政辖区内</w:t>
            </w:r>
          </w:p>
          <w:p w14:paraId="13B71B32">
            <w:pPr>
              <w:pStyle w:val="6"/>
              <w:spacing w:before="25" w:line="227" w:lineRule="auto"/>
              <w:ind w:left="157"/>
              <w:rPr>
                <w:sz w:val="20"/>
                <w:szCs w:val="20"/>
              </w:rPr>
            </w:pPr>
            <w:r>
              <w:rPr>
                <w:spacing w:val="7"/>
                <w:sz w:val="20"/>
                <w:szCs w:val="20"/>
              </w:rPr>
              <w:t>不适宜继续</w:t>
            </w:r>
          </w:p>
          <w:p w14:paraId="77202E6F">
            <w:pPr>
              <w:pStyle w:val="6"/>
              <w:spacing w:before="28" w:line="228" w:lineRule="auto"/>
              <w:ind w:left="157"/>
              <w:rPr>
                <w:sz w:val="20"/>
                <w:szCs w:val="20"/>
              </w:rPr>
            </w:pPr>
            <w:r>
              <w:rPr>
                <w:spacing w:val="7"/>
                <w:sz w:val="20"/>
                <w:szCs w:val="20"/>
              </w:rPr>
              <w:t>发展的产业</w:t>
            </w:r>
          </w:p>
          <w:p w14:paraId="5D36087B">
            <w:pPr>
              <w:pStyle w:val="6"/>
              <w:spacing w:before="25" w:line="228" w:lineRule="auto"/>
              <w:ind w:left="153"/>
              <w:rPr>
                <w:sz w:val="20"/>
                <w:szCs w:val="20"/>
              </w:rPr>
            </w:pPr>
            <w:r>
              <w:rPr>
                <w:spacing w:val="8"/>
                <w:sz w:val="20"/>
                <w:szCs w:val="20"/>
              </w:rPr>
              <w:t>划分为限制</w:t>
            </w:r>
          </w:p>
          <w:p w14:paraId="5A47F312">
            <w:pPr>
              <w:pStyle w:val="6"/>
              <w:spacing w:before="25" w:line="228" w:lineRule="auto"/>
              <w:ind w:left="260"/>
              <w:rPr>
                <w:sz w:val="20"/>
                <w:szCs w:val="20"/>
              </w:rPr>
            </w:pPr>
            <w:r>
              <w:rPr>
                <w:spacing w:val="7"/>
                <w:sz w:val="20"/>
                <w:szCs w:val="20"/>
              </w:rPr>
              <w:t>和禁止两</w:t>
            </w:r>
          </w:p>
          <w:p w14:paraId="5FBF9F5B">
            <w:pPr>
              <w:pStyle w:val="6"/>
              <w:spacing w:before="25" w:line="228" w:lineRule="auto"/>
              <w:ind w:left="154"/>
              <w:rPr>
                <w:sz w:val="20"/>
                <w:szCs w:val="20"/>
              </w:rPr>
            </w:pPr>
            <w:r>
              <w:rPr>
                <w:spacing w:val="8"/>
                <w:sz w:val="20"/>
                <w:szCs w:val="20"/>
              </w:rPr>
              <w:t>类，并对应</w:t>
            </w:r>
          </w:p>
          <w:p w14:paraId="0651934A">
            <w:pPr>
              <w:pStyle w:val="6"/>
              <w:spacing w:before="26" w:line="228" w:lineRule="auto"/>
              <w:ind w:left="155"/>
              <w:rPr>
                <w:sz w:val="20"/>
                <w:szCs w:val="20"/>
              </w:rPr>
            </w:pPr>
            <w:r>
              <w:rPr>
                <w:spacing w:val="7"/>
                <w:sz w:val="20"/>
                <w:szCs w:val="20"/>
              </w:rPr>
              <w:t>提出管控要</w:t>
            </w:r>
          </w:p>
          <w:p w14:paraId="219565B0">
            <w:pPr>
              <w:pStyle w:val="6"/>
              <w:spacing w:before="25" w:line="227" w:lineRule="auto"/>
              <w:ind w:left="156"/>
              <w:rPr>
                <w:sz w:val="20"/>
                <w:szCs w:val="20"/>
              </w:rPr>
            </w:pPr>
            <w:r>
              <w:rPr>
                <w:spacing w:val="7"/>
                <w:sz w:val="20"/>
                <w:szCs w:val="20"/>
              </w:rPr>
              <w:t>求。本项目</w:t>
            </w:r>
          </w:p>
          <w:p w14:paraId="02C097EA">
            <w:pPr>
              <w:pStyle w:val="6"/>
              <w:spacing w:before="28" w:line="228" w:lineRule="auto"/>
              <w:ind w:left="154"/>
              <w:rPr>
                <w:sz w:val="20"/>
                <w:szCs w:val="20"/>
              </w:rPr>
            </w:pPr>
            <w:r>
              <w:rPr>
                <w:spacing w:val="8"/>
                <w:sz w:val="20"/>
                <w:szCs w:val="20"/>
              </w:rPr>
              <w:t>位于鄂尔多</w:t>
            </w:r>
          </w:p>
          <w:p w14:paraId="7BC29F7A">
            <w:pPr>
              <w:pStyle w:val="6"/>
              <w:spacing w:before="23" w:line="228" w:lineRule="auto"/>
              <w:ind w:left="155"/>
              <w:rPr>
                <w:sz w:val="20"/>
                <w:szCs w:val="20"/>
              </w:rPr>
            </w:pPr>
            <w:r>
              <w:rPr>
                <w:spacing w:val="7"/>
                <w:sz w:val="20"/>
                <w:szCs w:val="20"/>
              </w:rPr>
              <w:t>斯市鄂托克</w:t>
            </w:r>
          </w:p>
          <w:p w14:paraId="5898241E">
            <w:pPr>
              <w:pStyle w:val="6"/>
              <w:spacing w:before="25" w:line="226" w:lineRule="auto"/>
              <w:ind w:left="153"/>
              <w:rPr>
                <w:sz w:val="20"/>
                <w:szCs w:val="20"/>
              </w:rPr>
            </w:pPr>
            <w:r>
              <w:rPr>
                <w:spacing w:val="8"/>
                <w:sz w:val="20"/>
                <w:szCs w:val="20"/>
              </w:rPr>
              <w:t>旗，不在自</w:t>
            </w:r>
          </w:p>
          <w:p w14:paraId="54C8992D">
            <w:pPr>
              <w:pStyle w:val="6"/>
              <w:spacing w:before="29" w:line="228" w:lineRule="auto"/>
              <w:ind w:left="159"/>
              <w:rPr>
                <w:sz w:val="20"/>
                <w:szCs w:val="20"/>
              </w:rPr>
            </w:pPr>
            <w:r>
              <w:rPr>
                <w:spacing w:val="7"/>
                <w:sz w:val="20"/>
                <w:szCs w:val="20"/>
              </w:rPr>
              <w:t>治区国家重</w:t>
            </w:r>
          </w:p>
          <w:p w14:paraId="0BAE69AD">
            <w:pPr>
              <w:pStyle w:val="6"/>
              <w:spacing w:before="27" w:line="228" w:lineRule="auto"/>
              <w:ind w:left="164"/>
              <w:rPr>
                <w:sz w:val="20"/>
                <w:szCs w:val="20"/>
              </w:rPr>
            </w:pPr>
            <w:r>
              <w:rPr>
                <w:spacing w:val="6"/>
                <w:sz w:val="20"/>
                <w:szCs w:val="20"/>
              </w:rPr>
              <w:t>点生态功能</w:t>
            </w:r>
          </w:p>
          <w:p w14:paraId="27A0AA2A">
            <w:pPr>
              <w:pStyle w:val="6"/>
              <w:spacing w:before="23" w:line="228" w:lineRule="auto"/>
              <w:ind w:left="169"/>
              <w:rPr>
                <w:sz w:val="20"/>
                <w:szCs w:val="20"/>
              </w:rPr>
            </w:pPr>
            <w:r>
              <w:rPr>
                <w:spacing w:val="5"/>
                <w:sz w:val="20"/>
                <w:szCs w:val="20"/>
              </w:rPr>
              <w:t>区产业准入</w:t>
            </w:r>
          </w:p>
          <w:p w14:paraId="153EC649">
            <w:pPr>
              <w:pStyle w:val="6"/>
              <w:spacing w:before="27" w:line="228" w:lineRule="auto"/>
              <w:ind w:left="162"/>
              <w:rPr>
                <w:sz w:val="20"/>
                <w:szCs w:val="20"/>
              </w:rPr>
            </w:pPr>
            <w:r>
              <w:rPr>
                <w:spacing w:val="6"/>
                <w:sz w:val="20"/>
                <w:szCs w:val="20"/>
              </w:rPr>
              <w:t>负面清单管</w:t>
            </w:r>
          </w:p>
          <w:p w14:paraId="31E50CEB">
            <w:pPr>
              <w:pStyle w:val="6"/>
              <w:spacing w:before="24" w:line="228" w:lineRule="auto"/>
              <w:ind w:left="153"/>
              <w:rPr>
                <w:sz w:val="20"/>
                <w:szCs w:val="20"/>
              </w:rPr>
            </w:pPr>
            <w:r>
              <w:rPr>
                <w:spacing w:val="6"/>
                <w:sz w:val="20"/>
                <w:szCs w:val="20"/>
              </w:rPr>
              <w:t>控范围内，</w:t>
            </w:r>
          </w:p>
          <w:p w14:paraId="37D495B2">
            <w:pPr>
              <w:pStyle w:val="6"/>
              <w:spacing w:before="25" w:line="251" w:lineRule="auto"/>
              <w:ind w:left="262" w:right="126" w:hanging="106"/>
              <w:rPr>
                <w:sz w:val="20"/>
                <w:szCs w:val="20"/>
              </w:rPr>
            </w:pPr>
            <w:r>
              <w:rPr>
                <w:spacing w:val="7"/>
                <w:sz w:val="20"/>
                <w:szCs w:val="20"/>
              </w:rPr>
              <w:t>符合空间布</w:t>
            </w:r>
            <w:r>
              <w:rPr>
                <w:spacing w:val="3"/>
                <w:sz w:val="20"/>
                <w:szCs w:val="20"/>
              </w:rPr>
              <w:t xml:space="preserve"> </w:t>
            </w:r>
            <w:r>
              <w:rPr>
                <w:spacing w:val="6"/>
                <w:sz w:val="20"/>
                <w:szCs w:val="20"/>
              </w:rPr>
              <w:t>局约束要</w:t>
            </w:r>
          </w:p>
          <w:p w14:paraId="00904CEB">
            <w:pPr>
              <w:pStyle w:val="6"/>
              <w:spacing w:before="1" w:line="214" w:lineRule="auto"/>
              <w:ind w:left="470"/>
              <w:rPr>
                <w:sz w:val="20"/>
                <w:szCs w:val="20"/>
              </w:rPr>
            </w:pPr>
            <w:r>
              <w:rPr>
                <w:spacing w:val="-1"/>
                <w:sz w:val="20"/>
                <w:szCs w:val="20"/>
              </w:rPr>
              <w:t>求。</w:t>
            </w:r>
          </w:p>
        </w:tc>
        <w:tc>
          <w:tcPr>
            <w:tcW w:w="427" w:type="dxa"/>
            <w:vAlign w:val="top"/>
          </w:tcPr>
          <w:p w14:paraId="0A1EBE68">
            <w:pPr>
              <w:rPr>
                <w:rFonts w:ascii="Arial"/>
                <w:sz w:val="21"/>
              </w:rPr>
            </w:pPr>
          </w:p>
        </w:tc>
      </w:tr>
      <w:tr w14:paraId="6B653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1180" w:type="dxa"/>
            <w:vMerge w:val="continue"/>
            <w:tcBorders>
              <w:top w:val="nil"/>
            </w:tcBorders>
            <w:vAlign w:val="top"/>
          </w:tcPr>
          <w:p w14:paraId="35C226C1">
            <w:pPr>
              <w:rPr>
                <w:rFonts w:ascii="Arial"/>
                <w:sz w:val="21"/>
              </w:rPr>
            </w:pPr>
          </w:p>
        </w:tc>
        <w:tc>
          <w:tcPr>
            <w:tcW w:w="404" w:type="dxa"/>
            <w:textDirection w:val="tbRlV"/>
            <w:vAlign w:val="top"/>
          </w:tcPr>
          <w:p w14:paraId="75FE2907">
            <w:pPr>
              <w:pStyle w:val="6"/>
              <w:spacing w:before="29" w:line="216" w:lineRule="auto"/>
              <w:ind w:left="35"/>
              <w:rPr>
                <w:sz w:val="20"/>
                <w:szCs w:val="20"/>
              </w:rPr>
            </w:pPr>
            <w:r>
              <w:rPr>
                <w:spacing w:val="8"/>
                <w:sz w:val="20"/>
                <w:szCs w:val="20"/>
              </w:rPr>
              <w:t>污</w:t>
            </w:r>
            <w:r>
              <w:rPr>
                <w:spacing w:val="-34"/>
                <w:sz w:val="20"/>
                <w:szCs w:val="20"/>
              </w:rPr>
              <w:t xml:space="preserve"> </w:t>
            </w:r>
            <w:r>
              <w:rPr>
                <w:spacing w:val="8"/>
                <w:sz w:val="20"/>
                <w:szCs w:val="20"/>
              </w:rPr>
              <w:t>染</w:t>
            </w:r>
            <w:r>
              <w:rPr>
                <w:spacing w:val="-35"/>
                <w:sz w:val="20"/>
                <w:szCs w:val="20"/>
              </w:rPr>
              <w:t xml:space="preserve"> </w:t>
            </w:r>
            <w:r>
              <w:rPr>
                <w:spacing w:val="8"/>
                <w:sz w:val="20"/>
                <w:szCs w:val="20"/>
              </w:rPr>
              <w:t>物</w:t>
            </w:r>
            <w:r>
              <w:rPr>
                <w:spacing w:val="-37"/>
                <w:sz w:val="20"/>
                <w:szCs w:val="20"/>
              </w:rPr>
              <w:t xml:space="preserve"> </w:t>
            </w:r>
            <w:r>
              <w:rPr>
                <w:spacing w:val="8"/>
                <w:sz w:val="20"/>
                <w:szCs w:val="20"/>
              </w:rPr>
              <w:t>排</w:t>
            </w:r>
            <w:r>
              <w:rPr>
                <w:spacing w:val="-36"/>
                <w:sz w:val="20"/>
                <w:szCs w:val="20"/>
              </w:rPr>
              <w:t xml:space="preserve"> </w:t>
            </w:r>
            <w:r>
              <w:rPr>
                <w:spacing w:val="8"/>
                <w:sz w:val="20"/>
                <w:szCs w:val="20"/>
              </w:rPr>
              <w:t>放</w:t>
            </w:r>
            <w:r>
              <w:rPr>
                <w:spacing w:val="-37"/>
                <w:sz w:val="20"/>
                <w:szCs w:val="20"/>
              </w:rPr>
              <w:t xml:space="preserve"> </w:t>
            </w:r>
            <w:r>
              <w:rPr>
                <w:spacing w:val="8"/>
                <w:sz w:val="20"/>
                <w:szCs w:val="20"/>
              </w:rPr>
              <w:t>管</w:t>
            </w:r>
            <w:r>
              <w:rPr>
                <w:spacing w:val="-35"/>
                <w:sz w:val="20"/>
                <w:szCs w:val="20"/>
              </w:rPr>
              <w:t xml:space="preserve"> </w:t>
            </w:r>
            <w:r>
              <w:rPr>
                <w:spacing w:val="8"/>
                <w:sz w:val="20"/>
                <w:szCs w:val="20"/>
              </w:rPr>
              <w:t>控</w:t>
            </w:r>
          </w:p>
        </w:tc>
        <w:tc>
          <w:tcPr>
            <w:tcW w:w="5085" w:type="dxa"/>
            <w:vAlign w:val="top"/>
          </w:tcPr>
          <w:p w14:paraId="26463C22">
            <w:pPr>
              <w:pStyle w:val="6"/>
              <w:spacing w:before="38" w:line="251" w:lineRule="auto"/>
              <w:ind w:left="164" w:right="93" w:firstLine="1"/>
              <w:jc w:val="both"/>
              <w:rPr>
                <w:sz w:val="20"/>
                <w:szCs w:val="20"/>
              </w:rPr>
            </w:pPr>
            <w:r>
              <w:rPr>
                <w:spacing w:val="9"/>
                <w:sz w:val="20"/>
                <w:szCs w:val="20"/>
              </w:rPr>
              <w:t>严格落实污染物排放总量控制制度，把主要污染物排</w:t>
            </w:r>
            <w:r>
              <w:rPr>
                <w:spacing w:val="11"/>
                <w:sz w:val="20"/>
                <w:szCs w:val="20"/>
              </w:rPr>
              <w:t xml:space="preserve"> </w:t>
            </w:r>
            <w:r>
              <w:rPr>
                <w:spacing w:val="9"/>
                <w:sz w:val="20"/>
                <w:szCs w:val="20"/>
              </w:rPr>
              <w:t>放总量指标作为环评审批的前置条件。对未完成上一</w:t>
            </w:r>
            <w:r>
              <w:rPr>
                <w:spacing w:val="13"/>
                <w:sz w:val="20"/>
                <w:szCs w:val="20"/>
              </w:rPr>
              <w:t xml:space="preserve"> </w:t>
            </w:r>
            <w:r>
              <w:rPr>
                <w:spacing w:val="9"/>
                <w:sz w:val="20"/>
                <w:szCs w:val="20"/>
              </w:rPr>
              <w:t>年度主要污染物总量减排目标的地区或企业、环境质</w:t>
            </w:r>
            <w:r>
              <w:rPr>
                <w:spacing w:val="13"/>
                <w:sz w:val="20"/>
                <w:szCs w:val="20"/>
              </w:rPr>
              <w:t xml:space="preserve"> </w:t>
            </w:r>
            <w:r>
              <w:rPr>
                <w:spacing w:val="9"/>
                <w:sz w:val="20"/>
                <w:szCs w:val="20"/>
              </w:rPr>
              <w:t>量未达到环境功能区划要求、被实施区域限批的地区</w:t>
            </w:r>
            <w:r>
              <w:rPr>
                <w:spacing w:val="13"/>
                <w:sz w:val="20"/>
                <w:szCs w:val="20"/>
              </w:rPr>
              <w:t xml:space="preserve"> </w:t>
            </w:r>
            <w:r>
              <w:rPr>
                <w:spacing w:val="9"/>
                <w:sz w:val="20"/>
                <w:szCs w:val="20"/>
              </w:rPr>
              <w:t>及未进行排污权交易的工业企业建设项目暂停新增主</w:t>
            </w:r>
            <w:r>
              <w:rPr>
                <w:spacing w:val="13"/>
                <w:sz w:val="20"/>
                <w:szCs w:val="20"/>
              </w:rPr>
              <w:t xml:space="preserve"> </w:t>
            </w:r>
            <w:r>
              <w:rPr>
                <w:spacing w:val="9"/>
                <w:sz w:val="20"/>
                <w:szCs w:val="20"/>
              </w:rPr>
              <w:t>要污染物排放建设项目的总量审批。推动具备条件的</w:t>
            </w:r>
            <w:r>
              <w:rPr>
                <w:spacing w:val="13"/>
                <w:sz w:val="20"/>
                <w:szCs w:val="20"/>
              </w:rPr>
              <w:t xml:space="preserve"> </w:t>
            </w:r>
            <w:r>
              <w:rPr>
                <w:spacing w:val="9"/>
                <w:sz w:val="20"/>
                <w:szCs w:val="20"/>
              </w:rPr>
              <w:t>园区实施循环化改造，实现园区的能源、水、土地等</w:t>
            </w:r>
          </w:p>
        </w:tc>
        <w:tc>
          <w:tcPr>
            <w:tcW w:w="1327" w:type="dxa"/>
            <w:vAlign w:val="top"/>
          </w:tcPr>
          <w:p w14:paraId="13A07AA2">
            <w:pPr>
              <w:pStyle w:val="6"/>
              <w:spacing w:before="35" w:line="227" w:lineRule="auto"/>
              <w:ind w:left="155"/>
              <w:rPr>
                <w:sz w:val="20"/>
                <w:szCs w:val="20"/>
              </w:rPr>
            </w:pPr>
            <w:r>
              <w:rPr>
                <w:spacing w:val="7"/>
                <w:sz w:val="20"/>
                <w:szCs w:val="20"/>
              </w:rPr>
              <w:t>本项目不涉</w:t>
            </w:r>
          </w:p>
          <w:p w14:paraId="59A1C654">
            <w:pPr>
              <w:pStyle w:val="6"/>
              <w:spacing w:before="25" w:line="228" w:lineRule="auto"/>
              <w:ind w:left="153"/>
              <w:rPr>
                <w:sz w:val="20"/>
                <w:szCs w:val="20"/>
              </w:rPr>
            </w:pPr>
            <w:r>
              <w:rPr>
                <w:spacing w:val="8"/>
                <w:sz w:val="20"/>
                <w:szCs w:val="20"/>
              </w:rPr>
              <w:t>及总量指标</w:t>
            </w:r>
          </w:p>
          <w:p w14:paraId="3A745766">
            <w:pPr>
              <w:pStyle w:val="6"/>
              <w:spacing w:before="25" w:line="228" w:lineRule="auto"/>
              <w:ind w:left="181"/>
              <w:rPr>
                <w:sz w:val="20"/>
                <w:szCs w:val="20"/>
              </w:rPr>
            </w:pPr>
            <w:r>
              <w:rPr>
                <w:spacing w:val="2"/>
                <w:sz w:val="20"/>
                <w:szCs w:val="20"/>
              </w:rPr>
              <w:t>申请；不设</w:t>
            </w:r>
          </w:p>
          <w:p w14:paraId="6BBB4F1D">
            <w:pPr>
              <w:pStyle w:val="6"/>
              <w:spacing w:before="24" w:line="230" w:lineRule="auto"/>
              <w:ind w:left="152"/>
              <w:rPr>
                <w:sz w:val="20"/>
                <w:szCs w:val="20"/>
              </w:rPr>
            </w:pPr>
            <w:r>
              <w:rPr>
                <w:spacing w:val="8"/>
                <w:sz w:val="20"/>
                <w:szCs w:val="20"/>
              </w:rPr>
              <w:t>置入河排污</w:t>
            </w:r>
          </w:p>
          <w:p w14:paraId="4259298B">
            <w:pPr>
              <w:pStyle w:val="6"/>
              <w:spacing w:before="24" w:line="228" w:lineRule="auto"/>
              <w:ind w:left="186"/>
              <w:rPr>
                <w:sz w:val="20"/>
                <w:szCs w:val="20"/>
              </w:rPr>
            </w:pPr>
            <w:r>
              <w:rPr>
                <w:spacing w:val="1"/>
                <w:sz w:val="20"/>
                <w:szCs w:val="20"/>
              </w:rPr>
              <w:t>口，不存在</w:t>
            </w:r>
          </w:p>
          <w:p w14:paraId="49BDFE2E">
            <w:pPr>
              <w:pStyle w:val="6"/>
              <w:spacing w:before="25" w:line="228" w:lineRule="auto"/>
              <w:ind w:left="156"/>
              <w:rPr>
                <w:sz w:val="20"/>
                <w:szCs w:val="20"/>
              </w:rPr>
            </w:pPr>
            <w:r>
              <w:rPr>
                <w:spacing w:val="7"/>
                <w:sz w:val="20"/>
                <w:szCs w:val="20"/>
              </w:rPr>
              <w:t>污染物入河</w:t>
            </w:r>
          </w:p>
          <w:p w14:paraId="130A9E05">
            <w:pPr>
              <w:pStyle w:val="6"/>
              <w:spacing w:before="27" w:line="228" w:lineRule="auto"/>
              <w:ind w:left="155"/>
              <w:rPr>
                <w:sz w:val="20"/>
                <w:szCs w:val="20"/>
              </w:rPr>
            </w:pPr>
            <w:r>
              <w:rPr>
                <w:spacing w:val="7"/>
                <w:sz w:val="20"/>
                <w:szCs w:val="20"/>
              </w:rPr>
              <w:t>情况；不属</w:t>
            </w:r>
          </w:p>
        </w:tc>
        <w:tc>
          <w:tcPr>
            <w:tcW w:w="427" w:type="dxa"/>
            <w:textDirection w:val="tbRlV"/>
            <w:vAlign w:val="top"/>
          </w:tcPr>
          <w:p w14:paraId="642CD2DC">
            <w:pPr>
              <w:pStyle w:val="6"/>
              <w:spacing w:before="99" w:line="215" w:lineRule="auto"/>
              <w:ind w:left="714"/>
              <w:rPr>
                <w:sz w:val="20"/>
                <w:szCs w:val="20"/>
              </w:rPr>
            </w:pPr>
            <w:r>
              <w:rPr>
                <w:spacing w:val="8"/>
                <w:sz w:val="20"/>
                <w:szCs w:val="20"/>
              </w:rPr>
              <w:t>符</w:t>
            </w:r>
            <w:r>
              <w:rPr>
                <w:spacing w:val="-35"/>
                <w:sz w:val="20"/>
                <w:szCs w:val="20"/>
              </w:rPr>
              <w:t xml:space="preserve"> </w:t>
            </w:r>
            <w:r>
              <w:rPr>
                <w:spacing w:val="8"/>
                <w:sz w:val="20"/>
                <w:szCs w:val="20"/>
              </w:rPr>
              <w:t>合</w:t>
            </w:r>
          </w:p>
        </w:tc>
      </w:tr>
    </w:tbl>
    <w:p w14:paraId="2E34A9CA">
      <w:pPr>
        <w:pStyle w:val="2"/>
      </w:pPr>
    </w:p>
    <w:p w14:paraId="0913F36F">
      <w:pPr>
        <w:sectPr>
          <w:footerReference r:id="rId15" w:type="default"/>
          <w:pgSz w:w="11906" w:h="16839"/>
          <w:pgMar w:top="400" w:right="1739" w:bottom="1259" w:left="1738" w:header="0" w:footer="1097" w:gutter="0"/>
          <w:cols w:space="720" w:num="1"/>
        </w:sectPr>
      </w:pPr>
    </w:p>
    <w:p w14:paraId="22BC0BC7">
      <w:pPr>
        <w:spacing w:before="19"/>
      </w:pPr>
    </w:p>
    <w:p w14:paraId="6A2C00B1">
      <w:pPr>
        <w:spacing w:before="19"/>
      </w:pPr>
    </w:p>
    <w:p w14:paraId="663F2C0A">
      <w:pPr>
        <w:spacing w:before="18"/>
      </w:pPr>
    </w:p>
    <w:p w14:paraId="62EADBAF">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4F70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8" w:hRule="atLeast"/>
        </w:trPr>
        <w:tc>
          <w:tcPr>
            <w:tcW w:w="1180" w:type="dxa"/>
            <w:vAlign w:val="top"/>
          </w:tcPr>
          <w:p w14:paraId="02D498D1">
            <w:pPr>
              <w:rPr>
                <w:rFonts w:ascii="Arial"/>
                <w:sz w:val="21"/>
              </w:rPr>
            </w:pPr>
          </w:p>
        </w:tc>
        <w:tc>
          <w:tcPr>
            <w:tcW w:w="404" w:type="dxa"/>
            <w:vAlign w:val="top"/>
          </w:tcPr>
          <w:p w14:paraId="35285743">
            <w:pPr>
              <w:rPr>
                <w:rFonts w:ascii="Arial"/>
                <w:sz w:val="21"/>
              </w:rPr>
            </w:pPr>
          </w:p>
        </w:tc>
        <w:tc>
          <w:tcPr>
            <w:tcW w:w="5085" w:type="dxa"/>
            <w:vAlign w:val="top"/>
          </w:tcPr>
          <w:p w14:paraId="02C841A4">
            <w:pPr>
              <w:pStyle w:val="6"/>
              <w:spacing w:before="105" w:line="250" w:lineRule="auto"/>
              <w:ind w:left="167" w:right="20" w:firstLine="7"/>
              <w:rPr>
                <w:sz w:val="20"/>
                <w:szCs w:val="20"/>
              </w:rPr>
            </w:pPr>
            <w:r>
              <w:rPr>
                <w:spacing w:val="3"/>
                <w:sz w:val="20"/>
                <w:szCs w:val="20"/>
              </w:rPr>
              <w:t>资源利用效率大幅提升，二氧化碳、固体废物、废水、</w:t>
            </w:r>
            <w:r>
              <w:rPr>
                <w:spacing w:val="12"/>
                <w:sz w:val="20"/>
                <w:szCs w:val="20"/>
              </w:rPr>
              <w:t xml:space="preserve"> </w:t>
            </w:r>
            <w:r>
              <w:rPr>
                <w:spacing w:val="8"/>
                <w:sz w:val="20"/>
                <w:szCs w:val="20"/>
              </w:rPr>
              <w:t>主要大气污染物排放量大幅降低。</w:t>
            </w:r>
          </w:p>
          <w:p w14:paraId="689C2134">
            <w:pPr>
              <w:pStyle w:val="6"/>
              <w:spacing w:line="251" w:lineRule="auto"/>
              <w:ind w:left="167" w:right="93" w:hanging="2"/>
              <w:rPr>
                <w:sz w:val="20"/>
                <w:szCs w:val="20"/>
              </w:rPr>
            </w:pPr>
            <w:r>
              <w:rPr>
                <w:spacing w:val="9"/>
                <w:sz w:val="20"/>
                <w:szCs w:val="20"/>
              </w:rPr>
              <w:t>减少污染物入河量，加强入河排污口监督管理。严格</w:t>
            </w:r>
            <w:r>
              <w:rPr>
                <w:spacing w:val="12"/>
                <w:sz w:val="20"/>
                <w:szCs w:val="20"/>
              </w:rPr>
              <w:t xml:space="preserve"> </w:t>
            </w:r>
            <w:r>
              <w:rPr>
                <w:spacing w:val="8"/>
                <w:sz w:val="20"/>
                <w:szCs w:val="20"/>
              </w:rPr>
              <w:t>水功能区管理监督，控制入河入湖排污总量。</w:t>
            </w:r>
          </w:p>
          <w:p w14:paraId="71C11D33">
            <w:pPr>
              <w:pStyle w:val="6"/>
              <w:spacing w:before="1" w:line="251" w:lineRule="auto"/>
              <w:ind w:left="164" w:right="36" w:firstLine="5"/>
              <w:rPr>
                <w:sz w:val="20"/>
                <w:szCs w:val="20"/>
              </w:rPr>
            </w:pPr>
            <w:r>
              <w:rPr>
                <w:spacing w:val="9"/>
                <w:sz w:val="20"/>
                <w:szCs w:val="20"/>
              </w:rPr>
              <w:t>实施深度节水控水行动，完成重点流域范围内所有排</w:t>
            </w:r>
            <w:r>
              <w:rPr>
                <w:spacing w:val="7"/>
                <w:sz w:val="20"/>
                <w:szCs w:val="20"/>
              </w:rPr>
              <w:t xml:space="preserve"> </w:t>
            </w:r>
            <w:r>
              <w:rPr>
                <w:spacing w:val="9"/>
                <w:sz w:val="20"/>
                <w:szCs w:val="20"/>
              </w:rPr>
              <w:t>污口排查，基本完成重点流域干流及重要支流、重点</w:t>
            </w:r>
            <w:r>
              <w:rPr>
                <w:spacing w:val="13"/>
                <w:sz w:val="20"/>
                <w:szCs w:val="20"/>
              </w:rPr>
              <w:t xml:space="preserve"> </w:t>
            </w:r>
            <w:r>
              <w:rPr>
                <w:spacing w:val="-1"/>
                <w:sz w:val="20"/>
                <w:szCs w:val="20"/>
              </w:rPr>
              <w:t>湖泊排污口整治，到</w:t>
            </w:r>
            <w:r>
              <w:rPr>
                <w:spacing w:val="-43"/>
                <w:sz w:val="20"/>
                <w:szCs w:val="20"/>
              </w:rPr>
              <w:t xml:space="preserve"> </w:t>
            </w:r>
            <w:r>
              <w:rPr>
                <w:rFonts w:ascii="Times New Roman" w:hAnsi="Times New Roman" w:eastAsia="Times New Roman" w:cs="Times New Roman"/>
                <w:spacing w:val="-1"/>
                <w:sz w:val="20"/>
                <w:szCs w:val="20"/>
              </w:rPr>
              <w:t xml:space="preserve">2025 </w:t>
            </w:r>
            <w:r>
              <w:rPr>
                <w:spacing w:val="-1"/>
                <w:sz w:val="20"/>
                <w:szCs w:val="20"/>
              </w:rPr>
              <w:t>年，黄河干流水质达到</w:t>
            </w:r>
            <w:r>
              <w:rPr>
                <w:spacing w:val="-2"/>
                <w:sz w:val="20"/>
                <w:szCs w:val="20"/>
              </w:rPr>
              <w:t>Ⅱ类，</w:t>
            </w:r>
            <w:r>
              <w:rPr>
                <w:sz w:val="20"/>
                <w:szCs w:val="20"/>
              </w:rPr>
              <w:t xml:space="preserve"> </w:t>
            </w:r>
            <w:r>
              <w:rPr>
                <w:spacing w:val="9"/>
                <w:sz w:val="20"/>
                <w:szCs w:val="20"/>
              </w:rPr>
              <w:t>地表水考核断面水质达到或好于Ⅲ类水体比例达到</w:t>
            </w:r>
          </w:p>
          <w:p w14:paraId="5E73CE3F">
            <w:pPr>
              <w:pStyle w:val="6"/>
              <w:spacing w:line="233" w:lineRule="auto"/>
              <w:ind w:left="170"/>
              <w:rPr>
                <w:sz w:val="20"/>
                <w:szCs w:val="20"/>
              </w:rPr>
            </w:pPr>
            <w:r>
              <w:rPr>
                <w:rFonts w:ascii="Times New Roman" w:hAnsi="Times New Roman" w:eastAsia="Times New Roman" w:cs="Times New Roman"/>
                <w:spacing w:val="3"/>
                <w:sz w:val="20"/>
                <w:szCs w:val="20"/>
              </w:rPr>
              <w:t>85%</w:t>
            </w:r>
            <w:r>
              <w:rPr>
                <w:spacing w:val="3"/>
                <w:sz w:val="20"/>
                <w:szCs w:val="20"/>
              </w:rPr>
              <w:t>左右。</w:t>
            </w:r>
          </w:p>
          <w:p w14:paraId="7FC136F7">
            <w:pPr>
              <w:pStyle w:val="6"/>
              <w:spacing w:before="22" w:line="251" w:lineRule="auto"/>
              <w:ind w:left="165" w:right="91"/>
              <w:rPr>
                <w:sz w:val="20"/>
                <w:szCs w:val="20"/>
              </w:rPr>
            </w:pPr>
            <w:r>
              <w:rPr>
                <w:spacing w:val="9"/>
                <w:sz w:val="20"/>
                <w:szCs w:val="20"/>
              </w:rPr>
              <w:t>加强黄河干支流入河排污口整治，构建覆盖所有排污</w:t>
            </w:r>
            <w:r>
              <w:rPr>
                <w:spacing w:val="12"/>
                <w:sz w:val="20"/>
                <w:szCs w:val="20"/>
              </w:rPr>
              <w:t xml:space="preserve"> </w:t>
            </w:r>
            <w:r>
              <w:rPr>
                <w:spacing w:val="9"/>
                <w:sz w:val="20"/>
                <w:szCs w:val="20"/>
              </w:rPr>
              <w:t>口的在线监测系统，规范入河排污口设置审核，所有</w:t>
            </w:r>
            <w:r>
              <w:rPr>
                <w:spacing w:val="11"/>
                <w:sz w:val="20"/>
                <w:szCs w:val="20"/>
              </w:rPr>
              <w:t xml:space="preserve"> </w:t>
            </w:r>
            <w:r>
              <w:rPr>
                <w:spacing w:val="9"/>
                <w:sz w:val="20"/>
                <w:szCs w:val="20"/>
              </w:rPr>
              <w:t>固定排污源依法按证排污。加快沿黄重点镇污水处理</w:t>
            </w:r>
            <w:r>
              <w:rPr>
                <w:spacing w:val="11"/>
                <w:sz w:val="20"/>
                <w:szCs w:val="20"/>
              </w:rPr>
              <w:t xml:space="preserve"> </w:t>
            </w:r>
            <w:r>
              <w:rPr>
                <w:spacing w:val="9"/>
                <w:sz w:val="20"/>
                <w:szCs w:val="20"/>
              </w:rPr>
              <w:t>厂建设，严禁污水入黄。加快补齐城镇污水收集管网</w:t>
            </w:r>
            <w:r>
              <w:rPr>
                <w:spacing w:val="11"/>
                <w:sz w:val="20"/>
                <w:szCs w:val="20"/>
              </w:rPr>
              <w:t xml:space="preserve"> </w:t>
            </w:r>
            <w:r>
              <w:rPr>
                <w:spacing w:val="9"/>
                <w:sz w:val="20"/>
                <w:szCs w:val="20"/>
              </w:rPr>
              <w:t>和处理设施短板，提升水资源回收利用水平，中心城</w:t>
            </w:r>
            <w:r>
              <w:rPr>
                <w:spacing w:val="11"/>
                <w:sz w:val="20"/>
                <w:szCs w:val="20"/>
              </w:rPr>
              <w:t xml:space="preserve"> </w:t>
            </w:r>
            <w:r>
              <w:rPr>
                <w:spacing w:val="8"/>
                <w:sz w:val="20"/>
                <w:szCs w:val="20"/>
              </w:rPr>
              <w:t>区生活污水处理率达到</w:t>
            </w:r>
            <w:r>
              <w:rPr>
                <w:spacing w:val="-37"/>
                <w:sz w:val="20"/>
                <w:szCs w:val="20"/>
              </w:rPr>
              <w:t xml:space="preserve"> </w:t>
            </w:r>
            <w:r>
              <w:rPr>
                <w:rFonts w:ascii="Times New Roman" w:hAnsi="Times New Roman" w:eastAsia="Times New Roman" w:cs="Times New Roman"/>
                <w:spacing w:val="8"/>
                <w:sz w:val="20"/>
                <w:szCs w:val="20"/>
              </w:rPr>
              <w:t>96%</w:t>
            </w:r>
            <w:r>
              <w:rPr>
                <w:spacing w:val="8"/>
                <w:sz w:val="20"/>
                <w:szCs w:val="20"/>
              </w:rPr>
              <w:t>以上，旗区城镇生活污水</w:t>
            </w:r>
            <w:r>
              <w:rPr>
                <w:sz w:val="20"/>
                <w:szCs w:val="20"/>
              </w:rPr>
              <w:t xml:space="preserve"> </w:t>
            </w:r>
            <w:r>
              <w:rPr>
                <w:spacing w:val="8"/>
                <w:sz w:val="20"/>
                <w:szCs w:val="20"/>
              </w:rPr>
              <w:t>处理率达到</w:t>
            </w:r>
            <w:r>
              <w:rPr>
                <w:spacing w:val="-33"/>
                <w:sz w:val="20"/>
                <w:szCs w:val="20"/>
              </w:rPr>
              <w:t xml:space="preserve"> </w:t>
            </w:r>
            <w:r>
              <w:rPr>
                <w:rFonts w:ascii="Times New Roman" w:hAnsi="Times New Roman" w:eastAsia="Times New Roman" w:cs="Times New Roman"/>
                <w:spacing w:val="8"/>
                <w:sz w:val="20"/>
                <w:szCs w:val="20"/>
              </w:rPr>
              <w:t>85%</w:t>
            </w:r>
            <w:r>
              <w:rPr>
                <w:spacing w:val="8"/>
                <w:sz w:val="20"/>
                <w:szCs w:val="20"/>
              </w:rPr>
              <w:t>以上，工业园区污水应收</w:t>
            </w:r>
            <w:r>
              <w:rPr>
                <w:spacing w:val="7"/>
                <w:sz w:val="20"/>
                <w:szCs w:val="20"/>
              </w:rPr>
              <w:t>尽收、全部</w:t>
            </w:r>
            <w:r>
              <w:rPr>
                <w:sz w:val="20"/>
                <w:szCs w:val="20"/>
              </w:rPr>
              <w:t xml:space="preserve"> </w:t>
            </w:r>
            <w:r>
              <w:rPr>
                <w:spacing w:val="8"/>
                <w:sz w:val="20"/>
                <w:szCs w:val="20"/>
              </w:rPr>
              <w:t>回用。推进污泥处理处置设施建设。</w:t>
            </w:r>
          </w:p>
          <w:p w14:paraId="30A8B67F">
            <w:pPr>
              <w:pStyle w:val="6"/>
              <w:spacing w:before="2" w:line="251" w:lineRule="auto"/>
              <w:ind w:left="165" w:right="20"/>
              <w:rPr>
                <w:sz w:val="20"/>
                <w:szCs w:val="20"/>
              </w:rPr>
            </w:pPr>
            <w:r>
              <w:rPr>
                <w:spacing w:val="2"/>
                <w:sz w:val="20"/>
                <w:szCs w:val="20"/>
              </w:rPr>
              <w:t>推进“无废城市</w:t>
            </w:r>
            <w:r>
              <w:rPr>
                <w:spacing w:val="-55"/>
                <w:sz w:val="20"/>
                <w:szCs w:val="20"/>
              </w:rPr>
              <w:t xml:space="preserve"> </w:t>
            </w:r>
            <w:r>
              <w:rPr>
                <w:spacing w:val="2"/>
                <w:sz w:val="20"/>
                <w:szCs w:val="20"/>
              </w:rPr>
              <w:t>”试点建设，抓好一般工业固体废物、</w:t>
            </w:r>
            <w:r>
              <w:rPr>
                <w:sz w:val="20"/>
                <w:szCs w:val="20"/>
              </w:rPr>
              <w:t xml:space="preserve"> </w:t>
            </w:r>
            <w:r>
              <w:rPr>
                <w:spacing w:val="7"/>
                <w:sz w:val="20"/>
                <w:szCs w:val="20"/>
              </w:rPr>
              <w:t>危险废物、生活垃圾、医疗废物、</w:t>
            </w:r>
            <w:r>
              <w:rPr>
                <w:spacing w:val="-42"/>
                <w:sz w:val="20"/>
                <w:szCs w:val="20"/>
              </w:rPr>
              <w:t xml:space="preserve"> </w:t>
            </w:r>
            <w:r>
              <w:rPr>
                <w:spacing w:val="7"/>
                <w:sz w:val="20"/>
                <w:szCs w:val="20"/>
              </w:rPr>
              <w:t>白色污染及电子废</w:t>
            </w:r>
            <w:r>
              <w:rPr>
                <w:sz w:val="20"/>
                <w:szCs w:val="20"/>
              </w:rPr>
              <w:t xml:space="preserve"> </w:t>
            </w:r>
            <w:r>
              <w:rPr>
                <w:spacing w:val="9"/>
                <w:sz w:val="20"/>
                <w:szCs w:val="20"/>
              </w:rPr>
              <w:t>物六项重点，实现源头大幅减量、充分资源化利用和</w:t>
            </w:r>
            <w:r>
              <w:rPr>
                <w:spacing w:val="12"/>
                <w:sz w:val="20"/>
                <w:szCs w:val="20"/>
              </w:rPr>
              <w:t xml:space="preserve"> </w:t>
            </w:r>
            <w:r>
              <w:rPr>
                <w:spacing w:val="5"/>
                <w:sz w:val="20"/>
                <w:szCs w:val="20"/>
              </w:rPr>
              <w:t>安全处置。</w:t>
            </w:r>
          </w:p>
          <w:p w14:paraId="51B9721E">
            <w:pPr>
              <w:pStyle w:val="6"/>
              <w:spacing w:before="2" w:line="251" w:lineRule="auto"/>
              <w:ind w:left="164" w:right="20"/>
              <w:rPr>
                <w:sz w:val="20"/>
                <w:szCs w:val="20"/>
              </w:rPr>
            </w:pPr>
            <w:r>
              <w:rPr>
                <w:spacing w:val="4"/>
                <w:sz w:val="20"/>
                <w:szCs w:val="20"/>
              </w:rPr>
              <w:t>深入推进扬尘污染综合防治。严格监管建筑施工</w:t>
            </w:r>
            <w:r>
              <w:rPr>
                <w:spacing w:val="3"/>
                <w:sz w:val="20"/>
                <w:szCs w:val="20"/>
              </w:rPr>
              <w:t>扬尘。</w:t>
            </w:r>
            <w:r>
              <w:rPr>
                <w:sz w:val="20"/>
                <w:szCs w:val="20"/>
              </w:rPr>
              <w:t xml:space="preserve"> </w:t>
            </w:r>
            <w:r>
              <w:rPr>
                <w:spacing w:val="9"/>
                <w:sz w:val="20"/>
                <w:szCs w:val="20"/>
              </w:rPr>
              <w:t>旗县级及以上城市建成区各类工地必须做到“六个百</w:t>
            </w:r>
            <w:r>
              <w:rPr>
                <w:spacing w:val="13"/>
                <w:sz w:val="20"/>
                <w:szCs w:val="20"/>
              </w:rPr>
              <w:t xml:space="preserve"> </w:t>
            </w:r>
            <w:r>
              <w:rPr>
                <w:spacing w:val="7"/>
                <w:sz w:val="20"/>
                <w:szCs w:val="20"/>
              </w:rPr>
              <w:t>分之百</w:t>
            </w:r>
            <w:r>
              <w:rPr>
                <w:spacing w:val="-68"/>
                <w:sz w:val="20"/>
                <w:szCs w:val="20"/>
              </w:rPr>
              <w:t xml:space="preserve"> </w:t>
            </w:r>
            <w:r>
              <w:rPr>
                <w:spacing w:val="7"/>
                <w:sz w:val="20"/>
                <w:szCs w:val="20"/>
              </w:rPr>
              <w:t>”。城市建成区道路机械化清扫率达到</w:t>
            </w:r>
            <w:r>
              <w:rPr>
                <w:spacing w:val="-37"/>
                <w:sz w:val="20"/>
                <w:szCs w:val="20"/>
              </w:rPr>
              <w:t xml:space="preserve"> </w:t>
            </w:r>
            <w:r>
              <w:rPr>
                <w:rFonts w:ascii="Times New Roman" w:hAnsi="Times New Roman" w:eastAsia="Times New Roman" w:cs="Times New Roman"/>
                <w:spacing w:val="7"/>
                <w:sz w:val="20"/>
                <w:szCs w:val="20"/>
              </w:rPr>
              <w:t>70%</w:t>
            </w:r>
            <w:r>
              <w:rPr>
                <w:rFonts w:ascii="Times New Roman" w:hAnsi="Times New Roman" w:eastAsia="Times New Roman" w:cs="Times New Roman"/>
                <w:spacing w:val="-24"/>
                <w:sz w:val="20"/>
                <w:szCs w:val="20"/>
              </w:rPr>
              <w:t xml:space="preserve"> </w:t>
            </w:r>
            <w:r>
              <w:rPr>
                <w:spacing w:val="7"/>
                <w:sz w:val="20"/>
                <w:szCs w:val="20"/>
              </w:rPr>
              <w:t>，</w:t>
            </w:r>
            <w:r>
              <w:rPr>
                <w:sz w:val="20"/>
                <w:szCs w:val="20"/>
              </w:rPr>
              <w:t xml:space="preserve"> </w:t>
            </w:r>
            <w:r>
              <w:rPr>
                <w:spacing w:val="5"/>
                <w:sz w:val="20"/>
                <w:szCs w:val="20"/>
              </w:rPr>
              <w:t>县城达到</w:t>
            </w:r>
            <w:r>
              <w:rPr>
                <w:spacing w:val="-36"/>
                <w:sz w:val="20"/>
                <w:szCs w:val="20"/>
              </w:rPr>
              <w:t xml:space="preserve"> </w:t>
            </w:r>
            <w:r>
              <w:rPr>
                <w:rFonts w:ascii="Times New Roman" w:hAnsi="Times New Roman" w:eastAsia="Times New Roman" w:cs="Times New Roman"/>
                <w:spacing w:val="5"/>
                <w:sz w:val="20"/>
                <w:szCs w:val="20"/>
              </w:rPr>
              <w:t>60%</w:t>
            </w:r>
            <w:r>
              <w:rPr>
                <w:spacing w:val="5"/>
                <w:sz w:val="20"/>
                <w:szCs w:val="20"/>
              </w:rPr>
              <w:t>。</w:t>
            </w:r>
          </w:p>
          <w:p w14:paraId="5CCA2BF9">
            <w:pPr>
              <w:pStyle w:val="6"/>
              <w:spacing w:before="15" w:line="251" w:lineRule="auto"/>
              <w:ind w:left="155" w:right="20" w:firstLine="10"/>
              <w:rPr>
                <w:sz w:val="20"/>
                <w:szCs w:val="20"/>
              </w:rPr>
            </w:pPr>
            <w:r>
              <w:rPr>
                <w:spacing w:val="9"/>
                <w:sz w:val="20"/>
                <w:szCs w:val="20"/>
              </w:rPr>
              <w:t>全面完成火电、有色、建材、焦化、热力生产及供应</w:t>
            </w:r>
            <w:r>
              <w:rPr>
                <w:spacing w:val="12"/>
                <w:sz w:val="20"/>
                <w:szCs w:val="20"/>
              </w:rPr>
              <w:t xml:space="preserve"> </w:t>
            </w:r>
            <w:r>
              <w:rPr>
                <w:spacing w:val="10"/>
                <w:sz w:val="20"/>
                <w:szCs w:val="20"/>
              </w:rPr>
              <w:t>等重点行业无组织排放治理任务。完成燃煤电厂超低</w:t>
            </w:r>
            <w:r>
              <w:rPr>
                <w:sz w:val="20"/>
                <w:szCs w:val="20"/>
              </w:rPr>
              <w:t xml:space="preserve"> </w:t>
            </w:r>
            <w:r>
              <w:rPr>
                <w:spacing w:val="10"/>
                <w:sz w:val="20"/>
                <w:szCs w:val="20"/>
              </w:rPr>
              <w:t>排放改造，推进大型工业锅炉超低排放改造，稳步实</w:t>
            </w:r>
            <w:r>
              <w:rPr>
                <w:sz w:val="20"/>
                <w:szCs w:val="20"/>
              </w:rPr>
              <w:t xml:space="preserve"> </w:t>
            </w:r>
            <w:r>
              <w:rPr>
                <w:spacing w:val="11"/>
                <w:sz w:val="20"/>
                <w:szCs w:val="20"/>
              </w:rPr>
              <w:t>施钢铁行业超低排放改造，加快工业锅炉提</w:t>
            </w:r>
            <w:r>
              <w:rPr>
                <w:spacing w:val="10"/>
                <w:sz w:val="20"/>
                <w:szCs w:val="20"/>
              </w:rPr>
              <w:t>标改造。</w:t>
            </w:r>
            <w:r>
              <w:rPr>
                <w:sz w:val="20"/>
                <w:szCs w:val="20"/>
              </w:rPr>
              <w:t xml:space="preserve"> </w:t>
            </w:r>
            <w:r>
              <w:rPr>
                <w:spacing w:val="11"/>
                <w:sz w:val="20"/>
                <w:szCs w:val="20"/>
              </w:rPr>
              <w:t>推动高炉－转炉长流程炼钢转型为电炉短流</w:t>
            </w:r>
            <w:r>
              <w:rPr>
                <w:spacing w:val="10"/>
                <w:sz w:val="20"/>
                <w:szCs w:val="20"/>
              </w:rPr>
              <w:t>程炼钢。</w:t>
            </w:r>
            <w:r>
              <w:rPr>
                <w:sz w:val="20"/>
                <w:szCs w:val="20"/>
              </w:rPr>
              <w:t xml:space="preserve"> </w:t>
            </w:r>
            <w:r>
              <w:rPr>
                <w:spacing w:val="10"/>
                <w:sz w:val="20"/>
                <w:szCs w:val="20"/>
              </w:rPr>
              <w:t>重点区域执行重点行业污染物特别排放限值，燃煤发</w:t>
            </w:r>
            <w:r>
              <w:rPr>
                <w:sz w:val="20"/>
                <w:szCs w:val="20"/>
              </w:rPr>
              <w:t xml:space="preserve"> </w:t>
            </w:r>
            <w:r>
              <w:rPr>
                <w:spacing w:val="10"/>
                <w:sz w:val="20"/>
                <w:szCs w:val="20"/>
              </w:rPr>
              <w:t>电机组和执行火电大气污染物排放标准的锅炉应当执</w:t>
            </w:r>
            <w:r>
              <w:rPr>
                <w:sz w:val="20"/>
                <w:szCs w:val="20"/>
              </w:rPr>
              <w:t xml:space="preserve"> </w:t>
            </w:r>
            <w:r>
              <w:rPr>
                <w:spacing w:val="10"/>
                <w:sz w:val="20"/>
                <w:szCs w:val="20"/>
              </w:rPr>
              <w:t>行超低排放限值。国家或地方已出台超低排放要求的</w:t>
            </w:r>
            <w:r>
              <w:rPr>
                <w:sz w:val="20"/>
                <w:szCs w:val="20"/>
              </w:rPr>
              <w:t xml:space="preserve"> </w:t>
            </w:r>
            <w:r>
              <w:rPr>
                <w:spacing w:val="8"/>
                <w:sz w:val="20"/>
                <w:szCs w:val="20"/>
              </w:rPr>
              <w:t>“两高</w:t>
            </w:r>
            <w:r>
              <w:rPr>
                <w:spacing w:val="-55"/>
                <w:sz w:val="20"/>
                <w:szCs w:val="20"/>
              </w:rPr>
              <w:t xml:space="preserve"> </w:t>
            </w:r>
            <w:r>
              <w:rPr>
                <w:spacing w:val="8"/>
                <w:sz w:val="20"/>
                <w:szCs w:val="20"/>
              </w:rPr>
              <w:t>”行业建设项目应满足超低排放要求。严格执</w:t>
            </w:r>
            <w:r>
              <w:rPr>
                <w:sz w:val="20"/>
                <w:szCs w:val="20"/>
              </w:rPr>
              <w:t xml:space="preserve"> </w:t>
            </w:r>
            <w:r>
              <w:rPr>
                <w:spacing w:val="10"/>
                <w:sz w:val="20"/>
                <w:szCs w:val="20"/>
              </w:rPr>
              <w:t>行焦化行业准入标准，整合提升焦炭生产能力，促进</w:t>
            </w:r>
            <w:r>
              <w:rPr>
                <w:sz w:val="20"/>
                <w:szCs w:val="20"/>
              </w:rPr>
              <w:t xml:space="preserve"> </w:t>
            </w:r>
            <w:r>
              <w:rPr>
                <w:spacing w:val="10"/>
                <w:sz w:val="20"/>
                <w:szCs w:val="20"/>
              </w:rPr>
              <w:t>焦炉大型化和清洁化生产，降低污染排放。提高煤焦</w:t>
            </w:r>
            <w:r>
              <w:rPr>
                <w:sz w:val="20"/>
                <w:szCs w:val="20"/>
              </w:rPr>
              <w:t xml:space="preserve"> </w:t>
            </w:r>
            <w:r>
              <w:rPr>
                <w:spacing w:val="10"/>
                <w:sz w:val="20"/>
                <w:szCs w:val="20"/>
              </w:rPr>
              <w:t>油深加工、焦炉尾气及余热余压综合利用水平。布局</w:t>
            </w:r>
            <w:r>
              <w:rPr>
                <w:sz w:val="20"/>
                <w:szCs w:val="20"/>
              </w:rPr>
              <w:t xml:space="preserve"> </w:t>
            </w:r>
            <w:r>
              <w:rPr>
                <w:spacing w:val="10"/>
                <w:sz w:val="20"/>
                <w:szCs w:val="20"/>
              </w:rPr>
              <w:t>医药及染料中间体、针状焦、已内酰胺等化工新材料</w:t>
            </w:r>
            <w:r>
              <w:rPr>
                <w:sz w:val="20"/>
                <w:szCs w:val="20"/>
              </w:rPr>
              <w:t xml:space="preserve"> </w:t>
            </w:r>
            <w:r>
              <w:rPr>
                <w:spacing w:val="10"/>
                <w:sz w:val="20"/>
                <w:szCs w:val="20"/>
              </w:rPr>
              <w:t>产品，以化产水平的进步推动焦化产业转型升级。满</w:t>
            </w:r>
            <w:r>
              <w:rPr>
                <w:sz w:val="20"/>
                <w:szCs w:val="20"/>
              </w:rPr>
              <w:t xml:space="preserve"> </w:t>
            </w:r>
            <w:r>
              <w:rPr>
                <w:spacing w:val="10"/>
                <w:sz w:val="20"/>
                <w:szCs w:val="20"/>
              </w:rPr>
              <w:t>足《现代煤化工建设项目环境准入条件（试行）》的</w:t>
            </w:r>
            <w:r>
              <w:rPr>
                <w:sz w:val="20"/>
                <w:szCs w:val="20"/>
              </w:rPr>
              <w:t xml:space="preserve"> </w:t>
            </w:r>
            <w:r>
              <w:rPr>
                <w:spacing w:val="4"/>
                <w:sz w:val="20"/>
                <w:szCs w:val="20"/>
              </w:rPr>
              <w:t>相关要求，严格控制二氧化硫、氮氧化物、细颗粒物、</w:t>
            </w:r>
            <w:r>
              <w:rPr>
                <w:spacing w:val="7"/>
                <w:sz w:val="20"/>
                <w:szCs w:val="20"/>
              </w:rPr>
              <w:t xml:space="preserve"> </w:t>
            </w:r>
            <w:r>
              <w:rPr>
                <w:spacing w:val="10"/>
                <w:sz w:val="20"/>
                <w:szCs w:val="20"/>
              </w:rPr>
              <w:t>挥发性有机物及其他有毒有害大气污染物排放，固体</w:t>
            </w:r>
            <w:r>
              <w:rPr>
                <w:sz w:val="20"/>
                <w:szCs w:val="20"/>
              </w:rPr>
              <w:t xml:space="preserve"> </w:t>
            </w:r>
            <w:r>
              <w:rPr>
                <w:spacing w:val="11"/>
                <w:sz w:val="20"/>
                <w:szCs w:val="20"/>
              </w:rPr>
              <w:t>废弃物和高含盐废水做到无害化处理及资源</w:t>
            </w:r>
            <w:r>
              <w:rPr>
                <w:spacing w:val="10"/>
                <w:sz w:val="20"/>
                <w:szCs w:val="20"/>
              </w:rPr>
              <w:t>化利用。</w:t>
            </w:r>
            <w:r>
              <w:rPr>
                <w:sz w:val="20"/>
                <w:szCs w:val="20"/>
              </w:rPr>
              <w:t xml:space="preserve"> </w:t>
            </w:r>
            <w:r>
              <w:rPr>
                <w:spacing w:val="10"/>
                <w:sz w:val="20"/>
                <w:szCs w:val="20"/>
              </w:rPr>
              <w:t>科学有序推进碳达峰碳中和。积极稳妥推进碳达峰碳</w:t>
            </w:r>
            <w:r>
              <w:rPr>
                <w:sz w:val="20"/>
                <w:szCs w:val="20"/>
              </w:rPr>
              <w:t xml:space="preserve"> </w:t>
            </w:r>
            <w:r>
              <w:rPr>
                <w:spacing w:val="6"/>
                <w:sz w:val="20"/>
                <w:szCs w:val="20"/>
              </w:rPr>
              <w:t>中和“</w:t>
            </w:r>
            <w:r>
              <w:rPr>
                <w:spacing w:val="-63"/>
                <w:sz w:val="20"/>
                <w:szCs w:val="20"/>
              </w:rPr>
              <w:t xml:space="preserve"> </w:t>
            </w:r>
            <w:r>
              <w:rPr>
                <w:rFonts w:ascii="Times New Roman" w:hAnsi="Times New Roman" w:eastAsia="Times New Roman" w:cs="Times New Roman"/>
                <w:spacing w:val="6"/>
                <w:sz w:val="20"/>
                <w:szCs w:val="20"/>
              </w:rPr>
              <w:t>1+N+X</w:t>
            </w:r>
            <w:r>
              <w:rPr>
                <w:rFonts w:ascii="Times New Roman" w:hAnsi="Times New Roman" w:eastAsia="Times New Roman" w:cs="Times New Roman"/>
                <w:spacing w:val="-20"/>
                <w:sz w:val="20"/>
                <w:szCs w:val="20"/>
              </w:rPr>
              <w:t xml:space="preserve"> </w:t>
            </w:r>
            <w:r>
              <w:rPr>
                <w:spacing w:val="6"/>
                <w:sz w:val="20"/>
                <w:szCs w:val="20"/>
              </w:rPr>
              <w:t>”政策体系落实，推动国家出台《新时</w:t>
            </w:r>
            <w:r>
              <w:rPr>
                <w:sz w:val="20"/>
                <w:szCs w:val="20"/>
              </w:rPr>
              <w:t xml:space="preserve"> </w:t>
            </w:r>
            <w:r>
              <w:rPr>
                <w:spacing w:val="10"/>
                <w:sz w:val="20"/>
                <w:szCs w:val="20"/>
              </w:rPr>
              <w:t>期推进内蒙古绿色低碳高质量发展若干支持意见》，</w:t>
            </w:r>
            <w:r>
              <w:rPr>
                <w:spacing w:val="16"/>
                <w:sz w:val="20"/>
                <w:szCs w:val="20"/>
              </w:rPr>
              <w:t xml:space="preserve"> </w:t>
            </w:r>
            <w:r>
              <w:rPr>
                <w:spacing w:val="10"/>
                <w:sz w:val="20"/>
                <w:szCs w:val="20"/>
              </w:rPr>
              <w:t>在落实碳达峰碳中和目标任务过程中锻造新的产业竞</w:t>
            </w:r>
            <w:r>
              <w:rPr>
                <w:sz w:val="20"/>
                <w:szCs w:val="20"/>
              </w:rPr>
              <w:t xml:space="preserve"> </w:t>
            </w:r>
            <w:r>
              <w:rPr>
                <w:spacing w:val="10"/>
                <w:sz w:val="20"/>
                <w:szCs w:val="20"/>
              </w:rPr>
              <w:t>争优势。推动能源、工业、建筑、交通等领域清洁低</w:t>
            </w:r>
            <w:r>
              <w:rPr>
                <w:sz w:val="20"/>
                <w:szCs w:val="20"/>
              </w:rPr>
              <w:t xml:space="preserve"> </w:t>
            </w:r>
            <w:r>
              <w:rPr>
                <w:spacing w:val="10"/>
                <w:sz w:val="20"/>
                <w:szCs w:val="20"/>
              </w:rPr>
              <w:t>碳转型，建立健全碳排放统计核算制度，提升生态系</w:t>
            </w:r>
            <w:r>
              <w:rPr>
                <w:sz w:val="20"/>
                <w:szCs w:val="20"/>
              </w:rPr>
              <w:t xml:space="preserve"> </w:t>
            </w:r>
            <w:r>
              <w:rPr>
                <w:spacing w:val="8"/>
                <w:sz w:val="20"/>
                <w:szCs w:val="20"/>
              </w:rPr>
              <w:t>统碳汇能力。</w:t>
            </w:r>
          </w:p>
        </w:tc>
        <w:tc>
          <w:tcPr>
            <w:tcW w:w="1327" w:type="dxa"/>
            <w:vAlign w:val="top"/>
          </w:tcPr>
          <w:p w14:paraId="4DA1A46A">
            <w:pPr>
              <w:pStyle w:val="6"/>
              <w:spacing w:before="104" w:line="228" w:lineRule="auto"/>
              <w:ind w:left="157"/>
              <w:rPr>
                <w:sz w:val="20"/>
                <w:szCs w:val="20"/>
              </w:rPr>
            </w:pPr>
            <w:r>
              <w:rPr>
                <w:spacing w:val="21"/>
                <w:sz w:val="20"/>
                <w:szCs w:val="20"/>
              </w:rPr>
              <w:t>于“两高</w:t>
            </w:r>
            <w:r>
              <w:rPr>
                <w:spacing w:val="-69"/>
                <w:sz w:val="20"/>
                <w:szCs w:val="20"/>
              </w:rPr>
              <w:t xml:space="preserve"> </w:t>
            </w:r>
            <w:r>
              <w:rPr>
                <w:spacing w:val="21"/>
                <w:sz w:val="20"/>
                <w:szCs w:val="20"/>
              </w:rPr>
              <w:t>”</w:t>
            </w:r>
          </w:p>
          <w:p w14:paraId="3998640E">
            <w:pPr>
              <w:pStyle w:val="6"/>
              <w:spacing w:before="24" w:line="228" w:lineRule="auto"/>
              <w:ind w:left="157"/>
              <w:rPr>
                <w:sz w:val="20"/>
                <w:szCs w:val="20"/>
              </w:rPr>
            </w:pPr>
            <w:r>
              <w:rPr>
                <w:spacing w:val="7"/>
                <w:sz w:val="20"/>
                <w:szCs w:val="20"/>
              </w:rPr>
              <w:t>行业建设项</w:t>
            </w:r>
          </w:p>
          <w:p w14:paraId="77F94AD3">
            <w:pPr>
              <w:pStyle w:val="6"/>
              <w:spacing w:before="23" w:line="252" w:lineRule="auto"/>
              <w:ind w:left="154" w:right="126" w:firstLine="39"/>
              <w:rPr>
                <w:sz w:val="20"/>
                <w:szCs w:val="20"/>
              </w:rPr>
            </w:pPr>
            <w:r>
              <w:rPr>
                <w:sz w:val="20"/>
                <w:szCs w:val="20"/>
              </w:rPr>
              <w:t xml:space="preserve">目；不属于 </w:t>
            </w:r>
            <w:r>
              <w:rPr>
                <w:spacing w:val="5"/>
                <w:sz w:val="20"/>
                <w:szCs w:val="20"/>
              </w:rPr>
              <w:t>焦化行业；</w:t>
            </w:r>
            <w:r>
              <w:rPr>
                <w:spacing w:val="3"/>
                <w:sz w:val="20"/>
                <w:szCs w:val="20"/>
              </w:rPr>
              <w:t xml:space="preserve"> </w:t>
            </w:r>
            <w:r>
              <w:rPr>
                <w:spacing w:val="8"/>
                <w:sz w:val="20"/>
                <w:szCs w:val="20"/>
              </w:rPr>
              <w:t>不属于煤化</w:t>
            </w:r>
          </w:p>
          <w:p w14:paraId="6BA16C9D">
            <w:pPr>
              <w:pStyle w:val="6"/>
              <w:spacing w:line="228" w:lineRule="auto"/>
              <w:ind w:left="156"/>
              <w:rPr>
                <w:sz w:val="20"/>
                <w:szCs w:val="20"/>
              </w:rPr>
            </w:pPr>
            <w:r>
              <w:rPr>
                <w:spacing w:val="8"/>
                <w:sz w:val="20"/>
                <w:szCs w:val="20"/>
              </w:rPr>
              <w:t>工项目；不</w:t>
            </w:r>
          </w:p>
          <w:p w14:paraId="7CAA8648">
            <w:pPr>
              <w:pStyle w:val="6"/>
              <w:spacing w:before="24" w:line="228" w:lineRule="auto"/>
              <w:ind w:left="156"/>
              <w:rPr>
                <w:sz w:val="20"/>
                <w:szCs w:val="20"/>
              </w:rPr>
            </w:pPr>
            <w:r>
              <w:rPr>
                <w:spacing w:val="7"/>
                <w:sz w:val="20"/>
                <w:szCs w:val="20"/>
              </w:rPr>
              <w:t>属于冶炼项</w:t>
            </w:r>
          </w:p>
          <w:p w14:paraId="0891B22C">
            <w:pPr>
              <w:pStyle w:val="6"/>
              <w:spacing w:before="26" w:line="228" w:lineRule="auto"/>
              <w:ind w:left="194"/>
              <w:rPr>
                <w:sz w:val="20"/>
                <w:szCs w:val="20"/>
              </w:rPr>
            </w:pPr>
            <w:r>
              <w:rPr>
                <w:sz w:val="20"/>
                <w:szCs w:val="20"/>
              </w:rPr>
              <w:t>目。项目严</w:t>
            </w:r>
          </w:p>
          <w:p w14:paraId="75935CF4">
            <w:pPr>
              <w:pStyle w:val="6"/>
              <w:spacing w:before="23" w:line="228" w:lineRule="auto"/>
              <w:ind w:left="154"/>
              <w:rPr>
                <w:sz w:val="20"/>
                <w:szCs w:val="20"/>
              </w:rPr>
            </w:pPr>
            <w:r>
              <w:rPr>
                <w:spacing w:val="8"/>
                <w:sz w:val="20"/>
                <w:szCs w:val="20"/>
              </w:rPr>
              <w:t>格执行环境</w:t>
            </w:r>
          </w:p>
          <w:p w14:paraId="4BC8C5CA">
            <w:pPr>
              <w:pStyle w:val="6"/>
              <w:spacing w:before="28" w:line="226" w:lineRule="auto"/>
              <w:ind w:left="154"/>
              <w:rPr>
                <w:sz w:val="20"/>
                <w:szCs w:val="20"/>
              </w:rPr>
            </w:pPr>
            <w:r>
              <w:rPr>
                <w:spacing w:val="8"/>
                <w:sz w:val="20"/>
                <w:szCs w:val="20"/>
              </w:rPr>
              <w:t>影响评价制</w:t>
            </w:r>
          </w:p>
          <w:p w14:paraId="34F0E98C">
            <w:pPr>
              <w:pStyle w:val="6"/>
              <w:spacing w:before="26" w:line="228" w:lineRule="auto"/>
              <w:ind w:left="259"/>
              <w:rPr>
                <w:sz w:val="20"/>
                <w:szCs w:val="20"/>
              </w:rPr>
            </w:pPr>
            <w:r>
              <w:rPr>
                <w:spacing w:val="7"/>
                <w:sz w:val="20"/>
                <w:szCs w:val="20"/>
              </w:rPr>
              <w:t>度和环保</w:t>
            </w:r>
          </w:p>
          <w:p w14:paraId="3499924F">
            <w:pPr>
              <w:pStyle w:val="6"/>
              <w:spacing w:before="24" w:line="230" w:lineRule="auto"/>
              <w:ind w:left="144"/>
              <w:rPr>
                <w:sz w:val="20"/>
                <w:szCs w:val="20"/>
              </w:rPr>
            </w:pPr>
            <w:r>
              <w:rPr>
                <w:spacing w:val="24"/>
                <w:sz w:val="20"/>
                <w:szCs w:val="20"/>
              </w:rPr>
              <w:t>“三同时</w:t>
            </w:r>
            <w:r>
              <w:rPr>
                <w:spacing w:val="-71"/>
                <w:sz w:val="20"/>
                <w:szCs w:val="20"/>
              </w:rPr>
              <w:t xml:space="preserve"> </w:t>
            </w:r>
            <w:r>
              <w:rPr>
                <w:spacing w:val="24"/>
                <w:sz w:val="20"/>
                <w:szCs w:val="20"/>
              </w:rPr>
              <w:t>”</w:t>
            </w:r>
          </w:p>
          <w:p w14:paraId="70AA4682">
            <w:pPr>
              <w:pStyle w:val="6"/>
              <w:spacing w:before="25" w:line="228" w:lineRule="auto"/>
              <w:ind w:left="155"/>
              <w:rPr>
                <w:sz w:val="20"/>
                <w:szCs w:val="20"/>
              </w:rPr>
            </w:pPr>
            <w:r>
              <w:rPr>
                <w:spacing w:val="8"/>
                <w:sz w:val="20"/>
                <w:szCs w:val="20"/>
              </w:rPr>
              <w:t>制度，建设</w:t>
            </w:r>
          </w:p>
          <w:p w14:paraId="43177FD3">
            <w:pPr>
              <w:pStyle w:val="6"/>
              <w:spacing w:before="26" w:line="228" w:lineRule="auto"/>
              <w:ind w:left="154"/>
              <w:rPr>
                <w:sz w:val="20"/>
                <w:szCs w:val="20"/>
              </w:rPr>
            </w:pPr>
            <w:r>
              <w:rPr>
                <w:spacing w:val="8"/>
                <w:sz w:val="20"/>
                <w:szCs w:val="20"/>
              </w:rPr>
              <w:t>运营产生的</w:t>
            </w:r>
          </w:p>
          <w:p w14:paraId="4B534503">
            <w:pPr>
              <w:pStyle w:val="6"/>
              <w:spacing w:before="24" w:line="227" w:lineRule="auto"/>
              <w:ind w:left="156"/>
              <w:rPr>
                <w:sz w:val="20"/>
                <w:szCs w:val="20"/>
              </w:rPr>
            </w:pPr>
            <w:r>
              <w:rPr>
                <w:spacing w:val="7"/>
                <w:sz w:val="20"/>
                <w:szCs w:val="20"/>
              </w:rPr>
              <w:t>污染物均会</w:t>
            </w:r>
          </w:p>
          <w:p w14:paraId="7CE485AA">
            <w:pPr>
              <w:pStyle w:val="6"/>
              <w:spacing w:before="28" w:line="227" w:lineRule="auto"/>
              <w:ind w:left="153"/>
              <w:rPr>
                <w:sz w:val="20"/>
                <w:szCs w:val="20"/>
              </w:rPr>
            </w:pPr>
            <w:r>
              <w:rPr>
                <w:spacing w:val="8"/>
                <w:sz w:val="20"/>
                <w:szCs w:val="20"/>
              </w:rPr>
              <w:t>采取相应的</w:t>
            </w:r>
          </w:p>
          <w:p w14:paraId="32BB8BCE">
            <w:pPr>
              <w:pStyle w:val="6"/>
              <w:spacing w:before="26" w:line="228" w:lineRule="auto"/>
              <w:ind w:left="154"/>
              <w:rPr>
                <w:sz w:val="20"/>
                <w:szCs w:val="20"/>
              </w:rPr>
            </w:pPr>
            <w:r>
              <w:rPr>
                <w:spacing w:val="8"/>
                <w:sz w:val="20"/>
                <w:szCs w:val="20"/>
              </w:rPr>
              <w:t>环境保护措</w:t>
            </w:r>
          </w:p>
          <w:p w14:paraId="03572DE1">
            <w:pPr>
              <w:pStyle w:val="6"/>
              <w:spacing w:before="24" w:line="228" w:lineRule="auto"/>
              <w:ind w:left="153"/>
              <w:rPr>
                <w:sz w:val="20"/>
                <w:szCs w:val="20"/>
              </w:rPr>
            </w:pPr>
            <w:r>
              <w:rPr>
                <w:spacing w:val="8"/>
                <w:sz w:val="20"/>
                <w:szCs w:val="20"/>
              </w:rPr>
              <w:t>施进行处理</w:t>
            </w:r>
          </w:p>
          <w:p w14:paraId="28FEE0C5">
            <w:pPr>
              <w:pStyle w:val="6"/>
              <w:spacing w:before="26" w:line="227" w:lineRule="auto"/>
              <w:ind w:left="158"/>
              <w:rPr>
                <w:sz w:val="20"/>
                <w:szCs w:val="20"/>
              </w:rPr>
            </w:pPr>
            <w:r>
              <w:rPr>
                <w:spacing w:val="7"/>
                <w:sz w:val="20"/>
                <w:szCs w:val="20"/>
              </w:rPr>
              <w:t>处置，不会</w:t>
            </w:r>
          </w:p>
          <w:p w14:paraId="2428F0CE">
            <w:pPr>
              <w:pStyle w:val="6"/>
              <w:spacing w:before="25" w:line="252" w:lineRule="auto"/>
              <w:ind w:left="156" w:right="126" w:firstLine="4"/>
              <w:rPr>
                <w:sz w:val="20"/>
                <w:szCs w:val="20"/>
              </w:rPr>
            </w:pPr>
            <w:r>
              <w:rPr>
                <w:spacing w:val="6"/>
                <w:sz w:val="20"/>
                <w:szCs w:val="20"/>
              </w:rPr>
              <w:t>突破区域环</w:t>
            </w:r>
            <w:r>
              <w:rPr>
                <w:spacing w:val="2"/>
                <w:sz w:val="20"/>
                <w:szCs w:val="20"/>
              </w:rPr>
              <w:t xml:space="preserve"> </w:t>
            </w:r>
            <w:r>
              <w:rPr>
                <w:spacing w:val="33"/>
                <w:sz w:val="20"/>
                <w:szCs w:val="20"/>
              </w:rPr>
              <w:t>境质量底</w:t>
            </w:r>
            <w:r>
              <w:rPr>
                <w:sz w:val="20"/>
                <w:szCs w:val="20"/>
              </w:rPr>
              <w:t xml:space="preserve">  </w:t>
            </w:r>
            <w:r>
              <w:rPr>
                <w:spacing w:val="7"/>
                <w:sz w:val="20"/>
                <w:szCs w:val="20"/>
              </w:rPr>
              <w:t>线，符合污</w:t>
            </w:r>
          </w:p>
          <w:p w14:paraId="1E37D264">
            <w:pPr>
              <w:pStyle w:val="6"/>
              <w:spacing w:line="252" w:lineRule="auto"/>
              <w:ind w:left="258" w:right="126" w:hanging="101"/>
              <w:rPr>
                <w:sz w:val="20"/>
                <w:szCs w:val="20"/>
              </w:rPr>
            </w:pPr>
            <w:r>
              <w:rPr>
                <w:spacing w:val="7"/>
                <w:sz w:val="20"/>
                <w:szCs w:val="20"/>
              </w:rPr>
              <w:t>染物排放管</w:t>
            </w:r>
            <w:r>
              <w:rPr>
                <w:spacing w:val="1"/>
                <w:sz w:val="20"/>
                <w:szCs w:val="20"/>
              </w:rPr>
              <w:t xml:space="preserve"> </w:t>
            </w:r>
            <w:r>
              <w:rPr>
                <w:spacing w:val="4"/>
                <w:sz w:val="20"/>
                <w:szCs w:val="20"/>
              </w:rPr>
              <w:t>控要求。</w:t>
            </w:r>
          </w:p>
        </w:tc>
        <w:tc>
          <w:tcPr>
            <w:tcW w:w="427" w:type="dxa"/>
            <w:vAlign w:val="top"/>
          </w:tcPr>
          <w:p w14:paraId="326B8F3F">
            <w:pPr>
              <w:rPr>
                <w:rFonts w:ascii="Arial"/>
                <w:sz w:val="21"/>
              </w:rPr>
            </w:pPr>
          </w:p>
        </w:tc>
      </w:tr>
    </w:tbl>
    <w:p w14:paraId="23651FE5">
      <w:pPr>
        <w:pStyle w:val="2"/>
      </w:pPr>
    </w:p>
    <w:p w14:paraId="6AC9B757">
      <w:pPr>
        <w:sectPr>
          <w:footerReference r:id="rId16" w:type="default"/>
          <w:pgSz w:w="11906" w:h="16839"/>
          <w:pgMar w:top="400" w:right="1739" w:bottom="1259" w:left="1738" w:header="0" w:footer="1097" w:gutter="0"/>
          <w:cols w:space="720" w:num="1"/>
        </w:sectPr>
      </w:pPr>
    </w:p>
    <w:p w14:paraId="68BF972F">
      <w:pPr>
        <w:spacing w:before="19"/>
      </w:pPr>
    </w:p>
    <w:p w14:paraId="66DC8B4B">
      <w:pPr>
        <w:spacing w:before="19"/>
      </w:pPr>
    </w:p>
    <w:p w14:paraId="2E0EF834">
      <w:pPr>
        <w:spacing w:before="18"/>
      </w:pPr>
    </w:p>
    <w:p w14:paraId="5E5260E7">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304CA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8" w:hRule="atLeast"/>
        </w:trPr>
        <w:tc>
          <w:tcPr>
            <w:tcW w:w="1180" w:type="dxa"/>
            <w:vAlign w:val="top"/>
          </w:tcPr>
          <w:p w14:paraId="6904BE34">
            <w:pPr>
              <w:rPr>
                <w:rFonts w:ascii="Arial"/>
                <w:sz w:val="21"/>
              </w:rPr>
            </w:pPr>
          </w:p>
        </w:tc>
        <w:tc>
          <w:tcPr>
            <w:tcW w:w="404" w:type="dxa"/>
            <w:vAlign w:val="top"/>
          </w:tcPr>
          <w:p w14:paraId="020BB70B">
            <w:pPr>
              <w:rPr>
                <w:rFonts w:ascii="Arial"/>
                <w:sz w:val="21"/>
              </w:rPr>
            </w:pPr>
          </w:p>
        </w:tc>
        <w:tc>
          <w:tcPr>
            <w:tcW w:w="5085" w:type="dxa"/>
            <w:vAlign w:val="top"/>
          </w:tcPr>
          <w:p w14:paraId="65E93B44">
            <w:pPr>
              <w:pStyle w:val="6"/>
              <w:spacing w:before="109" w:line="251" w:lineRule="auto"/>
              <w:ind w:left="164" w:right="20"/>
              <w:rPr>
                <w:sz w:val="20"/>
                <w:szCs w:val="20"/>
              </w:rPr>
            </w:pPr>
            <w:r>
              <w:rPr>
                <w:spacing w:val="9"/>
                <w:sz w:val="20"/>
                <w:szCs w:val="20"/>
              </w:rPr>
              <w:t>遵循清洁生产理念，采用能源转换率高、水资源消耗</w:t>
            </w:r>
            <w:r>
              <w:rPr>
                <w:spacing w:val="13"/>
                <w:sz w:val="20"/>
                <w:szCs w:val="20"/>
              </w:rPr>
              <w:t xml:space="preserve"> </w:t>
            </w:r>
            <w:r>
              <w:rPr>
                <w:spacing w:val="9"/>
                <w:sz w:val="20"/>
                <w:szCs w:val="20"/>
              </w:rPr>
              <w:t>低、污染物排放强度小的工艺。通过园区集中供热供</w:t>
            </w:r>
            <w:r>
              <w:rPr>
                <w:spacing w:val="13"/>
                <w:sz w:val="20"/>
                <w:szCs w:val="20"/>
              </w:rPr>
              <w:t xml:space="preserve"> </w:t>
            </w:r>
            <w:r>
              <w:rPr>
                <w:spacing w:val="7"/>
                <w:sz w:val="20"/>
                <w:szCs w:val="20"/>
              </w:rPr>
              <w:t>电、</w:t>
            </w:r>
            <w:r>
              <w:rPr>
                <w:spacing w:val="-41"/>
                <w:sz w:val="20"/>
                <w:szCs w:val="20"/>
              </w:rPr>
              <w:t xml:space="preserve"> </w:t>
            </w:r>
            <w:r>
              <w:rPr>
                <w:spacing w:val="7"/>
                <w:sz w:val="20"/>
                <w:szCs w:val="20"/>
              </w:rPr>
              <w:t>电直供等方式，优化项目热电供应方案。确需建</w:t>
            </w:r>
            <w:r>
              <w:rPr>
                <w:sz w:val="20"/>
                <w:szCs w:val="20"/>
              </w:rPr>
              <w:t xml:space="preserve"> </w:t>
            </w:r>
            <w:r>
              <w:rPr>
                <w:spacing w:val="9"/>
                <w:sz w:val="20"/>
                <w:szCs w:val="20"/>
              </w:rPr>
              <w:t>设自备热电站的，锅炉烟气应采取高效的脱硫、脱硝</w:t>
            </w:r>
            <w:r>
              <w:rPr>
                <w:spacing w:val="13"/>
                <w:sz w:val="20"/>
                <w:szCs w:val="20"/>
              </w:rPr>
              <w:t xml:space="preserve"> </w:t>
            </w:r>
            <w:r>
              <w:rPr>
                <w:spacing w:val="9"/>
                <w:sz w:val="20"/>
                <w:szCs w:val="20"/>
              </w:rPr>
              <w:t>和除尘措施，烟气中的烟尘、二氧化硫、氮氧化物排</w:t>
            </w:r>
            <w:r>
              <w:rPr>
                <w:spacing w:val="13"/>
                <w:sz w:val="20"/>
                <w:szCs w:val="20"/>
              </w:rPr>
              <w:t xml:space="preserve"> </w:t>
            </w:r>
            <w:r>
              <w:rPr>
                <w:spacing w:val="9"/>
                <w:sz w:val="20"/>
                <w:szCs w:val="20"/>
              </w:rPr>
              <w:t>放应满足超低排放要求。煤化工项目产生的酸性气体</w:t>
            </w:r>
            <w:r>
              <w:rPr>
                <w:spacing w:val="13"/>
                <w:sz w:val="20"/>
                <w:szCs w:val="20"/>
              </w:rPr>
              <w:t xml:space="preserve"> </w:t>
            </w:r>
            <w:r>
              <w:rPr>
                <w:spacing w:val="9"/>
                <w:sz w:val="20"/>
                <w:szCs w:val="20"/>
              </w:rPr>
              <w:t>和挥发性有机气体采取相应的治理措施。强化节水措</w:t>
            </w:r>
            <w:r>
              <w:rPr>
                <w:spacing w:val="13"/>
                <w:sz w:val="20"/>
                <w:szCs w:val="20"/>
              </w:rPr>
              <w:t xml:space="preserve"> </w:t>
            </w:r>
            <w:r>
              <w:rPr>
                <w:spacing w:val="10"/>
                <w:sz w:val="20"/>
                <w:szCs w:val="20"/>
              </w:rPr>
              <w:t>施和用水管理，减少新鲜水用量；根据“清污分流、</w:t>
            </w:r>
            <w:r>
              <w:rPr>
                <w:spacing w:val="4"/>
                <w:sz w:val="20"/>
                <w:szCs w:val="20"/>
              </w:rPr>
              <w:t xml:space="preserve"> 污污 分治、深度处理、分质回用</w:t>
            </w:r>
            <w:r>
              <w:rPr>
                <w:spacing w:val="-70"/>
                <w:sz w:val="20"/>
                <w:szCs w:val="20"/>
              </w:rPr>
              <w:t xml:space="preserve"> </w:t>
            </w:r>
            <w:r>
              <w:rPr>
                <w:spacing w:val="4"/>
                <w:sz w:val="20"/>
                <w:szCs w:val="20"/>
              </w:rPr>
              <w:t>”的原则，合</w:t>
            </w:r>
            <w:r>
              <w:rPr>
                <w:spacing w:val="3"/>
                <w:sz w:val="20"/>
                <w:szCs w:val="20"/>
              </w:rPr>
              <w:t>理划分</w:t>
            </w:r>
            <w:r>
              <w:rPr>
                <w:sz w:val="20"/>
                <w:szCs w:val="20"/>
              </w:rPr>
              <w:t xml:space="preserve"> </w:t>
            </w:r>
            <w:r>
              <w:rPr>
                <w:spacing w:val="9"/>
                <w:sz w:val="20"/>
                <w:szCs w:val="20"/>
              </w:rPr>
              <w:t>排水系统，优化污水处理和回用方案，做到污水不外</w:t>
            </w:r>
            <w:r>
              <w:rPr>
                <w:spacing w:val="13"/>
                <w:sz w:val="20"/>
                <w:szCs w:val="20"/>
              </w:rPr>
              <w:t xml:space="preserve"> </w:t>
            </w:r>
            <w:r>
              <w:rPr>
                <w:spacing w:val="9"/>
                <w:sz w:val="20"/>
                <w:szCs w:val="20"/>
              </w:rPr>
              <w:t>排。大力推行清洁生产和循环经济。加快工业污染源</w:t>
            </w:r>
            <w:r>
              <w:rPr>
                <w:spacing w:val="13"/>
                <w:sz w:val="20"/>
                <w:szCs w:val="20"/>
              </w:rPr>
              <w:t xml:space="preserve"> </w:t>
            </w:r>
            <w:r>
              <w:rPr>
                <w:spacing w:val="9"/>
                <w:sz w:val="20"/>
                <w:szCs w:val="20"/>
              </w:rPr>
              <w:t>从末端治理为主导向生产全过程控制的转变，实现节</w:t>
            </w:r>
            <w:r>
              <w:rPr>
                <w:spacing w:val="13"/>
                <w:sz w:val="20"/>
                <w:szCs w:val="20"/>
              </w:rPr>
              <w:t xml:space="preserve"> </w:t>
            </w:r>
            <w:r>
              <w:rPr>
                <w:spacing w:val="4"/>
                <w:sz w:val="20"/>
                <w:szCs w:val="20"/>
              </w:rPr>
              <w:t>能、降耗、减污、增效，一步到位削减污染物排</w:t>
            </w:r>
            <w:r>
              <w:rPr>
                <w:spacing w:val="3"/>
                <w:sz w:val="20"/>
                <w:szCs w:val="20"/>
              </w:rPr>
              <w:t>放量。</w:t>
            </w:r>
            <w:r>
              <w:rPr>
                <w:sz w:val="20"/>
                <w:szCs w:val="20"/>
              </w:rPr>
              <w:t xml:space="preserve"> </w:t>
            </w:r>
            <w:r>
              <w:rPr>
                <w:spacing w:val="10"/>
                <w:sz w:val="20"/>
                <w:szCs w:val="20"/>
              </w:rPr>
              <w:t>鼓励发展高效节水工艺技术设备，淘汰高耗水工艺、</w:t>
            </w:r>
            <w:r>
              <w:rPr>
                <w:spacing w:val="4"/>
                <w:sz w:val="20"/>
                <w:szCs w:val="20"/>
              </w:rPr>
              <w:t xml:space="preserve"> </w:t>
            </w:r>
            <w:r>
              <w:rPr>
                <w:spacing w:val="9"/>
                <w:sz w:val="20"/>
                <w:szCs w:val="20"/>
              </w:rPr>
              <w:t>技术设备，提高污水回用率。采用水污染治理技术以</w:t>
            </w:r>
            <w:r>
              <w:rPr>
                <w:spacing w:val="13"/>
                <w:sz w:val="20"/>
                <w:szCs w:val="20"/>
              </w:rPr>
              <w:t xml:space="preserve"> </w:t>
            </w:r>
            <w:r>
              <w:rPr>
                <w:spacing w:val="9"/>
                <w:sz w:val="20"/>
                <w:szCs w:val="20"/>
              </w:rPr>
              <w:t>及清洁生产、技术改造等措施和增加城镇污水处理厂</w:t>
            </w:r>
            <w:r>
              <w:rPr>
                <w:spacing w:val="13"/>
                <w:sz w:val="20"/>
                <w:szCs w:val="20"/>
              </w:rPr>
              <w:t xml:space="preserve"> </w:t>
            </w:r>
            <w:r>
              <w:rPr>
                <w:spacing w:val="8"/>
                <w:sz w:val="20"/>
                <w:szCs w:val="20"/>
              </w:rPr>
              <w:t>处理能力，实现废污水的资源化。</w:t>
            </w:r>
          </w:p>
          <w:p w14:paraId="6DDA849D">
            <w:pPr>
              <w:pStyle w:val="6"/>
              <w:spacing w:before="4" w:line="251" w:lineRule="auto"/>
              <w:ind w:left="165" w:right="20"/>
              <w:rPr>
                <w:sz w:val="20"/>
                <w:szCs w:val="20"/>
              </w:rPr>
            </w:pPr>
            <w:r>
              <w:rPr>
                <w:spacing w:val="9"/>
                <w:sz w:val="20"/>
                <w:szCs w:val="20"/>
              </w:rPr>
              <w:t>全面实行污染物排放总量控制和排污许可证制度，对</w:t>
            </w:r>
            <w:r>
              <w:rPr>
                <w:spacing w:val="12"/>
                <w:sz w:val="20"/>
                <w:szCs w:val="20"/>
              </w:rPr>
              <w:t xml:space="preserve"> </w:t>
            </w:r>
            <w:r>
              <w:rPr>
                <w:spacing w:val="9"/>
                <w:sz w:val="20"/>
                <w:szCs w:val="20"/>
              </w:rPr>
              <w:t>所有工业园区和新、改扩建项目，在严格执行环境影</w:t>
            </w:r>
            <w:r>
              <w:rPr>
                <w:spacing w:val="12"/>
                <w:sz w:val="20"/>
                <w:szCs w:val="20"/>
              </w:rPr>
              <w:t xml:space="preserve"> </w:t>
            </w:r>
            <w:r>
              <w:rPr>
                <w:spacing w:val="8"/>
                <w:sz w:val="20"/>
                <w:szCs w:val="20"/>
              </w:rPr>
              <w:t>响评价制度和环保“三同时</w:t>
            </w:r>
            <w:r>
              <w:rPr>
                <w:spacing w:val="-65"/>
                <w:sz w:val="20"/>
                <w:szCs w:val="20"/>
              </w:rPr>
              <w:t xml:space="preserve"> </w:t>
            </w:r>
            <w:r>
              <w:rPr>
                <w:spacing w:val="8"/>
                <w:sz w:val="20"/>
                <w:szCs w:val="20"/>
              </w:rPr>
              <w:t>”制度的同时，核定允许</w:t>
            </w:r>
            <w:r>
              <w:rPr>
                <w:sz w:val="20"/>
                <w:szCs w:val="20"/>
              </w:rPr>
              <w:t xml:space="preserve"> </w:t>
            </w:r>
            <w:r>
              <w:rPr>
                <w:spacing w:val="9"/>
                <w:sz w:val="20"/>
                <w:szCs w:val="20"/>
              </w:rPr>
              <w:t>排放量，没有排放容量的功能区首要任务是对现有污</w:t>
            </w:r>
            <w:r>
              <w:rPr>
                <w:spacing w:val="12"/>
                <w:sz w:val="20"/>
                <w:szCs w:val="20"/>
              </w:rPr>
              <w:t xml:space="preserve"> </w:t>
            </w:r>
            <w:r>
              <w:rPr>
                <w:spacing w:val="9"/>
                <w:sz w:val="20"/>
                <w:szCs w:val="20"/>
              </w:rPr>
              <w:t>染源的治理，严格控制新建项目的审批，认真实施环</w:t>
            </w:r>
            <w:r>
              <w:rPr>
                <w:spacing w:val="12"/>
                <w:sz w:val="20"/>
                <w:szCs w:val="20"/>
              </w:rPr>
              <w:t xml:space="preserve"> </w:t>
            </w:r>
            <w:r>
              <w:rPr>
                <w:spacing w:val="-1"/>
                <w:sz w:val="20"/>
                <w:szCs w:val="20"/>
              </w:rPr>
              <w:t>境容量“一票否决制</w:t>
            </w:r>
            <w:r>
              <w:rPr>
                <w:spacing w:val="-54"/>
                <w:sz w:val="20"/>
                <w:szCs w:val="20"/>
              </w:rPr>
              <w:t xml:space="preserve"> </w:t>
            </w:r>
            <w:r>
              <w:rPr>
                <w:spacing w:val="-1"/>
                <w:sz w:val="20"/>
                <w:szCs w:val="20"/>
              </w:rPr>
              <w:t>”。各地新建、改扩建项目、“以</w:t>
            </w:r>
            <w:r>
              <w:rPr>
                <w:sz w:val="20"/>
                <w:szCs w:val="20"/>
              </w:rPr>
              <w:t xml:space="preserve"> </w:t>
            </w:r>
            <w:r>
              <w:rPr>
                <w:spacing w:val="2"/>
                <w:sz w:val="20"/>
                <w:szCs w:val="20"/>
              </w:rPr>
              <w:t>新带老</w:t>
            </w:r>
            <w:r>
              <w:rPr>
                <w:spacing w:val="-55"/>
                <w:sz w:val="20"/>
                <w:szCs w:val="20"/>
              </w:rPr>
              <w:t xml:space="preserve"> </w:t>
            </w:r>
            <w:r>
              <w:rPr>
                <w:spacing w:val="2"/>
                <w:sz w:val="20"/>
                <w:szCs w:val="20"/>
              </w:rPr>
              <w:t>”项目中承诺的总量控制措施必须具体、完善。</w:t>
            </w:r>
            <w:r>
              <w:rPr>
                <w:sz w:val="20"/>
                <w:szCs w:val="20"/>
              </w:rPr>
              <w:t xml:space="preserve"> </w:t>
            </w:r>
            <w:r>
              <w:rPr>
                <w:spacing w:val="9"/>
                <w:sz w:val="20"/>
                <w:szCs w:val="20"/>
              </w:rPr>
              <w:t>环保部门对达标排放且排放的水污染物总量在允许范</w:t>
            </w:r>
            <w:r>
              <w:rPr>
                <w:spacing w:val="12"/>
                <w:sz w:val="20"/>
                <w:szCs w:val="20"/>
              </w:rPr>
              <w:t xml:space="preserve"> </w:t>
            </w:r>
            <w:r>
              <w:rPr>
                <w:spacing w:val="9"/>
                <w:sz w:val="20"/>
                <w:szCs w:val="20"/>
              </w:rPr>
              <w:t>围内的工业企业，核发排污许可证，对达标排放但总</w:t>
            </w:r>
            <w:r>
              <w:rPr>
                <w:spacing w:val="12"/>
                <w:sz w:val="20"/>
                <w:szCs w:val="20"/>
              </w:rPr>
              <w:t xml:space="preserve"> </w:t>
            </w:r>
            <w:r>
              <w:rPr>
                <w:spacing w:val="9"/>
                <w:sz w:val="20"/>
                <w:szCs w:val="20"/>
              </w:rPr>
              <w:t>量超过控制指标的，当地政府责令限期治理。</w:t>
            </w:r>
          </w:p>
          <w:p w14:paraId="17024D5C">
            <w:pPr>
              <w:pStyle w:val="6"/>
              <w:spacing w:before="3" w:line="251" w:lineRule="auto"/>
              <w:ind w:left="164" w:right="36" w:firstLine="1"/>
              <w:rPr>
                <w:sz w:val="20"/>
                <w:szCs w:val="20"/>
              </w:rPr>
            </w:pPr>
            <w:r>
              <w:rPr>
                <w:spacing w:val="9"/>
                <w:sz w:val="20"/>
                <w:szCs w:val="20"/>
              </w:rPr>
              <w:t>严格执行污染物排放标准，采取切实有效措施从严控</w:t>
            </w:r>
            <w:r>
              <w:rPr>
                <w:spacing w:val="11"/>
                <w:sz w:val="20"/>
                <w:szCs w:val="20"/>
              </w:rPr>
              <w:t xml:space="preserve"> </w:t>
            </w:r>
            <w:r>
              <w:rPr>
                <w:spacing w:val="3"/>
                <w:sz w:val="20"/>
                <w:szCs w:val="20"/>
              </w:rPr>
              <w:t>制特征污染物的逸散与排放，生产废水严禁直接外排，</w:t>
            </w:r>
            <w:r>
              <w:rPr>
                <w:spacing w:val="5"/>
                <w:sz w:val="20"/>
                <w:szCs w:val="20"/>
              </w:rPr>
              <w:t xml:space="preserve"> </w:t>
            </w:r>
            <w:r>
              <w:rPr>
                <w:spacing w:val="9"/>
                <w:sz w:val="20"/>
                <w:szCs w:val="20"/>
              </w:rPr>
              <w:t>产生的生化污泥或盐泥经鉴定属于危险废物的要按照</w:t>
            </w:r>
            <w:r>
              <w:rPr>
                <w:spacing w:val="13"/>
                <w:sz w:val="20"/>
                <w:szCs w:val="20"/>
              </w:rPr>
              <w:t xml:space="preserve"> </w:t>
            </w:r>
            <w:r>
              <w:rPr>
                <w:spacing w:val="9"/>
                <w:sz w:val="20"/>
                <w:szCs w:val="20"/>
              </w:rPr>
              <w:t>危险废物进行处理，属于一般工业固体废物的按照一</w:t>
            </w:r>
            <w:r>
              <w:rPr>
                <w:spacing w:val="13"/>
                <w:sz w:val="20"/>
                <w:szCs w:val="20"/>
              </w:rPr>
              <w:t xml:space="preserve"> </w:t>
            </w:r>
            <w:r>
              <w:rPr>
                <w:spacing w:val="8"/>
                <w:sz w:val="20"/>
                <w:szCs w:val="20"/>
              </w:rPr>
              <w:t>般工业固体废物进行管理。</w:t>
            </w:r>
          </w:p>
          <w:p w14:paraId="72909179">
            <w:pPr>
              <w:pStyle w:val="6"/>
              <w:spacing w:before="1" w:line="251" w:lineRule="auto"/>
              <w:ind w:left="168" w:right="93"/>
              <w:rPr>
                <w:sz w:val="20"/>
                <w:szCs w:val="20"/>
              </w:rPr>
            </w:pPr>
            <w:r>
              <w:rPr>
                <w:spacing w:val="9"/>
                <w:sz w:val="20"/>
                <w:szCs w:val="20"/>
              </w:rPr>
              <w:t>综合采用水系连通、河道清障、岸坡整治、水源涵养</w:t>
            </w:r>
            <w:r>
              <w:rPr>
                <w:spacing w:val="10"/>
                <w:sz w:val="20"/>
                <w:szCs w:val="20"/>
              </w:rPr>
              <w:t xml:space="preserve"> </w:t>
            </w:r>
            <w:r>
              <w:rPr>
                <w:spacing w:val="9"/>
                <w:sz w:val="20"/>
                <w:szCs w:val="20"/>
              </w:rPr>
              <w:t>与水土保持、河湖管护、防污控污、水生态水文化建</w:t>
            </w:r>
            <w:r>
              <w:rPr>
                <w:spacing w:val="10"/>
                <w:sz w:val="20"/>
                <w:szCs w:val="20"/>
              </w:rPr>
              <w:t xml:space="preserve"> </w:t>
            </w:r>
            <w:r>
              <w:rPr>
                <w:spacing w:val="9"/>
                <w:sz w:val="20"/>
                <w:szCs w:val="20"/>
              </w:rPr>
              <w:t>设等多项水利措施，开展农村水系综合整治。规划重</w:t>
            </w:r>
            <w:r>
              <w:rPr>
                <w:spacing w:val="10"/>
                <w:sz w:val="20"/>
                <w:szCs w:val="20"/>
              </w:rPr>
              <w:t xml:space="preserve"> </w:t>
            </w:r>
            <w:r>
              <w:rPr>
                <w:spacing w:val="9"/>
                <w:sz w:val="20"/>
                <w:szCs w:val="20"/>
              </w:rPr>
              <w:t>点开展：准格尔旗呼斯太河等、杭锦旗小南河及黄河</w:t>
            </w:r>
            <w:r>
              <w:rPr>
                <w:spacing w:val="10"/>
                <w:sz w:val="20"/>
                <w:szCs w:val="20"/>
              </w:rPr>
              <w:t xml:space="preserve"> </w:t>
            </w:r>
            <w:r>
              <w:rPr>
                <w:spacing w:val="7"/>
                <w:sz w:val="20"/>
                <w:szCs w:val="20"/>
              </w:rPr>
              <w:t>南岸总排干等、乌审旗黄陶勒盖等</w:t>
            </w:r>
            <w:r>
              <w:rPr>
                <w:spacing w:val="-20"/>
                <w:sz w:val="20"/>
                <w:szCs w:val="20"/>
              </w:rPr>
              <w:t xml:space="preserve"> </w:t>
            </w:r>
            <w:r>
              <w:rPr>
                <w:rFonts w:ascii="Times New Roman" w:hAnsi="Times New Roman" w:eastAsia="Times New Roman" w:cs="Times New Roman"/>
                <w:spacing w:val="7"/>
                <w:sz w:val="20"/>
                <w:szCs w:val="20"/>
              </w:rPr>
              <w:t xml:space="preserve">5 </w:t>
            </w:r>
            <w:r>
              <w:rPr>
                <w:spacing w:val="7"/>
                <w:sz w:val="20"/>
                <w:szCs w:val="20"/>
              </w:rPr>
              <w:t>个项目。</w:t>
            </w:r>
          </w:p>
          <w:p w14:paraId="42B5AC1C">
            <w:pPr>
              <w:pStyle w:val="6"/>
              <w:spacing w:before="4" w:line="251" w:lineRule="auto"/>
              <w:ind w:left="164" w:right="20" w:firstLine="1"/>
              <w:rPr>
                <w:sz w:val="20"/>
                <w:szCs w:val="20"/>
              </w:rPr>
            </w:pPr>
            <w:r>
              <w:rPr>
                <w:spacing w:val="8"/>
                <w:sz w:val="20"/>
                <w:szCs w:val="20"/>
              </w:rPr>
              <w:t>新建“两高</w:t>
            </w:r>
            <w:r>
              <w:rPr>
                <w:spacing w:val="-66"/>
                <w:sz w:val="20"/>
                <w:szCs w:val="20"/>
              </w:rPr>
              <w:t xml:space="preserve"> </w:t>
            </w:r>
            <w:r>
              <w:rPr>
                <w:spacing w:val="8"/>
                <w:sz w:val="20"/>
                <w:szCs w:val="20"/>
              </w:rPr>
              <w:t>”项目应按照《关于加强重点行业建设项</w:t>
            </w:r>
            <w:r>
              <w:rPr>
                <w:sz w:val="20"/>
                <w:szCs w:val="20"/>
              </w:rPr>
              <w:t xml:space="preserve"> </w:t>
            </w:r>
            <w:r>
              <w:rPr>
                <w:spacing w:val="3"/>
                <w:sz w:val="20"/>
                <w:szCs w:val="20"/>
              </w:rPr>
              <w:t>目区域削减措施监督管理的通知》（环办环评〔</w:t>
            </w:r>
            <w:r>
              <w:rPr>
                <w:rFonts w:ascii="Times New Roman" w:hAnsi="Times New Roman" w:eastAsia="Times New Roman" w:cs="Times New Roman"/>
                <w:spacing w:val="3"/>
                <w:sz w:val="20"/>
                <w:szCs w:val="20"/>
              </w:rPr>
              <w:t>2020</w:t>
            </w:r>
            <w:r>
              <w:rPr>
                <w:spacing w:val="3"/>
                <w:sz w:val="20"/>
                <w:szCs w:val="20"/>
              </w:rPr>
              <w:t>〕</w:t>
            </w:r>
            <w:r>
              <w:rPr>
                <w:spacing w:val="15"/>
                <w:sz w:val="20"/>
                <w:szCs w:val="20"/>
              </w:rPr>
              <w:t xml:space="preserve"> </w:t>
            </w:r>
            <w:r>
              <w:rPr>
                <w:rFonts w:ascii="Times New Roman" w:hAnsi="Times New Roman" w:eastAsia="Times New Roman" w:cs="Times New Roman"/>
                <w:spacing w:val="6"/>
                <w:sz w:val="20"/>
                <w:szCs w:val="20"/>
              </w:rPr>
              <w:t>36</w:t>
            </w:r>
            <w:r>
              <w:rPr>
                <w:rFonts w:ascii="Times New Roman" w:hAnsi="Times New Roman" w:eastAsia="Times New Roman" w:cs="Times New Roman"/>
                <w:spacing w:val="26"/>
                <w:w w:val="101"/>
                <w:sz w:val="20"/>
                <w:szCs w:val="20"/>
              </w:rPr>
              <w:t xml:space="preserve"> </w:t>
            </w:r>
            <w:r>
              <w:rPr>
                <w:spacing w:val="6"/>
                <w:sz w:val="20"/>
                <w:szCs w:val="20"/>
              </w:rPr>
              <w:t>号）要求，依据区域环境质量改善目标，制定配套</w:t>
            </w:r>
            <w:r>
              <w:rPr>
                <w:sz w:val="20"/>
                <w:szCs w:val="20"/>
              </w:rPr>
              <w:t xml:space="preserve"> </w:t>
            </w:r>
            <w:r>
              <w:rPr>
                <w:spacing w:val="9"/>
                <w:sz w:val="20"/>
                <w:szCs w:val="20"/>
              </w:rPr>
              <w:t>区域污染物削减方案，采取有效的污染物区域削减措</w:t>
            </w:r>
            <w:r>
              <w:rPr>
                <w:spacing w:val="13"/>
                <w:sz w:val="20"/>
                <w:szCs w:val="20"/>
              </w:rPr>
              <w:t xml:space="preserve"> </w:t>
            </w:r>
            <w:r>
              <w:rPr>
                <w:spacing w:val="9"/>
                <w:sz w:val="20"/>
                <w:szCs w:val="20"/>
              </w:rPr>
              <w:t>施，腾出足够的环境容量。参照《</w:t>
            </w:r>
            <w:r>
              <w:rPr>
                <w:rFonts w:hint="eastAsia"/>
                <w:spacing w:val="9"/>
                <w:sz w:val="20"/>
                <w:szCs w:val="20"/>
                <w:lang w:eastAsia="zh-CN"/>
              </w:rPr>
              <w:t>“</w:t>
            </w:r>
            <w:r>
              <w:rPr>
                <w:spacing w:val="9"/>
                <w:sz w:val="20"/>
                <w:szCs w:val="20"/>
              </w:rPr>
              <w:t>十四五</w:t>
            </w:r>
            <w:r>
              <w:rPr>
                <w:rFonts w:hint="eastAsia"/>
                <w:spacing w:val="9"/>
                <w:sz w:val="20"/>
                <w:szCs w:val="20"/>
                <w:lang w:eastAsia="zh-CN"/>
              </w:rPr>
              <w:t>”</w:t>
            </w:r>
            <w:r>
              <w:rPr>
                <w:spacing w:val="9"/>
                <w:sz w:val="20"/>
                <w:szCs w:val="20"/>
              </w:rPr>
              <w:t>、内蒙古自</w:t>
            </w:r>
            <w:r>
              <w:rPr>
                <w:spacing w:val="13"/>
                <w:sz w:val="20"/>
                <w:szCs w:val="20"/>
              </w:rPr>
              <w:t xml:space="preserve"> </w:t>
            </w:r>
            <w:r>
              <w:rPr>
                <w:spacing w:val="8"/>
                <w:sz w:val="20"/>
                <w:szCs w:val="20"/>
              </w:rPr>
              <w:t>治区发展和改革委员会生态环境厅关于印发</w:t>
            </w:r>
            <w:r>
              <w:rPr>
                <w:rFonts w:ascii="Times New Roman" w:hAnsi="Times New Roman" w:eastAsia="Times New Roman" w:cs="Times New Roman"/>
                <w:spacing w:val="8"/>
                <w:sz w:val="20"/>
                <w:szCs w:val="20"/>
              </w:rPr>
              <w:t>&lt;</w:t>
            </w:r>
            <w:r>
              <w:rPr>
                <w:rFonts w:ascii="Times New Roman" w:hAnsi="Times New Roman" w:eastAsia="Times New Roman" w:cs="Times New Roman"/>
                <w:spacing w:val="-17"/>
                <w:sz w:val="20"/>
                <w:szCs w:val="20"/>
              </w:rPr>
              <w:t xml:space="preserve"> </w:t>
            </w:r>
            <w:r>
              <w:rPr>
                <w:spacing w:val="8"/>
                <w:sz w:val="20"/>
                <w:szCs w:val="20"/>
              </w:rPr>
              <w:t>内蒙古</w:t>
            </w:r>
            <w:r>
              <w:rPr>
                <w:sz w:val="20"/>
                <w:szCs w:val="20"/>
              </w:rPr>
              <w:t xml:space="preserve">  </w:t>
            </w:r>
            <w:r>
              <w:rPr>
                <w:spacing w:val="8"/>
                <w:sz w:val="20"/>
                <w:szCs w:val="20"/>
              </w:rPr>
              <w:t>自治区坚决遇制“两高</w:t>
            </w:r>
            <w:r>
              <w:rPr>
                <w:spacing w:val="-64"/>
                <w:sz w:val="20"/>
                <w:szCs w:val="20"/>
              </w:rPr>
              <w:t xml:space="preserve"> </w:t>
            </w:r>
            <w:r>
              <w:rPr>
                <w:spacing w:val="8"/>
                <w:sz w:val="20"/>
                <w:szCs w:val="20"/>
              </w:rPr>
              <w:t>”项目低水平盲目发展管控目</w:t>
            </w:r>
            <w:r>
              <w:rPr>
                <w:sz w:val="20"/>
                <w:szCs w:val="20"/>
              </w:rPr>
              <w:t xml:space="preserve"> </w:t>
            </w:r>
            <w:r>
              <w:rPr>
                <w:spacing w:val="7"/>
                <w:sz w:val="20"/>
                <w:szCs w:val="20"/>
              </w:rPr>
              <w:t>录</w:t>
            </w:r>
            <w:r>
              <w:rPr>
                <w:rFonts w:ascii="Times New Roman" w:hAnsi="Times New Roman" w:eastAsia="Times New Roman" w:cs="Times New Roman"/>
                <w:spacing w:val="7"/>
                <w:sz w:val="20"/>
                <w:szCs w:val="20"/>
              </w:rPr>
              <w:t>&gt;</w:t>
            </w:r>
            <w:r>
              <w:rPr>
                <w:rFonts w:ascii="Times New Roman" w:hAnsi="Times New Roman" w:eastAsia="Times New Roman" w:cs="Times New Roman"/>
                <w:spacing w:val="-25"/>
                <w:sz w:val="20"/>
                <w:szCs w:val="20"/>
              </w:rPr>
              <w:t xml:space="preserve"> </w:t>
            </w:r>
            <w:r>
              <w:rPr>
                <w:spacing w:val="7"/>
                <w:sz w:val="20"/>
                <w:szCs w:val="20"/>
              </w:rPr>
              <w:t>的通知要求》，进一步精准细化“两高</w:t>
            </w:r>
            <w:r>
              <w:rPr>
                <w:spacing w:val="-70"/>
                <w:sz w:val="20"/>
                <w:szCs w:val="20"/>
              </w:rPr>
              <w:t xml:space="preserve"> </w:t>
            </w:r>
            <w:r>
              <w:rPr>
                <w:spacing w:val="7"/>
                <w:sz w:val="20"/>
                <w:szCs w:val="20"/>
              </w:rPr>
              <w:t>”低水平</w:t>
            </w:r>
            <w:r>
              <w:rPr>
                <w:sz w:val="20"/>
                <w:szCs w:val="20"/>
              </w:rPr>
              <w:t xml:space="preserve">  </w:t>
            </w:r>
            <w:r>
              <w:rPr>
                <w:spacing w:val="4"/>
                <w:sz w:val="20"/>
                <w:szCs w:val="20"/>
              </w:rPr>
              <w:t>项目管控要求，强化源头和过程节能降碳、减排</w:t>
            </w:r>
            <w:r>
              <w:rPr>
                <w:spacing w:val="3"/>
                <w:sz w:val="20"/>
                <w:szCs w:val="20"/>
              </w:rPr>
              <w:t>治污。</w:t>
            </w:r>
            <w:r>
              <w:rPr>
                <w:sz w:val="20"/>
                <w:szCs w:val="20"/>
              </w:rPr>
              <w:t xml:space="preserve"> </w:t>
            </w:r>
            <w:r>
              <w:rPr>
                <w:spacing w:val="9"/>
                <w:sz w:val="20"/>
                <w:szCs w:val="20"/>
              </w:rPr>
              <w:t>鄂尔多斯市再生水工程布局遵循集中处理与分散处理</w:t>
            </w:r>
            <w:r>
              <w:rPr>
                <w:spacing w:val="13"/>
                <w:sz w:val="20"/>
                <w:szCs w:val="20"/>
              </w:rPr>
              <w:t xml:space="preserve"> </w:t>
            </w:r>
            <w:r>
              <w:rPr>
                <w:spacing w:val="8"/>
                <w:sz w:val="20"/>
                <w:szCs w:val="20"/>
              </w:rPr>
              <w:t>相结合的方式，以提高污水再生回用效率。</w:t>
            </w:r>
          </w:p>
          <w:p w14:paraId="287EF35C">
            <w:pPr>
              <w:pStyle w:val="6"/>
              <w:spacing w:before="2" w:line="253" w:lineRule="auto"/>
              <w:ind w:left="166" w:right="20" w:hanging="1"/>
              <w:rPr>
                <w:sz w:val="20"/>
                <w:szCs w:val="20"/>
              </w:rPr>
            </w:pPr>
            <w:r>
              <w:rPr>
                <w:spacing w:val="4"/>
                <w:sz w:val="20"/>
                <w:szCs w:val="20"/>
              </w:rPr>
              <w:t>推动减污降碳协同增效。加快补齐环境基础设施</w:t>
            </w:r>
            <w:r>
              <w:rPr>
                <w:spacing w:val="3"/>
                <w:sz w:val="20"/>
                <w:szCs w:val="20"/>
              </w:rPr>
              <w:t>短板。</w:t>
            </w:r>
            <w:r>
              <w:rPr>
                <w:sz w:val="20"/>
                <w:szCs w:val="20"/>
              </w:rPr>
              <w:t xml:space="preserve"> </w:t>
            </w:r>
            <w:r>
              <w:rPr>
                <w:spacing w:val="9"/>
                <w:sz w:val="20"/>
                <w:szCs w:val="20"/>
              </w:rPr>
              <w:t>完善大气污染物与温室气体协同控制相关政策。建立</w:t>
            </w:r>
          </w:p>
        </w:tc>
        <w:tc>
          <w:tcPr>
            <w:tcW w:w="1327" w:type="dxa"/>
            <w:vAlign w:val="top"/>
          </w:tcPr>
          <w:p w14:paraId="47110CC3">
            <w:pPr>
              <w:rPr>
                <w:rFonts w:ascii="Arial"/>
                <w:sz w:val="21"/>
              </w:rPr>
            </w:pPr>
          </w:p>
        </w:tc>
        <w:tc>
          <w:tcPr>
            <w:tcW w:w="427" w:type="dxa"/>
            <w:vAlign w:val="top"/>
          </w:tcPr>
          <w:p w14:paraId="04F31F85">
            <w:pPr>
              <w:rPr>
                <w:rFonts w:ascii="Arial"/>
                <w:sz w:val="21"/>
              </w:rPr>
            </w:pPr>
          </w:p>
        </w:tc>
      </w:tr>
    </w:tbl>
    <w:p w14:paraId="518CB302">
      <w:pPr>
        <w:pStyle w:val="2"/>
      </w:pPr>
    </w:p>
    <w:p w14:paraId="769EA8FD">
      <w:pPr>
        <w:sectPr>
          <w:footerReference r:id="rId17" w:type="default"/>
          <w:pgSz w:w="11906" w:h="16839"/>
          <w:pgMar w:top="400" w:right="1739" w:bottom="1259" w:left="1738" w:header="0" w:footer="1097" w:gutter="0"/>
          <w:cols w:space="720" w:num="1"/>
        </w:sectPr>
      </w:pPr>
    </w:p>
    <w:p w14:paraId="359F35B2">
      <w:pPr>
        <w:spacing w:before="19"/>
      </w:pPr>
    </w:p>
    <w:p w14:paraId="62C41F09">
      <w:pPr>
        <w:spacing w:before="19"/>
      </w:pPr>
    </w:p>
    <w:p w14:paraId="164D4A4C">
      <w:pPr>
        <w:spacing w:before="18"/>
      </w:pPr>
    </w:p>
    <w:p w14:paraId="35792538">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24414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8" w:hRule="atLeast"/>
        </w:trPr>
        <w:tc>
          <w:tcPr>
            <w:tcW w:w="1180" w:type="dxa"/>
            <w:vMerge w:val="restart"/>
            <w:tcBorders>
              <w:bottom w:val="nil"/>
            </w:tcBorders>
            <w:vAlign w:val="top"/>
          </w:tcPr>
          <w:p w14:paraId="0610E52A">
            <w:pPr>
              <w:rPr>
                <w:rFonts w:ascii="Arial"/>
                <w:sz w:val="21"/>
              </w:rPr>
            </w:pPr>
          </w:p>
        </w:tc>
        <w:tc>
          <w:tcPr>
            <w:tcW w:w="404" w:type="dxa"/>
            <w:vAlign w:val="top"/>
          </w:tcPr>
          <w:p w14:paraId="32B92BF9">
            <w:pPr>
              <w:rPr>
                <w:rFonts w:ascii="Arial"/>
                <w:sz w:val="21"/>
              </w:rPr>
            </w:pPr>
          </w:p>
        </w:tc>
        <w:tc>
          <w:tcPr>
            <w:tcW w:w="5085" w:type="dxa"/>
            <w:vAlign w:val="top"/>
          </w:tcPr>
          <w:p w14:paraId="526565F6">
            <w:pPr>
              <w:pStyle w:val="6"/>
              <w:spacing w:before="103" w:line="251" w:lineRule="auto"/>
              <w:ind w:left="164" w:right="93"/>
              <w:jc w:val="both"/>
              <w:rPr>
                <w:sz w:val="20"/>
                <w:szCs w:val="20"/>
              </w:rPr>
            </w:pPr>
            <w:r>
              <w:rPr>
                <w:spacing w:val="9"/>
                <w:sz w:val="20"/>
                <w:szCs w:val="20"/>
              </w:rPr>
              <w:t>减污降碳协同治理管理工作机制，统筹碳排放权交易</w:t>
            </w:r>
            <w:r>
              <w:rPr>
                <w:spacing w:val="12"/>
                <w:sz w:val="20"/>
                <w:szCs w:val="20"/>
              </w:rPr>
              <w:t xml:space="preserve"> </w:t>
            </w:r>
            <w:r>
              <w:rPr>
                <w:spacing w:val="9"/>
                <w:sz w:val="20"/>
                <w:szCs w:val="20"/>
              </w:rPr>
              <w:t>和排污权交易管理，建立温室气体清单报告、重点企</w:t>
            </w:r>
            <w:r>
              <w:rPr>
                <w:spacing w:val="13"/>
                <w:sz w:val="20"/>
                <w:szCs w:val="20"/>
              </w:rPr>
              <w:t xml:space="preserve"> </w:t>
            </w:r>
            <w:r>
              <w:rPr>
                <w:spacing w:val="9"/>
                <w:sz w:val="20"/>
                <w:szCs w:val="20"/>
              </w:rPr>
              <w:t>业温室气体排放报告、重点企业排污许可执行情况报</w:t>
            </w:r>
            <w:r>
              <w:rPr>
                <w:spacing w:val="13"/>
                <w:sz w:val="20"/>
                <w:szCs w:val="20"/>
              </w:rPr>
              <w:t xml:space="preserve"> </w:t>
            </w:r>
            <w:r>
              <w:rPr>
                <w:spacing w:val="6"/>
                <w:sz w:val="20"/>
                <w:szCs w:val="20"/>
              </w:rPr>
              <w:t>告等制度。</w:t>
            </w:r>
          </w:p>
          <w:p w14:paraId="1E56D2DC">
            <w:pPr>
              <w:pStyle w:val="6"/>
              <w:spacing w:before="3" w:line="245" w:lineRule="auto"/>
              <w:ind w:left="164" w:right="93" w:firstLine="1"/>
              <w:jc w:val="both"/>
              <w:rPr>
                <w:sz w:val="20"/>
                <w:szCs w:val="20"/>
              </w:rPr>
            </w:pPr>
            <w:r>
              <w:rPr>
                <w:spacing w:val="9"/>
                <w:sz w:val="20"/>
                <w:szCs w:val="20"/>
              </w:rPr>
              <w:t>新建和改扩建冶炼项目严格落实项目备案、环境影响</w:t>
            </w:r>
            <w:r>
              <w:rPr>
                <w:spacing w:val="11"/>
                <w:sz w:val="20"/>
                <w:szCs w:val="20"/>
              </w:rPr>
              <w:t xml:space="preserve"> </w:t>
            </w:r>
            <w:r>
              <w:rPr>
                <w:spacing w:val="9"/>
                <w:sz w:val="20"/>
                <w:szCs w:val="20"/>
              </w:rPr>
              <w:t>评价、节能审查等政策规定，符合行业规范条件、能</w:t>
            </w:r>
            <w:r>
              <w:rPr>
                <w:spacing w:val="13"/>
                <w:sz w:val="20"/>
                <w:szCs w:val="20"/>
              </w:rPr>
              <w:t xml:space="preserve"> </w:t>
            </w:r>
            <w:r>
              <w:rPr>
                <w:spacing w:val="9"/>
                <w:sz w:val="20"/>
                <w:szCs w:val="20"/>
              </w:rPr>
              <w:t>耗限额标准先进值、清洁运输、污染物区域削减措施</w:t>
            </w:r>
            <w:r>
              <w:rPr>
                <w:spacing w:val="13"/>
                <w:sz w:val="20"/>
                <w:szCs w:val="20"/>
              </w:rPr>
              <w:t xml:space="preserve"> </w:t>
            </w:r>
            <w:r>
              <w:rPr>
                <w:spacing w:val="9"/>
                <w:sz w:val="20"/>
                <w:szCs w:val="20"/>
              </w:rPr>
              <w:t>等要求，国家或地方已出台超低排放要求的，应满足</w:t>
            </w:r>
            <w:r>
              <w:rPr>
                <w:spacing w:val="13"/>
                <w:sz w:val="20"/>
                <w:szCs w:val="20"/>
              </w:rPr>
              <w:t xml:space="preserve"> </w:t>
            </w:r>
            <w:r>
              <w:rPr>
                <w:spacing w:val="9"/>
                <w:sz w:val="20"/>
                <w:szCs w:val="20"/>
              </w:rPr>
              <w:t>超低排放要求，大气污染防治重点区域须同时符合重</w:t>
            </w:r>
            <w:r>
              <w:rPr>
                <w:spacing w:val="13"/>
                <w:sz w:val="20"/>
                <w:szCs w:val="20"/>
              </w:rPr>
              <w:t xml:space="preserve"> </w:t>
            </w:r>
            <w:r>
              <w:rPr>
                <w:spacing w:val="8"/>
                <w:sz w:val="20"/>
                <w:szCs w:val="20"/>
              </w:rPr>
              <w:t>污染天气绩效分级</w:t>
            </w:r>
            <w:r>
              <w:rPr>
                <w:spacing w:val="-34"/>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级、煤炭减量替代等要求。</w:t>
            </w:r>
          </w:p>
        </w:tc>
        <w:tc>
          <w:tcPr>
            <w:tcW w:w="1327" w:type="dxa"/>
            <w:vAlign w:val="top"/>
          </w:tcPr>
          <w:p w14:paraId="1C2B9212">
            <w:pPr>
              <w:rPr>
                <w:rFonts w:ascii="Arial"/>
                <w:sz w:val="21"/>
              </w:rPr>
            </w:pPr>
          </w:p>
        </w:tc>
        <w:tc>
          <w:tcPr>
            <w:tcW w:w="427" w:type="dxa"/>
            <w:vAlign w:val="top"/>
          </w:tcPr>
          <w:p w14:paraId="363EEC40">
            <w:pPr>
              <w:rPr>
                <w:rFonts w:ascii="Arial"/>
                <w:sz w:val="21"/>
              </w:rPr>
            </w:pPr>
          </w:p>
        </w:tc>
      </w:tr>
      <w:tr w14:paraId="1255A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5" w:hRule="atLeast"/>
        </w:trPr>
        <w:tc>
          <w:tcPr>
            <w:tcW w:w="1180" w:type="dxa"/>
            <w:vMerge w:val="continue"/>
            <w:tcBorders>
              <w:top w:val="nil"/>
            </w:tcBorders>
            <w:vAlign w:val="top"/>
          </w:tcPr>
          <w:p w14:paraId="70B6AF10">
            <w:pPr>
              <w:rPr>
                <w:rFonts w:ascii="Arial"/>
                <w:sz w:val="21"/>
              </w:rPr>
            </w:pPr>
          </w:p>
        </w:tc>
        <w:tc>
          <w:tcPr>
            <w:tcW w:w="404" w:type="dxa"/>
            <w:textDirection w:val="tbRlV"/>
            <w:vAlign w:val="top"/>
          </w:tcPr>
          <w:p w14:paraId="63E50A05">
            <w:pPr>
              <w:pStyle w:val="6"/>
              <w:spacing w:before="29" w:line="217" w:lineRule="auto"/>
              <w:ind w:left="4662"/>
              <w:rPr>
                <w:sz w:val="20"/>
                <w:szCs w:val="20"/>
              </w:rPr>
            </w:pPr>
            <w:r>
              <w:rPr>
                <w:spacing w:val="8"/>
                <w:sz w:val="20"/>
                <w:szCs w:val="20"/>
              </w:rPr>
              <w:t>环</w:t>
            </w:r>
            <w:r>
              <w:rPr>
                <w:spacing w:val="-34"/>
                <w:sz w:val="20"/>
                <w:szCs w:val="20"/>
              </w:rPr>
              <w:t xml:space="preserve"> </w:t>
            </w:r>
            <w:r>
              <w:rPr>
                <w:spacing w:val="8"/>
                <w:sz w:val="20"/>
                <w:szCs w:val="20"/>
              </w:rPr>
              <w:t>境</w:t>
            </w:r>
            <w:r>
              <w:rPr>
                <w:spacing w:val="-36"/>
                <w:sz w:val="20"/>
                <w:szCs w:val="20"/>
              </w:rPr>
              <w:t xml:space="preserve"> </w:t>
            </w:r>
            <w:r>
              <w:rPr>
                <w:spacing w:val="8"/>
                <w:sz w:val="20"/>
                <w:szCs w:val="20"/>
              </w:rPr>
              <w:t>风</w:t>
            </w:r>
            <w:r>
              <w:rPr>
                <w:spacing w:val="-37"/>
                <w:sz w:val="20"/>
                <w:szCs w:val="20"/>
              </w:rPr>
              <w:t xml:space="preserve"> </w:t>
            </w:r>
            <w:r>
              <w:rPr>
                <w:spacing w:val="8"/>
                <w:sz w:val="20"/>
                <w:szCs w:val="20"/>
              </w:rPr>
              <w:t>险</w:t>
            </w:r>
            <w:r>
              <w:rPr>
                <w:spacing w:val="-35"/>
                <w:sz w:val="20"/>
                <w:szCs w:val="20"/>
              </w:rPr>
              <w:t xml:space="preserve"> </w:t>
            </w:r>
            <w:r>
              <w:rPr>
                <w:spacing w:val="8"/>
                <w:sz w:val="20"/>
                <w:szCs w:val="20"/>
              </w:rPr>
              <w:t>防</w:t>
            </w:r>
            <w:r>
              <w:rPr>
                <w:spacing w:val="-38"/>
                <w:sz w:val="20"/>
                <w:szCs w:val="20"/>
              </w:rPr>
              <w:t xml:space="preserve"> </w:t>
            </w:r>
            <w:r>
              <w:rPr>
                <w:spacing w:val="8"/>
                <w:sz w:val="20"/>
                <w:szCs w:val="20"/>
              </w:rPr>
              <w:t>控</w:t>
            </w:r>
          </w:p>
        </w:tc>
        <w:tc>
          <w:tcPr>
            <w:tcW w:w="5085" w:type="dxa"/>
            <w:vAlign w:val="top"/>
          </w:tcPr>
          <w:p w14:paraId="70A4E2F8">
            <w:pPr>
              <w:pStyle w:val="6"/>
              <w:spacing w:before="34" w:line="251" w:lineRule="auto"/>
              <w:ind w:left="167" w:right="93"/>
              <w:rPr>
                <w:sz w:val="20"/>
                <w:szCs w:val="20"/>
              </w:rPr>
            </w:pPr>
            <w:r>
              <w:rPr>
                <w:spacing w:val="9"/>
                <w:sz w:val="20"/>
                <w:szCs w:val="20"/>
              </w:rPr>
              <w:t>建立重污染天气预警体系，重点实施区域联防联控。</w:t>
            </w:r>
            <w:r>
              <w:rPr>
                <w:spacing w:val="10"/>
                <w:sz w:val="20"/>
                <w:szCs w:val="20"/>
              </w:rPr>
              <w:t xml:space="preserve"> </w:t>
            </w:r>
            <w:r>
              <w:rPr>
                <w:spacing w:val="9"/>
                <w:sz w:val="20"/>
                <w:szCs w:val="20"/>
              </w:rPr>
              <w:t>完善重度及以上污染天气的区域联合预警机制，预测</w:t>
            </w:r>
            <w:r>
              <w:rPr>
                <w:spacing w:val="11"/>
                <w:sz w:val="20"/>
                <w:szCs w:val="20"/>
              </w:rPr>
              <w:t xml:space="preserve"> </w:t>
            </w:r>
            <w:r>
              <w:rPr>
                <w:spacing w:val="9"/>
                <w:sz w:val="20"/>
                <w:szCs w:val="20"/>
              </w:rPr>
              <w:t>到区域将出现大范围重污染天气时，各相关城市按级</w:t>
            </w:r>
            <w:r>
              <w:rPr>
                <w:spacing w:val="11"/>
                <w:sz w:val="20"/>
                <w:szCs w:val="20"/>
              </w:rPr>
              <w:t xml:space="preserve"> </w:t>
            </w:r>
            <w:r>
              <w:rPr>
                <w:spacing w:val="8"/>
                <w:sz w:val="20"/>
                <w:szCs w:val="20"/>
              </w:rPr>
              <w:t>别启动应急响应措施，实施区域应急联动。</w:t>
            </w:r>
          </w:p>
          <w:p w14:paraId="69602EFD">
            <w:pPr>
              <w:pStyle w:val="6"/>
              <w:spacing w:before="2" w:line="251" w:lineRule="auto"/>
              <w:ind w:left="165" w:right="20"/>
              <w:rPr>
                <w:sz w:val="20"/>
                <w:szCs w:val="20"/>
              </w:rPr>
            </w:pPr>
            <w:r>
              <w:rPr>
                <w:spacing w:val="9"/>
                <w:sz w:val="20"/>
                <w:szCs w:val="20"/>
              </w:rPr>
              <w:t>加强重大环境风险源的风险管控，构建区域环境风险</w:t>
            </w:r>
            <w:r>
              <w:rPr>
                <w:spacing w:val="12"/>
                <w:sz w:val="20"/>
                <w:szCs w:val="20"/>
              </w:rPr>
              <w:t xml:space="preserve"> </w:t>
            </w:r>
            <w:r>
              <w:rPr>
                <w:spacing w:val="9"/>
                <w:sz w:val="20"/>
                <w:szCs w:val="20"/>
              </w:rPr>
              <w:t>联防联控机制，建立突发环境事故状态下的应急监测</w:t>
            </w:r>
            <w:r>
              <w:rPr>
                <w:spacing w:val="12"/>
                <w:sz w:val="20"/>
                <w:szCs w:val="20"/>
              </w:rPr>
              <w:t xml:space="preserve"> </w:t>
            </w:r>
            <w:r>
              <w:rPr>
                <w:spacing w:val="4"/>
                <w:sz w:val="20"/>
                <w:szCs w:val="20"/>
              </w:rPr>
              <w:t>与人员疏散联动机制。健全环境信息强制性披露</w:t>
            </w:r>
            <w:r>
              <w:rPr>
                <w:spacing w:val="3"/>
                <w:sz w:val="20"/>
                <w:szCs w:val="20"/>
              </w:rPr>
              <w:t>制度。</w:t>
            </w:r>
            <w:r>
              <w:rPr>
                <w:sz w:val="20"/>
                <w:szCs w:val="20"/>
              </w:rPr>
              <w:t xml:space="preserve"> </w:t>
            </w:r>
            <w:r>
              <w:rPr>
                <w:spacing w:val="9"/>
                <w:sz w:val="20"/>
                <w:szCs w:val="20"/>
              </w:rPr>
              <w:t>全面落实园区、企业环境风险应急预案各项要求，增</w:t>
            </w:r>
            <w:r>
              <w:rPr>
                <w:spacing w:val="12"/>
                <w:sz w:val="20"/>
                <w:szCs w:val="20"/>
              </w:rPr>
              <w:t xml:space="preserve"> </w:t>
            </w:r>
            <w:r>
              <w:rPr>
                <w:spacing w:val="9"/>
                <w:sz w:val="20"/>
                <w:szCs w:val="20"/>
              </w:rPr>
              <w:t>强突发环境事件处置能力。开展涉危涉化企业、有风</w:t>
            </w:r>
            <w:r>
              <w:rPr>
                <w:spacing w:val="12"/>
                <w:sz w:val="20"/>
                <w:szCs w:val="20"/>
              </w:rPr>
              <w:t xml:space="preserve"> </w:t>
            </w:r>
            <w:r>
              <w:rPr>
                <w:spacing w:val="4"/>
                <w:sz w:val="20"/>
                <w:szCs w:val="20"/>
              </w:rPr>
              <w:t>险隐患的渣场等风险排查和整改工作，及时消除</w:t>
            </w:r>
            <w:r>
              <w:rPr>
                <w:spacing w:val="3"/>
                <w:sz w:val="20"/>
                <w:szCs w:val="20"/>
              </w:rPr>
              <w:t>隐患。</w:t>
            </w:r>
            <w:r>
              <w:rPr>
                <w:sz w:val="20"/>
                <w:szCs w:val="20"/>
              </w:rPr>
              <w:t xml:space="preserve"> </w:t>
            </w:r>
            <w:r>
              <w:rPr>
                <w:spacing w:val="9"/>
                <w:sz w:val="20"/>
                <w:szCs w:val="20"/>
              </w:rPr>
              <w:t>健全市、旗区二级联动的生态环境事件应急网络。</w:t>
            </w:r>
          </w:p>
          <w:p w14:paraId="12305CC0">
            <w:pPr>
              <w:pStyle w:val="6"/>
              <w:spacing w:before="2" w:line="251" w:lineRule="auto"/>
              <w:ind w:left="165" w:right="93"/>
              <w:rPr>
                <w:sz w:val="20"/>
                <w:szCs w:val="20"/>
              </w:rPr>
            </w:pPr>
            <w:r>
              <w:rPr>
                <w:spacing w:val="9"/>
                <w:sz w:val="20"/>
                <w:szCs w:val="20"/>
              </w:rPr>
              <w:t>深入推进跨区域、跨部门的突发环境事件应急协调机</w:t>
            </w:r>
            <w:r>
              <w:rPr>
                <w:spacing w:val="12"/>
                <w:sz w:val="20"/>
                <w:szCs w:val="20"/>
              </w:rPr>
              <w:t xml:space="preserve"> </w:t>
            </w:r>
            <w:r>
              <w:rPr>
                <w:spacing w:val="9"/>
                <w:sz w:val="20"/>
                <w:szCs w:val="20"/>
              </w:rPr>
              <w:t>制，健全综合应急救援体系，建立社会化救援机制。</w:t>
            </w:r>
            <w:r>
              <w:rPr>
                <w:spacing w:val="11"/>
                <w:sz w:val="20"/>
                <w:szCs w:val="20"/>
              </w:rPr>
              <w:t xml:space="preserve"> </w:t>
            </w:r>
            <w:r>
              <w:rPr>
                <w:spacing w:val="9"/>
                <w:sz w:val="20"/>
                <w:szCs w:val="20"/>
              </w:rPr>
              <w:t>完善突发环境事件信息报告和公开机制。建立并及时</w:t>
            </w:r>
            <w:r>
              <w:rPr>
                <w:spacing w:val="11"/>
                <w:sz w:val="20"/>
                <w:szCs w:val="20"/>
              </w:rPr>
              <w:t xml:space="preserve"> </w:t>
            </w:r>
            <w:r>
              <w:rPr>
                <w:spacing w:val="9"/>
                <w:sz w:val="20"/>
                <w:szCs w:val="20"/>
              </w:rPr>
              <w:t>更新环境风险源动态档案和数据库。实时掌握重点污</w:t>
            </w:r>
            <w:r>
              <w:rPr>
                <w:spacing w:val="11"/>
                <w:sz w:val="20"/>
                <w:szCs w:val="20"/>
              </w:rPr>
              <w:t xml:space="preserve"> </w:t>
            </w:r>
            <w:r>
              <w:rPr>
                <w:spacing w:val="9"/>
                <w:sz w:val="20"/>
                <w:szCs w:val="20"/>
              </w:rPr>
              <w:t>染点源、重点区域环境质量状况，对超容量问题及时</w:t>
            </w:r>
            <w:r>
              <w:rPr>
                <w:spacing w:val="11"/>
                <w:sz w:val="20"/>
                <w:szCs w:val="20"/>
              </w:rPr>
              <w:t xml:space="preserve"> </w:t>
            </w:r>
            <w:r>
              <w:rPr>
                <w:spacing w:val="2"/>
                <w:sz w:val="20"/>
                <w:szCs w:val="20"/>
              </w:rPr>
              <w:t>预警。</w:t>
            </w:r>
          </w:p>
          <w:p w14:paraId="01C18431">
            <w:pPr>
              <w:pStyle w:val="6"/>
              <w:spacing w:line="251" w:lineRule="auto"/>
              <w:ind w:left="164" w:right="93" w:firstLine="5"/>
              <w:rPr>
                <w:sz w:val="20"/>
                <w:szCs w:val="20"/>
              </w:rPr>
            </w:pPr>
            <w:r>
              <w:rPr>
                <w:spacing w:val="9"/>
                <w:sz w:val="20"/>
                <w:szCs w:val="20"/>
              </w:rPr>
              <w:t>强化水害防治，探明矿井老空水，严格落实“三专两</w:t>
            </w:r>
            <w:r>
              <w:rPr>
                <w:spacing w:val="7"/>
                <w:sz w:val="20"/>
                <w:szCs w:val="20"/>
              </w:rPr>
              <w:t xml:space="preserve"> </w:t>
            </w:r>
            <w:r>
              <w:rPr>
                <w:spacing w:val="5"/>
                <w:sz w:val="20"/>
                <w:szCs w:val="20"/>
              </w:rPr>
              <w:t>探一撤</w:t>
            </w:r>
            <w:r>
              <w:rPr>
                <w:spacing w:val="-52"/>
                <w:sz w:val="20"/>
                <w:szCs w:val="20"/>
              </w:rPr>
              <w:t xml:space="preserve"> </w:t>
            </w:r>
            <w:r>
              <w:rPr>
                <w:spacing w:val="5"/>
                <w:sz w:val="20"/>
                <w:szCs w:val="20"/>
              </w:rPr>
              <w:t>”措施，推广水患区域“</w:t>
            </w:r>
            <w:r>
              <w:rPr>
                <w:spacing w:val="-73"/>
                <w:sz w:val="20"/>
                <w:szCs w:val="20"/>
              </w:rPr>
              <w:t xml:space="preserve"> </w:t>
            </w:r>
            <w:r>
              <w:rPr>
                <w:spacing w:val="5"/>
                <w:sz w:val="20"/>
                <w:szCs w:val="20"/>
              </w:rPr>
              <w:t>四线</w:t>
            </w:r>
            <w:r>
              <w:rPr>
                <w:spacing w:val="-70"/>
                <w:sz w:val="20"/>
                <w:szCs w:val="20"/>
              </w:rPr>
              <w:t xml:space="preserve"> </w:t>
            </w:r>
            <w:r>
              <w:rPr>
                <w:spacing w:val="5"/>
                <w:sz w:val="20"/>
                <w:szCs w:val="20"/>
              </w:rPr>
              <w:t>”（积水线、警</w:t>
            </w:r>
            <w:r>
              <w:rPr>
                <w:sz w:val="20"/>
                <w:szCs w:val="20"/>
              </w:rPr>
              <w:t xml:space="preserve"> </w:t>
            </w:r>
            <w:r>
              <w:rPr>
                <w:spacing w:val="8"/>
                <w:sz w:val="20"/>
                <w:szCs w:val="20"/>
              </w:rPr>
              <w:t>戒线、探水线、停采线）管理。</w:t>
            </w:r>
          </w:p>
          <w:p w14:paraId="3F704791">
            <w:pPr>
              <w:pStyle w:val="6"/>
              <w:spacing w:before="8" w:line="251" w:lineRule="auto"/>
              <w:ind w:left="164" w:right="93"/>
              <w:rPr>
                <w:sz w:val="20"/>
                <w:szCs w:val="20"/>
              </w:rPr>
            </w:pPr>
            <w:r>
              <w:rPr>
                <w:spacing w:val="9"/>
                <w:sz w:val="20"/>
                <w:szCs w:val="20"/>
              </w:rPr>
              <w:t>加强采矿引起的滑坡、塌陷等次生地质灾害的防范和</w:t>
            </w:r>
            <w:r>
              <w:rPr>
                <w:spacing w:val="12"/>
                <w:sz w:val="20"/>
                <w:szCs w:val="20"/>
              </w:rPr>
              <w:t xml:space="preserve"> </w:t>
            </w:r>
            <w:r>
              <w:rPr>
                <w:spacing w:val="9"/>
                <w:sz w:val="20"/>
                <w:szCs w:val="20"/>
              </w:rPr>
              <w:t>治理，及时回填废弃巷道和采空区，要充分利用采矿</w:t>
            </w:r>
            <w:r>
              <w:rPr>
                <w:spacing w:val="13"/>
                <w:sz w:val="20"/>
                <w:szCs w:val="20"/>
              </w:rPr>
              <w:t xml:space="preserve"> </w:t>
            </w:r>
            <w:r>
              <w:rPr>
                <w:spacing w:val="9"/>
                <w:sz w:val="20"/>
                <w:szCs w:val="20"/>
              </w:rPr>
              <w:t>疏干排出的地下水，最大限度的维持矿区生态平衡。</w:t>
            </w:r>
            <w:r>
              <w:rPr>
                <w:spacing w:val="13"/>
                <w:sz w:val="20"/>
                <w:szCs w:val="20"/>
              </w:rPr>
              <w:t xml:space="preserve"> </w:t>
            </w:r>
            <w:r>
              <w:rPr>
                <w:spacing w:val="9"/>
                <w:sz w:val="20"/>
                <w:szCs w:val="20"/>
              </w:rPr>
              <w:t>提升再生水利用风险管控水平合理设置与抗风险能力</w:t>
            </w:r>
            <w:r>
              <w:rPr>
                <w:spacing w:val="13"/>
                <w:sz w:val="20"/>
                <w:szCs w:val="20"/>
              </w:rPr>
              <w:t xml:space="preserve"> </w:t>
            </w:r>
            <w:r>
              <w:rPr>
                <w:spacing w:val="9"/>
                <w:sz w:val="20"/>
                <w:szCs w:val="20"/>
              </w:rPr>
              <w:t>相匹配的事故调蓄设施和环境应急措施，发现进水异</w:t>
            </w:r>
            <w:r>
              <w:rPr>
                <w:spacing w:val="13"/>
                <w:sz w:val="20"/>
                <w:szCs w:val="20"/>
              </w:rPr>
              <w:t xml:space="preserve"> </w:t>
            </w:r>
            <w:r>
              <w:rPr>
                <w:spacing w:val="9"/>
                <w:sz w:val="20"/>
                <w:szCs w:val="20"/>
              </w:rPr>
              <w:t>常，可能导致污水处理系统受损和出水超标时，即启</w:t>
            </w:r>
            <w:r>
              <w:rPr>
                <w:spacing w:val="13"/>
                <w:sz w:val="20"/>
                <w:szCs w:val="20"/>
              </w:rPr>
              <w:t xml:space="preserve"> </w:t>
            </w:r>
            <w:r>
              <w:rPr>
                <w:spacing w:val="9"/>
                <w:sz w:val="20"/>
                <w:szCs w:val="20"/>
              </w:rPr>
              <w:t>动应急预案，开展污染物溯源，留存水样和泥样、保</w:t>
            </w:r>
            <w:r>
              <w:rPr>
                <w:spacing w:val="13"/>
                <w:sz w:val="20"/>
                <w:szCs w:val="20"/>
              </w:rPr>
              <w:t xml:space="preserve"> </w:t>
            </w:r>
            <w:r>
              <w:rPr>
                <w:spacing w:val="9"/>
                <w:sz w:val="20"/>
                <w:szCs w:val="20"/>
              </w:rPr>
              <w:t>存监测记录和现场视频等证据。识别再生水配置利用</w:t>
            </w:r>
            <w:r>
              <w:rPr>
                <w:spacing w:val="13"/>
                <w:sz w:val="20"/>
                <w:szCs w:val="20"/>
              </w:rPr>
              <w:t xml:space="preserve"> </w:t>
            </w:r>
            <w:r>
              <w:rPr>
                <w:spacing w:val="9"/>
                <w:sz w:val="20"/>
                <w:szCs w:val="20"/>
              </w:rPr>
              <w:t>的风险源，制定突发事件应急预案，逐步建立风险防</w:t>
            </w:r>
            <w:r>
              <w:rPr>
                <w:spacing w:val="13"/>
                <w:sz w:val="20"/>
                <w:szCs w:val="20"/>
              </w:rPr>
              <w:t xml:space="preserve"> </w:t>
            </w:r>
            <w:r>
              <w:rPr>
                <w:spacing w:val="9"/>
                <w:sz w:val="20"/>
                <w:szCs w:val="20"/>
              </w:rPr>
              <w:t>控预警体系。建立再生水水质全过程的监测体系，强</w:t>
            </w:r>
            <w:r>
              <w:rPr>
                <w:spacing w:val="13"/>
                <w:sz w:val="20"/>
                <w:szCs w:val="20"/>
              </w:rPr>
              <w:t xml:space="preserve"> </w:t>
            </w:r>
            <w:r>
              <w:rPr>
                <w:spacing w:val="9"/>
                <w:sz w:val="20"/>
                <w:szCs w:val="20"/>
              </w:rPr>
              <w:t>化污水处理达标排放、再生水水质达标监管，确保再</w:t>
            </w:r>
            <w:r>
              <w:rPr>
                <w:spacing w:val="13"/>
                <w:sz w:val="20"/>
                <w:szCs w:val="20"/>
              </w:rPr>
              <w:t xml:space="preserve"> </w:t>
            </w:r>
            <w:r>
              <w:rPr>
                <w:spacing w:val="7"/>
                <w:sz w:val="20"/>
                <w:szCs w:val="20"/>
              </w:rPr>
              <w:t>生水水质达标。</w:t>
            </w:r>
          </w:p>
          <w:p w14:paraId="23EE6093">
            <w:pPr>
              <w:pStyle w:val="6"/>
              <w:spacing w:before="4" w:line="251" w:lineRule="auto"/>
              <w:ind w:left="164" w:right="20" w:firstLine="1"/>
              <w:rPr>
                <w:sz w:val="20"/>
                <w:szCs w:val="20"/>
              </w:rPr>
            </w:pPr>
            <w:r>
              <w:rPr>
                <w:spacing w:val="8"/>
                <w:sz w:val="20"/>
                <w:szCs w:val="20"/>
              </w:rPr>
              <w:t>煤化工产业示范区严格贯彻执行“大气十条</w:t>
            </w:r>
            <w:r>
              <w:rPr>
                <w:spacing w:val="-65"/>
                <w:sz w:val="20"/>
                <w:szCs w:val="20"/>
              </w:rPr>
              <w:t xml:space="preserve"> </w:t>
            </w:r>
            <w:r>
              <w:rPr>
                <w:spacing w:val="8"/>
                <w:sz w:val="20"/>
                <w:szCs w:val="20"/>
              </w:rPr>
              <w:t>”、“水</w:t>
            </w:r>
            <w:r>
              <w:rPr>
                <w:sz w:val="20"/>
                <w:szCs w:val="20"/>
              </w:rPr>
              <w:t xml:space="preserve"> </w:t>
            </w:r>
            <w:r>
              <w:rPr>
                <w:spacing w:val="7"/>
                <w:sz w:val="20"/>
                <w:szCs w:val="20"/>
              </w:rPr>
              <w:t>十条</w:t>
            </w:r>
            <w:r>
              <w:rPr>
                <w:spacing w:val="-69"/>
                <w:sz w:val="20"/>
                <w:szCs w:val="20"/>
              </w:rPr>
              <w:t xml:space="preserve"> </w:t>
            </w:r>
            <w:r>
              <w:rPr>
                <w:spacing w:val="7"/>
                <w:sz w:val="20"/>
                <w:szCs w:val="20"/>
              </w:rPr>
              <w:t>”、“土十条</w:t>
            </w:r>
            <w:r>
              <w:rPr>
                <w:spacing w:val="-72"/>
                <w:sz w:val="20"/>
                <w:szCs w:val="20"/>
              </w:rPr>
              <w:t xml:space="preserve"> </w:t>
            </w:r>
            <w:r>
              <w:rPr>
                <w:spacing w:val="7"/>
                <w:sz w:val="20"/>
                <w:szCs w:val="20"/>
              </w:rPr>
              <w:t>”、《现代煤化工建设项目环境准</w:t>
            </w:r>
            <w:r>
              <w:rPr>
                <w:sz w:val="20"/>
                <w:szCs w:val="20"/>
              </w:rPr>
              <w:t xml:space="preserve"> </w:t>
            </w:r>
            <w:r>
              <w:rPr>
                <w:spacing w:val="4"/>
                <w:sz w:val="20"/>
                <w:szCs w:val="20"/>
              </w:rPr>
              <w:t>入条件》等相关法律法规和国家政策的规定。新</w:t>
            </w:r>
            <w:r>
              <w:rPr>
                <w:spacing w:val="3"/>
                <w:sz w:val="20"/>
                <w:szCs w:val="20"/>
              </w:rPr>
              <w:t>（改、</w:t>
            </w:r>
            <w:r>
              <w:rPr>
                <w:sz w:val="20"/>
                <w:szCs w:val="20"/>
              </w:rPr>
              <w:t xml:space="preserve"> </w:t>
            </w:r>
            <w:r>
              <w:rPr>
                <w:spacing w:val="10"/>
                <w:sz w:val="20"/>
                <w:szCs w:val="20"/>
              </w:rPr>
              <w:t>扩）建危险化学品项目应符合规划环评结论新（改、</w:t>
            </w:r>
            <w:r>
              <w:rPr>
                <w:spacing w:val="4"/>
                <w:sz w:val="20"/>
                <w:szCs w:val="20"/>
              </w:rPr>
              <w:t xml:space="preserve"> 扩）建精细化学品项目必须完成热反应安全风险</w:t>
            </w:r>
            <w:r>
              <w:rPr>
                <w:spacing w:val="3"/>
                <w:sz w:val="20"/>
                <w:szCs w:val="20"/>
              </w:rPr>
              <w:t>评估，</w:t>
            </w:r>
            <w:r>
              <w:rPr>
                <w:sz w:val="20"/>
                <w:szCs w:val="20"/>
              </w:rPr>
              <w:t xml:space="preserve"> </w:t>
            </w:r>
            <w:r>
              <w:rPr>
                <w:spacing w:val="8"/>
                <w:sz w:val="20"/>
                <w:szCs w:val="20"/>
              </w:rPr>
              <w:t>严格禁止反应工艺危险度</w:t>
            </w:r>
            <w:r>
              <w:rPr>
                <w:spacing w:val="-22"/>
                <w:sz w:val="20"/>
                <w:szCs w:val="20"/>
              </w:rPr>
              <w:t xml:space="preserve"> </w:t>
            </w:r>
            <w:r>
              <w:rPr>
                <w:rFonts w:ascii="Times New Roman" w:hAnsi="Times New Roman" w:eastAsia="Times New Roman" w:cs="Times New Roman"/>
                <w:spacing w:val="8"/>
                <w:sz w:val="20"/>
                <w:szCs w:val="20"/>
              </w:rPr>
              <w:t xml:space="preserve">5 </w:t>
            </w:r>
            <w:r>
              <w:rPr>
                <w:spacing w:val="8"/>
                <w:sz w:val="20"/>
                <w:szCs w:val="20"/>
              </w:rPr>
              <w:t>级和光气及光气化工艺项</w:t>
            </w:r>
            <w:r>
              <w:rPr>
                <w:sz w:val="20"/>
                <w:szCs w:val="20"/>
              </w:rPr>
              <w:t xml:space="preserve"> </w:t>
            </w:r>
            <w:r>
              <w:rPr>
                <w:spacing w:val="9"/>
                <w:sz w:val="20"/>
                <w:szCs w:val="20"/>
              </w:rPr>
              <w:t>目建设，限制工艺危险度</w:t>
            </w:r>
            <w:r>
              <w:rPr>
                <w:spacing w:val="-42"/>
                <w:sz w:val="20"/>
                <w:szCs w:val="20"/>
              </w:rPr>
              <w:t xml:space="preserve"> </w:t>
            </w:r>
            <w:r>
              <w:rPr>
                <w:rFonts w:ascii="Times New Roman" w:hAnsi="Times New Roman" w:eastAsia="Times New Roman" w:cs="Times New Roman"/>
                <w:spacing w:val="9"/>
                <w:sz w:val="20"/>
                <w:szCs w:val="20"/>
              </w:rPr>
              <w:t xml:space="preserve">4 </w:t>
            </w:r>
            <w:r>
              <w:rPr>
                <w:spacing w:val="9"/>
                <w:sz w:val="20"/>
                <w:szCs w:val="20"/>
              </w:rPr>
              <w:t>级项目。化工园</w:t>
            </w:r>
            <w:r>
              <w:rPr>
                <w:spacing w:val="8"/>
                <w:sz w:val="20"/>
                <w:szCs w:val="20"/>
              </w:rPr>
              <w:t>区必须开</w:t>
            </w:r>
            <w:r>
              <w:rPr>
                <w:sz w:val="20"/>
                <w:szCs w:val="20"/>
              </w:rPr>
              <w:t xml:space="preserve"> </w:t>
            </w:r>
            <w:r>
              <w:rPr>
                <w:spacing w:val="3"/>
                <w:sz w:val="20"/>
                <w:szCs w:val="20"/>
              </w:rPr>
              <w:t>展安全风险评估，科学确定区域风险等级和风险容量，</w:t>
            </w:r>
          </w:p>
        </w:tc>
        <w:tc>
          <w:tcPr>
            <w:tcW w:w="1327" w:type="dxa"/>
            <w:vAlign w:val="top"/>
          </w:tcPr>
          <w:p w14:paraId="77FBDDA5">
            <w:pPr>
              <w:spacing w:line="265" w:lineRule="auto"/>
              <w:rPr>
                <w:rFonts w:ascii="Arial"/>
                <w:sz w:val="21"/>
              </w:rPr>
            </w:pPr>
          </w:p>
          <w:p w14:paraId="04EA4E4D">
            <w:pPr>
              <w:spacing w:line="266" w:lineRule="auto"/>
              <w:rPr>
                <w:rFonts w:ascii="Arial"/>
                <w:sz w:val="21"/>
              </w:rPr>
            </w:pPr>
          </w:p>
          <w:p w14:paraId="6912B075">
            <w:pPr>
              <w:spacing w:line="266" w:lineRule="auto"/>
              <w:rPr>
                <w:rFonts w:ascii="Arial"/>
                <w:sz w:val="21"/>
              </w:rPr>
            </w:pPr>
          </w:p>
          <w:p w14:paraId="0C8C1B49">
            <w:pPr>
              <w:spacing w:line="266" w:lineRule="auto"/>
              <w:rPr>
                <w:rFonts w:ascii="Arial"/>
                <w:sz w:val="21"/>
              </w:rPr>
            </w:pPr>
          </w:p>
          <w:p w14:paraId="2D015E64">
            <w:pPr>
              <w:spacing w:line="266" w:lineRule="auto"/>
              <w:rPr>
                <w:rFonts w:ascii="Arial"/>
                <w:sz w:val="21"/>
              </w:rPr>
            </w:pPr>
          </w:p>
          <w:p w14:paraId="1937EEDD">
            <w:pPr>
              <w:spacing w:line="266" w:lineRule="auto"/>
              <w:rPr>
                <w:rFonts w:ascii="Arial"/>
                <w:sz w:val="21"/>
              </w:rPr>
            </w:pPr>
          </w:p>
          <w:p w14:paraId="1385CE74">
            <w:pPr>
              <w:spacing w:line="266" w:lineRule="auto"/>
              <w:rPr>
                <w:rFonts w:ascii="Arial"/>
                <w:sz w:val="21"/>
              </w:rPr>
            </w:pPr>
          </w:p>
          <w:p w14:paraId="196C5A94">
            <w:pPr>
              <w:pStyle w:val="6"/>
              <w:spacing w:before="65" w:line="227" w:lineRule="auto"/>
              <w:ind w:left="155"/>
              <w:rPr>
                <w:sz w:val="20"/>
                <w:szCs w:val="20"/>
              </w:rPr>
            </w:pPr>
            <w:r>
              <w:rPr>
                <w:spacing w:val="7"/>
                <w:sz w:val="20"/>
                <w:szCs w:val="20"/>
              </w:rPr>
              <w:t>本项目不属</w:t>
            </w:r>
          </w:p>
          <w:p w14:paraId="24176818">
            <w:pPr>
              <w:pStyle w:val="6"/>
              <w:spacing w:before="27" w:line="230" w:lineRule="auto"/>
              <w:ind w:left="263"/>
              <w:rPr>
                <w:sz w:val="20"/>
                <w:szCs w:val="20"/>
              </w:rPr>
            </w:pPr>
            <w:r>
              <w:rPr>
                <w:spacing w:val="6"/>
                <w:sz w:val="20"/>
                <w:szCs w:val="20"/>
              </w:rPr>
              <w:t>于石油加</w:t>
            </w:r>
          </w:p>
          <w:p w14:paraId="33903A58">
            <w:pPr>
              <w:pStyle w:val="6"/>
              <w:spacing w:before="22" w:line="229" w:lineRule="auto"/>
              <w:ind w:left="156"/>
              <w:rPr>
                <w:sz w:val="20"/>
                <w:szCs w:val="20"/>
              </w:rPr>
            </w:pPr>
            <w:r>
              <w:rPr>
                <w:spacing w:val="7"/>
                <w:sz w:val="20"/>
                <w:szCs w:val="20"/>
              </w:rPr>
              <w:t>工、化学原</w:t>
            </w:r>
          </w:p>
          <w:p w14:paraId="201977E1">
            <w:pPr>
              <w:pStyle w:val="6"/>
              <w:spacing w:before="25" w:line="228" w:lineRule="auto"/>
              <w:ind w:left="154"/>
              <w:rPr>
                <w:sz w:val="20"/>
                <w:szCs w:val="20"/>
              </w:rPr>
            </w:pPr>
            <w:r>
              <w:rPr>
                <w:spacing w:val="8"/>
                <w:sz w:val="20"/>
                <w:szCs w:val="20"/>
              </w:rPr>
              <w:t>料和化学制</w:t>
            </w:r>
          </w:p>
          <w:p w14:paraId="53FC31F2">
            <w:pPr>
              <w:pStyle w:val="6"/>
              <w:spacing w:before="24" w:line="228" w:lineRule="auto"/>
              <w:ind w:left="171"/>
              <w:rPr>
                <w:sz w:val="20"/>
                <w:szCs w:val="20"/>
              </w:rPr>
            </w:pPr>
            <w:r>
              <w:rPr>
                <w:spacing w:val="6"/>
                <w:sz w:val="20"/>
                <w:szCs w:val="20"/>
              </w:rPr>
              <w:t>品制造、医</w:t>
            </w:r>
          </w:p>
          <w:p w14:paraId="7EE386DB">
            <w:pPr>
              <w:pStyle w:val="6"/>
              <w:spacing w:before="27" w:line="228" w:lineRule="auto"/>
              <w:ind w:left="156"/>
              <w:rPr>
                <w:sz w:val="20"/>
                <w:szCs w:val="20"/>
              </w:rPr>
            </w:pPr>
            <w:r>
              <w:rPr>
                <w:spacing w:val="7"/>
                <w:sz w:val="20"/>
                <w:szCs w:val="20"/>
              </w:rPr>
              <w:t>药制造、化</w:t>
            </w:r>
          </w:p>
          <w:p w14:paraId="5C717554">
            <w:pPr>
              <w:pStyle w:val="6"/>
              <w:spacing w:before="23" w:line="228" w:lineRule="auto"/>
              <w:ind w:left="264"/>
              <w:rPr>
                <w:sz w:val="20"/>
                <w:szCs w:val="20"/>
              </w:rPr>
            </w:pPr>
            <w:r>
              <w:rPr>
                <w:spacing w:val="6"/>
                <w:sz w:val="20"/>
                <w:szCs w:val="20"/>
              </w:rPr>
              <w:t>学纤维制</w:t>
            </w:r>
          </w:p>
          <w:p w14:paraId="6DF46D08">
            <w:pPr>
              <w:pStyle w:val="6"/>
              <w:spacing w:before="28" w:line="228" w:lineRule="auto"/>
              <w:ind w:left="153"/>
              <w:rPr>
                <w:sz w:val="20"/>
                <w:szCs w:val="20"/>
              </w:rPr>
            </w:pPr>
            <w:r>
              <w:rPr>
                <w:spacing w:val="8"/>
                <w:sz w:val="20"/>
                <w:szCs w:val="20"/>
              </w:rPr>
              <w:t>造、有色金</w:t>
            </w:r>
          </w:p>
          <w:p w14:paraId="20D21061">
            <w:pPr>
              <w:pStyle w:val="6"/>
              <w:spacing w:before="24" w:line="228" w:lineRule="auto"/>
              <w:ind w:left="156"/>
              <w:rPr>
                <w:sz w:val="20"/>
                <w:szCs w:val="20"/>
              </w:rPr>
            </w:pPr>
            <w:r>
              <w:rPr>
                <w:spacing w:val="8"/>
                <w:sz w:val="20"/>
                <w:szCs w:val="20"/>
              </w:rPr>
              <w:t>属冶炼、纺</w:t>
            </w:r>
          </w:p>
          <w:p w14:paraId="3B84E9A7">
            <w:pPr>
              <w:pStyle w:val="6"/>
              <w:spacing w:before="26" w:line="228" w:lineRule="auto"/>
              <w:ind w:left="157"/>
              <w:rPr>
                <w:sz w:val="20"/>
                <w:szCs w:val="20"/>
              </w:rPr>
            </w:pPr>
            <w:r>
              <w:rPr>
                <w:spacing w:val="7"/>
                <w:sz w:val="20"/>
                <w:szCs w:val="20"/>
              </w:rPr>
              <w:t>织印染等项</w:t>
            </w:r>
          </w:p>
          <w:p w14:paraId="783E5A1E">
            <w:pPr>
              <w:pStyle w:val="6"/>
              <w:spacing w:before="24" w:line="228" w:lineRule="auto"/>
              <w:ind w:left="194"/>
              <w:rPr>
                <w:sz w:val="20"/>
                <w:szCs w:val="20"/>
              </w:rPr>
            </w:pPr>
            <w:r>
              <w:rPr>
                <w:sz w:val="20"/>
                <w:szCs w:val="20"/>
              </w:rPr>
              <w:t>目。项目建</w:t>
            </w:r>
          </w:p>
          <w:p w14:paraId="5B60E4D6">
            <w:pPr>
              <w:pStyle w:val="6"/>
              <w:spacing w:before="25" w:line="228" w:lineRule="auto"/>
              <w:ind w:left="156"/>
              <w:rPr>
                <w:sz w:val="20"/>
                <w:szCs w:val="20"/>
              </w:rPr>
            </w:pPr>
            <w:r>
              <w:rPr>
                <w:spacing w:val="7"/>
                <w:sz w:val="20"/>
                <w:szCs w:val="20"/>
              </w:rPr>
              <w:t>成后，建设</w:t>
            </w:r>
          </w:p>
          <w:p w14:paraId="088004B0">
            <w:pPr>
              <w:pStyle w:val="6"/>
              <w:spacing w:before="26" w:line="228" w:lineRule="auto"/>
              <w:ind w:left="156"/>
              <w:rPr>
                <w:sz w:val="20"/>
                <w:szCs w:val="20"/>
              </w:rPr>
            </w:pPr>
            <w:r>
              <w:rPr>
                <w:spacing w:val="7"/>
                <w:sz w:val="20"/>
                <w:szCs w:val="20"/>
              </w:rPr>
              <w:t>单位对危险</w:t>
            </w:r>
          </w:p>
          <w:p w14:paraId="3129F47A">
            <w:pPr>
              <w:pStyle w:val="6"/>
              <w:spacing w:before="24" w:line="228" w:lineRule="auto"/>
              <w:ind w:left="155"/>
              <w:rPr>
                <w:sz w:val="20"/>
                <w:szCs w:val="20"/>
              </w:rPr>
            </w:pPr>
            <w:r>
              <w:rPr>
                <w:spacing w:val="7"/>
                <w:sz w:val="20"/>
                <w:szCs w:val="20"/>
              </w:rPr>
              <w:t>化学品运输</w:t>
            </w:r>
          </w:p>
          <w:p w14:paraId="7E71DCDB">
            <w:pPr>
              <w:pStyle w:val="6"/>
              <w:spacing w:before="26" w:line="228" w:lineRule="auto"/>
              <w:ind w:left="156"/>
              <w:rPr>
                <w:sz w:val="20"/>
                <w:szCs w:val="20"/>
              </w:rPr>
            </w:pPr>
            <w:r>
              <w:rPr>
                <w:spacing w:val="7"/>
                <w:sz w:val="20"/>
                <w:szCs w:val="20"/>
              </w:rPr>
              <w:t>车辆进行严</w:t>
            </w:r>
          </w:p>
          <w:p w14:paraId="3DA89A0C">
            <w:pPr>
              <w:pStyle w:val="6"/>
              <w:spacing w:before="27" w:line="228" w:lineRule="auto"/>
              <w:ind w:left="154"/>
              <w:rPr>
                <w:sz w:val="20"/>
                <w:szCs w:val="20"/>
              </w:rPr>
            </w:pPr>
            <w:r>
              <w:rPr>
                <w:spacing w:val="10"/>
                <w:sz w:val="20"/>
                <w:szCs w:val="20"/>
              </w:rPr>
              <w:t>格管理，防</w:t>
            </w:r>
          </w:p>
          <w:p w14:paraId="7B136BAF">
            <w:pPr>
              <w:pStyle w:val="6"/>
              <w:spacing w:before="25" w:line="228" w:lineRule="auto"/>
              <w:ind w:left="155"/>
              <w:rPr>
                <w:sz w:val="20"/>
                <w:szCs w:val="20"/>
              </w:rPr>
            </w:pPr>
            <w:r>
              <w:rPr>
                <w:spacing w:val="8"/>
                <w:sz w:val="20"/>
                <w:szCs w:val="20"/>
              </w:rPr>
              <w:t>止环境风险</w:t>
            </w:r>
          </w:p>
          <w:p w14:paraId="536DBBEC">
            <w:pPr>
              <w:pStyle w:val="6"/>
              <w:spacing w:before="24" w:line="228" w:lineRule="auto"/>
              <w:ind w:left="259"/>
              <w:rPr>
                <w:sz w:val="20"/>
                <w:szCs w:val="20"/>
              </w:rPr>
            </w:pPr>
            <w:r>
              <w:rPr>
                <w:spacing w:val="7"/>
                <w:sz w:val="20"/>
                <w:szCs w:val="20"/>
              </w:rPr>
              <w:t>事故的发</w:t>
            </w:r>
          </w:p>
          <w:p w14:paraId="4C89538C">
            <w:pPr>
              <w:pStyle w:val="6"/>
              <w:spacing w:before="27" w:line="228" w:lineRule="auto"/>
              <w:ind w:left="156"/>
              <w:rPr>
                <w:sz w:val="20"/>
                <w:szCs w:val="20"/>
              </w:rPr>
            </w:pPr>
            <w:r>
              <w:rPr>
                <w:spacing w:val="7"/>
                <w:sz w:val="20"/>
                <w:szCs w:val="20"/>
              </w:rPr>
              <w:t>生，积极制</w:t>
            </w:r>
          </w:p>
          <w:p w14:paraId="7C654413">
            <w:pPr>
              <w:pStyle w:val="6"/>
              <w:spacing w:before="24" w:line="228" w:lineRule="auto"/>
              <w:ind w:left="159"/>
              <w:rPr>
                <w:sz w:val="20"/>
                <w:szCs w:val="20"/>
              </w:rPr>
            </w:pPr>
            <w:r>
              <w:rPr>
                <w:spacing w:val="7"/>
                <w:sz w:val="20"/>
                <w:szCs w:val="20"/>
              </w:rPr>
              <w:t>定环境风险</w:t>
            </w:r>
          </w:p>
          <w:p w14:paraId="369CB886">
            <w:pPr>
              <w:pStyle w:val="6"/>
              <w:spacing w:before="26" w:line="228" w:lineRule="auto"/>
              <w:ind w:left="154"/>
              <w:rPr>
                <w:sz w:val="20"/>
                <w:szCs w:val="20"/>
              </w:rPr>
            </w:pPr>
            <w:r>
              <w:rPr>
                <w:spacing w:val="5"/>
                <w:sz w:val="20"/>
                <w:szCs w:val="20"/>
              </w:rPr>
              <w:t>应急预案，</w:t>
            </w:r>
          </w:p>
          <w:p w14:paraId="5BD99C34">
            <w:pPr>
              <w:pStyle w:val="6"/>
              <w:spacing w:before="25" w:line="228" w:lineRule="auto"/>
              <w:ind w:left="154"/>
              <w:rPr>
                <w:sz w:val="20"/>
                <w:szCs w:val="20"/>
              </w:rPr>
            </w:pPr>
            <w:r>
              <w:rPr>
                <w:spacing w:val="8"/>
                <w:sz w:val="20"/>
                <w:szCs w:val="20"/>
              </w:rPr>
              <w:t>加强环境风</w:t>
            </w:r>
          </w:p>
          <w:p w14:paraId="69E78F81">
            <w:pPr>
              <w:pStyle w:val="6"/>
              <w:spacing w:before="26" w:line="228" w:lineRule="auto"/>
              <w:ind w:left="165"/>
              <w:rPr>
                <w:sz w:val="20"/>
                <w:szCs w:val="20"/>
              </w:rPr>
            </w:pPr>
            <w:r>
              <w:rPr>
                <w:spacing w:val="5"/>
                <w:sz w:val="20"/>
                <w:szCs w:val="20"/>
              </w:rPr>
              <w:t>险源的风险</w:t>
            </w:r>
          </w:p>
          <w:p w14:paraId="15090CB2">
            <w:pPr>
              <w:pStyle w:val="6"/>
              <w:spacing w:before="24" w:line="228" w:lineRule="auto"/>
              <w:ind w:left="159"/>
              <w:rPr>
                <w:sz w:val="20"/>
                <w:szCs w:val="20"/>
              </w:rPr>
            </w:pPr>
            <w:r>
              <w:rPr>
                <w:spacing w:val="7"/>
                <w:sz w:val="20"/>
                <w:szCs w:val="20"/>
              </w:rPr>
              <w:t>管控，符合</w:t>
            </w:r>
          </w:p>
          <w:p w14:paraId="0F86314F">
            <w:pPr>
              <w:pStyle w:val="6"/>
              <w:spacing w:before="27" w:line="252" w:lineRule="auto"/>
              <w:ind w:left="258" w:right="126" w:hanging="104"/>
              <w:rPr>
                <w:sz w:val="20"/>
                <w:szCs w:val="20"/>
              </w:rPr>
            </w:pPr>
            <w:r>
              <w:rPr>
                <w:spacing w:val="8"/>
                <w:sz w:val="20"/>
                <w:szCs w:val="20"/>
              </w:rPr>
              <w:t>环境风险防</w:t>
            </w:r>
            <w:r>
              <w:rPr>
                <w:sz w:val="20"/>
                <w:szCs w:val="20"/>
              </w:rPr>
              <w:t xml:space="preserve"> </w:t>
            </w:r>
            <w:r>
              <w:rPr>
                <w:spacing w:val="4"/>
                <w:sz w:val="20"/>
                <w:szCs w:val="20"/>
              </w:rPr>
              <w:t>控要求。</w:t>
            </w:r>
          </w:p>
        </w:tc>
        <w:tc>
          <w:tcPr>
            <w:tcW w:w="427" w:type="dxa"/>
            <w:textDirection w:val="tbRlV"/>
            <w:vAlign w:val="top"/>
          </w:tcPr>
          <w:p w14:paraId="536DF78A">
            <w:pPr>
              <w:pStyle w:val="6"/>
              <w:spacing w:before="99" w:line="215" w:lineRule="auto"/>
              <w:ind w:left="5207"/>
              <w:rPr>
                <w:sz w:val="20"/>
                <w:szCs w:val="20"/>
              </w:rPr>
            </w:pPr>
            <w:r>
              <w:rPr>
                <w:spacing w:val="8"/>
                <w:sz w:val="20"/>
                <w:szCs w:val="20"/>
              </w:rPr>
              <w:t>符</w:t>
            </w:r>
            <w:r>
              <w:rPr>
                <w:spacing w:val="-38"/>
                <w:sz w:val="20"/>
                <w:szCs w:val="20"/>
              </w:rPr>
              <w:t xml:space="preserve"> </w:t>
            </w:r>
            <w:r>
              <w:rPr>
                <w:spacing w:val="8"/>
                <w:sz w:val="20"/>
                <w:szCs w:val="20"/>
              </w:rPr>
              <w:t>合</w:t>
            </w:r>
          </w:p>
        </w:tc>
      </w:tr>
    </w:tbl>
    <w:p w14:paraId="6581BBCA">
      <w:pPr>
        <w:pStyle w:val="2"/>
      </w:pPr>
    </w:p>
    <w:p w14:paraId="56B20D22">
      <w:pPr>
        <w:sectPr>
          <w:footerReference r:id="rId18" w:type="default"/>
          <w:pgSz w:w="11906" w:h="16839"/>
          <w:pgMar w:top="400" w:right="1739" w:bottom="1259" w:left="1738" w:header="0" w:footer="1097" w:gutter="0"/>
          <w:cols w:space="720" w:num="1"/>
        </w:sectPr>
      </w:pPr>
    </w:p>
    <w:p w14:paraId="402F05D1">
      <w:pPr>
        <w:spacing w:before="19"/>
      </w:pPr>
    </w:p>
    <w:p w14:paraId="3EAEBC77">
      <w:pPr>
        <w:spacing w:before="19"/>
      </w:pPr>
    </w:p>
    <w:p w14:paraId="245B0BB8">
      <w:pPr>
        <w:spacing w:before="18"/>
      </w:pPr>
    </w:p>
    <w:p w14:paraId="56943531">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4B6ED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8" w:hRule="atLeast"/>
        </w:trPr>
        <w:tc>
          <w:tcPr>
            <w:tcW w:w="1180" w:type="dxa"/>
            <w:vMerge w:val="restart"/>
            <w:tcBorders>
              <w:bottom w:val="nil"/>
            </w:tcBorders>
            <w:vAlign w:val="top"/>
          </w:tcPr>
          <w:p w14:paraId="4ED78E5E">
            <w:pPr>
              <w:rPr>
                <w:rFonts w:ascii="Arial"/>
                <w:sz w:val="21"/>
              </w:rPr>
            </w:pPr>
          </w:p>
        </w:tc>
        <w:tc>
          <w:tcPr>
            <w:tcW w:w="404" w:type="dxa"/>
            <w:vAlign w:val="top"/>
          </w:tcPr>
          <w:p w14:paraId="554A4B63">
            <w:pPr>
              <w:rPr>
                <w:rFonts w:ascii="Arial"/>
                <w:sz w:val="21"/>
              </w:rPr>
            </w:pPr>
          </w:p>
        </w:tc>
        <w:tc>
          <w:tcPr>
            <w:tcW w:w="5085" w:type="dxa"/>
            <w:vAlign w:val="top"/>
          </w:tcPr>
          <w:p w14:paraId="36B40EE9">
            <w:pPr>
              <w:pStyle w:val="6"/>
              <w:spacing w:before="103" w:line="251" w:lineRule="auto"/>
              <w:ind w:left="165" w:right="93" w:firstLine="3"/>
              <w:rPr>
                <w:sz w:val="20"/>
                <w:szCs w:val="20"/>
              </w:rPr>
            </w:pPr>
            <w:r>
              <w:rPr>
                <w:spacing w:val="9"/>
                <w:sz w:val="20"/>
                <w:szCs w:val="20"/>
              </w:rPr>
              <w:t>不达标不予认定化工园区。未通过认定的化工园区， 不得新（改、扩）建化工项目（安全、环保、节能、</w:t>
            </w:r>
            <w:r>
              <w:rPr>
                <w:spacing w:val="12"/>
                <w:sz w:val="20"/>
                <w:szCs w:val="20"/>
              </w:rPr>
              <w:t xml:space="preserve"> </w:t>
            </w:r>
            <w:r>
              <w:rPr>
                <w:spacing w:val="9"/>
                <w:sz w:val="20"/>
                <w:szCs w:val="20"/>
              </w:rPr>
              <w:t>节水和智能化等技术改造项目除外）。劳动密集型的</w:t>
            </w:r>
            <w:r>
              <w:rPr>
                <w:spacing w:val="12"/>
                <w:sz w:val="20"/>
                <w:szCs w:val="20"/>
              </w:rPr>
              <w:t xml:space="preserve"> </w:t>
            </w:r>
            <w:r>
              <w:rPr>
                <w:spacing w:val="9"/>
                <w:sz w:val="20"/>
                <w:szCs w:val="20"/>
              </w:rPr>
              <w:t>非化工企业不得与危险化学品企业混建在同一园区</w:t>
            </w:r>
          </w:p>
          <w:p w14:paraId="1B224451">
            <w:pPr>
              <w:pStyle w:val="6"/>
              <w:spacing w:line="227" w:lineRule="auto"/>
              <w:ind w:left="191"/>
              <w:rPr>
                <w:sz w:val="20"/>
                <w:szCs w:val="20"/>
              </w:rPr>
            </w:pPr>
            <w:r>
              <w:rPr>
                <w:spacing w:val="-13"/>
                <w:sz w:val="20"/>
                <w:szCs w:val="20"/>
              </w:rPr>
              <w:t>内。</w:t>
            </w:r>
          </w:p>
          <w:p w14:paraId="33B7F415">
            <w:pPr>
              <w:pStyle w:val="6"/>
              <w:spacing w:before="31" w:line="247" w:lineRule="auto"/>
              <w:ind w:left="164" w:right="20"/>
              <w:rPr>
                <w:sz w:val="20"/>
                <w:szCs w:val="20"/>
              </w:rPr>
            </w:pPr>
            <w:r>
              <w:rPr>
                <w:spacing w:val="9"/>
                <w:sz w:val="20"/>
                <w:szCs w:val="20"/>
              </w:rPr>
              <w:t>黄河流域干流沿岸严格控制石油加工、化学原料和化</w:t>
            </w:r>
            <w:r>
              <w:rPr>
                <w:spacing w:val="13"/>
                <w:sz w:val="20"/>
                <w:szCs w:val="20"/>
              </w:rPr>
              <w:t xml:space="preserve"> </w:t>
            </w:r>
            <w:r>
              <w:rPr>
                <w:spacing w:val="9"/>
                <w:sz w:val="20"/>
                <w:szCs w:val="20"/>
              </w:rPr>
              <w:t>学制品制造、医药制造、化学纤维制造、有色金属冶</w:t>
            </w:r>
            <w:r>
              <w:rPr>
                <w:spacing w:val="13"/>
                <w:sz w:val="20"/>
                <w:szCs w:val="20"/>
              </w:rPr>
              <w:t xml:space="preserve"> </w:t>
            </w:r>
            <w:r>
              <w:rPr>
                <w:spacing w:val="9"/>
                <w:sz w:val="20"/>
                <w:szCs w:val="20"/>
              </w:rPr>
              <w:t>炼、纺织印染等项目环境风险，合理布局生产装置及</w:t>
            </w:r>
            <w:r>
              <w:rPr>
                <w:spacing w:val="13"/>
                <w:sz w:val="20"/>
                <w:szCs w:val="20"/>
              </w:rPr>
              <w:t xml:space="preserve"> </w:t>
            </w:r>
            <w:r>
              <w:rPr>
                <w:spacing w:val="4"/>
                <w:sz w:val="20"/>
                <w:szCs w:val="20"/>
              </w:rPr>
              <w:t>危险化学品仓储等设施；严格限制高风险化学品</w:t>
            </w:r>
            <w:r>
              <w:rPr>
                <w:spacing w:val="3"/>
                <w:sz w:val="20"/>
                <w:szCs w:val="20"/>
              </w:rPr>
              <w:t>生产、</w:t>
            </w:r>
            <w:r>
              <w:rPr>
                <w:sz w:val="20"/>
                <w:szCs w:val="20"/>
              </w:rPr>
              <w:t xml:space="preserve"> </w:t>
            </w:r>
            <w:r>
              <w:rPr>
                <w:spacing w:val="9"/>
                <w:sz w:val="20"/>
                <w:szCs w:val="20"/>
              </w:rPr>
              <w:t>使用，并逐步淘汰替代。沿黄河干流和重要支流园区</w:t>
            </w:r>
            <w:r>
              <w:rPr>
                <w:spacing w:val="13"/>
                <w:sz w:val="20"/>
                <w:szCs w:val="20"/>
              </w:rPr>
              <w:t xml:space="preserve"> </w:t>
            </w:r>
            <w:r>
              <w:rPr>
                <w:spacing w:val="4"/>
                <w:sz w:val="20"/>
                <w:szCs w:val="20"/>
              </w:rPr>
              <w:t>及化工企业，加强监测预警、三级风险防控体系</w:t>
            </w:r>
            <w:r>
              <w:rPr>
                <w:spacing w:val="3"/>
                <w:sz w:val="20"/>
                <w:szCs w:val="20"/>
              </w:rPr>
              <w:t>建设，</w:t>
            </w:r>
            <w:r>
              <w:rPr>
                <w:sz w:val="20"/>
                <w:szCs w:val="20"/>
              </w:rPr>
              <w:t xml:space="preserve"> </w:t>
            </w:r>
            <w:r>
              <w:rPr>
                <w:spacing w:val="9"/>
                <w:sz w:val="20"/>
                <w:szCs w:val="20"/>
              </w:rPr>
              <w:t>建立环境风险防范管理工作长效机制。重点化工园区</w:t>
            </w:r>
            <w:r>
              <w:rPr>
                <w:spacing w:val="13"/>
                <w:sz w:val="20"/>
                <w:szCs w:val="20"/>
              </w:rPr>
              <w:t xml:space="preserve"> </w:t>
            </w:r>
            <w:r>
              <w:rPr>
                <w:spacing w:val="9"/>
                <w:sz w:val="20"/>
                <w:szCs w:val="20"/>
              </w:rPr>
              <w:t>加强高盐水晾晒池风险防控，消除煤化工废水环境风</w:t>
            </w:r>
            <w:r>
              <w:rPr>
                <w:spacing w:val="13"/>
                <w:sz w:val="20"/>
                <w:szCs w:val="20"/>
              </w:rPr>
              <w:t xml:space="preserve"> </w:t>
            </w:r>
            <w:r>
              <w:rPr>
                <w:spacing w:val="8"/>
                <w:sz w:val="20"/>
                <w:szCs w:val="20"/>
              </w:rPr>
              <w:t>险隐患，保障流域水环境质量安全。</w:t>
            </w:r>
          </w:p>
        </w:tc>
        <w:tc>
          <w:tcPr>
            <w:tcW w:w="1327" w:type="dxa"/>
            <w:vAlign w:val="top"/>
          </w:tcPr>
          <w:p w14:paraId="40E1E8C6">
            <w:pPr>
              <w:rPr>
                <w:rFonts w:ascii="Arial"/>
                <w:sz w:val="21"/>
              </w:rPr>
            </w:pPr>
          </w:p>
        </w:tc>
        <w:tc>
          <w:tcPr>
            <w:tcW w:w="427" w:type="dxa"/>
            <w:vAlign w:val="top"/>
          </w:tcPr>
          <w:p w14:paraId="0E5E6D9E">
            <w:pPr>
              <w:rPr>
                <w:rFonts w:ascii="Arial"/>
                <w:sz w:val="21"/>
              </w:rPr>
            </w:pPr>
          </w:p>
        </w:tc>
      </w:tr>
      <w:tr w14:paraId="3C0A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5" w:hRule="atLeast"/>
        </w:trPr>
        <w:tc>
          <w:tcPr>
            <w:tcW w:w="1180" w:type="dxa"/>
            <w:vMerge w:val="continue"/>
            <w:tcBorders>
              <w:top w:val="nil"/>
            </w:tcBorders>
            <w:vAlign w:val="top"/>
          </w:tcPr>
          <w:p w14:paraId="1A6D688A">
            <w:pPr>
              <w:rPr>
                <w:rFonts w:ascii="Arial"/>
                <w:sz w:val="21"/>
              </w:rPr>
            </w:pPr>
          </w:p>
        </w:tc>
        <w:tc>
          <w:tcPr>
            <w:tcW w:w="404" w:type="dxa"/>
            <w:textDirection w:val="tbRlV"/>
            <w:vAlign w:val="top"/>
          </w:tcPr>
          <w:p w14:paraId="624FD2AB">
            <w:pPr>
              <w:pStyle w:val="6"/>
              <w:spacing w:before="29" w:line="215" w:lineRule="auto"/>
              <w:ind w:left="4117"/>
              <w:rPr>
                <w:sz w:val="20"/>
                <w:szCs w:val="20"/>
              </w:rPr>
            </w:pPr>
            <w:r>
              <w:rPr>
                <w:spacing w:val="8"/>
                <w:sz w:val="20"/>
                <w:szCs w:val="20"/>
              </w:rPr>
              <w:t>资</w:t>
            </w:r>
            <w:r>
              <w:rPr>
                <w:spacing w:val="-34"/>
                <w:sz w:val="20"/>
                <w:szCs w:val="20"/>
              </w:rPr>
              <w:t xml:space="preserve"> </w:t>
            </w:r>
            <w:r>
              <w:rPr>
                <w:spacing w:val="8"/>
                <w:sz w:val="20"/>
                <w:szCs w:val="20"/>
              </w:rPr>
              <w:t>源</w:t>
            </w:r>
            <w:r>
              <w:rPr>
                <w:spacing w:val="-38"/>
                <w:sz w:val="20"/>
                <w:szCs w:val="20"/>
              </w:rPr>
              <w:t xml:space="preserve"> </w:t>
            </w:r>
            <w:r>
              <w:rPr>
                <w:spacing w:val="8"/>
                <w:sz w:val="20"/>
                <w:szCs w:val="20"/>
              </w:rPr>
              <w:t>开</w:t>
            </w:r>
            <w:r>
              <w:rPr>
                <w:spacing w:val="-35"/>
                <w:sz w:val="20"/>
                <w:szCs w:val="20"/>
              </w:rPr>
              <w:t xml:space="preserve"> </w:t>
            </w:r>
            <w:r>
              <w:rPr>
                <w:spacing w:val="8"/>
                <w:sz w:val="20"/>
                <w:szCs w:val="20"/>
              </w:rPr>
              <w:t>发</w:t>
            </w:r>
            <w:r>
              <w:rPr>
                <w:spacing w:val="-38"/>
                <w:sz w:val="20"/>
                <w:szCs w:val="20"/>
              </w:rPr>
              <w:t xml:space="preserve"> </w:t>
            </w:r>
            <w:r>
              <w:rPr>
                <w:spacing w:val="8"/>
                <w:sz w:val="20"/>
                <w:szCs w:val="20"/>
              </w:rPr>
              <w:t>效</w:t>
            </w:r>
            <w:r>
              <w:rPr>
                <w:spacing w:val="-35"/>
                <w:sz w:val="20"/>
                <w:szCs w:val="20"/>
              </w:rPr>
              <w:t xml:space="preserve"> </w:t>
            </w:r>
            <w:r>
              <w:rPr>
                <w:spacing w:val="8"/>
                <w:sz w:val="20"/>
                <w:szCs w:val="20"/>
              </w:rPr>
              <w:t>率</w:t>
            </w:r>
          </w:p>
        </w:tc>
        <w:tc>
          <w:tcPr>
            <w:tcW w:w="5085" w:type="dxa"/>
            <w:vAlign w:val="top"/>
          </w:tcPr>
          <w:p w14:paraId="6560A0A3">
            <w:pPr>
              <w:pStyle w:val="6"/>
              <w:spacing w:before="37" w:line="251" w:lineRule="auto"/>
              <w:ind w:left="164" w:right="20" w:firstLine="1"/>
              <w:rPr>
                <w:sz w:val="20"/>
                <w:szCs w:val="20"/>
              </w:rPr>
            </w:pPr>
            <w:r>
              <w:rPr>
                <w:spacing w:val="4"/>
                <w:sz w:val="20"/>
                <w:szCs w:val="20"/>
              </w:rPr>
              <w:t>严格执行取用水总量控制制度，推进矿井水综</w:t>
            </w:r>
            <w:r>
              <w:rPr>
                <w:spacing w:val="3"/>
                <w:sz w:val="20"/>
                <w:szCs w:val="20"/>
              </w:rPr>
              <w:t>合利用。</w:t>
            </w:r>
            <w:r>
              <w:rPr>
                <w:sz w:val="20"/>
                <w:szCs w:val="20"/>
              </w:rPr>
              <w:t xml:space="preserve"> </w:t>
            </w:r>
            <w:r>
              <w:rPr>
                <w:spacing w:val="9"/>
                <w:sz w:val="20"/>
                <w:szCs w:val="20"/>
              </w:rPr>
              <w:t>对取用水总量已达到或超过控制指标的地区，暂停审</w:t>
            </w:r>
            <w:r>
              <w:rPr>
                <w:spacing w:val="13"/>
                <w:sz w:val="20"/>
                <w:szCs w:val="20"/>
              </w:rPr>
              <w:t xml:space="preserve"> </w:t>
            </w:r>
            <w:r>
              <w:rPr>
                <w:spacing w:val="9"/>
                <w:sz w:val="20"/>
                <w:szCs w:val="20"/>
              </w:rPr>
              <w:t>批其建设项目新增取水许可。建立重点监控用水单位</w:t>
            </w:r>
            <w:r>
              <w:rPr>
                <w:spacing w:val="13"/>
                <w:sz w:val="20"/>
                <w:szCs w:val="20"/>
              </w:rPr>
              <w:t xml:space="preserve"> </w:t>
            </w:r>
            <w:r>
              <w:rPr>
                <w:spacing w:val="9"/>
                <w:sz w:val="20"/>
                <w:szCs w:val="20"/>
              </w:rPr>
              <w:t>名录。煤炭矿区的补充用水、周边地区生产和生态用</w:t>
            </w:r>
            <w:r>
              <w:rPr>
                <w:spacing w:val="13"/>
                <w:sz w:val="20"/>
                <w:szCs w:val="20"/>
              </w:rPr>
              <w:t xml:space="preserve"> </w:t>
            </w:r>
            <w:r>
              <w:rPr>
                <w:spacing w:val="4"/>
                <w:sz w:val="20"/>
                <w:szCs w:val="20"/>
              </w:rPr>
              <w:t>水应优先使用矿井水，加强洗煤废水循环利用。</w:t>
            </w:r>
            <w:r>
              <w:rPr>
                <w:spacing w:val="3"/>
                <w:sz w:val="20"/>
                <w:szCs w:val="20"/>
              </w:rPr>
              <w:t>电力、</w:t>
            </w:r>
            <w:r>
              <w:rPr>
                <w:sz w:val="20"/>
                <w:szCs w:val="20"/>
              </w:rPr>
              <w:t xml:space="preserve"> </w:t>
            </w:r>
            <w:r>
              <w:rPr>
                <w:spacing w:val="9"/>
                <w:sz w:val="20"/>
                <w:szCs w:val="20"/>
              </w:rPr>
              <w:t>造纸、石油化工、食品发酵等高耗水行业达到先进定</w:t>
            </w:r>
            <w:r>
              <w:rPr>
                <w:spacing w:val="13"/>
                <w:sz w:val="20"/>
                <w:szCs w:val="20"/>
              </w:rPr>
              <w:t xml:space="preserve"> </w:t>
            </w:r>
            <w:r>
              <w:rPr>
                <w:spacing w:val="9"/>
                <w:sz w:val="20"/>
                <w:szCs w:val="20"/>
              </w:rPr>
              <w:t>额标准。强化水资源论证管理，优化水源配置，鼓励</w:t>
            </w:r>
            <w:r>
              <w:rPr>
                <w:spacing w:val="13"/>
                <w:sz w:val="20"/>
                <w:szCs w:val="20"/>
              </w:rPr>
              <w:t xml:space="preserve"> </w:t>
            </w:r>
            <w:r>
              <w:rPr>
                <w:spacing w:val="9"/>
                <w:sz w:val="20"/>
                <w:szCs w:val="20"/>
              </w:rPr>
              <w:t>优先配置利用中水、疏干水等非常规水源。提高用水</w:t>
            </w:r>
            <w:r>
              <w:rPr>
                <w:spacing w:val="13"/>
                <w:sz w:val="20"/>
                <w:szCs w:val="20"/>
              </w:rPr>
              <w:t xml:space="preserve"> </w:t>
            </w:r>
            <w:r>
              <w:rPr>
                <w:spacing w:val="9"/>
                <w:sz w:val="20"/>
                <w:szCs w:val="20"/>
              </w:rPr>
              <w:t>效率，提升工业中水回用率，新、改扩建项目优先利</w:t>
            </w:r>
            <w:r>
              <w:rPr>
                <w:spacing w:val="13"/>
                <w:sz w:val="20"/>
                <w:szCs w:val="20"/>
              </w:rPr>
              <w:t xml:space="preserve"> </w:t>
            </w:r>
            <w:r>
              <w:rPr>
                <w:spacing w:val="9"/>
                <w:sz w:val="20"/>
                <w:szCs w:val="20"/>
              </w:rPr>
              <w:t>用污水处理厂再生水。推广以浅埋滴灌为主、喷灌为</w:t>
            </w:r>
            <w:r>
              <w:rPr>
                <w:spacing w:val="13"/>
                <w:sz w:val="20"/>
                <w:szCs w:val="20"/>
              </w:rPr>
              <w:t xml:space="preserve"> </w:t>
            </w:r>
            <w:r>
              <w:rPr>
                <w:spacing w:val="10"/>
                <w:sz w:val="20"/>
                <w:szCs w:val="20"/>
              </w:rPr>
              <w:t>辅的农业节水设备和技术。依法规范机井建设管理，</w:t>
            </w:r>
            <w:r>
              <w:rPr>
                <w:spacing w:val="6"/>
                <w:sz w:val="20"/>
                <w:szCs w:val="20"/>
              </w:rPr>
              <w:t xml:space="preserve"> </w:t>
            </w:r>
            <w:r>
              <w:rPr>
                <w:spacing w:val="9"/>
                <w:sz w:val="20"/>
                <w:szCs w:val="20"/>
              </w:rPr>
              <w:t>排查登记已建机井，未经批准的和公共供水管网覆盖</w:t>
            </w:r>
            <w:r>
              <w:rPr>
                <w:spacing w:val="13"/>
                <w:sz w:val="20"/>
                <w:szCs w:val="20"/>
              </w:rPr>
              <w:t xml:space="preserve"> </w:t>
            </w:r>
            <w:r>
              <w:rPr>
                <w:spacing w:val="8"/>
                <w:sz w:val="20"/>
                <w:szCs w:val="20"/>
              </w:rPr>
              <w:t>范围内的自备水井，一律予以关闭。</w:t>
            </w:r>
          </w:p>
          <w:p w14:paraId="73840D89">
            <w:pPr>
              <w:pStyle w:val="6"/>
              <w:spacing w:before="9" w:line="251" w:lineRule="auto"/>
              <w:ind w:left="164" w:right="36" w:firstLine="1"/>
              <w:rPr>
                <w:sz w:val="20"/>
                <w:szCs w:val="20"/>
              </w:rPr>
            </w:pPr>
            <w:r>
              <w:rPr>
                <w:spacing w:val="3"/>
                <w:sz w:val="20"/>
                <w:szCs w:val="20"/>
              </w:rPr>
              <w:t xml:space="preserve">严格地下水管理保护，建立健全地下水管控指标体系， </w:t>
            </w:r>
            <w:r>
              <w:rPr>
                <w:spacing w:val="10"/>
                <w:sz w:val="20"/>
                <w:szCs w:val="20"/>
              </w:rPr>
              <w:t>严控地下水开采，综合采取节水、水源置换等措施，</w:t>
            </w:r>
            <w:r>
              <w:rPr>
                <w:spacing w:val="6"/>
                <w:sz w:val="20"/>
                <w:szCs w:val="20"/>
              </w:rPr>
              <w:t xml:space="preserve"> </w:t>
            </w:r>
            <w:r>
              <w:rPr>
                <w:spacing w:val="9"/>
                <w:sz w:val="20"/>
                <w:szCs w:val="20"/>
              </w:rPr>
              <w:t>继续加强鄂尔多斯台地超采区综合治理，强化地下水</w:t>
            </w:r>
            <w:r>
              <w:rPr>
                <w:spacing w:val="13"/>
                <w:sz w:val="20"/>
                <w:szCs w:val="20"/>
              </w:rPr>
              <w:t xml:space="preserve"> </w:t>
            </w:r>
            <w:r>
              <w:rPr>
                <w:spacing w:val="9"/>
                <w:sz w:val="20"/>
                <w:szCs w:val="20"/>
              </w:rPr>
              <w:t>动态监测分析、预测预警，科学制定实施监管政策措</w:t>
            </w:r>
            <w:r>
              <w:rPr>
                <w:spacing w:val="13"/>
                <w:sz w:val="20"/>
                <w:szCs w:val="20"/>
              </w:rPr>
              <w:t xml:space="preserve"> </w:t>
            </w:r>
            <w:r>
              <w:rPr>
                <w:spacing w:val="9"/>
                <w:sz w:val="20"/>
                <w:szCs w:val="20"/>
              </w:rPr>
              <w:t>施。严控地下水超采，严格执行《地下水超采区和重</w:t>
            </w:r>
            <w:r>
              <w:rPr>
                <w:spacing w:val="13"/>
                <w:sz w:val="20"/>
                <w:szCs w:val="20"/>
              </w:rPr>
              <w:t xml:space="preserve"> </w:t>
            </w:r>
            <w:r>
              <w:rPr>
                <w:spacing w:val="10"/>
                <w:sz w:val="20"/>
                <w:szCs w:val="20"/>
              </w:rPr>
              <w:t xml:space="preserve">要地下水水源地水位与水量双控方案》及其修编稿。 </w:t>
            </w:r>
            <w:r>
              <w:rPr>
                <w:spacing w:val="7"/>
                <w:sz w:val="20"/>
                <w:szCs w:val="20"/>
              </w:rPr>
              <w:t>实行地下水“五控</w:t>
            </w:r>
            <w:r>
              <w:rPr>
                <w:spacing w:val="-70"/>
                <w:sz w:val="20"/>
                <w:szCs w:val="20"/>
              </w:rPr>
              <w:t xml:space="preserve"> </w:t>
            </w:r>
            <w:r>
              <w:rPr>
                <w:spacing w:val="7"/>
                <w:sz w:val="20"/>
                <w:szCs w:val="20"/>
              </w:rPr>
              <w:t>”制度，“五控</w:t>
            </w:r>
            <w:r>
              <w:rPr>
                <w:spacing w:val="-70"/>
                <w:sz w:val="20"/>
                <w:szCs w:val="20"/>
              </w:rPr>
              <w:t xml:space="preserve"> </w:t>
            </w:r>
            <w:r>
              <w:rPr>
                <w:spacing w:val="7"/>
                <w:sz w:val="20"/>
                <w:szCs w:val="20"/>
              </w:rPr>
              <w:t>”即严格管控地下</w:t>
            </w:r>
            <w:r>
              <w:rPr>
                <w:sz w:val="20"/>
                <w:szCs w:val="20"/>
              </w:rPr>
              <w:t xml:space="preserve"> </w:t>
            </w:r>
            <w:r>
              <w:rPr>
                <w:spacing w:val="10"/>
                <w:sz w:val="20"/>
                <w:szCs w:val="20"/>
              </w:rPr>
              <w:t xml:space="preserve">水开发利用总量、水位、用途、水质及机电井数量。 </w:t>
            </w:r>
            <w:r>
              <w:rPr>
                <w:spacing w:val="9"/>
                <w:sz w:val="20"/>
                <w:szCs w:val="20"/>
              </w:rPr>
              <w:t>严格地下水的管理和保护，加强地下水动态监测，实</w:t>
            </w:r>
            <w:r>
              <w:rPr>
                <w:spacing w:val="13"/>
                <w:sz w:val="20"/>
                <w:szCs w:val="20"/>
              </w:rPr>
              <w:t xml:space="preserve"> </w:t>
            </w:r>
            <w:r>
              <w:rPr>
                <w:spacing w:val="9"/>
                <w:sz w:val="20"/>
                <w:szCs w:val="20"/>
              </w:rPr>
              <w:t>行地下水取用水总量控制和水位控制。严格控制开采</w:t>
            </w:r>
            <w:r>
              <w:rPr>
                <w:spacing w:val="13"/>
                <w:sz w:val="20"/>
                <w:szCs w:val="20"/>
              </w:rPr>
              <w:t xml:space="preserve"> </w:t>
            </w:r>
            <w:r>
              <w:rPr>
                <w:spacing w:val="9"/>
                <w:sz w:val="20"/>
                <w:szCs w:val="20"/>
              </w:rPr>
              <w:t>深层承压水，地热水、矿泉水开发应严格实行取水许</w:t>
            </w:r>
            <w:r>
              <w:rPr>
                <w:spacing w:val="13"/>
                <w:sz w:val="20"/>
                <w:szCs w:val="20"/>
              </w:rPr>
              <w:t xml:space="preserve"> </w:t>
            </w:r>
            <w:r>
              <w:rPr>
                <w:spacing w:val="9"/>
                <w:sz w:val="20"/>
                <w:szCs w:val="20"/>
              </w:rPr>
              <w:t>可和采矿许可。突出抓好地下水超采区巩固治理，超</w:t>
            </w:r>
            <w:r>
              <w:rPr>
                <w:spacing w:val="13"/>
                <w:sz w:val="20"/>
                <w:szCs w:val="20"/>
              </w:rPr>
              <w:t xml:space="preserve"> </w:t>
            </w:r>
            <w:r>
              <w:rPr>
                <w:spacing w:val="9"/>
                <w:sz w:val="20"/>
                <w:szCs w:val="20"/>
              </w:rPr>
              <w:t>采区内禁止工农业生产及服务业新增取用地下水。违</w:t>
            </w:r>
            <w:r>
              <w:rPr>
                <w:spacing w:val="13"/>
                <w:sz w:val="20"/>
                <w:szCs w:val="20"/>
              </w:rPr>
              <w:t xml:space="preserve"> </w:t>
            </w:r>
            <w:r>
              <w:rPr>
                <w:spacing w:val="9"/>
                <w:sz w:val="20"/>
                <w:szCs w:val="20"/>
              </w:rPr>
              <w:t>规取用水整治工作及取用水专项整治行动。落实水资</w:t>
            </w:r>
            <w:r>
              <w:rPr>
                <w:spacing w:val="13"/>
                <w:sz w:val="20"/>
                <w:szCs w:val="20"/>
              </w:rPr>
              <w:t xml:space="preserve"> </w:t>
            </w:r>
            <w:r>
              <w:rPr>
                <w:spacing w:val="9"/>
                <w:sz w:val="20"/>
                <w:szCs w:val="20"/>
              </w:rPr>
              <w:t>源消耗总量和强度双控，暂停水资源超载地区新增取</w:t>
            </w:r>
            <w:r>
              <w:rPr>
                <w:spacing w:val="13"/>
                <w:sz w:val="20"/>
                <w:szCs w:val="20"/>
              </w:rPr>
              <w:t xml:space="preserve"> </w:t>
            </w:r>
            <w:r>
              <w:rPr>
                <w:spacing w:val="9"/>
                <w:sz w:val="20"/>
                <w:szCs w:val="20"/>
              </w:rPr>
              <w:t>水许可。坚持黄河水、当地地表水、地下水、非常规</w:t>
            </w:r>
            <w:r>
              <w:rPr>
                <w:spacing w:val="13"/>
                <w:sz w:val="20"/>
                <w:szCs w:val="20"/>
              </w:rPr>
              <w:t xml:space="preserve"> </w:t>
            </w:r>
            <w:r>
              <w:rPr>
                <w:spacing w:val="9"/>
                <w:sz w:val="20"/>
                <w:szCs w:val="20"/>
              </w:rPr>
              <w:t>水源统一调配，在考虑鄂尔多斯市地下水源置换的条</w:t>
            </w:r>
            <w:r>
              <w:rPr>
                <w:spacing w:val="13"/>
                <w:sz w:val="20"/>
                <w:szCs w:val="20"/>
              </w:rPr>
              <w:t xml:space="preserve"> </w:t>
            </w:r>
            <w:r>
              <w:rPr>
                <w:spacing w:val="9"/>
                <w:sz w:val="20"/>
                <w:szCs w:val="20"/>
              </w:rPr>
              <w:t>件下，用好用足黄河水，同时充分挖掘非常规水利用</w:t>
            </w:r>
            <w:r>
              <w:rPr>
                <w:spacing w:val="13"/>
                <w:sz w:val="20"/>
                <w:szCs w:val="20"/>
              </w:rPr>
              <w:t xml:space="preserve"> </w:t>
            </w:r>
            <w:r>
              <w:rPr>
                <w:spacing w:val="9"/>
                <w:sz w:val="20"/>
                <w:szCs w:val="20"/>
              </w:rPr>
              <w:t>潜力。对黄河干支流规模以上取水口全面实施动态监</w:t>
            </w:r>
            <w:r>
              <w:rPr>
                <w:spacing w:val="13"/>
                <w:sz w:val="20"/>
                <w:szCs w:val="20"/>
              </w:rPr>
              <w:t xml:space="preserve"> </w:t>
            </w:r>
            <w:r>
              <w:rPr>
                <w:sz w:val="20"/>
                <w:szCs w:val="20"/>
              </w:rPr>
              <w:t>管。</w:t>
            </w:r>
          </w:p>
          <w:p w14:paraId="63BF051C">
            <w:pPr>
              <w:pStyle w:val="6"/>
              <w:spacing w:before="1" w:line="252" w:lineRule="auto"/>
              <w:ind w:left="167" w:right="93" w:hanging="2"/>
              <w:rPr>
                <w:sz w:val="20"/>
                <w:szCs w:val="20"/>
              </w:rPr>
            </w:pPr>
            <w:r>
              <w:rPr>
                <w:spacing w:val="9"/>
                <w:sz w:val="20"/>
                <w:szCs w:val="20"/>
              </w:rPr>
              <w:t>推广高效节水农业发展，并探索跨区域和跨省区实施</w:t>
            </w:r>
            <w:r>
              <w:rPr>
                <w:spacing w:val="12"/>
                <w:sz w:val="20"/>
                <w:szCs w:val="20"/>
              </w:rPr>
              <w:t xml:space="preserve"> </w:t>
            </w:r>
            <w:r>
              <w:rPr>
                <w:spacing w:val="9"/>
                <w:sz w:val="20"/>
                <w:szCs w:val="20"/>
              </w:rPr>
              <w:t>水权置换，进一步规范水权置换办法，扩大水权置换</w:t>
            </w:r>
            <w:r>
              <w:rPr>
                <w:spacing w:val="10"/>
                <w:sz w:val="20"/>
                <w:szCs w:val="20"/>
              </w:rPr>
              <w:t xml:space="preserve"> </w:t>
            </w:r>
            <w:r>
              <w:rPr>
                <w:spacing w:val="9"/>
                <w:sz w:val="20"/>
                <w:szCs w:val="20"/>
              </w:rPr>
              <w:t>范围。严格控制新增灌溉面积，推进超用水地区通过</w:t>
            </w:r>
          </w:p>
        </w:tc>
        <w:tc>
          <w:tcPr>
            <w:tcW w:w="1327" w:type="dxa"/>
            <w:vAlign w:val="top"/>
          </w:tcPr>
          <w:p w14:paraId="6E290699">
            <w:pPr>
              <w:spacing w:line="266" w:lineRule="auto"/>
              <w:rPr>
                <w:rFonts w:ascii="Arial"/>
                <w:sz w:val="21"/>
              </w:rPr>
            </w:pPr>
          </w:p>
          <w:p w14:paraId="48EF507D">
            <w:pPr>
              <w:spacing w:line="266" w:lineRule="auto"/>
              <w:rPr>
                <w:rFonts w:ascii="Arial"/>
                <w:sz w:val="21"/>
              </w:rPr>
            </w:pPr>
          </w:p>
          <w:p w14:paraId="480F32EE">
            <w:pPr>
              <w:spacing w:line="266" w:lineRule="auto"/>
              <w:rPr>
                <w:rFonts w:ascii="Arial"/>
                <w:sz w:val="21"/>
              </w:rPr>
            </w:pPr>
          </w:p>
          <w:p w14:paraId="2A5CC5C3">
            <w:pPr>
              <w:spacing w:line="267" w:lineRule="auto"/>
              <w:rPr>
                <w:rFonts w:ascii="Arial"/>
                <w:sz w:val="21"/>
              </w:rPr>
            </w:pPr>
          </w:p>
          <w:p w14:paraId="425B56FA">
            <w:pPr>
              <w:spacing w:line="267" w:lineRule="auto"/>
              <w:rPr>
                <w:rFonts w:ascii="Arial"/>
                <w:sz w:val="21"/>
              </w:rPr>
            </w:pPr>
          </w:p>
          <w:p w14:paraId="3ED7D0B5">
            <w:pPr>
              <w:spacing w:line="267" w:lineRule="auto"/>
              <w:rPr>
                <w:rFonts w:ascii="Arial"/>
                <w:sz w:val="21"/>
              </w:rPr>
            </w:pPr>
          </w:p>
          <w:p w14:paraId="61181D48">
            <w:pPr>
              <w:spacing w:line="267" w:lineRule="auto"/>
              <w:rPr>
                <w:rFonts w:ascii="Arial"/>
                <w:sz w:val="21"/>
              </w:rPr>
            </w:pPr>
          </w:p>
          <w:p w14:paraId="2E6B97D8">
            <w:pPr>
              <w:spacing w:line="267" w:lineRule="auto"/>
              <w:rPr>
                <w:rFonts w:ascii="Arial"/>
                <w:sz w:val="21"/>
              </w:rPr>
            </w:pPr>
          </w:p>
          <w:p w14:paraId="03A21ECD">
            <w:pPr>
              <w:pStyle w:val="6"/>
              <w:spacing w:before="65" w:line="227" w:lineRule="auto"/>
              <w:ind w:left="155"/>
              <w:rPr>
                <w:sz w:val="20"/>
                <w:szCs w:val="20"/>
              </w:rPr>
            </w:pPr>
            <w:r>
              <w:rPr>
                <w:spacing w:val="7"/>
                <w:sz w:val="20"/>
                <w:szCs w:val="20"/>
              </w:rPr>
              <w:t>本项目不属</w:t>
            </w:r>
          </w:p>
          <w:p w14:paraId="095AE7B3">
            <w:pPr>
              <w:pStyle w:val="6"/>
              <w:spacing w:before="25" w:line="228" w:lineRule="auto"/>
              <w:ind w:left="157"/>
              <w:rPr>
                <w:sz w:val="20"/>
                <w:szCs w:val="20"/>
              </w:rPr>
            </w:pPr>
            <w:r>
              <w:rPr>
                <w:spacing w:val="7"/>
                <w:sz w:val="20"/>
                <w:szCs w:val="20"/>
              </w:rPr>
              <w:t>于化工、有</w:t>
            </w:r>
          </w:p>
          <w:p w14:paraId="019FF4C9">
            <w:pPr>
              <w:pStyle w:val="6"/>
              <w:spacing w:before="23" w:line="227" w:lineRule="auto"/>
              <w:ind w:left="156"/>
              <w:rPr>
                <w:sz w:val="20"/>
                <w:szCs w:val="20"/>
              </w:rPr>
            </w:pPr>
            <w:r>
              <w:rPr>
                <w:spacing w:val="5"/>
                <w:sz w:val="20"/>
                <w:szCs w:val="20"/>
              </w:rPr>
              <w:t>色、建材、</w:t>
            </w:r>
          </w:p>
          <w:p w14:paraId="0705275E">
            <w:pPr>
              <w:pStyle w:val="6"/>
              <w:spacing w:before="27" w:line="227" w:lineRule="auto"/>
              <w:ind w:left="154"/>
              <w:rPr>
                <w:sz w:val="20"/>
                <w:szCs w:val="20"/>
              </w:rPr>
            </w:pPr>
            <w:r>
              <w:rPr>
                <w:spacing w:val="8"/>
                <w:sz w:val="20"/>
                <w:szCs w:val="20"/>
              </w:rPr>
              <w:t>焦化、煤化</w:t>
            </w:r>
          </w:p>
          <w:p w14:paraId="33FC17F2">
            <w:pPr>
              <w:pStyle w:val="6"/>
              <w:spacing w:before="25" w:line="228" w:lineRule="auto"/>
              <w:ind w:left="156"/>
              <w:rPr>
                <w:sz w:val="20"/>
                <w:szCs w:val="20"/>
              </w:rPr>
            </w:pPr>
            <w:r>
              <w:rPr>
                <w:spacing w:val="7"/>
                <w:sz w:val="20"/>
                <w:szCs w:val="20"/>
              </w:rPr>
              <w:t>工等高耗能</w:t>
            </w:r>
          </w:p>
          <w:p w14:paraId="2424971F">
            <w:pPr>
              <w:pStyle w:val="6"/>
              <w:spacing w:before="26" w:line="228" w:lineRule="auto"/>
              <w:ind w:left="157"/>
              <w:rPr>
                <w:sz w:val="20"/>
                <w:szCs w:val="20"/>
              </w:rPr>
            </w:pPr>
            <w:r>
              <w:rPr>
                <w:spacing w:val="7"/>
                <w:sz w:val="20"/>
                <w:szCs w:val="20"/>
              </w:rPr>
              <w:t>行业，项目</w:t>
            </w:r>
          </w:p>
          <w:p w14:paraId="4C054538">
            <w:pPr>
              <w:pStyle w:val="6"/>
              <w:spacing w:before="25" w:line="228" w:lineRule="auto"/>
              <w:ind w:left="154"/>
              <w:rPr>
                <w:sz w:val="20"/>
                <w:szCs w:val="20"/>
              </w:rPr>
            </w:pPr>
            <w:r>
              <w:rPr>
                <w:spacing w:val="8"/>
                <w:sz w:val="20"/>
                <w:szCs w:val="20"/>
              </w:rPr>
              <w:t>运营期用水</w:t>
            </w:r>
          </w:p>
          <w:p w14:paraId="52B768B2">
            <w:pPr>
              <w:pStyle w:val="6"/>
              <w:spacing w:before="27" w:line="228" w:lineRule="auto"/>
              <w:ind w:left="156"/>
              <w:rPr>
                <w:sz w:val="20"/>
                <w:szCs w:val="20"/>
              </w:rPr>
            </w:pPr>
            <w:r>
              <w:rPr>
                <w:spacing w:val="7"/>
                <w:sz w:val="20"/>
                <w:szCs w:val="20"/>
              </w:rPr>
              <w:t>主要为生活</w:t>
            </w:r>
          </w:p>
          <w:p w14:paraId="569E83ED">
            <w:pPr>
              <w:pStyle w:val="6"/>
              <w:spacing w:before="23" w:line="228" w:lineRule="auto"/>
              <w:ind w:left="156"/>
              <w:rPr>
                <w:sz w:val="20"/>
                <w:szCs w:val="20"/>
              </w:rPr>
            </w:pPr>
            <w:r>
              <w:rPr>
                <w:spacing w:val="7"/>
                <w:sz w:val="20"/>
                <w:szCs w:val="20"/>
              </w:rPr>
              <w:t>用水、洗车</w:t>
            </w:r>
          </w:p>
          <w:p w14:paraId="6349E9B1">
            <w:pPr>
              <w:pStyle w:val="6"/>
              <w:spacing w:before="27" w:line="228" w:lineRule="auto"/>
              <w:ind w:left="156"/>
              <w:rPr>
                <w:sz w:val="20"/>
                <w:szCs w:val="20"/>
              </w:rPr>
            </w:pPr>
            <w:r>
              <w:rPr>
                <w:spacing w:val="7"/>
                <w:sz w:val="20"/>
                <w:szCs w:val="20"/>
              </w:rPr>
              <w:t>用水、地面</w:t>
            </w:r>
          </w:p>
          <w:p w14:paraId="2F74C140">
            <w:pPr>
              <w:pStyle w:val="6"/>
              <w:spacing w:before="24" w:line="228" w:lineRule="auto"/>
              <w:ind w:left="155"/>
              <w:rPr>
                <w:sz w:val="20"/>
                <w:szCs w:val="20"/>
              </w:rPr>
            </w:pPr>
            <w:r>
              <w:rPr>
                <w:spacing w:val="5"/>
                <w:sz w:val="20"/>
                <w:szCs w:val="20"/>
              </w:rPr>
              <w:t>冲洗用水、</w:t>
            </w:r>
          </w:p>
          <w:p w14:paraId="135F3B97">
            <w:pPr>
              <w:pStyle w:val="6"/>
              <w:spacing w:before="24" w:line="228" w:lineRule="auto"/>
              <w:ind w:left="158"/>
              <w:rPr>
                <w:sz w:val="20"/>
                <w:szCs w:val="20"/>
              </w:rPr>
            </w:pPr>
            <w:r>
              <w:rPr>
                <w:spacing w:val="7"/>
                <w:sz w:val="20"/>
                <w:szCs w:val="20"/>
              </w:rPr>
              <w:t>消防用水和</w:t>
            </w:r>
          </w:p>
          <w:p w14:paraId="663336D1">
            <w:pPr>
              <w:pStyle w:val="6"/>
              <w:spacing w:before="27" w:line="228" w:lineRule="auto"/>
              <w:ind w:left="156"/>
              <w:rPr>
                <w:sz w:val="20"/>
                <w:szCs w:val="20"/>
              </w:rPr>
            </w:pPr>
            <w:r>
              <w:rPr>
                <w:spacing w:val="5"/>
                <w:sz w:val="20"/>
                <w:szCs w:val="20"/>
              </w:rPr>
              <w:t>绿化用水，</w:t>
            </w:r>
          </w:p>
          <w:p w14:paraId="143543E2">
            <w:pPr>
              <w:pStyle w:val="6"/>
              <w:spacing w:before="27" w:line="228" w:lineRule="auto"/>
              <w:ind w:left="179"/>
              <w:rPr>
                <w:sz w:val="20"/>
                <w:szCs w:val="20"/>
              </w:rPr>
            </w:pPr>
            <w:r>
              <w:rPr>
                <w:spacing w:val="3"/>
                <w:sz w:val="20"/>
                <w:szCs w:val="20"/>
              </w:rPr>
              <w:t>由园区管网</w:t>
            </w:r>
          </w:p>
          <w:p w14:paraId="495939B5">
            <w:pPr>
              <w:pStyle w:val="6"/>
              <w:spacing w:before="24" w:line="227" w:lineRule="auto"/>
              <w:ind w:left="155"/>
              <w:rPr>
                <w:sz w:val="20"/>
                <w:szCs w:val="20"/>
              </w:rPr>
            </w:pPr>
            <w:r>
              <w:rPr>
                <w:spacing w:val="7"/>
                <w:sz w:val="20"/>
                <w:szCs w:val="20"/>
              </w:rPr>
              <w:t>提供，不取</w:t>
            </w:r>
          </w:p>
          <w:p w14:paraId="64C94609">
            <w:pPr>
              <w:pStyle w:val="6"/>
              <w:spacing w:before="28" w:line="228" w:lineRule="auto"/>
              <w:ind w:left="156"/>
              <w:rPr>
                <w:sz w:val="20"/>
                <w:szCs w:val="20"/>
              </w:rPr>
            </w:pPr>
            <w:r>
              <w:rPr>
                <w:spacing w:val="5"/>
                <w:sz w:val="20"/>
                <w:szCs w:val="20"/>
              </w:rPr>
              <w:t>用地下水，</w:t>
            </w:r>
          </w:p>
          <w:p w14:paraId="7E162E77">
            <w:pPr>
              <w:pStyle w:val="6"/>
              <w:spacing w:before="24" w:line="228" w:lineRule="auto"/>
              <w:ind w:left="156"/>
              <w:rPr>
                <w:sz w:val="20"/>
                <w:szCs w:val="20"/>
              </w:rPr>
            </w:pPr>
            <w:r>
              <w:rPr>
                <w:spacing w:val="7"/>
                <w:sz w:val="20"/>
                <w:szCs w:val="20"/>
              </w:rPr>
              <w:t>无需申请取</w:t>
            </w:r>
          </w:p>
          <w:p w14:paraId="03E4079B">
            <w:pPr>
              <w:pStyle w:val="6"/>
              <w:spacing w:before="24" w:line="228" w:lineRule="auto"/>
              <w:ind w:left="156"/>
              <w:rPr>
                <w:sz w:val="20"/>
                <w:szCs w:val="20"/>
              </w:rPr>
            </w:pPr>
            <w:r>
              <w:rPr>
                <w:spacing w:val="7"/>
                <w:sz w:val="20"/>
                <w:szCs w:val="20"/>
              </w:rPr>
              <w:t>水许可，符</w:t>
            </w:r>
          </w:p>
          <w:p w14:paraId="4997D3F2">
            <w:pPr>
              <w:pStyle w:val="6"/>
              <w:spacing w:before="27" w:line="226" w:lineRule="auto"/>
              <w:ind w:left="155"/>
              <w:rPr>
                <w:sz w:val="20"/>
                <w:szCs w:val="20"/>
              </w:rPr>
            </w:pPr>
            <w:r>
              <w:rPr>
                <w:spacing w:val="8"/>
                <w:sz w:val="20"/>
                <w:szCs w:val="20"/>
              </w:rPr>
              <w:t>合资源开发</w:t>
            </w:r>
          </w:p>
          <w:p w14:paraId="481E1FD5">
            <w:pPr>
              <w:pStyle w:val="6"/>
              <w:spacing w:before="26" w:line="228" w:lineRule="auto"/>
              <w:ind w:left="159"/>
              <w:rPr>
                <w:sz w:val="20"/>
                <w:szCs w:val="20"/>
              </w:rPr>
            </w:pPr>
            <w:r>
              <w:rPr>
                <w:spacing w:val="4"/>
                <w:sz w:val="20"/>
                <w:szCs w:val="20"/>
              </w:rPr>
              <w:t>效率要求。</w:t>
            </w:r>
          </w:p>
        </w:tc>
        <w:tc>
          <w:tcPr>
            <w:tcW w:w="427" w:type="dxa"/>
            <w:textDirection w:val="tbRlV"/>
            <w:vAlign w:val="top"/>
          </w:tcPr>
          <w:p w14:paraId="0AC4AEAB">
            <w:pPr>
              <w:pStyle w:val="6"/>
              <w:spacing w:before="99" w:line="215" w:lineRule="auto"/>
              <w:ind w:left="4661"/>
              <w:rPr>
                <w:sz w:val="20"/>
                <w:szCs w:val="20"/>
              </w:rPr>
            </w:pPr>
            <w:r>
              <w:rPr>
                <w:spacing w:val="8"/>
                <w:sz w:val="20"/>
                <w:szCs w:val="20"/>
              </w:rPr>
              <w:t>符</w:t>
            </w:r>
            <w:r>
              <w:rPr>
                <w:spacing w:val="-37"/>
                <w:sz w:val="20"/>
                <w:szCs w:val="20"/>
              </w:rPr>
              <w:t xml:space="preserve"> </w:t>
            </w:r>
            <w:r>
              <w:rPr>
                <w:spacing w:val="8"/>
                <w:sz w:val="20"/>
                <w:szCs w:val="20"/>
              </w:rPr>
              <w:t>合</w:t>
            </w:r>
          </w:p>
        </w:tc>
      </w:tr>
    </w:tbl>
    <w:p w14:paraId="5B48F269">
      <w:pPr>
        <w:pStyle w:val="2"/>
      </w:pPr>
    </w:p>
    <w:p w14:paraId="1109BC1C">
      <w:pPr>
        <w:sectPr>
          <w:footerReference r:id="rId19" w:type="default"/>
          <w:pgSz w:w="11906" w:h="16839"/>
          <w:pgMar w:top="400" w:right="1739" w:bottom="1259" w:left="1738" w:header="0" w:footer="1097" w:gutter="0"/>
          <w:cols w:space="720" w:num="1"/>
        </w:sectPr>
      </w:pPr>
    </w:p>
    <w:p w14:paraId="0D9BAE1A">
      <w:pPr>
        <w:spacing w:before="19"/>
      </w:pPr>
    </w:p>
    <w:p w14:paraId="6E3C6FB8">
      <w:pPr>
        <w:spacing w:before="19"/>
      </w:pPr>
    </w:p>
    <w:p w14:paraId="5B9298AE">
      <w:pPr>
        <w:spacing w:before="18"/>
      </w:pPr>
    </w:p>
    <w:p w14:paraId="5118CFA7">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04"/>
        <w:gridCol w:w="5085"/>
        <w:gridCol w:w="1327"/>
        <w:gridCol w:w="427"/>
      </w:tblGrid>
      <w:tr w14:paraId="41BD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8" w:hRule="atLeast"/>
        </w:trPr>
        <w:tc>
          <w:tcPr>
            <w:tcW w:w="1180" w:type="dxa"/>
            <w:vAlign w:val="top"/>
          </w:tcPr>
          <w:p w14:paraId="73DE3503">
            <w:pPr>
              <w:rPr>
                <w:rFonts w:ascii="Arial"/>
                <w:sz w:val="21"/>
              </w:rPr>
            </w:pPr>
          </w:p>
        </w:tc>
        <w:tc>
          <w:tcPr>
            <w:tcW w:w="404" w:type="dxa"/>
            <w:vAlign w:val="top"/>
          </w:tcPr>
          <w:p w14:paraId="0ABC7EBB">
            <w:pPr>
              <w:rPr>
                <w:rFonts w:ascii="Arial"/>
                <w:sz w:val="21"/>
              </w:rPr>
            </w:pPr>
          </w:p>
        </w:tc>
        <w:tc>
          <w:tcPr>
            <w:tcW w:w="5085" w:type="dxa"/>
            <w:vAlign w:val="top"/>
          </w:tcPr>
          <w:p w14:paraId="312D5FBF">
            <w:pPr>
              <w:pStyle w:val="6"/>
              <w:spacing w:before="106" w:line="251" w:lineRule="auto"/>
              <w:ind w:left="166" w:right="93" w:firstLine="24"/>
              <w:rPr>
                <w:sz w:val="20"/>
                <w:szCs w:val="20"/>
              </w:rPr>
            </w:pPr>
            <w:r>
              <w:rPr>
                <w:spacing w:val="8"/>
                <w:sz w:val="20"/>
                <w:szCs w:val="20"/>
              </w:rPr>
              <w:t>内部挖潜解决发展需求。鼓励使用矿井疏干水、微咸</w:t>
            </w:r>
            <w:r>
              <w:rPr>
                <w:spacing w:val="10"/>
                <w:sz w:val="20"/>
                <w:szCs w:val="20"/>
              </w:rPr>
              <w:t xml:space="preserve"> </w:t>
            </w:r>
            <w:r>
              <w:rPr>
                <w:spacing w:val="9"/>
                <w:sz w:val="20"/>
                <w:szCs w:val="20"/>
              </w:rPr>
              <w:t>水、中水、雨洪等非常规水资源，加快高浓盐水的处</w:t>
            </w:r>
            <w:r>
              <w:rPr>
                <w:spacing w:val="11"/>
                <w:sz w:val="20"/>
                <w:szCs w:val="20"/>
              </w:rPr>
              <w:t xml:space="preserve"> </w:t>
            </w:r>
            <w:r>
              <w:rPr>
                <w:spacing w:val="9"/>
                <w:sz w:val="20"/>
                <w:szCs w:val="20"/>
              </w:rPr>
              <w:t>理与回收利用研究步伐。实施沿黄灌区农业高效节水</w:t>
            </w:r>
            <w:r>
              <w:rPr>
                <w:spacing w:val="11"/>
                <w:sz w:val="20"/>
                <w:szCs w:val="20"/>
              </w:rPr>
              <w:t xml:space="preserve"> </w:t>
            </w:r>
            <w:r>
              <w:rPr>
                <w:spacing w:val="9"/>
                <w:sz w:val="20"/>
                <w:szCs w:val="20"/>
              </w:rPr>
              <w:t>工程，加大灌溉农业区干支渠和末级渠系配套和节水</w:t>
            </w:r>
            <w:r>
              <w:rPr>
                <w:spacing w:val="11"/>
                <w:sz w:val="20"/>
                <w:szCs w:val="20"/>
              </w:rPr>
              <w:t xml:space="preserve"> </w:t>
            </w:r>
            <w:r>
              <w:rPr>
                <w:spacing w:val="9"/>
                <w:sz w:val="20"/>
                <w:szCs w:val="20"/>
              </w:rPr>
              <w:t>设施，大力推广渠道防渗、管道输水、喷灌滴灌、智</w:t>
            </w:r>
            <w:r>
              <w:rPr>
                <w:spacing w:val="11"/>
                <w:sz w:val="20"/>
                <w:szCs w:val="20"/>
              </w:rPr>
              <w:t xml:space="preserve"> </w:t>
            </w:r>
            <w:r>
              <w:rPr>
                <w:spacing w:val="9"/>
                <w:sz w:val="20"/>
                <w:szCs w:val="20"/>
              </w:rPr>
              <w:t>能喷灌等节水技术，提升改造沿黄灌区盐碱地灌排水</w:t>
            </w:r>
            <w:r>
              <w:rPr>
                <w:spacing w:val="11"/>
                <w:sz w:val="20"/>
                <w:szCs w:val="20"/>
              </w:rPr>
              <w:t xml:space="preserve"> </w:t>
            </w:r>
            <w:r>
              <w:rPr>
                <w:spacing w:val="9"/>
                <w:sz w:val="20"/>
                <w:szCs w:val="20"/>
              </w:rPr>
              <w:t>系统，逐步改变大水漫灌方式。推进工业节水改造，</w:t>
            </w:r>
            <w:r>
              <w:rPr>
                <w:spacing w:val="11"/>
                <w:sz w:val="20"/>
                <w:szCs w:val="20"/>
              </w:rPr>
              <w:t xml:space="preserve"> </w:t>
            </w:r>
            <w:r>
              <w:rPr>
                <w:spacing w:val="9"/>
                <w:sz w:val="20"/>
                <w:szCs w:val="20"/>
              </w:rPr>
              <w:t>强化用水管理，严控高耗水项目。加强非常规水资源</w:t>
            </w:r>
            <w:r>
              <w:rPr>
                <w:spacing w:val="11"/>
                <w:sz w:val="20"/>
                <w:szCs w:val="20"/>
              </w:rPr>
              <w:t xml:space="preserve"> </w:t>
            </w:r>
            <w:r>
              <w:rPr>
                <w:spacing w:val="9"/>
                <w:sz w:val="20"/>
                <w:szCs w:val="20"/>
              </w:rPr>
              <w:t>开发利用，实施矿井疏干水、雨洪与凌汛水、再生水</w:t>
            </w:r>
            <w:r>
              <w:rPr>
                <w:spacing w:val="11"/>
                <w:sz w:val="20"/>
                <w:szCs w:val="20"/>
              </w:rPr>
              <w:t xml:space="preserve"> </w:t>
            </w:r>
            <w:r>
              <w:rPr>
                <w:spacing w:val="6"/>
                <w:sz w:val="20"/>
                <w:szCs w:val="20"/>
              </w:rPr>
              <w:t>等开发利用。</w:t>
            </w:r>
          </w:p>
          <w:p w14:paraId="6EFB96AB">
            <w:pPr>
              <w:pStyle w:val="6"/>
              <w:spacing w:before="4" w:line="251" w:lineRule="auto"/>
              <w:ind w:left="165" w:right="36"/>
              <w:rPr>
                <w:sz w:val="20"/>
                <w:szCs w:val="20"/>
              </w:rPr>
            </w:pPr>
            <w:r>
              <w:rPr>
                <w:spacing w:val="9"/>
                <w:sz w:val="20"/>
                <w:szCs w:val="20"/>
              </w:rPr>
              <w:t>加强取用水监督管理。开展节水型企业评价和超定额</w:t>
            </w:r>
            <w:r>
              <w:rPr>
                <w:spacing w:val="12"/>
                <w:sz w:val="20"/>
                <w:szCs w:val="20"/>
              </w:rPr>
              <w:t xml:space="preserve"> </w:t>
            </w:r>
            <w:r>
              <w:rPr>
                <w:spacing w:val="3"/>
                <w:sz w:val="20"/>
                <w:szCs w:val="20"/>
              </w:rPr>
              <w:t xml:space="preserve">用水专项核查行动，督促超定额的单位采取节水措施， </w:t>
            </w:r>
            <w:r>
              <w:rPr>
                <w:spacing w:val="7"/>
                <w:sz w:val="20"/>
                <w:szCs w:val="20"/>
              </w:rPr>
              <w:t>限期达标。要严格水资源管理，按照“</w:t>
            </w:r>
            <w:r>
              <w:rPr>
                <w:spacing w:val="-71"/>
                <w:sz w:val="20"/>
                <w:szCs w:val="20"/>
              </w:rPr>
              <w:t xml:space="preserve"> </w:t>
            </w:r>
            <w:r>
              <w:rPr>
                <w:spacing w:val="7"/>
                <w:sz w:val="20"/>
                <w:szCs w:val="20"/>
              </w:rPr>
              <w:t>四水四定</w:t>
            </w:r>
            <w:r>
              <w:rPr>
                <w:spacing w:val="-69"/>
                <w:sz w:val="20"/>
                <w:szCs w:val="20"/>
              </w:rPr>
              <w:t xml:space="preserve"> </w:t>
            </w:r>
            <w:r>
              <w:rPr>
                <w:spacing w:val="6"/>
                <w:sz w:val="20"/>
                <w:szCs w:val="20"/>
              </w:rPr>
              <w:t>”原</w:t>
            </w:r>
            <w:r>
              <w:rPr>
                <w:sz w:val="20"/>
                <w:szCs w:val="20"/>
              </w:rPr>
              <w:t xml:space="preserve"> </w:t>
            </w:r>
            <w:r>
              <w:rPr>
                <w:spacing w:val="9"/>
                <w:sz w:val="20"/>
                <w:szCs w:val="20"/>
              </w:rPr>
              <w:t>则，进行区域统筹规划，确保取用水不超出水资源承</w:t>
            </w:r>
            <w:r>
              <w:rPr>
                <w:spacing w:val="11"/>
                <w:sz w:val="20"/>
                <w:szCs w:val="20"/>
              </w:rPr>
              <w:t xml:space="preserve"> </w:t>
            </w:r>
            <w:r>
              <w:rPr>
                <w:spacing w:val="9"/>
                <w:sz w:val="20"/>
                <w:szCs w:val="20"/>
              </w:rPr>
              <w:t>载能力。强化水资源监测、监控、监管，尽快健全完</w:t>
            </w:r>
            <w:r>
              <w:rPr>
                <w:spacing w:val="11"/>
                <w:sz w:val="20"/>
                <w:szCs w:val="20"/>
              </w:rPr>
              <w:t xml:space="preserve"> </w:t>
            </w:r>
            <w:r>
              <w:rPr>
                <w:spacing w:val="9"/>
                <w:sz w:val="20"/>
                <w:szCs w:val="20"/>
              </w:rPr>
              <w:t>善全覆盖、全天候、全过程、全要素、密度适用的水</w:t>
            </w:r>
            <w:r>
              <w:rPr>
                <w:spacing w:val="11"/>
                <w:sz w:val="20"/>
                <w:szCs w:val="20"/>
              </w:rPr>
              <w:t xml:space="preserve"> </w:t>
            </w:r>
            <w:r>
              <w:rPr>
                <w:spacing w:val="10"/>
                <w:sz w:val="20"/>
                <w:szCs w:val="20"/>
              </w:rPr>
              <w:t>资源智能在线监测体系，完善水资源超载预警机制，</w:t>
            </w:r>
            <w:r>
              <w:rPr>
                <w:spacing w:val="5"/>
                <w:sz w:val="20"/>
                <w:szCs w:val="20"/>
              </w:rPr>
              <w:t xml:space="preserve"> </w:t>
            </w:r>
            <w:r>
              <w:rPr>
                <w:spacing w:val="9"/>
                <w:sz w:val="20"/>
                <w:szCs w:val="20"/>
              </w:rPr>
              <w:t>打造数字孪生流域，建立水资源节约集约利用、水旱</w:t>
            </w:r>
            <w:r>
              <w:rPr>
                <w:spacing w:val="11"/>
                <w:sz w:val="20"/>
                <w:szCs w:val="20"/>
              </w:rPr>
              <w:t xml:space="preserve"> </w:t>
            </w:r>
            <w:r>
              <w:rPr>
                <w:spacing w:val="9"/>
                <w:sz w:val="20"/>
                <w:szCs w:val="20"/>
              </w:rPr>
              <w:t>灾害防御、水生态环境保护等业务的智能协同应用大</w:t>
            </w:r>
            <w:r>
              <w:rPr>
                <w:spacing w:val="11"/>
                <w:sz w:val="20"/>
                <w:szCs w:val="20"/>
              </w:rPr>
              <w:t xml:space="preserve"> </w:t>
            </w:r>
            <w:r>
              <w:rPr>
                <w:spacing w:val="2"/>
                <w:sz w:val="20"/>
                <w:szCs w:val="20"/>
              </w:rPr>
              <w:t>系统。</w:t>
            </w:r>
          </w:p>
          <w:p w14:paraId="30C89B7E">
            <w:pPr>
              <w:pStyle w:val="6"/>
              <w:spacing w:before="5" w:line="251" w:lineRule="auto"/>
              <w:ind w:left="164" w:right="36" w:firstLine="1"/>
              <w:rPr>
                <w:sz w:val="20"/>
                <w:szCs w:val="20"/>
              </w:rPr>
            </w:pPr>
            <w:r>
              <w:rPr>
                <w:spacing w:val="9"/>
                <w:sz w:val="20"/>
                <w:szCs w:val="20"/>
              </w:rPr>
              <w:t>严控制存量高耗能企业新增用能，严格落实能耗“双</w:t>
            </w:r>
            <w:r>
              <w:rPr>
                <w:spacing w:val="12"/>
                <w:sz w:val="20"/>
                <w:szCs w:val="20"/>
              </w:rPr>
              <w:t xml:space="preserve"> </w:t>
            </w:r>
            <w:r>
              <w:rPr>
                <w:spacing w:val="8"/>
                <w:sz w:val="20"/>
                <w:szCs w:val="20"/>
              </w:rPr>
              <w:t>控</w:t>
            </w:r>
            <w:r>
              <w:rPr>
                <w:spacing w:val="-64"/>
                <w:sz w:val="20"/>
                <w:szCs w:val="20"/>
              </w:rPr>
              <w:t xml:space="preserve"> </w:t>
            </w:r>
            <w:r>
              <w:rPr>
                <w:spacing w:val="8"/>
                <w:sz w:val="20"/>
                <w:szCs w:val="20"/>
              </w:rPr>
              <w:t>”机制，努力降低生产过程中的资源能源消耗和污</w:t>
            </w:r>
            <w:r>
              <w:rPr>
                <w:sz w:val="20"/>
                <w:szCs w:val="20"/>
              </w:rPr>
              <w:t xml:space="preserve"> </w:t>
            </w:r>
            <w:r>
              <w:rPr>
                <w:spacing w:val="9"/>
                <w:sz w:val="20"/>
                <w:szCs w:val="20"/>
              </w:rPr>
              <w:t>染产生量，大力推广应用节能新技术、新产品、新设</w:t>
            </w:r>
            <w:r>
              <w:rPr>
                <w:spacing w:val="13"/>
                <w:sz w:val="20"/>
                <w:szCs w:val="20"/>
              </w:rPr>
              <w:t xml:space="preserve"> </w:t>
            </w:r>
            <w:r>
              <w:rPr>
                <w:spacing w:val="9"/>
                <w:sz w:val="20"/>
                <w:szCs w:val="20"/>
              </w:rPr>
              <w:t>备和新工艺。严控产能过剩项目新增产能，严控高耗</w:t>
            </w:r>
            <w:r>
              <w:rPr>
                <w:spacing w:val="13"/>
                <w:sz w:val="20"/>
                <w:szCs w:val="20"/>
              </w:rPr>
              <w:t xml:space="preserve"> </w:t>
            </w:r>
            <w:r>
              <w:rPr>
                <w:spacing w:val="9"/>
                <w:sz w:val="20"/>
                <w:szCs w:val="20"/>
              </w:rPr>
              <w:t>能、高排放、高污染、低水平项目市场准入，严控存</w:t>
            </w:r>
            <w:r>
              <w:rPr>
                <w:spacing w:val="13"/>
                <w:sz w:val="20"/>
                <w:szCs w:val="20"/>
              </w:rPr>
              <w:t xml:space="preserve"> </w:t>
            </w:r>
            <w:r>
              <w:rPr>
                <w:spacing w:val="9"/>
                <w:sz w:val="20"/>
                <w:szCs w:val="20"/>
              </w:rPr>
              <w:t>在重大安全隐患的项目。按照国家发展和改革委员会</w:t>
            </w:r>
            <w:r>
              <w:rPr>
                <w:spacing w:val="13"/>
                <w:sz w:val="20"/>
                <w:szCs w:val="20"/>
              </w:rPr>
              <w:t xml:space="preserve"> </w:t>
            </w:r>
            <w:r>
              <w:rPr>
                <w:spacing w:val="3"/>
                <w:sz w:val="20"/>
                <w:szCs w:val="20"/>
              </w:rPr>
              <w:t>《产业结构调整指导目录》及化工行业相关政策规定，</w:t>
            </w:r>
            <w:r>
              <w:rPr>
                <w:spacing w:val="5"/>
                <w:sz w:val="20"/>
                <w:szCs w:val="20"/>
              </w:rPr>
              <w:t xml:space="preserve"> </w:t>
            </w:r>
            <w:r>
              <w:rPr>
                <w:spacing w:val="10"/>
                <w:sz w:val="20"/>
                <w:szCs w:val="20"/>
              </w:rPr>
              <w:t>严格焦炭、电石等化工行业技术标准，严控合成氨、</w:t>
            </w:r>
            <w:r>
              <w:rPr>
                <w:spacing w:val="4"/>
                <w:sz w:val="20"/>
                <w:szCs w:val="20"/>
              </w:rPr>
              <w:t xml:space="preserve"> </w:t>
            </w:r>
            <w:r>
              <w:rPr>
                <w:spacing w:val="9"/>
                <w:sz w:val="20"/>
                <w:szCs w:val="20"/>
              </w:rPr>
              <w:t>甲醇、乙二醇、烧碱、磷按、黄磷等危险化学品新增</w:t>
            </w:r>
            <w:r>
              <w:rPr>
                <w:spacing w:val="13"/>
                <w:sz w:val="20"/>
                <w:szCs w:val="20"/>
              </w:rPr>
              <w:t xml:space="preserve"> </w:t>
            </w:r>
            <w:r>
              <w:rPr>
                <w:spacing w:val="2"/>
                <w:sz w:val="20"/>
                <w:szCs w:val="20"/>
              </w:rPr>
              <w:t>产能。新（改、扩）建“两高</w:t>
            </w:r>
            <w:r>
              <w:rPr>
                <w:spacing w:val="-70"/>
                <w:sz w:val="20"/>
                <w:szCs w:val="20"/>
              </w:rPr>
              <w:t xml:space="preserve"> </w:t>
            </w:r>
            <w:r>
              <w:rPr>
                <w:spacing w:val="2"/>
                <w:sz w:val="20"/>
                <w:szCs w:val="20"/>
              </w:rPr>
              <w:t>”危险化学品生产项目，</w:t>
            </w:r>
            <w:r>
              <w:rPr>
                <w:sz w:val="20"/>
                <w:szCs w:val="20"/>
              </w:rPr>
              <w:t xml:space="preserve"> </w:t>
            </w:r>
            <w:r>
              <w:rPr>
                <w:spacing w:val="9"/>
                <w:sz w:val="20"/>
                <w:szCs w:val="20"/>
              </w:rPr>
              <w:t>单位产品能耗须达到国家能耗限额标准先进值或国家</w:t>
            </w:r>
            <w:r>
              <w:rPr>
                <w:spacing w:val="13"/>
                <w:sz w:val="20"/>
                <w:szCs w:val="20"/>
              </w:rPr>
              <w:t xml:space="preserve"> </w:t>
            </w:r>
            <w:r>
              <w:rPr>
                <w:spacing w:val="7"/>
                <w:sz w:val="20"/>
                <w:szCs w:val="20"/>
              </w:rPr>
              <w:t>能效标杆水平。</w:t>
            </w:r>
          </w:p>
          <w:p w14:paraId="588CC0DB">
            <w:pPr>
              <w:pStyle w:val="6"/>
              <w:spacing w:before="5" w:line="251" w:lineRule="auto"/>
              <w:ind w:left="164" w:right="36"/>
              <w:rPr>
                <w:sz w:val="20"/>
                <w:szCs w:val="20"/>
              </w:rPr>
            </w:pPr>
            <w:r>
              <w:rPr>
                <w:spacing w:val="9"/>
                <w:sz w:val="20"/>
                <w:szCs w:val="20"/>
              </w:rPr>
              <w:t>在工业用水方面，工业企业再生水输水模式采用“点</w:t>
            </w:r>
            <w:r>
              <w:rPr>
                <w:spacing w:val="13"/>
                <w:sz w:val="20"/>
                <w:szCs w:val="20"/>
              </w:rPr>
              <w:t xml:space="preserve"> </w:t>
            </w:r>
            <w:r>
              <w:rPr>
                <w:spacing w:val="8"/>
                <w:sz w:val="20"/>
                <w:szCs w:val="20"/>
              </w:rPr>
              <w:t>对点</w:t>
            </w:r>
            <w:r>
              <w:rPr>
                <w:spacing w:val="-64"/>
                <w:sz w:val="20"/>
                <w:szCs w:val="20"/>
              </w:rPr>
              <w:t xml:space="preserve"> </w:t>
            </w:r>
            <w:r>
              <w:rPr>
                <w:spacing w:val="8"/>
                <w:sz w:val="20"/>
                <w:szCs w:val="20"/>
              </w:rPr>
              <w:t>”模式，主要用于冷却用水，在工业园区的企业</w:t>
            </w:r>
            <w:r>
              <w:rPr>
                <w:sz w:val="20"/>
                <w:szCs w:val="20"/>
              </w:rPr>
              <w:t xml:space="preserve"> </w:t>
            </w:r>
            <w:r>
              <w:rPr>
                <w:spacing w:val="9"/>
                <w:sz w:val="20"/>
                <w:szCs w:val="20"/>
              </w:rPr>
              <w:t>由园区自行统一建设再生水支管，园区按需建设再生</w:t>
            </w:r>
            <w:r>
              <w:rPr>
                <w:spacing w:val="13"/>
                <w:sz w:val="20"/>
                <w:szCs w:val="20"/>
              </w:rPr>
              <w:t xml:space="preserve"> </w:t>
            </w:r>
            <w:r>
              <w:rPr>
                <w:spacing w:val="7"/>
                <w:sz w:val="20"/>
                <w:szCs w:val="20"/>
              </w:rPr>
              <w:t>水深度处理设施，</w:t>
            </w:r>
            <w:r>
              <w:rPr>
                <w:spacing w:val="-41"/>
                <w:sz w:val="20"/>
                <w:szCs w:val="20"/>
              </w:rPr>
              <w:t xml:space="preserve"> </w:t>
            </w:r>
            <w:r>
              <w:rPr>
                <w:spacing w:val="7"/>
                <w:sz w:val="20"/>
                <w:szCs w:val="20"/>
              </w:rPr>
              <w:t>以达到工业用水水质标准。试点期</w:t>
            </w:r>
            <w:r>
              <w:rPr>
                <w:sz w:val="20"/>
                <w:szCs w:val="20"/>
              </w:rPr>
              <w:t xml:space="preserve"> </w:t>
            </w:r>
            <w:r>
              <w:rPr>
                <w:spacing w:val="3"/>
                <w:sz w:val="20"/>
                <w:szCs w:val="20"/>
              </w:rPr>
              <w:t>间，将加大再生水提标改造和配套管网基础设施建设，</w:t>
            </w:r>
            <w:r>
              <w:rPr>
                <w:spacing w:val="5"/>
                <w:sz w:val="20"/>
                <w:szCs w:val="20"/>
              </w:rPr>
              <w:t xml:space="preserve"> </w:t>
            </w:r>
            <w:r>
              <w:rPr>
                <w:spacing w:val="10"/>
                <w:sz w:val="20"/>
                <w:szCs w:val="20"/>
              </w:rPr>
              <w:t>强化激励、政策措施，激励工业使用再生水积极性，</w:t>
            </w:r>
            <w:r>
              <w:rPr>
                <w:spacing w:val="6"/>
                <w:sz w:val="20"/>
                <w:szCs w:val="20"/>
              </w:rPr>
              <w:t xml:space="preserve"> </w:t>
            </w:r>
            <w:r>
              <w:rPr>
                <w:spacing w:val="2"/>
                <w:sz w:val="20"/>
                <w:szCs w:val="20"/>
              </w:rPr>
              <w:t>使工业再生水利用量达到</w:t>
            </w:r>
            <w:r>
              <w:rPr>
                <w:spacing w:val="-20"/>
                <w:sz w:val="20"/>
                <w:szCs w:val="20"/>
              </w:rPr>
              <w:t xml:space="preserve"> </w:t>
            </w:r>
            <w:r>
              <w:rPr>
                <w:rFonts w:ascii="Times New Roman" w:hAnsi="Times New Roman" w:eastAsia="Times New Roman" w:cs="Times New Roman"/>
                <w:spacing w:val="2"/>
                <w:sz w:val="20"/>
                <w:szCs w:val="20"/>
              </w:rPr>
              <w:t>1034.5</w:t>
            </w:r>
            <w:r>
              <w:rPr>
                <w:rFonts w:ascii="Times New Roman" w:hAnsi="Times New Roman" w:eastAsia="Times New Roman" w:cs="Times New Roman"/>
                <w:spacing w:val="15"/>
                <w:sz w:val="20"/>
                <w:szCs w:val="20"/>
              </w:rPr>
              <w:t xml:space="preserve"> </w:t>
            </w:r>
            <w:r>
              <w:rPr>
                <w:spacing w:val="2"/>
                <w:sz w:val="20"/>
                <w:szCs w:val="20"/>
              </w:rPr>
              <w:t>万</w:t>
            </w:r>
            <w:r>
              <w:rPr>
                <w:spacing w:val="-44"/>
                <w:sz w:val="20"/>
                <w:szCs w:val="20"/>
              </w:rPr>
              <w:t xml:space="preserve"> </w:t>
            </w:r>
            <w:r>
              <w:rPr>
                <w:rFonts w:ascii="Times New Roman" w:hAnsi="Times New Roman" w:eastAsia="Times New Roman" w:cs="Times New Roman"/>
                <w:spacing w:val="2"/>
                <w:sz w:val="20"/>
                <w:szCs w:val="20"/>
              </w:rPr>
              <w:t>m</w:t>
            </w:r>
            <w:r>
              <w:rPr>
                <w:spacing w:val="2"/>
                <w:sz w:val="20"/>
                <w:szCs w:val="20"/>
              </w:rPr>
              <w:t>³</w:t>
            </w:r>
            <w:r>
              <w:rPr>
                <w:spacing w:val="-76"/>
                <w:sz w:val="20"/>
                <w:szCs w:val="20"/>
              </w:rPr>
              <w:t xml:space="preserve"> </w:t>
            </w:r>
            <w:r>
              <w:rPr>
                <w:spacing w:val="2"/>
                <w:sz w:val="20"/>
                <w:szCs w:val="20"/>
              </w:rPr>
              <w:t>,</w:t>
            </w:r>
            <w:r>
              <w:rPr>
                <w:spacing w:val="94"/>
                <w:sz w:val="20"/>
                <w:szCs w:val="20"/>
              </w:rPr>
              <w:t xml:space="preserve"> </w:t>
            </w:r>
            <w:r>
              <w:rPr>
                <w:spacing w:val="2"/>
                <w:sz w:val="20"/>
                <w:szCs w:val="20"/>
              </w:rPr>
              <w:t>占</w:t>
            </w:r>
            <w:r>
              <w:rPr>
                <w:spacing w:val="1"/>
                <w:sz w:val="20"/>
                <w:szCs w:val="20"/>
              </w:rPr>
              <w:t>批复再水</w:t>
            </w:r>
            <w:r>
              <w:rPr>
                <w:sz w:val="20"/>
                <w:szCs w:val="20"/>
              </w:rPr>
              <w:t xml:space="preserve">  </w:t>
            </w:r>
            <w:r>
              <w:rPr>
                <w:spacing w:val="6"/>
                <w:sz w:val="20"/>
                <w:szCs w:val="20"/>
              </w:rPr>
              <w:t>量比例提高到</w:t>
            </w:r>
            <w:r>
              <w:rPr>
                <w:spacing w:val="-20"/>
                <w:sz w:val="20"/>
                <w:szCs w:val="20"/>
              </w:rPr>
              <w:t xml:space="preserve"> </w:t>
            </w:r>
            <w:r>
              <w:rPr>
                <w:rFonts w:ascii="Times New Roman" w:hAnsi="Times New Roman" w:eastAsia="Times New Roman" w:cs="Times New Roman"/>
                <w:spacing w:val="6"/>
                <w:sz w:val="20"/>
                <w:szCs w:val="20"/>
              </w:rPr>
              <w:t>65%</w:t>
            </w:r>
            <w:r>
              <w:rPr>
                <w:rFonts w:ascii="Times New Roman" w:hAnsi="Times New Roman" w:eastAsia="Times New Roman" w:cs="Times New Roman"/>
                <w:spacing w:val="-20"/>
                <w:sz w:val="20"/>
                <w:szCs w:val="20"/>
              </w:rPr>
              <w:t xml:space="preserve"> </w:t>
            </w:r>
            <w:r>
              <w:rPr>
                <w:spacing w:val="6"/>
                <w:sz w:val="20"/>
                <w:szCs w:val="20"/>
              </w:rPr>
              <w:t>。对工业园区、各类开发区、新区</w:t>
            </w:r>
            <w:r>
              <w:rPr>
                <w:sz w:val="20"/>
                <w:szCs w:val="20"/>
              </w:rPr>
              <w:t xml:space="preserve"> </w:t>
            </w:r>
            <w:r>
              <w:rPr>
                <w:spacing w:val="9"/>
                <w:sz w:val="20"/>
                <w:szCs w:val="20"/>
              </w:rPr>
              <w:t>等，开展规划水资源论证，优先配置再生水作为园区</w:t>
            </w:r>
            <w:r>
              <w:rPr>
                <w:spacing w:val="13"/>
                <w:sz w:val="20"/>
                <w:szCs w:val="20"/>
              </w:rPr>
              <w:t xml:space="preserve"> </w:t>
            </w:r>
            <w:r>
              <w:rPr>
                <w:spacing w:val="9"/>
                <w:sz w:val="20"/>
                <w:szCs w:val="20"/>
              </w:rPr>
              <w:t>生产用水的重要来源，严格控制新水取用量。煤化工</w:t>
            </w:r>
            <w:r>
              <w:rPr>
                <w:spacing w:val="13"/>
                <w:sz w:val="20"/>
                <w:szCs w:val="20"/>
              </w:rPr>
              <w:t xml:space="preserve"> </w:t>
            </w:r>
            <w:r>
              <w:rPr>
                <w:spacing w:val="9"/>
                <w:sz w:val="20"/>
                <w:szCs w:val="20"/>
              </w:rPr>
              <w:t>产业能耗指标、水资源消耗指标应满足《现代煤化工</w:t>
            </w:r>
            <w:r>
              <w:rPr>
                <w:spacing w:val="13"/>
                <w:sz w:val="20"/>
                <w:szCs w:val="20"/>
              </w:rPr>
              <w:t xml:space="preserve"> </w:t>
            </w:r>
            <w:r>
              <w:rPr>
                <w:spacing w:val="9"/>
                <w:sz w:val="20"/>
                <w:szCs w:val="20"/>
              </w:rPr>
              <w:t>产业创新发展布局方案》要求，污染物排放总量满足</w:t>
            </w:r>
            <w:r>
              <w:rPr>
                <w:spacing w:val="13"/>
                <w:sz w:val="20"/>
                <w:szCs w:val="20"/>
              </w:rPr>
              <w:t xml:space="preserve"> </w:t>
            </w:r>
            <w:r>
              <w:rPr>
                <w:spacing w:val="8"/>
                <w:sz w:val="20"/>
                <w:szCs w:val="20"/>
              </w:rPr>
              <w:t>所在园区总量控制要求。</w:t>
            </w:r>
          </w:p>
          <w:p w14:paraId="28BACE3B">
            <w:pPr>
              <w:pStyle w:val="6"/>
              <w:spacing w:before="5" w:line="251" w:lineRule="auto"/>
              <w:ind w:left="164" w:right="93" w:firstLine="1"/>
              <w:rPr>
                <w:sz w:val="20"/>
                <w:szCs w:val="20"/>
              </w:rPr>
            </w:pPr>
            <w:r>
              <w:rPr>
                <w:spacing w:val="9"/>
                <w:sz w:val="20"/>
                <w:szCs w:val="20"/>
              </w:rPr>
              <w:t>新建高耗能项目、在满足本地区能耗双控的前提下，</w:t>
            </w:r>
            <w:r>
              <w:rPr>
                <w:spacing w:val="11"/>
                <w:sz w:val="20"/>
                <w:szCs w:val="20"/>
              </w:rPr>
              <w:t xml:space="preserve"> </w:t>
            </w:r>
            <w:r>
              <w:rPr>
                <w:spacing w:val="9"/>
                <w:sz w:val="20"/>
                <w:szCs w:val="20"/>
              </w:rPr>
              <w:t>工艺技术装备须达到国内先进水平、能源利用效率须</w:t>
            </w:r>
            <w:r>
              <w:rPr>
                <w:spacing w:val="13"/>
                <w:sz w:val="20"/>
                <w:szCs w:val="20"/>
              </w:rPr>
              <w:t xml:space="preserve"> </w:t>
            </w:r>
            <w:r>
              <w:rPr>
                <w:spacing w:val="8"/>
                <w:sz w:val="20"/>
                <w:szCs w:val="20"/>
              </w:rPr>
              <w:t>达到国家先进标准。新建、改扩建“两高</w:t>
            </w:r>
            <w:r>
              <w:rPr>
                <w:spacing w:val="-64"/>
                <w:sz w:val="20"/>
                <w:szCs w:val="20"/>
              </w:rPr>
              <w:t xml:space="preserve"> </w:t>
            </w:r>
            <w:r>
              <w:rPr>
                <w:spacing w:val="8"/>
                <w:sz w:val="20"/>
                <w:szCs w:val="20"/>
              </w:rPr>
              <w:t>”项目在满</w:t>
            </w:r>
            <w:r>
              <w:rPr>
                <w:sz w:val="20"/>
                <w:szCs w:val="20"/>
              </w:rPr>
              <w:t xml:space="preserve"> </w:t>
            </w:r>
            <w:r>
              <w:rPr>
                <w:spacing w:val="8"/>
                <w:sz w:val="20"/>
                <w:szCs w:val="20"/>
              </w:rPr>
              <w:t>足本地区能耗“双控</w:t>
            </w:r>
            <w:r>
              <w:rPr>
                <w:spacing w:val="-64"/>
                <w:sz w:val="20"/>
                <w:szCs w:val="20"/>
              </w:rPr>
              <w:t xml:space="preserve"> </w:t>
            </w:r>
            <w:r>
              <w:rPr>
                <w:spacing w:val="8"/>
                <w:sz w:val="20"/>
                <w:szCs w:val="20"/>
              </w:rPr>
              <w:t>”、碳排放强度控制要求的前提</w:t>
            </w:r>
            <w:r>
              <w:rPr>
                <w:sz w:val="20"/>
                <w:szCs w:val="20"/>
              </w:rPr>
              <w:t xml:space="preserve"> </w:t>
            </w:r>
            <w:r>
              <w:rPr>
                <w:spacing w:val="9"/>
                <w:sz w:val="20"/>
                <w:szCs w:val="20"/>
              </w:rPr>
              <w:t>下，应采用先进适用的工艺技术和装备，单位产品物</w:t>
            </w:r>
          </w:p>
        </w:tc>
        <w:tc>
          <w:tcPr>
            <w:tcW w:w="1327" w:type="dxa"/>
            <w:vAlign w:val="top"/>
          </w:tcPr>
          <w:p w14:paraId="0609F746">
            <w:pPr>
              <w:rPr>
                <w:rFonts w:ascii="Arial"/>
                <w:sz w:val="21"/>
              </w:rPr>
            </w:pPr>
          </w:p>
        </w:tc>
        <w:tc>
          <w:tcPr>
            <w:tcW w:w="427" w:type="dxa"/>
            <w:vAlign w:val="top"/>
          </w:tcPr>
          <w:p w14:paraId="73FD8169">
            <w:pPr>
              <w:rPr>
                <w:rFonts w:ascii="Arial"/>
                <w:sz w:val="21"/>
              </w:rPr>
            </w:pPr>
          </w:p>
        </w:tc>
      </w:tr>
    </w:tbl>
    <w:p w14:paraId="4DD46034">
      <w:pPr>
        <w:pStyle w:val="2"/>
      </w:pPr>
    </w:p>
    <w:p w14:paraId="48ECCF35">
      <w:pPr>
        <w:sectPr>
          <w:footerReference r:id="rId20" w:type="default"/>
          <w:pgSz w:w="11906" w:h="16839"/>
          <w:pgMar w:top="400" w:right="1739" w:bottom="1259" w:left="1738" w:header="0" w:footer="1097" w:gutter="0"/>
          <w:cols w:space="720" w:num="1"/>
        </w:sectPr>
      </w:pPr>
    </w:p>
    <w:p w14:paraId="5BE08E22">
      <w:pPr>
        <w:spacing w:before="19"/>
      </w:pPr>
    </w:p>
    <w:p w14:paraId="3B92CBEC">
      <w:pPr>
        <w:spacing w:before="19"/>
      </w:pPr>
    </w:p>
    <w:p w14:paraId="6048ADE9">
      <w:pPr>
        <w:spacing w:before="18"/>
      </w:pPr>
    </w:p>
    <w:p w14:paraId="42093A72">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A3ED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6" w:hRule="atLeast"/>
        </w:trPr>
        <w:tc>
          <w:tcPr>
            <w:tcW w:w="1171" w:type="dxa"/>
            <w:vAlign w:val="top"/>
          </w:tcPr>
          <w:p w14:paraId="1645523A">
            <w:pPr>
              <w:rPr>
                <w:rFonts w:ascii="Arial"/>
                <w:sz w:val="21"/>
              </w:rPr>
            </w:pPr>
          </w:p>
        </w:tc>
        <w:tc>
          <w:tcPr>
            <w:tcW w:w="7252" w:type="dxa"/>
            <w:vAlign w:val="top"/>
          </w:tcPr>
          <w:p w14:paraId="10C77368">
            <w:pPr>
              <w:spacing w:line="61" w:lineRule="exact"/>
            </w:pPr>
          </w:p>
          <w:tbl>
            <w:tblPr>
              <w:tblStyle w:val="5"/>
              <w:tblW w:w="7132" w:type="dxa"/>
              <w:tblInd w:w="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5044"/>
              <w:gridCol w:w="1316"/>
              <w:gridCol w:w="367"/>
            </w:tblGrid>
            <w:tr w14:paraId="605F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405" w:type="dxa"/>
                  <w:vAlign w:val="top"/>
                </w:tcPr>
                <w:p w14:paraId="5A2C4EEC">
                  <w:pPr>
                    <w:rPr>
                      <w:rFonts w:ascii="Arial"/>
                      <w:sz w:val="21"/>
                    </w:rPr>
                  </w:pPr>
                </w:p>
              </w:tc>
              <w:tc>
                <w:tcPr>
                  <w:tcW w:w="5044" w:type="dxa"/>
                  <w:vAlign w:val="top"/>
                </w:tcPr>
                <w:p w14:paraId="03F9B123">
                  <w:pPr>
                    <w:pStyle w:val="6"/>
                    <w:spacing w:before="39" w:line="246" w:lineRule="auto"/>
                    <w:ind w:left="110" w:right="107"/>
                    <w:jc w:val="both"/>
                    <w:rPr>
                      <w:sz w:val="20"/>
                      <w:szCs w:val="20"/>
                    </w:rPr>
                  </w:pPr>
                  <w:r>
                    <w:rPr>
                      <w:spacing w:val="9"/>
                      <w:sz w:val="20"/>
                      <w:szCs w:val="20"/>
                    </w:rPr>
                    <w:t>耗、能耗、水耗等达到国家单位产品能耗限额标准的</w:t>
                  </w:r>
                  <w:r>
                    <w:rPr>
                      <w:spacing w:val="11"/>
                      <w:sz w:val="20"/>
                      <w:szCs w:val="20"/>
                    </w:rPr>
                    <w:t xml:space="preserve"> </w:t>
                  </w:r>
                  <w:r>
                    <w:rPr>
                      <w:spacing w:val="9"/>
                      <w:sz w:val="20"/>
                      <w:szCs w:val="20"/>
                    </w:rPr>
                    <w:t>先进值或国际同行业先进水平。加强化工、有色、建</w:t>
                  </w:r>
                  <w:r>
                    <w:rPr>
                      <w:spacing w:val="12"/>
                      <w:sz w:val="20"/>
                      <w:szCs w:val="20"/>
                    </w:rPr>
                    <w:t xml:space="preserve"> </w:t>
                  </w:r>
                  <w:r>
                    <w:rPr>
                      <w:spacing w:val="9"/>
                      <w:sz w:val="20"/>
                      <w:szCs w:val="20"/>
                    </w:rPr>
                    <w:t>材、焦化、煤化工等高耗能行业达到国家能耗限额标</w:t>
                  </w:r>
                  <w:r>
                    <w:rPr>
                      <w:spacing w:val="12"/>
                      <w:sz w:val="20"/>
                      <w:szCs w:val="20"/>
                    </w:rPr>
                    <w:t xml:space="preserve"> </w:t>
                  </w:r>
                  <w:r>
                    <w:rPr>
                      <w:spacing w:val="9"/>
                      <w:sz w:val="20"/>
                      <w:szCs w:val="20"/>
                    </w:rPr>
                    <w:t>准先进值。严控高耗水行业大规模发展，建立严格的</w:t>
                  </w:r>
                  <w:r>
                    <w:rPr>
                      <w:spacing w:val="12"/>
                      <w:sz w:val="20"/>
                      <w:szCs w:val="20"/>
                    </w:rPr>
                    <w:t xml:space="preserve"> </w:t>
                  </w:r>
                  <w:r>
                    <w:rPr>
                      <w:spacing w:val="9"/>
                      <w:sz w:val="20"/>
                      <w:szCs w:val="20"/>
                    </w:rPr>
                    <w:t>用水制度，提高现代煤化工行业用水效率，推广采用</w:t>
                  </w:r>
                  <w:r>
                    <w:rPr>
                      <w:spacing w:val="12"/>
                      <w:sz w:val="20"/>
                      <w:szCs w:val="20"/>
                    </w:rPr>
                    <w:t xml:space="preserve"> </w:t>
                  </w:r>
                  <w:r>
                    <w:rPr>
                      <w:spacing w:val="9"/>
                      <w:sz w:val="20"/>
                      <w:szCs w:val="20"/>
                    </w:rPr>
                    <w:t>高度先进节水技术，新建项目用水指标需要达到先进</w:t>
                  </w:r>
                  <w:r>
                    <w:rPr>
                      <w:spacing w:val="12"/>
                      <w:sz w:val="20"/>
                      <w:szCs w:val="20"/>
                    </w:rPr>
                    <w:t xml:space="preserve"> </w:t>
                  </w:r>
                  <w:r>
                    <w:rPr>
                      <w:sz w:val="20"/>
                      <w:szCs w:val="20"/>
                    </w:rPr>
                    <w:t>值。</w:t>
                  </w:r>
                </w:p>
              </w:tc>
              <w:tc>
                <w:tcPr>
                  <w:tcW w:w="1316" w:type="dxa"/>
                  <w:vAlign w:val="top"/>
                </w:tcPr>
                <w:p w14:paraId="3DC2A251">
                  <w:pPr>
                    <w:rPr>
                      <w:rFonts w:ascii="Arial"/>
                      <w:sz w:val="21"/>
                    </w:rPr>
                  </w:pPr>
                </w:p>
              </w:tc>
              <w:tc>
                <w:tcPr>
                  <w:tcW w:w="367" w:type="dxa"/>
                  <w:vAlign w:val="top"/>
                </w:tcPr>
                <w:p w14:paraId="3DE19E85">
                  <w:pPr>
                    <w:rPr>
                      <w:rFonts w:ascii="Arial"/>
                      <w:sz w:val="21"/>
                    </w:rPr>
                  </w:pPr>
                </w:p>
              </w:tc>
            </w:tr>
          </w:tbl>
          <w:p w14:paraId="10298F85">
            <w:pPr>
              <w:pStyle w:val="6"/>
              <w:spacing w:before="192" w:line="219" w:lineRule="auto"/>
              <w:ind w:left="544"/>
              <w:rPr>
                <w:sz w:val="24"/>
                <w:szCs w:val="24"/>
              </w:rPr>
            </w:pPr>
            <w:r>
              <w:rPr>
                <w:spacing w:val="-1"/>
                <w:sz w:val="24"/>
                <w:szCs w:val="24"/>
              </w:rPr>
              <w:t>综上所述，本项目建设满足鄂尔多斯市总体准入清单要求。</w:t>
            </w:r>
          </w:p>
          <w:p w14:paraId="518FBBD6">
            <w:pPr>
              <w:pStyle w:val="6"/>
              <w:spacing w:before="181" w:line="217" w:lineRule="auto"/>
              <w:ind w:left="539"/>
              <w:rPr>
                <w:sz w:val="24"/>
                <w:szCs w:val="24"/>
              </w:rPr>
            </w:pPr>
            <w:r>
              <w:rPr>
                <w:spacing w:val="-1"/>
                <w:sz w:val="24"/>
                <w:szCs w:val="24"/>
              </w:rPr>
              <w:t>②所属环境管控单元相关要求</w:t>
            </w:r>
          </w:p>
          <w:p w14:paraId="42844460">
            <w:pPr>
              <w:pStyle w:val="6"/>
              <w:spacing w:before="186" w:line="358" w:lineRule="auto"/>
              <w:ind w:left="49" w:right="57" w:firstLine="492"/>
              <w:rPr>
                <w:sz w:val="24"/>
                <w:szCs w:val="24"/>
              </w:rPr>
            </w:pPr>
            <w:r>
              <w:rPr>
                <w:spacing w:val="-3"/>
                <w:sz w:val="24"/>
                <w:szCs w:val="24"/>
              </w:rPr>
              <w:t>本项目位于鄂托克经济开发区棋盘井产业园棋西项目区内，属于</w:t>
            </w:r>
            <w:r>
              <w:rPr>
                <w:spacing w:val="10"/>
                <w:sz w:val="24"/>
                <w:szCs w:val="24"/>
              </w:rPr>
              <w:t xml:space="preserve"> </w:t>
            </w:r>
            <w:r>
              <w:rPr>
                <w:spacing w:val="-2"/>
                <w:sz w:val="24"/>
                <w:szCs w:val="24"/>
              </w:rPr>
              <w:t>“</w:t>
            </w:r>
            <w:r>
              <w:rPr>
                <w:spacing w:val="-69"/>
                <w:sz w:val="24"/>
                <w:szCs w:val="24"/>
              </w:rPr>
              <w:t xml:space="preserve"> </w:t>
            </w:r>
            <w:r>
              <w:rPr>
                <w:spacing w:val="-2"/>
                <w:sz w:val="24"/>
                <w:szCs w:val="24"/>
              </w:rPr>
              <w:t>内蒙古鄂托克经济开发区棋盘井产业园（</w:t>
            </w:r>
            <w:r>
              <w:rPr>
                <w:rFonts w:ascii="Times New Roman" w:hAnsi="Times New Roman" w:eastAsia="Times New Roman" w:cs="Times New Roman"/>
                <w:spacing w:val="-2"/>
                <w:sz w:val="24"/>
                <w:szCs w:val="24"/>
              </w:rPr>
              <w:t>ZH15062220003</w:t>
            </w:r>
            <w:r>
              <w:rPr>
                <w:spacing w:val="-2"/>
                <w:sz w:val="24"/>
                <w:szCs w:val="24"/>
              </w:rPr>
              <w:t>）”环境</w:t>
            </w:r>
            <w:r>
              <w:rPr>
                <w:sz w:val="24"/>
                <w:szCs w:val="24"/>
              </w:rPr>
              <w:t xml:space="preserve"> </w:t>
            </w:r>
            <w:r>
              <w:rPr>
                <w:spacing w:val="-2"/>
                <w:sz w:val="24"/>
                <w:szCs w:val="24"/>
              </w:rPr>
              <w:t>管控单元，本项目与所属环境管控单元相关要求的符合性分析如下表</w:t>
            </w:r>
            <w:r>
              <w:rPr>
                <w:sz w:val="24"/>
                <w:szCs w:val="24"/>
              </w:rPr>
              <w:t xml:space="preserve"> 所示：</w:t>
            </w:r>
          </w:p>
          <w:p w14:paraId="79A99D50">
            <w:pPr>
              <w:pStyle w:val="6"/>
              <w:spacing w:before="1" w:line="226" w:lineRule="auto"/>
              <w:ind w:left="933"/>
              <w:outlineLvl w:val="1"/>
              <w:rPr>
                <w:sz w:val="20"/>
                <w:szCs w:val="20"/>
              </w:rPr>
            </w:pPr>
            <w:r>
              <w:rPr>
                <w:b/>
                <w:bCs/>
                <w:spacing w:val="6"/>
                <w:sz w:val="20"/>
                <w:szCs w:val="20"/>
              </w:rPr>
              <w:t>表</w:t>
            </w:r>
            <w:r>
              <w:rPr>
                <w:spacing w:val="-16"/>
                <w:sz w:val="20"/>
                <w:szCs w:val="20"/>
              </w:rPr>
              <w:t xml:space="preserve"> </w:t>
            </w:r>
            <w:r>
              <w:rPr>
                <w:rFonts w:ascii="Times New Roman" w:hAnsi="Times New Roman" w:eastAsia="Times New Roman" w:cs="Times New Roman"/>
                <w:b/>
                <w:bCs/>
                <w:spacing w:val="6"/>
                <w:sz w:val="20"/>
                <w:szCs w:val="20"/>
              </w:rPr>
              <w:t xml:space="preserve">1-3    </w:t>
            </w:r>
            <w:r>
              <w:rPr>
                <w:b/>
                <w:bCs/>
                <w:spacing w:val="6"/>
                <w:sz w:val="20"/>
                <w:szCs w:val="20"/>
              </w:rPr>
              <w:t>本项目与所属环境管控单元相关要求的符合性分析</w:t>
            </w:r>
          </w:p>
          <w:p w14:paraId="03CC3F52">
            <w:pPr>
              <w:spacing w:line="132" w:lineRule="exact"/>
            </w:pPr>
          </w:p>
          <w:tbl>
            <w:tblPr>
              <w:tblStyle w:val="5"/>
              <w:tblW w:w="7132"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651"/>
              <w:gridCol w:w="385"/>
              <w:gridCol w:w="385"/>
              <w:gridCol w:w="3007"/>
              <w:gridCol w:w="1696"/>
              <w:gridCol w:w="361"/>
            </w:tblGrid>
            <w:tr w14:paraId="5B13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647" w:type="dxa"/>
                  <w:vAlign w:val="top"/>
                </w:tcPr>
                <w:p w14:paraId="08243E74">
                  <w:pPr>
                    <w:spacing w:line="242" w:lineRule="auto"/>
                    <w:rPr>
                      <w:rFonts w:ascii="Arial"/>
                      <w:sz w:val="21"/>
                    </w:rPr>
                  </w:pPr>
                </w:p>
                <w:p w14:paraId="0B7998D2">
                  <w:pPr>
                    <w:pStyle w:val="6"/>
                    <w:spacing w:before="65" w:line="228" w:lineRule="auto"/>
                    <w:ind w:left="119"/>
                    <w:rPr>
                      <w:sz w:val="20"/>
                      <w:szCs w:val="20"/>
                    </w:rPr>
                  </w:pPr>
                  <w:r>
                    <w:rPr>
                      <w:spacing w:val="4"/>
                      <w:sz w:val="20"/>
                      <w:szCs w:val="20"/>
                    </w:rPr>
                    <w:t>环境</w:t>
                  </w:r>
                </w:p>
                <w:p w14:paraId="3E79C468">
                  <w:pPr>
                    <w:pStyle w:val="6"/>
                    <w:spacing w:before="23" w:line="228" w:lineRule="auto"/>
                    <w:ind w:left="124"/>
                    <w:rPr>
                      <w:sz w:val="20"/>
                      <w:szCs w:val="20"/>
                    </w:rPr>
                  </w:pPr>
                  <w:r>
                    <w:rPr>
                      <w:spacing w:val="2"/>
                      <w:sz w:val="20"/>
                      <w:szCs w:val="20"/>
                    </w:rPr>
                    <w:t>管控</w:t>
                  </w:r>
                </w:p>
                <w:p w14:paraId="1C6A1CDC">
                  <w:pPr>
                    <w:pStyle w:val="6"/>
                    <w:spacing w:before="27" w:line="228" w:lineRule="auto"/>
                    <w:ind w:left="121"/>
                    <w:rPr>
                      <w:sz w:val="20"/>
                      <w:szCs w:val="20"/>
                    </w:rPr>
                  </w:pPr>
                  <w:r>
                    <w:rPr>
                      <w:spacing w:val="3"/>
                      <w:sz w:val="20"/>
                      <w:szCs w:val="20"/>
                    </w:rPr>
                    <w:t>单元</w:t>
                  </w:r>
                </w:p>
                <w:p w14:paraId="605A3D4C">
                  <w:pPr>
                    <w:pStyle w:val="6"/>
                    <w:spacing w:before="23" w:line="228" w:lineRule="auto"/>
                    <w:ind w:left="121"/>
                    <w:rPr>
                      <w:sz w:val="20"/>
                      <w:szCs w:val="20"/>
                    </w:rPr>
                  </w:pPr>
                  <w:r>
                    <w:rPr>
                      <w:spacing w:val="3"/>
                      <w:sz w:val="20"/>
                      <w:szCs w:val="20"/>
                    </w:rPr>
                    <w:t>编码</w:t>
                  </w:r>
                </w:p>
              </w:tc>
              <w:tc>
                <w:tcPr>
                  <w:tcW w:w="651" w:type="dxa"/>
                  <w:vAlign w:val="top"/>
                </w:tcPr>
                <w:p w14:paraId="7F5105AB">
                  <w:pPr>
                    <w:spacing w:line="242" w:lineRule="auto"/>
                    <w:rPr>
                      <w:rFonts w:ascii="Arial"/>
                      <w:sz w:val="21"/>
                    </w:rPr>
                  </w:pPr>
                </w:p>
                <w:p w14:paraId="51049B87">
                  <w:pPr>
                    <w:pStyle w:val="6"/>
                    <w:spacing w:before="65" w:line="228" w:lineRule="auto"/>
                    <w:ind w:left="120"/>
                    <w:rPr>
                      <w:sz w:val="20"/>
                      <w:szCs w:val="20"/>
                    </w:rPr>
                  </w:pPr>
                  <w:r>
                    <w:rPr>
                      <w:spacing w:val="4"/>
                      <w:sz w:val="20"/>
                      <w:szCs w:val="20"/>
                    </w:rPr>
                    <w:t>环境</w:t>
                  </w:r>
                </w:p>
                <w:p w14:paraId="3FD7D49D">
                  <w:pPr>
                    <w:pStyle w:val="6"/>
                    <w:spacing w:before="23" w:line="228" w:lineRule="auto"/>
                    <w:ind w:left="125"/>
                    <w:rPr>
                      <w:sz w:val="20"/>
                      <w:szCs w:val="20"/>
                    </w:rPr>
                  </w:pPr>
                  <w:r>
                    <w:rPr>
                      <w:spacing w:val="2"/>
                      <w:sz w:val="20"/>
                      <w:szCs w:val="20"/>
                    </w:rPr>
                    <w:t>管控</w:t>
                  </w:r>
                </w:p>
                <w:p w14:paraId="117E6177">
                  <w:pPr>
                    <w:pStyle w:val="6"/>
                    <w:spacing w:before="27" w:line="228" w:lineRule="auto"/>
                    <w:ind w:left="122"/>
                    <w:rPr>
                      <w:sz w:val="20"/>
                      <w:szCs w:val="20"/>
                    </w:rPr>
                  </w:pPr>
                  <w:r>
                    <w:rPr>
                      <w:spacing w:val="3"/>
                      <w:sz w:val="20"/>
                      <w:szCs w:val="20"/>
                    </w:rPr>
                    <w:t>单元</w:t>
                  </w:r>
                </w:p>
                <w:p w14:paraId="564CE13E">
                  <w:pPr>
                    <w:pStyle w:val="6"/>
                    <w:spacing w:before="23" w:line="230" w:lineRule="auto"/>
                    <w:ind w:left="123"/>
                    <w:rPr>
                      <w:sz w:val="20"/>
                      <w:szCs w:val="20"/>
                    </w:rPr>
                  </w:pPr>
                  <w:r>
                    <w:rPr>
                      <w:spacing w:val="3"/>
                      <w:sz w:val="20"/>
                      <w:szCs w:val="20"/>
                    </w:rPr>
                    <w:t>名称</w:t>
                  </w:r>
                </w:p>
              </w:tc>
              <w:tc>
                <w:tcPr>
                  <w:tcW w:w="385" w:type="dxa"/>
                  <w:textDirection w:val="tbRlV"/>
                  <w:vAlign w:val="top"/>
                </w:tcPr>
                <w:p w14:paraId="04229D2A">
                  <w:pPr>
                    <w:pStyle w:val="6"/>
                    <w:spacing w:before="66" w:line="216" w:lineRule="auto"/>
                    <w:ind w:left="37"/>
                    <w:rPr>
                      <w:sz w:val="20"/>
                      <w:szCs w:val="20"/>
                    </w:rPr>
                  </w:pPr>
                  <w:r>
                    <w:rPr>
                      <w:spacing w:val="8"/>
                      <w:sz w:val="20"/>
                      <w:szCs w:val="20"/>
                    </w:rPr>
                    <w:t>管</w:t>
                  </w:r>
                  <w:r>
                    <w:rPr>
                      <w:spacing w:val="-34"/>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5"/>
                      <w:sz w:val="20"/>
                      <w:szCs w:val="20"/>
                    </w:rPr>
                    <w:t xml:space="preserve"> </w:t>
                  </w:r>
                  <w:r>
                    <w:rPr>
                      <w:spacing w:val="8"/>
                      <w:sz w:val="20"/>
                      <w:szCs w:val="20"/>
                    </w:rPr>
                    <w:t>元</w:t>
                  </w:r>
                  <w:r>
                    <w:rPr>
                      <w:spacing w:val="-38"/>
                      <w:sz w:val="20"/>
                      <w:szCs w:val="20"/>
                    </w:rPr>
                    <w:t xml:space="preserve"> </w:t>
                  </w:r>
                  <w:r>
                    <w:rPr>
                      <w:spacing w:val="8"/>
                      <w:sz w:val="20"/>
                      <w:szCs w:val="20"/>
                    </w:rPr>
                    <w:t>类</w:t>
                  </w:r>
                  <w:r>
                    <w:rPr>
                      <w:spacing w:val="-35"/>
                      <w:sz w:val="20"/>
                      <w:szCs w:val="20"/>
                    </w:rPr>
                    <w:t xml:space="preserve"> </w:t>
                  </w:r>
                  <w:r>
                    <w:rPr>
                      <w:spacing w:val="8"/>
                      <w:sz w:val="20"/>
                      <w:szCs w:val="20"/>
                    </w:rPr>
                    <w:t>别</w:t>
                  </w:r>
                </w:p>
              </w:tc>
              <w:tc>
                <w:tcPr>
                  <w:tcW w:w="3392" w:type="dxa"/>
                  <w:gridSpan w:val="2"/>
                  <w:vAlign w:val="top"/>
                </w:tcPr>
                <w:p w14:paraId="70A6F5A7">
                  <w:pPr>
                    <w:spacing w:line="323" w:lineRule="auto"/>
                    <w:rPr>
                      <w:rFonts w:ascii="Arial"/>
                      <w:sz w:val="21"/>
                    </w:rPr>
                  </w:pPr>
                </w:p>
                <w:p w14:paraId="5A3A09C7">
                  <w:pPr>
                    <w:spacing w:line="324" w:lineRule="auto"/>
                    <w:rPr>
                      <w:rFonts w:ascii="Arial"/>
                      <w:sz w:val="21"/>
                    </w:rPr>
                  </w:pPr>
                </w:p>
                <w:p w14:paraId="223131AC">
                  <w:pPr>
                    <w:pStyle w:val="6"/>
                    <w:spacing w:before="65" w:line="228" w:lineRule="auto"/>
                    <w:ind w:left="1285"/>
                    <w:rPr>
                      <w:sz w:val="20"/>
                      <w:szCs w:val="20"/>
                    </w:rPr>
                  </w:pPr>
                  <w:r>
                    <w:rPr>
                      <w:spacing w:val="6"/>
                      <w:sz w:val="20"/>
                      <w:szCs w:val="20"/>
                    </w:rPr>
                    <w:t>管控要求</w:t>
                  </w:r>
                </w:p>
              </w:tc>
              <w:tc>
                <w:tcPr>
                  <w:tcW w:w="1696" w:type="dxa"/>
                  <w:vAlign w:val="top"/>
                </w:tcPr>
                <w:p w14:paraId="58151993">
                  <w:pPr>
                    <w:spacing w:line="323" w:lineRule="auto"/>
                    <w:rPr>
                      <w:rFonts w:ascii="Arial"/>
                      <w:sz w:val="21"/>
                    </w:rPr>
                  </w:pPr>
                </w:p>
                <w:p w14:paraId="7A7BF788">
                  <w:pPr>
                    <w:spacing w:line="324" w:lineRule="auto"/>
                    <w:rPr>
                      <w:rFonts w:ascii="Arial"/>
                      <w:sz w:val="21"/>
                    </w:rPr>
                  </w:pPr>
                </w:p>
                <w:p w14:paraId="7B778633">
                  <w:pPr>
                    <w:pStyle w:val="6"/>
                    <w:spacing w:before="65" w:line="227" w:lineRule="auto"/>
                    <w:ind w:left="330"/>
                    <w:rPr>
                      <w:sz w:val="20"/>
                      <w:szCs w:val="20"/>
                    </w:rPr>
                  </w:pPr>
                  <w:r>
                    <w:rPr>
                      <w:spacing w:val="7"/>
                      <w:sz w:val="20"/>
                      <w:szCs w:val="20"/>
                    </w:rPr>
                    <w:t>本项目情况</w:t>
                  </w:r>
                </w:p>
              </w:tc>
              <w:tc>
                <w:tcPr>
                  <w:tcW w:w="361" w:type="dxa"/>
                  <w:textDirection w:val="tbRlV"/>
                  <w:vAlign w:val="top"/>
                </w:tcPr>
                <w:p w14:paraId="4FCF7785">
                  <w:pPr>
                    <w:pStyle w:val="6"/>
                    <w:spacing w:before="37" w:line="215" w:lineRule="auto"/>
                    <w:ind w:left="308"/>
                    <w:rPr>
                      <w:sz w:val="20"/>
                      <w:szCs w:val="20"/>
                    </w:rPr>
                  </w:pPr>
                  <w:r>
                    <w:rPr>
                      <w:spacing w:val="8"/>
                      <w:sz w:val="20"/>
                      <w:szCs w:val="20"/>
                    </w:rPr>
                    <w:t>是</w:t>
                  </w:r>
                  <w:r>
                    <w:rPr>
                      <w:spacing w:val="-36"/>
                      <w:sz w:val="20"/>
                      <w:szCs w:val="20"/>
                    </w:rPr>
                    <w:t xml:space="preserve"> </w:t>
                  </w:r>
                  <w:r>
                    <w:rPr>
                      <w:spacing w:val="8"/>
                      <w:sz w:val="20"/>
                      <w:szCs w:val="20"/>
                    </w:rPr>
                    <w:t>否</w:t>
                  </w:r>
                  <w:r>
                    <w:rPr>
                      <w:spacing w:val="-35"/>
                      <w:sz w:val="20"/>
                      <w:szCs w:val="20"/>
                    </w:rPr>
                    <w:t xml:space="preserve"> </w:t>
                  </w:r>
                  <w:r>
                    <w:rPr>
                      <w:spacing w:val="8"/>
                      <w:sz w:val="20"/>
                      <w:szCs w:val="20"/>
                    </w:rPr>
                    <w:t>符</w:t>
                  </w:r>
                  <w:r>
                    <w:rPr>
                      <w:spacing w:val="-38"/>
                      <w:sz w:val="20"/>
                      <w:szCs w:val="20"/>
                    </w:rPr>
                    <w:t xml:space="preserve"> </w:t>
                  </w:r>
                  <w:r>
                    <w:rPr>
                      <w:spacing w:val="8"/>
                      <w:sz w:val="20"/>
                      <w:szCs w:val="20"/>
                    </w:rPr>
                    <w:t>合</w:t>
                  </w:r>
                </w:p>
              </w:tc>
            </w:tr>
            <w:tr w14:paraId="48E6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647" w:type="dxa"/>
                  <w:vMerge w:val="restart"/>
                  <w:tcBorders>
                    <w:bottom w:val="nil"/>
                  </w:tcBorders>
                  <w:vAlign w:val="top"/>
                </w:tcPr>
                <w:p w14:paraId="4772A3B0">
                  <w:pPr>
                    <w:spacing w:line="241" w:lineRule="auto"/>
                    <w:rPr>
                      <w:rFonts w:ascii="Arial"/>
                      <w:sz w:val="21"/>
                    </w:rPr>
                  </w:pPr>
                </w:p>
                <w:p w14:paraId="0EC8FF76">
                  <w:pPr>
                    <w:spacing w:line="241" w:lineRule="auto"/>
                    <w:rPr>
                      <w:rFonts w:ascii="Arial"/>
                      <w:sz w:val="21"/>
                    </w:rPr>
                  </w:pPr>
                </w:p>
                <w:p w14:paraId="3C5D60CA">
                  <w:pPr>
                    <w:spacing w:line="242" w:lineRule="auto"/>
                    <w:rPr>
                      <w:rFonts w:ascii="Arial"/>
                      <w:sz w:val="21"/>
                    </w:rPr>
                  </w:pPr>
                </w:p>
                <w:p w14:paraId="41366FA4">
                  <w:pPr>
                    <w:spacing w:line="242" w:lineRule="auto"/>
                    <w:rPr>
                      <w:rFonts w:ascii="Arial"/>
                      <w:sz w:val="21"/>
                    </w:rPr>
                  </w:pPr>
                </w:p>
                <w:p w14:paraId="4B46766B">
                  <w:pPr>
                    <w:spacing w:line="242" w:lineRule="auto"/>
                    <w:rPr>
                      <w:rFonts w:ascii="Arial"/>
                      <w:sz w:val="21"/>
                    </w:rPr>
                  </w:pPr>
                </w:p>
                <w:p w14:paraId="0BB963EE">
                  <w:pPr>
                    <w:spacing w:line="242" w:lineRule="auto"/>
                    <w:rPr>
                      <w:rFonts w:ascii="Arial"/>
                      <w:sz w:val="21"/>
                    </w:rPr>
                  </w:pPr>
                </w:p>
                <w:p w14:paraId="780AB146">
                  <w:pPr>
                    <w:spacing w:line="242" w:lineRule="auto"/>
                    <w:rPr>
                      <w:rFonts w:ascii="Arial"/>
                      <w:sz w:val="21"/>
                    </w:rPr>
                  </w:pPr>
                </w:p>
                <w:p w14:paraId="2B1C6BF9">
                  <w:pPr>
                    <w:spacing w:line="242" w:lineRule="auto"/>
                    <w:rPr>
                      <w:rFonts w:ascii="Arial"/>
                      <w:sz w:val="21"/>
                    </w:rPr>
                  </w:pPr>
                </w:p>
                <w:p w14:paraId="5BC38710">
                  <w:pPr>
                    <w:spacing w:line="242" w:lineRule="auto"/>
                    <w:rPr>
                      <w:rFonts w:ascii="Arial"/>
                      <w:sz w:val="21"/>
                    </w:rPr>
                  </w:pPr>
                </w:p>
                <w:p w14:paraId="6F42C0DD">
                  <w:pPr>
                    <w:spacing w:line="242" w:lineRule="auto"/>
                    <w:rPr>
                      <w:rFonts w:ascii="Arial"/>
                      <w:sz w:val="21"/>
                    </w:rPr>
                  </w:pPr>
                </w:p>
                <w:p w14:paraId="1CEEB440">
                  <w:pPr>
                    <w:spacing w:line="242" w:lineRule="auto"/>
                    <w:rPr>
                      <w:rFonts w:ascii="Arial"/>
                      <w:sz w:val="21"/>
                    </w:rPr>
                  </w:pPr>
                </w:p>
                <w:p w14:paraId="077D6B3A">
                  <w:pPr>
                    <w:spacing w:line="242" w:lineRule="auto"/>
                    <w:rPr>
                      <w:rFonts w:ascii="Arial"/>
                      <w:sz w:val="21"/>
                    </w:rPr>
                  </w:pPr>
                </w:p>
                <w:p w14:paraId="7FA26E56">
                  <w:pPr>
                    <w:spacing w:before="5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13"/>
                      <w:sz w:val="20"/>
                      <w:szCs w:val="20"/>
                    </w:rPr>
                    <w:t>1</w:t>
                  </w:r>
                </w:p>
                <w:p w14:paraId="7D8FED8F">
                  <w:pPr>
                    <w:spacing w:before="55"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5062</w:t>
                  </w:r>
                </w:p>
                <w:p w14:paraId="208E0B9D">
                  <w:pPr>
                    <w:spacing w:before="5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2200</w:t>
                  </w:r>
                </w:p>
                <w:p w14:paraId="434C1559">
                  <w:pPr>
                    <w:spacing w:before="5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651" w:type="dxa"/>
                  <w:vMerge w:val="restart"/>
                  <w:tcBorders>
                    <w:bottom w:val="nil"/>
                  </w:tcBorders>
                  <w:vAlign w:val="top"/>
                </w:tcPr>
                <w:p w14:paraId="4CD7DC1A">
                  <w:pPr>
                    <w:spacing w:line="267" w:lineRule="auto"/>
                    <w:rPr>
                      <w:rFonts w:ascii="Arial"/>
                      <w:sz w:val="21"/>
                    </w:rPr>
                  </w:pPr>
                </w:p>
                <w:p w14:paraId="08F81AF6">
                  <w:pPr>
                    <w:spacing w:line="267" w:lineRule="auto"/>
                    <w:rPr>
                      <w:rFonts w:ascii="Arial"/>
                      <w:sz w:val="21"/>
                    </w:rPr>
                  </w:pPr>
                </w:p>
                <w:p w14:paraId="79E4F0B4">
                  <w:pPr>
                    <w:spacing w:line="267" w:lineRule="auto"/>
                    <w:rPr>
                      <w:rFonts w:ascii="Arial"/>
                      <w:sz w:val="21"/>
                    </w:rPr>
                  </w:pPr>
                </w:p>
                <w:p w14:paraId="5ABF4A5D">
                  <w:pPr>
                    <w:spacing w:line="267" w:lineRule="auto"/>
                    <w:rPr>
                      <w:rFonts w:ascii="Arial"/>
                      <w:sz w:val="21"/>
                    </w:rPr>
                  </w:pPr>
                </w:p>
                <w:p w14:paraId="5F1DF466">
                  <w:pPr>
                    <w:spacing w:line="267" w:lineRule="auto"/>
                    <w:rPr>
                      <w:rFonts w:ascii="Arial"/>
                      <w:sz w:val="21"/>
                    </w:rPr>
                  </w:pPr>
                </w:p>
                <w:p w14:paraId="76BB4005">
                  <w:pPr>
                    <w:spacing w:line="267" w:lineRule="auto"/>
                    <w:rPr>
                      <w:rFonts w:ascii="Arial"/>
                      <w:sz w:val="21"/>
                    </w:rPr>
                  </w:pPr>
                </w:p>
                <w:p w14:paraId="1947F0AF">
                  <w:pPr>
                    <w:spacing w:line="267" w:lineRule="auto"/>
                    <w:rPr>
                      <w:rFonts w:ascii="Arial"/>
                      <w:sz w:val="21"/>
                    </w:rPr>
                  </w:pPr>
                </w:p>
                <w:p w14:paraId="3130EC19">
                  <w:pPr>
                    <w:spacing w:line="267" w:lineRule="auto"/>
                    <w:rPr>
                      <w:rFonts w:ascii="Arial"/>
                      <w:sz w:val="21"/>
                    </w:rPr>
                  </w:pPr>
                </w:p>
                <w:p w14:paraId="7DF2EA8F">
                  <w:pPr>
                    <w:pStyle w:val="6"/>
                    <w:spacing w:before="65" w:line="228" w:lineRule="auto"/>
                    <w:ind w:left="146"/>
                    <w:rPr>
                      <w:sz w:val="20"/>
                      <w:szCs w:val="20"/>
                    </w:rPr>
                  </w:pPr>
                  <w:r>
                    <w:rPr>
                      <w:spacing w:val="-8"/>
                      <w:sz w:val="20"/>
                      <w:szCs w:val="20"/>
                    </w:rPr>
                    <w:t>内蒙</w:t>
                  </w:r>
                </w:p>
                <w:p w14:paraId="1ADE5ADD">
                  <w:pPr>
                    <w:pStyle w:val="6"/>
                    <w:spacing w:before="24" w:line="230" w:lineRule="auto"/>
                    <w:ind w:left="125"/>
                    <w:rPr>
                      <w:sz w:val="20"/>
                      <w:szCs w:val="20"/>
                    </w:rPr>
                  </w:pPr>
                  <w:r>
                    <w:rPr>
                      <w:spacing w:val="2"/>
                      <w:sz w:val="20"/>
                      <w:szCs w:val="20"/>
                    </w:rPr>
                    <w:t>古鄂</w:t>
                  </w:r>
                </w:p>
                <w:p w14:paraId="7CC50465">
                  <w:pPr>
                    <w:pStyle w:val="6"/>
                    <w:spacing w:before="24" w:line="228" w:lineRule="auto"/>
                    <w:ind w:left="120"/>
                    <w:rPr>
                      <w:sz w:val="20"/>
                      <w:szCs w:val="20"/>
                    </w:rPr>
                  </w:pPr>
                  <w:r>
                    <w:rPr>
                      <w:spacing w:val="4"/>
                      <w:sz w:val="20"/>
                      <w:szCs w:val="20"/>
                    </w:rPr>
                    <w:t>托克</w:t>
                  </w:r>
                </w:p>
                <w:p w14:paraId="682542D2">
                  <w:pPr>
                    <w:pStyle w:val="6"/>
                    <w:spacing w:before="27" w:line="228" w:lineRule="auto"/>
                    <w:ind w:left="122"/>
                    <w:rPr>
                      <w:sz w:val="20"/>
                      <w:szCs w:val="20"/>
                    </w:rPr>
                  </w:pPr>
                  <w:r>
                    <w:rPr>
                      <w:spacing w:val="3"/>
                      <w:sz w:val="20"/>
                      <w:szCs w:val="20"/>
                    </w:rPr>
                    <w:t>经济</w:t>
                  </w:r>
                </w:p>
                <w:p w14:paraId="6C539A4D">
                  <w:pPr>
                    <w:pStyle w:val="6"/>
                    <w:spacing w:before="24" w:line="228" w:lineRule="auto"/>
                    <w:ind w:left="121"/>
                    <w:rPr>
                      <w:sz w:val="20"/>
                      <w:szCs w:val="20"/>
                    </w:rPr>
                  </w:pPr>
                  <w:r>
                    <w:rPr>
                      <w:spacing w:val="4"/>
                      <w:sz w:val="20"/>
                      <w:szCs w:val="20"/>
                    </w:rPr>
                    <w:t>开发</w:t>
                  </w:r>
                </w:p>
                <w:p w14:paraId="70DAC7C3">
                  <w:pPr>
                    <w:pStyle w:val="6"/>
                    <w:spacing w:before="23" w:line="225" w:lineRule="auto"/>
                    <w:ind w:left="136"/>
                    <w:rPr>
                      <w:sz w:val="20"/>
                      <w:szCs w:val="20"/>
                    </w:rPr>
                  </w:pPr>
                  <w:r>
                    <w:rPr>
                      <w:spacing w:val="-3"/>
                      <w:sz w:val="20"/>
                      <w:szCs w:val="20"/>
                    </w:rPr>
                    <w:t>区棋</w:t>
                  </w:r>
                </w:p>
                <w:p w14:paraId="5C692023">
                  <w:pPr>
                    <w:pStyle w:val="6"/>
                    <w:spacing w:before="30" w:line="228" w:lineRule="auto"/>
                    <w:ind w:left="120"/>
                    <w:rPr>
                      <w:sz w:val="20"/>
                      <w:szCs w:val="20"/>
                    </w:rPr>
                  </w:pPr>
                  <w:r>
                    <w:rPr>
                      <w:spacing w:val="4"/>
                      <w:sz w:val="20"/>
                      <w:szCs w:val="20"/>
                    </w:rPr>
                    <w:t>盘井</w:t>
                  </w:r>
                </w:p>
                <w:p w14:paraId="784AADAB">
                  <w:pPr>
                    <w:pStyle w:val="6"/>
                    <w:spacing w:before="23" w:line="255" w:lineRule="auto"/>
                    <w:ind w:left="240" w:right="115" w:hanging="120"/>
                    <w:rPr>
                      <w:sz w:val="20"/>
                      <w:szCs w:val="20"/>
                    </w:rPr>
                  </w:pPr>
                  <w:r>
                    <w:rPr>
                      <w:spacing w:val="4"/>
                      <w:sz w:val="20"/>
                      <w:szCs w:val="20"/>
                    </w:rPr>
                    <w:t>产业</w:t>
                  </w:r>
                  <w:r>
                    <w:rPr>
                      <w:sz w:val="20"/>
                      <w:szCs w:val="20"/>
                    </w:rPr>
                    <w:t xml:space="preserve"> 园</w:t>
                  </w:r>
                </w:p>
              </w:tc>
              <w:tc>
                <w:tcPr>
                  <w:tcW w:w="385" w:type="dxa"/>
                  <w:vMerge w:val="restart"/>
                  <w:tcBorders>
                    <w:bottom w:val="nil"/>
                  </w:tcBorders>
                  <w:textDirection w:val="tbRlV"/>
                  <w:vAlign w:val="top"/>
                </w:tcPr>
                <w:p w14:paraId="3C3E384E">
                  <w:pPr>
                    <w:pStyle w:val="6"/>
                    <w:spacing w:before="66" w:line="216" w:lineRule="auto"/>
                    <w:ind w:left="2623"/>
                    <w:rPr>
                      <w:sz w:val="20"/>
                      <w:szCs w:val="20"/>
                    </w:rPr>
                  </w:pPr>
                  <w:r>
                    <w:rPr>
                      <w:spacing w:val="8"/>
                      <w:sz w:val="20"/>
                      <w:szCs w:val="20"/>
                    </w:rPr>
                    <w:t>重</w:t>
                  </w:r>
                  <w:r>
                    <w:rPr>
                      <w:spacing w:val="-34"/>
                      <w:sz w:val="20"/>
                      <w:szCs w:val="20"/>
                    </w:rPr>
                    <w:t xml:space="preserve"> </w:t>
                  </w:r>
                  <w:r>
                    <w:rPr>
                      <w:spacing w:val="8"/>
                      <w:sz w:val="20"/>
                      <w:szCs w:val="20"/>
                    </w:rPr>
                    <w:t>点</w:t>
                  </w:r>
                  <w:r>
                    <w:rPr>
                      <w:spacing w:val="-36"/>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7"/>
                      <w:sz w:val="20"/>
                      <w:szCs w:val="20"/>
                    </w:rPr>
                    <w:t xml:space="preserve"> </w:t>
                  </w:r>
                  <w:r>
                    <w:rPr>
                      <w:spacing w:val="8"/>
                      <w:sz w:val="20"/>
                      <w:szCs w:val="20"/>
                    </w:rPr>
                    <w:t>单</w:t>
                  </w:r>
                  <w:r>
                    <w:rPr>
                      <w:spacing w:val="-38"/>
                      <w:sz w:val="20"/>
                      <w:szCs w:val="20"/>
                    </w:rPr>
                    <w:t xml:space="preserve"> </w:t>
                  </w:r>
                  <w:r>
                    <w:rPr>
                      <w:spacing w:val="8"/>
                      <w:sz w:val="20"/>
                      <w:szCs w:val="20"/>
                    </w:rPr>
                    <w:t>元</w:t>
                  </w:r>
                </w:p>
              </w:tc>
              <w:tc>
                <w:tcPr>
                  <w:tcW w:w="385" w:type="dxa"/>
                  <w:textDirection w:val="tbRlV"/>
                  <w:vAlign w:val="top"/>
                </w:tcPr>
                <w:p w14:paraId="45BC2F7F">
                  <w:pPr>
                    <w:pStyle w:val="6"/>
                    <w:spacing w:before="66" w:line="215" w:lineRule="auto"/>
                    <w:ind w:left="575"/>
                    <w:rPr>
                      <w:sz w:val="20"/>
                      <w:szCs w:val="20"/>
                    </w:rPr>
                  </w:pPr>
                  <w:r>
                    <w:rPr>
                      <w:spacing w:val="8"/>
                      <w:sz w:val="20"/>
                      <w:szCs w:val="20"/>
                    </w:rPr>
                    <w:t>空</w:t>
                  </w:r>
                  <w:r>
                    <w:rPr>
                      <w:spacing w:val="-32"/>
                      <w:sz w:val="20"/>
                      <w:szCs w:val="20"/>
                    </w:rPr>
                    <w:t xml:space="preserve"> </w:t>
                  </w:r>
                  <w:r>
                    <w:rPr>
                      <w:spacing w:val="8"/>
                      <w:sz w:val="20"/>
                      <w:szCs w:val="20"/>
                    </w:rPr>
                    <w:t>间</w:t>
                  </w:r>
                  <w:r>
                    <w:rPr>
                      <w:spacing w:val="-38"/>
                      <w:sz w:val="20"/>
                      <w:szCs w:val="20"/>
                    </w:rPr>
                    <w:t xml:space="preserve"> </w:t>
                  </w:r>
                  <w:r>
                    <w:rPr>
                      <w:spacing w:val="8"/>
                      <w:sz w:val="20"/>
                      <w:szCs w:val="20"/>
                    </w:rPr>
                    <w:t>布</w:t>
                  </w:r>
                  <w:r>
                    <w:rPr>
                      <w:spacing w:val="-35"/>
                      <w:sz w:val="20"/>
                      <w:szCs w:val="20"/>
                    </w:rPr>
                    <w:t xml:space="preserve"> </w:t>
                  </w:r>
                  <w:r>
                    <w:rPr>
                      <w:spacing w:val="8"/>
                      <w:sz w:val="20"/>
                      <w:szCs w:val="20"/>
                    </w:rPr>
                    <w:t>局</w:t>
                  </w:r>
                  <w:r>
                    <w:rPr>
                      <w:spacing w:val="-37"/>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3007" w:type="dxa"/>
                  <w:vAlign w:val="top"/>
                </w:tcPr>
                <w:p w14:paraId="163F4477">
                  <w:pPr>
                    <w:pStyle w:val="6"/>
                    <w:spacing w:before="33" w:line="239" w:lineRule="auto"/>
                    <w:ind w:left="115" w:right="107" w:firstLine="14"/>
                    <w:rPr>
                      <w:sz w:val="20"/>
                      <w:szCs w:val="20"/>
                    </w:rPr>
                  </w:pPr>
                  <w:r>
                    <w:rPr>
                      <w:rFonts w:ascii="Times New Roman" w:hAnsi="Times New Roman" w:eastAsia="Times New Roman" w:cs="Times New Roman"/>
                      <w:sz w:val="20"/>
                      <w:szCs w:val="20"/>
                    </w:rPr>
                    <w:t>1.</w:t>
                  </w:r>
                  <w:r>
                    <w:rPr>
                      <w:sz w:val="20"/>
                      <w:szCs w:val="20"/>
                    </w:rPr>
                    <w:t>严格控制煤电、煤化工、电石</w:t>
                  </w:r>
                  <w:r>
                    <w:rPr>
                      <w:spacing w:val="13"/>
                      <w:sz w:val="20"/>
                      <w:szCs w:val="20"/>
                    </w:rPr>
                    <w:t xml:space="preserve"> </w:t>
                  </w:r>
                  <w:r>
                    <w:rPr>
                      <w:spacing w:val="7"/>
                      <w:sz w:val="20"/>
                      <w:szCs w:val="20"/>
                    </w:rPr>
                    <w:t>等产业发展规模。</w:t>
                  </w:r>
                </w:p>
                <w:p w14:paraId="7CDE8047">
                  <w:pPr>
                    <w:pStyle w:val="6"/>
                    <w:spacing w:before="24"/>
                    <w:ind w:left="112" w:right="107" w:hanging="3"/>
                    <w:rPr>
                      <w:sz w:val="20"/>
                      <w:szCs w:val="20"/>
                    </w:rPr>
                  </w:pPr>
                  <w:r>
                    <w:rPr>
                      <w:rFonts w:ascii="Times New Roman" w:hAnsi="Times New Roman" w:eastAsia="Times New Roman" w:cs="Times New Roman"/>
                      <w:sz w:val="20"/>
                      <w:szCs w:val="20"/>
                    </w:rPr>
                    <w:t>2.</w:t>
                  </w:r>
                  <w:r>
                    <w:rPr>
                      <w:sz w:val="20"/>
                      <w:szCs w:val="20"/>
                    </w:rPr>
                    <w:t>按照“东重西轻</w:t>
                  </w:r>
                  <w:r>
                    <w:rPr>
                      <w:spacing w:val="-67"/>
                      <w:sz w:val="20"/>
                      <w:szCs w:val="20"/>
                    </w:rPr>
                    <w:t xml:space="preserve"> </w:t>
                  </w:r>
                  <w:r>
                    <w:rPr>
                      <w:sz w:val="20"/>
                      <w:szCs w:val="20"/>
                    </w:rPr>
                    <w:t xml:space="preserve">”原则，优化 </w:t>
                  </w:r>
                  <w:r>
                    <w:rPr>
                      <w:spacing w:val="5"/>
                      <w:sz w:val="20"/>
                      <w:szCs w:val="20"/>
                    </w:rPr>
                    <w:t>产业布局。</w:t>
                  </w:r>
                </w:p>
                <w:p w14:paraId="4CB30BBD">
                  <w:pPr>
                    <w:pStyle w:val="6"/>
                    <w:spacing w:before="22" w:line="246" w:lineRule="auto"/>
                    <w:ind w:left="114" w:right="167" w:hanging="1"/>
                    <w:rPr>
                      <w:sz w:val="20"/>
                      <w:szCs w:val="20"/>
                    </w:rPr>
                  </w:pPr>
                  <w:r>
                    <w:rPr>
                      <w:rFonts w:ascii="Times New Roman" w:hAnsi="Times New Roman" w:eastAsia="Times New Roman" w:cs="Times New Roman"/>
                      <w:spacing w:val="8"/>
                      <w:sz w:val="20"/>
                      <w:szCs w:val="20"/>
                    </w:rPr>
                    <w:t>3.</w:t>
                  </w:r>
                  <w:r>
                    <w:rPr>
                      <w:spacing w:val="8"/>
                      <w:sz w:val="20"/>
                      <w:szCs w:val="20"/>
                    </w:rPr>
                    <w:t>居住用地周边严控布局潜在</w:t>
                  </w:r>
                  <w:r>
                    <w:rPr>
                      <w:spacing w:val="2"/>
                      <w:sz w:val="20"/>
                      <w:szCs w:val="20"/>
                    </w:rPr>
                    <w:t xml:space="preserve"> </w:t>
                  </w:r>
                  <w:r>
                    <w:rPr>
                      <w:spacing w:val="9"/>
                      <w:sz w:val="20"/>
                      <w:szCs w:val="20"/>
                    </w:rPr>
                    <w:t>污染扰民和环境风险突出的建</w:t>
                  </w:r>
                  <w:r>
                    <w:rPr>
                      <w:spacing w:val="1"/>
                      <w:sz w:val="20"/>
                      <w:szCs w:val="20"/>
                    </w:rPr>
                    <w:t xml:space="preserve"> </w:t>
                  </w:r>
                  <w:r>
                    <w:rPr>
                      <w:spacing w:val="9"/>
                      <w:sz w:val="20"/>
                      <w:szCs w:val="20"/>
                    </w:rPr>
                    <w:t>设项目，新（改、扩）建化工</w:t>
                  </w:r>
                  <w:r>
                    <w:rPr>
                      <w:spacing w:val="1"/>
                      <w:sz w:val="20"/>
                      <w:szCs w:val="20"/>
                    </w:rPr>
                    <w:t xml:space="preserve"> </w:t>
                  </w:r>
                  <w:r>
                    <w:rPr>
                      <w:spacing w:val="9"/>
                      <w:sz w:val="20"/>
                      <w:szCs w:val="20"/>
                    </w:rPr>
                    <w:t>项目必须与居民区或城市规划</w:t>
                  </w:r>
                  <w:r>
                    <w:rPr>
                      <w:spacing w:val="1"/>
                      <w:sz w:val="20"/>
                      <w:szCs w:val="20"/>
                    </w:rPr>
                    <w:t xml:space="preserve"> </w:t>
                  </w:r>
                  <w:r>
                    <w:rPr>
                      <w:spacing w:val="9"/>
                      <w:sz w:val="20"/>
                      <w:szCs w:val="20"/>
                    </w:rPr>
                    <w:t>的居住用地保持足够的缓冲距</w:t>
                  </w:r>
                  <w:r>
                    <w:rPr>
                      <w:spacing w:val="1"/>
                      <w:sz w:val="20"/>
                      <w:szCs w:val="20"/>
                    </w:rPr>
                    <w:t xml:space="preserve"> </w:t>
                  </w:r>
                  <w:r>
                    <w:rPr>
                      <w:spacing w:val="-1"/>
                      <w:sz w:val="20"/>
                      <w:szCs w:val="20"/>
                    </w:rPr>
                    <w:t>离。</w:t>
                  </w:r>
                </w:p>
              </w:tc>
              <w:tc>
                <w:tcPr>
                  <w:tcW w:w="1696" w:type="dxa"/>
                  <w:vAlign w:val="top"/>
                </w:tcPr>
                <w:p w14:paraId="7427C884">
                  <w:pPr>
                    <w:spacing w:line="374" w:lineRule="auto"/>
                    <w:rPr>
                      <w:rFonts w:ascii="Arial"/>
                      <w:sz w:val="21"/>
                    </w:rPr>
                  </w:pPr>
                </w:p>
                <w:p w14:paraId="4ED6950F">
                  <w:pPr>
                    <w:pStyle w:val="6"/>
                    <w:spacing w:before="65" w:line="227" w:lineRule="auto"/>
                    <w:ind w:left="121"/>
                    <w:rPr>
                      <w:sz w:val="20"/>
                      <w:szCs w:val="20"/>
                    </w:rPr>
                  </w:pPr>
                  <w:r>
                    <w:rPr>
                      <w:spacing w:val="8"/>
                      <w:sz w:val="20"/>
                      <w:szCs w:val="20"/>
                    </w:rPr>
                    <w:t>本项目不属于煤</w:t>
                  </w:r>
                </w:p>
                <w:p w14:paraId="7D82E55C">
                  <w:pPr>
                    <w:pStyle w:val="6"/>
                    <w:spacing w:before="25" w:line="228" w:lineRule="auto"/>
                    <w:ind w:left="145"/>
                    <w:rPr>
                      <w:sz w:val="20"/>
                      <w:szCs w:val="20"/>
                    </w:rPr>
                  </w:pPr>
                  <w:r>
                    <w:rPr>
                      <w:spacing w:val="2"/>
                      <w:sz w:val="20"/>
                      <w:szCs w:val="20"/>
                    </w:rPr>
                    <w:t>电、煤化工、</w:t>
                  </w:r>
                  <w:r>
                    <w:rPr>
                      <w:spacing w:val="-56"/>
                      <w:sz w:val="20"/>
                      <w:szCs w:val="20"/>
                    </w:rPr>
                    <w:t xml:space="preserve"> </w:t>
                  </w:r>
                  <w:r>
                    <w:rPr>
                      <w:spacing w:val="2"/>
                      <w:sz w:val="20"/>
                      <w:szCs w:val="20"/>
                    </w:rPr>
                    <w:t>电</w:t>
                  </w:r>
                </w:p>
                <w:p w14:paraId="606409D3">
                  <w:pPr>
                    <w:pStyle w:val="6"/>
                    <w:spacing w:before="23" w:line="228" w:lineRule="auto"/>
                    <w:ind w:left="121"/>
                    <w:rPr>
                      <w:sz w:val="20"/>
                      <w:szCs w:val="20"/>
                    </w:rPr>
                  </w:pPr>
                  <w:r>
                    <w:rPr>
                      <w:spacing w:val="8"/>
                      <w:sz w:val="20"/>
                      <w:szCs w:val="20"/>
                    </w:rPr>
                    <w:t>石等产业；不属</w:t>
                  </w:r>
                </w:p>
                <w:p w14:paraId="54540A4C">
                  <w:pPr>
                    <w:pStyle w:val="6"/>
                    <w:spacing w:before="26" w:line="228" w:lineRule="auto"/>
                    <w:ind w:left="124"/>
                    <w:rPr>
                      <w:sz w:val="20"/>
                      <w:szCs w:val="20"/>
                    </w:rPr>
                  </w:pPr>
                  <w:r>
                    <w:rPr>
                      <w:spacing w:val="6"/>
                      <w:sz w:val="20"/>
                      <w:szCs w:val="20"/>
                    </w:rPr>
                    <w:t>于新（改、扩）</w:t>
                  </w:r>
                </w:p>
                <w:p w14:paraId="222FDB9D">
                  <w:pPr>
                    <w:pStyle w:val="6"/>
                    <w:spacing w:before="24" w:line="228" w:lineRule="auto"/>
                    <w:ind w:left="123"/>
                    <w:rPr>
                      <w:sz w:val="20"/>
                      <w:szCs w:val="20"/>
                    </w:rPr>
                  </w:pPr>
                  <w:r>
                    <w:rPr>
                      <w:spacing w:val="8"/>
                      <w:sz w:val="20"/>
                      <w:szCs w:val="20"/>
                    </w:rPr>
                    <w:t>建化工项目；项</w:t>
                  </w:r>
                </w:p>
                <w:p w14:paraId="40E6D323">
                  <w:pPr>
                    <w:pStyle w:val="6"/>
                    <w:spacing w:before="27" w:line="228" w:lineRule="auto"/>
                    <w:ind w:left="160"/>
                    <w:rPr>
                      <w:sz w:val="20"/>
                      <w:szCs w:val="20"/>
                    </w:rPr>
                  </w:pPr>
                  <w:r>
                    <w:rPr>
                      <w:spacing w:val="2"/>
                      <w:sz w:val="20"/>
                      <w:szCs w:val="20"/>
                    </w:rPr>
                    <w:t>目区周边没有居</w:t>
                  </w:r>
                </w:p>
                <w:p w14:paraId="6A1F209C">
                  <w:pPr>
                    <w:pStyle w:val="6"/>
                    <w:spacing w:before="24" w:line="228" w:lineRule="auto"/>
                    <w:ind w:left="561"/>
                    <w:rPr>
                      <w:sz w:val="20"/>
                      <w:szCs w:val="20"/>
                    </w:rPr>
                  </w:pPr>
                  <w:r>
                    <w:rPr>
                      <w:spacing w:val="-4"/>
                      <w:sz w:val="20"/>
                      <w:szCs w:val="20"/>
                    </w:rPr>
                    <w:t>民区。</w:t>
                  </w:r>
                </w:p>
              </w:tc>
              <w:tc>
                <w:tcPr>
                  <w:tcW w:w="361" w:type="dxa"/>
                  <w:textDirection w:val="tbRlV"/>
                  <w:vAlign w:val="top"/>
                </w:tcPr>
                <w:p w14:paraId="5B5070DC">
                  <w:pPr>
                    <w:pStyle w:val="6"/>
                    <w:spacing w:before="37" w:line="215" w:lineRule="auto"/>
                    <w:ind w:left="1120"/>
                    <w:rPr>
                      <w:sz w:val="20"/>
                      <w:szCs w:val="20"/>
                    </w:rPr>
                  </w:pPr>
                  <w:r>
                    <w:rPr>
                      <w:spacing w:val="8"/>
                      <w:sz w:val="20"/>
                      <w:szCs w:val="20"/>
                    </w:rPr>
                    <w:t>符</w:t>
                  </w:r>
                  <w:r>
                    <w:rPr>
                      <w:spacing w:val="-35"/>
                      <w:sz w:val="20"/>
                      <w:szCs w:val="20"/>
                    </w:rPr>
                    <w:t xml:space="preserve"> </w:t>
                  </w:r>
                  <w:r>
                    <w:rPr>
                      <w:spacing w:val="8"/>
                      <w:sz w:val="20"/>
                      <w:szCs w:val="20"/>
                    </w:rPr>
                    <w:t>合</w:t>
                  </w:r>
                </w:p>
              </w:tc>
            </w:tr>
            <w:tr w14:paraId="1B53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647" w:type="dxa"/>
                  <w:vMerge w:val="continue"/>
                  <w:tcBorders>
                    <w:top w:val="nil"/>
                  </w:tcBorders>
                  <w:vAlign w:val="top"/>
                </w:tcPr>
                <w:p w14:paraId="0053E4FF">
                  <w:pPr>
                    <w:rPr>
                      <w:rFonts w:ascii="Arial"/>
                      <w:sz w:val="21"/>
                    </w:rPr>
                  </w:pPr>
                </w:p>
              </w:tc>
              <w:tc>
                <w:tcPr>
                  <w:tcW w:w="651" w:type="dxa"/>
                  <w:vMerge w:val="continue"/>
                  <w:tcBorders>
                    <w:top w:val="nil"/>
                  </w:tcBorders>
                  <w:vAlign w:val="top"/>
                </w:tcPr>
                <w:p w14:paraId="260A10AD">
                  <w:pPr>
                    <w:rPr>
                      <w:rFonts w:ascii="Arial"/>
                      <w:sz w:val="21"/>
                    </w:rPr>
                  </w:pPr>
                </w:p>
              </w:tc>
              <w:tc>
                <w:tcPr>
                  <w:tcW w:w="385" w:type="dxa"/>
                  <w:vMerge w:val="continue"/>
                  <w:tcBorders>
                    <w:top w:val="nil"/>
                  </w:tcBorders>
                  <w:textDirection w:val="tbRlV"/>
                  <w:vAlign w:val="top"/>
                </w:tcPr>
                <w:p w14:paraId="6924EAC3">
                  <w:pPr>
                    <w:rPr>
                      <w:rFonts w:ascii="Arial"/>
                      <w:sz w:val="21"/>
                    </w:rPr>
                  </w:pPr>
                </w:p>
              </w:tc>
              <w:tc>
                <w:tcPr>
                  <w:tcW w:w="385" w:type="dxa"/>
                  <w:textDirection w:val="tbRlV"/>
                  <w:vAlign w:val="top"/>
                </w:tcPr>
                <w:p w14:paraId="263D473B">
                  <w:pPr>
                    <w:pStyle w:val="6"/>
                    <w:spacing w:before="67" w:line="216" w:lineRule="auto"/>
                    <w:ind w:left="1122"/>
                    <w:rPr>
                      <w:sz w:val="20"/>
                      <w:szCs w:val="20"/>
                    </w:rPr>
                  </w:pPr>
                  <w:r>
                    <w:rPr>
                      <w:spacing w:val="8"/>
                      <w:sz w:val="20"/>
                      <w:szCs w:val="20"/>
                    </w:rPr>
                    <w:t>污</w:t>
                  </w:r>
                  <w:r>
                    <w:rPr>
                      <w:spacing w:val="-34"/>
                      <w:sz w:val="20"/>
                      <w:szCs w:val="20"/>
                    </w:rPr>
                    <w:t xml:space="preserve"> </w:t>
                  </w:r>
                  <w:r>
                    <w:rPr>
                      <w:spacing w:val="8"/>
                      <w:sz w:val="20"/>
                      <w:szCs w:val="20"/>
                    </w:rPr>
                    <w:t>染</w:t>
                  </w:r>
                  <w:r>
                    <w:rPr>
                      <w:spacing w:val="-35"/>
                      <w:sz w:val="20"/>
                      <w:szCs w:val="20"/>
                    </w:rPr>
                    <w:t xml:space="preserve"> </w:t>
                  </w:r>
                  <w:r>
                    <w:rPr>
                      <w:spacing w:val="8"/>
                      <w:sz w:val="20"/>
                      <w:szCs w:val="20"/>
                    </w:rPr>
                    <w:t>物</w:t>
                  </w:r>
                  <w:r>
                    <w:rPr>
                      <w:spacing w:val="-37"/>
                      <w:sz w:val="20"/>
                      <w:szCs w:val="20"/>
                    </w:rPr>
                    <w:t xml:space="preserve"> </w:t>
                  </w:r>
                  <w:r>
                    <w:rPr>
                      <w:spacing w:val="8"/>
                      <w:sz w:val="20"/>
                      <w:szCs w:val="20"/>
                    </w:rPr>
                    <w:t>排</w:t>
                  </w:r>
                  <w:r>
                    <w:rPr>
                      <w:spacing w:val="-36"/>
                      <w:sz w:val="20"/>
                      <w:szCs w:val="20"/>
                    </w:rPr>
                    <w:t xml:space="preserve"> </w:t>
                  </w:r>
                  <w:r>
                    <w:rPr>
                      <w:spacing w:val="8"/>
                      <w:sz w:val="20"/>
                      <w:szCs w:val="20"/>
                    </w:rPr>
                    <w:t>放</w:t>
                  </w:r>
                  <w:r>
                    <w:rPr>
                      <w:spacing w:val="-37"/>
                      <w:sz w:val="20"/>
                      <w:szCs w:val="20"/>
                    </w:rPr>
                    <w:t xml:space="preserve"> </w:t>
                  </w:r>
                  <w:r>
                    <w:rPr>
                      <w:spacing w:val="8"/>
                      <w:sz w:val="20"/>
                      <w:szCs w:val="20"/>
                    </w:rPr>
                    <w:t>管</w:t>
                  </w:r>
                  <w:r>
                    <w:rPr>
                      <w:spacing w:val="-35"/>
                      <w:sz w:val="20"/>
                      <w:szCs w:val="20"/>
                    </w:rPr>
                    <w:t xml:space="preserve"> </w:t>
                  </w:r>
                  <w:r>
                    <w:rPr>
                      <w:spacing w:val="8"/>
                      <w:sz w:val="20"/>
                      <w:szCs w:val="20"/>
                    </w:rPr>
                    <w:t>控</w:t>
                  </w:r>
                </w:p>
              </w:tc>
              <w:tc>
                <w:tcPr>
                  <w:tcW w:w="3007" w:type="dxa"/>
                  <w:vAlign w:val="top"/>
                </w:tcPr>
                <w:p w14:paraId="33CD2BB1">
                  <w:pPr>
                    <w:pStyle w:val="6"/>
                    <w:spacing w:before="32" w:line="226"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spacing w:val="5"/>
                      <w:sz w:val="20"/>
                      <w:szCs w:val="20"/>
                    </w:rPr>
                    <w:t>化工等重点行业及</w:t>
                  </w:r>
                  <w:r>
                    <w:rPr>
                      <w:spacing w:val="-30"/>
                      <w:sz w:val="20"/>
                      <w:szCs w:val="20"/>
                    </w:rPr>
                    <w:t xml:space="preserve"> </w:t>
                  </w:r>
                  <w:r>
                    <w:rPr>
                      <w:rFonts w:ascii="Times New Roman" w:hAnsi="Times New Roman" w:eastAsia="Times New Roman" w:cs="Times New Roman"/>
                      <w:spacing w:val="5"/>
                      <w:sz w:val="20"/>
                      <w:szCs w:val="20"/>
                    </w:rPr>
                    <w:t xml:space="preserve">65 </w:t>
                  </w:r>
                  <w:r>
                    <w:rPr>
                      <w:spacing w:val="5"/>
                      <w:sz w:val="20"/>
                      <w:szCs w:val="20"/>
                    </w:rPr>
                    <w:t>蒸吨</w:t>
                  </w:r>
                  <w:r>
                    <w:rPr>
                      <w:rFonts w:ascii="Times New Roman" w:hAnsi="Times New Roman" w:eastAsia="Times New Roman" w:cs="Times New Roman"/>
                      <w:spacing w:val="5"/>
                      <w:sz w:val="20"/>
                      <w:szCs w:val="20"/>
                    </w:rPr>
                    <w:t>/</w:t>
                  </w:r>
                </w:p>
                <w:p w14:paraId="42E7EC5D">
                  <w:pPr>
                    <w:pStyle w:val="6"/>
                    <w:spacing w:before="28" w:line="226" w:lineRule="auto"/>
                    <w:ind w:left="150"/>
                    <w:rPr>
                      <w:sz w:val="20"/>
                      <w:szCs w:val="20"/>
                    </w:rPr>
                  </w:pPr>
                  <w:r>
                    <w:rPr>
                      <w:spacing w:val="8"/>
                      <w:sz w:val="20"/>
                      <w:szCs w:val="20"/>
                    </w:rPr>
                    <w:t>小时及以上燃煤锅炉的现役企</w:t>
                  </w:r>
                </w:p>
                <w:p w14:paraId="4547FF14">
                  <w:pPr>
                    <w:pStyle w:val="6"/>
                    <w:spacing w:before="26" w:line="227" w:lineRule="auto"/>
                    <w:ind w:left="143"/>
                    <w:rPr>
                      <w:sz w:val="20"/>
                      <w:szCs w:val="20"/>
                    </w:rPr>
                  </w:pPr>
                  <w:r>
                    <w:rPr>
                      <w:spacing w:val="9"/>
                      <w:sz w:val="20"/>
                      <w:szCs w:val="20"/>
                    </w:rPr>
                    <w:t>业和新建项目一律执行大气污</w:t>
                  </w:r>
                </w:p>
                <w:p w14:paraId="076AA855">
                  <w:pPr>
                    <w:pStyle w:val="6"/>
                    <w:spacing w:before="27" w:line="228" w:lineRule="auto"/>
                    <w:ind w:left="148"/>
                    <w:rPr>
                      <w:sz w:val="20"/>
                      <w:szCs w:val="20"/>
                    </w:rPr>
                  </w:pPr>
                  <w:r>
                    <w:rPr>
                      <w:spacing w:val="9"/>
                      <w:sz w:val="20"/>
                      <w:szCs w:val="20"/>
                    </w:rPr>
                    <w:t>染物特排放限值。强化企业大</w:t>
                  </w:r>
                </w:p>
                <w:p w14:paraId="526ED57E">
                  <w:pPr>
                    <w:pStyle w:val="6"/>
                    <w:spacing w:before="24" w:line="227" w:lineRule="auto"/>
                    <w:ind w:left="145"/>
                    <w:rPr>
                      <w:sz w:val="20"/>
                      <w:szCs w:val="20"/>
                    </w:rPr>
                  </w:pPr>
                  <w:r>
                    <w:rPr>
                      <w:spacing w:val="9"/>
                      <w:sz w:val="20"/>
                      <w:szCs w:val="20"/>
                    </w:rPr>
                    <w:t>气污染物排放精细化管理、无</w:t>
                  </w:r>
                </w:p>
                <w:p w14:paraId="48D92EBC">
                  <w:pPr>
                    <w:pStyle w:val="6"/>
                    <w:spacing w:before="25" w:line="227" w:lineRule="auto"/>
                    <w:ind w:left="147"/>
                    <w:rPr>
                      <w:sz w:val="20"/>
                      <w:szCs w:val="20"/>
                    </w:rPr>
                  </w:pPr>
                  <w:r>
                    <w:rPr>
                      <w:spacing w:val="9"/>
                      <w:sz w:val="20"/>
                      <w:szCs w:val="20"/>
                    </w:rPr>
                    <w:t>组织废气排放控制以及高效治</w:t>
                  </w:r>
                </w:p>
                <w:p w14:paraId="36E11ECC">
                  <w:pPr>
                    <w:pStyle w:val="6"/>
                    <w:spacing w:before="28" w:line="228" w:lineRule="auto"/>
                    <w:ind w:left="146"/>
                    <w:rPr>
                      <w:sz w:val="20"/>
                      <w:szCs w:val="20"/>
                    </w:rPr>
                  </w:pPr>
                  <w:r>
                    <w:rPr>
                      <w:spacing w:val="9"/>
                      <w:sz w:val="20"/>
                      <w:szCs w:val="20"/>
                    </w:rPr>
                    <w:t>污设施建设。重点行业粉状物</w:t>
                  </w:r>
                </w:p>
                <w:p w14:paraId="3A6B314D">
                  <w:pPr>
                    <w:pStyle w:val="6"/>
                    <w:spacing w:before="24" w:line="224" w:lineRule="auto"/>
                    <w:ind w:left="144"/>
                    <w:rPr>
                      <w:sz w:val="20"/>
                      <w:szCs w:val="20"/>
                    </w:rPr>
                  </w:pPr>
                  <w:r>
                    <w:rPr>
                      <w:spacing w:val="9"/>
                      <w:sz w:val="20"/>
                      <w:szCs w:val="20"/>
                    </w:rPr>
                    <w:t>料堆场实现全封闭，块状物料</w:t>
                  </w:r>
                </w:p>
                <w:p w14:paraId="2C32FF4F">
                  <w:pPr>
                    <w:pStyle w:val="6"/>
                    <w:spacing w:before="31" w:line="228" w:lineRule="auto"/>
                    <w:ind w:left="777"/>
                    <w:rPr>
                      <w:sz w:val="20"/>
                      <w:szCs w:val="20"/>
                    </w:rPr>
                  </w:pPr>
                  <w:r>
                    <w:rPr>
                      <w:spacing w:val="6"/>
                      <w:sz w:val="20"/>
                      <w:szCs w:val="20"/>
                    </w:rPr>
                    <w:t>安装抑尘设施。</w:t>
                  </w:r>
                </w:p>
                <w:p w14:paraId="7CBECDA7">
                  <w:pPr>
                    <w:pStyle w:val="6"/>
                    <w:spacing w:before="27" w:line="227" w:lineRule="auto"/>
                    <w:ind w:left="109"/>
                    <w:rPr>
                      <w:sz w:val="20"/>
                      <w:szCs w:val="20"/>
                    </w:rPr>
                  </w:pPr>
                  <w:r>
                    <w:rPr>
                      <w:rFonts w:ascii="Times New Roman" w:hAnsi="Times New Roman" w:eastAsia="Times New Roman" w:cs="Times New Roman"/>
                      <w:spacing w:val="2"/>
                      <w:sz w:val="20"/>
                      <w:szCs w:val="20"/>
                    </w:rPr>
                    <w:t>2.</w:t>
                  </w:r>
                  <w:r>
                    <w:rPr>
                      <w:spacing w:val="2"/>
                      <w:sz w:val="20"/>
                      <w:szCs w:val="20"/>
                    </w:rPr>
                    <w:t>积极推广集中供热，禁止新建</w:t>
                  </w:r>
                </w:p>
                <w:p w14:paraId="58CDF730">
                  <w:pPr>
                    <w:pStyle w:val="6"/>
                    <w:spacing w:before="25" w:line="226" w:lineRule="auto"/>
                    <w:ind w:left="538"/>
                    <w:rPr>
                      <w:sz w:val="20"/>
                      <w:szCs w:val="20"/>
                    </w:rPr>
                  </w:pPr>
                  <w:r>
                    <w:rPr>
                      <w:rFonts w:ascii="Times New Roman" w:hAnsi="Times New Roman" w:eastAsia="Times New Roman" w:cs="Times New Roman"/>
                      <w:spacing w:val="7"/>
                      <w:sz w:val="20"/>
                      <w:szCs w:val="20"/>
                    </w:rPr>
                    <w:t xml:space="preserve">35 </w:t>
                  </w:r>
                  <w:r>
                    <w:rPr>
                      <w:spacing w:val="7"/>
                      <w:sz w:val="20"/>
                      <w:szCs w:val="20"/>
                    </w:rPr>
                    <w:t>蒸吨以下燃煤锅炉</w:t>
                  </w:r>
                </w:p>
                <w:p w14:paraId="7E888195">
                  <w:pPr>
                    <w:pStyle w:val="6"/>
                    <w:spacing w:before="26" w:line="243" w:lineRule="auto"/>
                    <w:ind w:left="114" w:right="34" w:firstLine="54"/>
                    <w:rPr>
                      <w:sz w:val="20"/>
                      <w:szCs w:val="20"/>
                    </w:rPr>
                  </w:pPr>
                  <w:r>
                    <w:rPr>
                      <w:rFonts w:ascii="Times New Roman" w:hAnsi="Times New Roman" w:eastAsia="Times New Roman" w:cs="Times New Roman"/>
                      <w:spacing w:val="8"/>
                      <w:sz w:val="20"/>
                      <w:szCs w:val="20"/>
                    </w:rPr>
                    <w:t>3.</w:t>
                  </w:r>
                  <w:r>
                    <w:rPr>
                      <w:spacing w:val="8"/>
                      <w:sz w:val="20"/>
                      <w:szCs w:val="20"/>
                    </w:rPr>
                    <w:t>完善园区污水集中处理设施</w:t>
                  </w:r>
                  <w:r>
                    <w:rPr>
                      <w:spacing w:val="2"/>
                      <w:sz w:val="20"/>
                      <w:szCs w:val="20"/>
                    </w:rPr>
                    <w:t xml:space="preserve">  </w:t>
                  </w:r>
                  <w:r>
                    <w:rPr>
                      <w:spacing w:val="3"/>
                      <w:sz w:val="20"/>
                      <w:szCs w:val="20"/>
                    </w:rPr>
                    <w:t>和配套管网。实行“清污分流、</w:t>
                  </w:r>
                  <w:r>
                    <w:rPr>
                      <w:spacing w:val="10"/>
                      <w:sz w:val="20"/>
                      <w:szCs w:val="20"/>
                    </w:rPr>
                    <w:t xml:space="preserve"> 雨污分流</w:t>
                  </w:r>
                  <w:r>
                    <w:rPr>
                      <w:spacing w:val="-66"/>
                      <w:sz w:val="20"/>
                      <w:szCs w:val="20"/>
                    </w:rPr>
                    <w:t xml:space="preserve"> </w:t>
                  </w:r>
                  <w:r>
                    <w:rPr>
                      <w:spacing w:val="10"/>
                      <w:sz w:val="20"/>
                      <w:szCs w:val="20"/>
                    </w:rPr>
                    <w:t>”，污水应收尽收，</w:t>
                  </w:r>
                  <w:r>
                    <w:rPr>
                      <w:sz w:val="20"/>
                      <w:szCs w:val="20"/>
                    </w:rPr>
                    <w:t xml:space="preserve">  </w:t>
                  </w:r>
                  <w:r>
                    <w:rPr>
                      <w:spacing w:val="11"/>
                      <w:sz w:val="20"/>
                      <w:szCs w:val="20"/>
                    </w:rPr>
                    <w:t>全部回用，区内一律不得新建</w:t>
                  </w:r>
                </w:p>
              </w:tc>
              <w:tc>
                <w:tcPr>
                  <w:tcW w:w="1696" w:type="dxa"/>
                  <w:vAlign w:val="top"/>
                </w:tcPr>
                <w:p w14:paraId="4057A80C">
                  <w:pPr>
                    <w:pStyle w:val="6"/>
                    <w:spacing w:before="32" w:line="227" w:lineRule="auto"/>
                    <w:ind w:left="121"/>
                    <w:rPr>
                      <w:sz w:val="20"/>
                      <w:szCs w:val="20"/>
                    </w:rPr>
                  </w:pPr>
                  <w:r>
                    <w:rPr>
                      <w:spacing w:val="8"/>
                      <w:sz w:val="20"/>
                      <w:szCs w:val="20"/>
                    </w:rPr>
                    <w:t>本项目不涉及排</w:t>
                  </w:r>
                </w:p>
                <w:p w14:paraId="65568269">
                  <w:pPr>
                    <w:pStyle w:val="6"/>
                    <w:spacing w:before="27" w:line="227" w:lineRule="auto"/>
                    <w:ind w:left="120"/>
                    <w:rPr>
                      <w:sz w:val="20"/>
                      <w:szCs w:val="20"/>
                    </w:rPr>
                  </w:pPr>
                  <w:r>
                    <w:rPr>
                      <w:spacing w:val="8"/>
                      <w:sz w:val="20"/>
                      <w:szCs w:val="20"/>
                    </w:rPr>
                    <w:t>放有组织大气污</w:t>
                  </w:r>
                </w:p>
                <w:p w14:paraId="77550DAD">
                  <w:pPr>
                    <w:pStyle w:val="6"/>
                    <w:spacing w:before="24" w:line="228" w:lineRule="auto"/>
                    <w:ind w:left="124"/>
                    <w:rPr>
                      <w:sz w:val="20"/>
                      <w:szCs w:val="20"/>
                    </w:rPr>
                  </w:pPr>
                  <w:r>
                    <w:rPr>
                      <w:spacing w:val="8"/>
                      <w:sz w:val="20"/>
                      <w:szCs w:val="20"/>
                    </w:rPr>
                    <w:t>染物；不涉及粉</w:t>
                  </w:r>
                </w:p>
                <w:p w14:paraId="3D6A42E2">
                  <w:pPr>
                    <w:pStyle w:val="6"/>
                    <w:spacing w:before="26" w:line="228" w:lineRule="auto"/>
                    <w:ind w:left="120"/>
                    <w:rPr>
                      <w:sz w:val="20"/>
                      <w:szCs w:val="20"/>
                    </w:rPr>
                  </w:pPr>
                  <w:r>
                    <w:rPr>
                      <w:spacing w:val="8"/>
                      <w:sz w:val="20"/>
                      <w:szCs w:val="20"/>
                    </w:rPr>
                    <w:t>状物料、块状物</w:t>
                  </w:r>
                </w:p>
                <w:p w14:paraId="3F08748D">
                  <w:pPr>
                    <w:pStyle w:val="6"/>
                    <w:spacing w:before="25" w:line="228" w:lineRule="auto"/>
                    <w:ind w:left="120"/>
                    <w:rPr>
                      <w:sz w:val="20"/>
                      <w:szCs w:val="20"/>
                    </w:rPr>
                  </w:pPr>
                  <w:r>
                    <w:rPr>
                      <w:spacing w:val="8"/>
                      <w:sz w:val="20"/>
                      <w:szCs w:val="20"/>
                    </w:rPr>
                    <w:t>料堆存；场区由</w:t>
                  </w:r>
                </w:p>
                <w:p w14:paraId="4CB33502">
                  <w:pPr>
                    <w:pStyle w:val="6"/>
                    <w:spacing w:before="24" w:line="227" w:lineRule="auto"/>
                    <w:ind w:left="126"/>
                    <w:rPr>
                      <w:sz w:val="20"/>
                      <w:szCs w:val="20"/>
                    </w:rPr>
                  </w:pPr>
                  <w:r>
                    <w:rPr>
                      <w:spacing w:val="7"/>
                      <w:sz w:val="20"/>
                      <w:szCs w:val="20"/>
                    </w:rPr>
                    <w:t>市政供热管网提</w:t>
                  </w:r>
                </w:p>
                <w:p w14:paraId="7BEF4FA9">
                  <w:pPr>
                    <w:pStyle w:val="6"/>
                    <w:spacing w:before="28" w:line="226" w:lineRule="auto"/>
                    <w:ind w:left="120"/>
                    <w:rPr>
                      <w:sz w:val="20"/>
                      <w:szCs w:val="20"/>
                    </w:rPr>
                  </w:pPr>
                  <w:r>
                    <w:rPr>
                      <w:spacing w:val="8"/>
                      <w:sz w:val="20"/>
                      <w:szCs w:val="20"/>
                    </w:rPr>
                    <w:t>供，无需新建燃</w:t>
                  </w:r>
                </w:p>
                <w:p w14:paraId="5803C539">
                  <w:pPr>
                    <w:pStyle w:val="6"/>
                    <w:spacing w:before="26" w:line="224" w:lineRule="auto"/>
                    <w:ind w:left="121"/>
                    <w:rPr>
                      <w:sz w:val="20"/>
                      <w:szCs w:val="20"/>
                    </w:rPr>
                  </w:pPr>
                  <w:r>
                    <w:rPr>
                      <w:spacing w:val="8"/>
                      <w:sz w:val="20"/>
                      <w:szCs w:val="20"/>
                    </w:rPr>
                    <w:t>煤锅炉；场区实</w:t>
                  </w:r>
                </w:p>
                <w:p w14:paraId="2CF1AEAF">
                  <w:pPr>
                    <w:pStyle w:val="6"/>
                    <w:spacing w:before="31" w:line="228" w:lineRule="auto"/>
                    <w:ind w:left="124"/>
                    <w:rPr>
                      <w:sz w:val="20"/>
                      <w:szCs w:val="20"/>
                    </w:rPr>
                  </w:pPr>
                  <w:r>
                    <w:rPr>
                      <w:spacing w:val="6"/>
                      <w:sz w:val="20"/>
                      <w:szCs w:val="20"/>
                    </w:rPr>
                    <w:t>行“清污分流、</w:t>
                  </w:r>
                </w:p>
                <w:p w14:paraId="037E9153">
                  <w:pPr>
                    <w:pStyle w:val="6"/>
                    <w:spacing w:before="27" w:line="228" w:lineRule="auto"/>
                    <w:ind w:left="129"/>
                    <w:rPr>
                      <w:sz w:val="20"/>
                      <w:szCs w:val="20"/>
                    </w:rPr>
                  </w:pPr>
                  <w:r>
                    <w:rPr>
                      <w:spacing w:val="3"/>
                      <w:sz w:val="20"/>
                      <w:szCs w:val="20"/>
                    </w:rPr>
                    <w:t>雨污分流</w:t>
                  </w:r>
                  <w:r>
                    <w:rPr>
                      <w:spacing w:val="-70"/>
                      <w:sz w:val="20"/>
                      <w:szCs w:val="20"/>
                    </w:rPr>
                    <w:t xml:space="preserve"> </w:t>
                  </w:r>
                  <w:r>
                    <w:rPr>
                      <w:spacing w:val="3"/>
                      <w:sz w:val="20"/>
                      <w:szCs w:val="20"/>
                    </w:rPr>
                    <w:t>”，通</w:t>
                  </w:r>
                </w:p>
                <w:p w14:paraId="53409AEC">
                  <w:pPr>
                    <w:pStyle w:val="6"/>
                    <w:spacing w:before="24" w:line="228" w:lineRule="auto"/>
                    <w:ind w:left="121"/>
                    <w:rPr>
                      <w:sz w:val="20"/>
                      <w:szCs w:val="20"/>
                    </w:rPr>
                  </w:pPr>
                  <w:r>
                    <w:rPr>
                      <w:spacing w:val="8"/>
                      <w:sz w:val="20"/>
                      <w:szCs w:val="20"/>
                    </w:rPr>
                    <w:t>过初期雨水收集</w:t>
                  </w:r>
                </w:p>
                <w:p w14:paraId="15FBA348">
                  <w:pPr>
                    <w:pStyle w:val="6"/>
                    <w:spacing w:before="24" w:line="228" w:lineRule="auto"/>
                    <w:ind w:left="120"/>
                    <w:rPr>
                      <w:sz w:val="20"/>
                      <w:szCs w:val="20"/>
                    </w:rPr>
                  </w:pPr>
                  <w:r>
                    <w:rPr>
                      <w:spacing w:val="8"/>
                      <w:sz w:val="20"/>
                      <w:szCs w:val="20"/>
                    </w:rPr>
                    <w:t>池收集，排入园</w:t>
                  </w:r>
                </w:p>
                <w:p w14:paraId="4EABEC1A">
                  <w:pPr>
                    <w:pStyle w:val="6"/>
                    <w:spacing w:before="26" w:line="228" w:lineRule="auto"/>
                    <w:ind w:left="239"/>
                    <w:rPr>
                      <w:sz w:val="20"/>
                      <w:szCs w:val="20"/>
                    </w:rPr>
                  </w:pPr>
                  <w:r>
                    <w:rPr>
                      <w:spacing w:val="5"/>
                      <w:sz w:val="20"/>
                      <w:szCs w:val="20"/>
                    </w:rPr>
                    <w:t>区市政雨水管</w:t>
                  </w:r>
                </w:p>
                <w:p w14:paraId="4C7F5754">
                  <w:pPr>
                    <w:pStyle w:val="6"/>
                    <w:spacing w:before="25" w:line="228" w:lineRule="auto"/>
                    <w:ind w:left="137"/>
                    <w:rPr>
                      <w:sz w:val="20"/>
                      <w:szCs w:val="20"/>
                    </w:rPr>
                  </w:pPr>
                  <w:r>
                    <w:rPr>
                      <w:spacing w:val="6"/>
                      <w:sz w:val="20"/>
                      <w:szCs w:val="20"/>
                    </w:rPr>
                    <w:t>网；生活污水经</w:t>
                  </w:r>
                </w:p>
                <w:p w14:paraId="6A3F8931">
                  <w:pPr>
                    <w:pStyle w:val="6"/>
                    <w:spacing w:before="26" w:line="216" w:lineRule="auto"/>
                    <w:ind w:left="133"/>
                    <w:rPr>
                      <w:sz w:val="20"/>
                      <w:szCs w:val="20"/>
                    </w:rPr>
                  </w:pPr>
                  <w:r>
                    <w:rPr>
                      <w:spacing w:val="6"/>
                      <w:sz w:val="20"/>
                      <w:szCs w:val="20"/>
                    </w:rPr>
                    <w:t>隔油池、化粪池</w:t>
                  </w:r>
                </w:p>
              </w:tc>
              <w:tc>
                <w:tcPr>
                  <w:tcW w:w="361" w:type="dxa"/>
                  <w:textDirection w:val="tbRlV"/>
                  <w:vAlign w:val="top"/>
                </w:tcPr>
                <w:p w14:paraId="1DF7D5A1">
                  <w:pPr>
                    <w:pStyle w:val="6"/>
                    <w:spacing w:before="37" w:line="215" w:lineRule="auto"/>
                    <w:ind w:left="1803"/>
                    <w:rPr>
                      <w:sz w:val="20"/>
                      <w:szCs w:val="20"/>
                    </w:rPr>
                  </w:pPr>
                  <w:r>
                    <w:rPr>
                      <w:spacing w:val="8"/>
                      <w:sz w:val="20"/>
                      <w:szCs w:val="20"/>
                    </w:rPr>
                    <w:t>符</w:t>
                  </w:r>
                  <w:r>
                    <w:rPr>
                      <w:spacing w:val="-38"/>
                      <w:sz w:val="20"/>
                      <w:szCs w:val="20"/>
                    </w:rPr>
                    <w:t xml:space="preserve"> </w:t>
                  </w:r>
                  <w:r>
                    <w:rPr>
                      <w:spacing w:val="8"/>
                      <w:sz w:val="20"/>
                      <w:szCs w:val="20"/>
                    </w:rPr>
                    <w:t>合</w:t>
                  </w:r>
                </w:p>
              </w:tc>
            </w:tr>
          </w:tbl>
          <w:p w14:paraId="5B01B1DC">
            <w:pPr>
              <w:spacing w:line="51" w:lineRule="exact"/>
              <w:rPr>
                <w:rFonts w:ascii="Arial"/>
                <w:sz w:val="4"/>
              </w:rPr>
            </w:pPr>
          </w:p>
        </w:tc>
      </w:tr>
    </w:tbl>
    <w:p w14:paraId="35630C1A">
      <w:pPr>
        <w:pStyle w:val="2"/>
        <w:spacing w:line="221" w:lineRule="exact"/>
        <w:rPr>
          <w:sz w:val="19"/>
        </w:rPr>
      </w:pPr>
    </w:p>
    <w:p w14:paraId="0285A9CE">
      <w:pPr>
        <w:spacing w:line="221" w:lineRule="exact"/>
        <w:rPr>
          <w:sz w:val="19"/>
          <w:szCs w:val="19"/>
        </w:rPr>
        <w:sectPr>
          <w:footerReference r:id="rId21" w:type="default"/>
          <w:pgSz w:w="11906" w:h="16839"/>
          <w:pgMar w:top="400" w:right="1739" w:bottom="1259" w:left="1738" w:header="0" w:footer="1097" w:gutter="0"/>
          <w:cols w:space="720" w:num="1"/>
        </w:sectPr>
      </w:pPr>
    </w:p>
    <w:p w14:paraId="2D582C1D">
      <w:pPr>
        <w:spacing w:before="19"/>
      </w:pPr>
    </w:p>
    <w:p w14:paraId="2010B15C">
      <w:pPr>
        <w:spacing w:before="19"/>
      </w:pPr>
    </w:p>
    <w:p w14:paraId="305BAC78">
      <w:pPr>
        <w:spacing w:before="18"/>
      </w:pPr>
    </w:p>
    <w:p w14:paraId="1693E1D0">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35482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8" w:hRule="atLeast"/>
        </w:trPr>
        <w:tc>
          <w:tcPr>
            <w:tcW w:w="1171" w:type="dxa"/>
            <w:vAlign w:val="top"/>
          </w:tcPr>
          <w:p w14:paraId="3EC97B05">
            <w:pPr>
              <w:rPr>
                <w:rFonts w:ascii="Arial"/>
                <w:sz w:val="21"/>
              </w:rPr>
            </w:pPr>
          </w:p>
        </w:tc>
        <w:tc>
          <w:tcPr>
            <w:tcW w:w="7252" w:type="dxa"/>
            <w:vAlign w:val="top"/>
          </w:tcPr>
          <w:p w14:paraId="1D96903F">
            <w:pPr>
              <w:spacing w:line="61" w:lineRule="exact"/>
            </w:pPr>
          </w:p>
          <w:tbl>
            <w:tblPr>
              <w:tblStyle w:val="5"/>
              <w:tblW w:w="7132"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651"/>
              <w:gridCol w:w="385"/>
              <w:gridCol w:w="385"/>
              <w:gridCol w:w="3007"/>
              <w:gridCol w:w="1696"/>
              <w:gridCol w:w="361"/>
            </w:tblGrid>
            <w:tr w14:paraId="76AAC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1" w:hRule="atLeast"/>
              </w:trPr>
              <w:tc>
                <w:tcPr>
                  <w:tcW w:w="647" w:type="dxa"/>
                  <w:vMerge w:val="restart"/>
                  <w:tcBorders>
                    <w:bottom w:val="nil"/>
                  </w:tcBorders>
                  <w:vAlign w:val="top"/>
                </w:tcPr>
                <w:p w14:paraId="29442180">
                  <w:pPr>
                    <w:rPr>
                      <w:rFonts w:ascii="Arial"/>
                      <w:sz w:val="21"/>
                    </w:rPr>
                  </w:pPr>
                </w:p>
              </w:tc>
              <w:tc>
                <w:tcPr>
                  <w:tcW w:w="651" w:type="dxa"/>
                  <w:vMerge w:val="restart"/>
                  <w:tcBorders>
                    <w:bottom w:val="nil"/>
                  </w:tcBorders>
                  <w:vAlign w:val="top"/>
                </w:tcPr>
                <w:p w14:paraId="49A8F4A4">
                  <w:pPr>
                    <w:rPr>
                      <w:rFonts w:ascii="Arial"/>
                      <w:sz w:val="21"/>
                    </w:rPr>
                  </w:pPr>
                </w:p>
              </w:tc>
              <w:tc>
                <w:tcPr>
                  <w:tcW w:w="385" w:type="dxa"/>
                  <w:vMerge w:val="restart"/>
                  <w:tcBorders>
                    <w:bottom w:val="nil"/>
                  </w:tcBorders>
                  <w:vAlign w:val="top"/>
                </w:tcPr>
                <w:p w14:paraId="0E5B76B6">
                  <w:pPr>
                    <w:rPr>
                      <w:rFonts w:ascii="Arial"/>
                      <w:sz w:val="21"/>
                    </w:rPr>
                  </w:pPr>
                </w:p>
              </w:tc>
              <w:tc>
                <w:tcPr>
                  <w:tcW w:w="385" w:type="dxa"/>
                  <w:vAlign w:val="top"/>
                </w:tcPr>
                <w:p w14:paraId="3EF191FA">
                  <w:pPr>
                    <w:rPr>
                      <w:rFonts w:ascii="Arial"/>
                      <w:sz w:val="21"/>
                    </w:rPr>
                  </w:pPr>
                </w:p>
              </w:tc>
              <w:tc>
                <w:tcPr>
                  <w:tcW w:w="3007" w:type="dxa"/>
                  <w:vAlign w:val="top"/>
                </w:tcPr>
                <w:p w14:paraId="7A7DDC48">
                  <w:pPr>
                    <w:pStyle w:val="6"/>
                    <w:spacing w:before="37" w:line="226" w:lineRule="auto"/>
                    <w:ind w:left="677"/>
                    <w:rPr>
                      <w:sz w:val="20"/>
                      <w:szCs w:val="20"/>
                    </w:rPr>
                  </w:pPr>
                  <w:r>
                    <w:rPr>
                      <w:spacing w:val="6"/>
                      <w:sz w:val="20"/>
                      <w:szCs w:val="20"/>
                    </w:rPr>
                    <w:t>晾晒池、蒸发塘。</w:t>
                  </w:r>
                </w:p>
              </w:tc>
              <w:tc>
                <w:tcPr>
                  <w:tcW w:w="1696" w:type="dxa"/>
                  <w:vAlign w:val="top"/>
                </w:tcPr>
                <w:p w14:paraId="6F4E340D">
                  <w:pPr>
                    <w:pStyle w:val="6"/>
                    <w:spacing w:before="37" w:line="228" w:lineRule="auto"/>
                    <w:ind w:left="128"/>
                    <w:rPr>
                      <w:sz w:val="20"/>
                      <w:szCs w:val="20"/>
                    </w:rPr>
                  </w:pPr>
                  <w:r>
                    <w:rPr>
                      <w:spacing w:val="7"/>
                      <w:sz w:val="20"/>
                      <w:szCs w:val="20"/>
                    </w:rPr>
                    <w:t>收集停留一段时</w:t>
                  </w:r>
                </w:p>
                <w:p w14:paraId="2D1B4E92">
                  <w:pPr>
                    <w:pStyle w:val="6"/>
                    <w:spacing w:before="24" w:line="228" w:lineRule="auto"/>
                    <w:ind w:left="137"/>
                    <w:rPr>
                      <w:sz w:val="20"/>
                      <w:szCs w:val="20"/>
                    </w:rPr>
                  </w:pPr>
                  <w:r>
                    <w:rPr>
                      <w:spacing w:val="6"/>
                      <w:sz w:val="20"/>
                      <w:szCs w:val="20"/>
                    </w:rPr>
                    <w:t>间后，排入园区</w:t>
                  </w:r>
                </w:p>
                <w:p w14:paraId="28A944D0">
                  <w:pPr>
                    <w:pStyle w:val="6"/>
                    <w:spacing w:before="23" w:line="228" w:lineRule="auto"/>
                    <w:ind w:left="122"/>
                    <w:rPr>
                      <w:sz w:val="20"/>
                      <w:szCs w:val="20"/>
                    </w:rPr>
                  </w:pPr>
                  <w:r>
                    <w:rPr>
                      <w:spacing w:val="8"/>
                      <w:sz w:val="20"/>
                      <w:szCs w:val="20"/>
                    </w:rPr>
                    <w:t>污水管网；洗车</w:t>
                  </w:r>
                </w:p>
                <w:p w14:paraId="5868F5E5">
                  <w:pPr>
                    <w:pStyle w:val="6"/>
                    <w:spacing w:before="26" w:line="228" w:lineRule="auto"/>
                    <w:ind w:left="120"/>
                    <w:rPr>
                      <w:sz w:val="20"/>
                      <w:szCs w:val="20"/>
                    </w:rPr>
                  </w:pPr>
                  <w:r>
                    <w:rPr>
                      <w:spacing w:val="8"/>
                      <w:sz w:val="20"/>
                      <w:szCs w:val="20"/>
                    </w:rPr>
                    <w:t>废水、地面冲洗</w:t>
                  </w:r>
                </w:p>
                <w:p w14:paraId="66DFA078">
                  <w:pPr>
                    <w:pStyle w:val="6"/>
                    <w:spacing w:before="24" w:line="228" w:lineRule="auto"/>
                    <w:ind w:left="120"/>
                    <w:rPr>
                      <w:sz w:val="20"/>
                      <w:szCs w:val="20"/>
                    </w:rPr>
                  </w:pPr>
                  <w:r>
                    <w:rPr>
                      <w:spacing w:val="7"/>
                      <w:sz w:val="20"/>
                      <w:szCs w:val="20"/>
                    </w:rPr>
                    <w:t>废水经沉淀池、</w:t>
                  </w:r>
                </w:p>
                <w:p w14:paraId="18ED600E">
                  <w:pPr>
                    <w:pStyle w:val="6"/>
                    <w:spacing w:before="26" w:line="228" w:lineRule="auto"/>
                    <w:ind w:left="133"/>
                    <w:rPr>
                      <w:sz w:val="20"/>
                      <w:szCs w:val="20"/>
                    </w:rPr>
                  </w:pPr>
                  <w:r>
                    <w:rPr>
                      <w:spacing w:val="6"/>
                      <w:sz w:val="20"/>
                      <w:szCs w:val="20"/>
                    </w:rPr>
                    <w:t>隔油池收集停留</w:t>
                  </w:r>
                </w:p>
                <w:p w14:paraId="5B46099A">
                  <w:pPr>
                    <w:pStyle w:val="6"/>
                    <w:spacing w:before="25" w:line="228" w:lineRule="auto"/>
                    <w:ind w:left="122"/>
                    <w:rPr>
                      <w:sz w:val="20"/>
                      <w:szCs w:val="20"/>
                    </w:rPr>
                  </w:pPr>
                  <w:r>
                    <w:rPr>
                      <w:spacing w:val="8"/>
                      <w:sz w:val="20"/>
                      <w:szCs w:val="20"/>
                    </w:rPr>
                    <w:t>后，排入园区污</w:t>
                  </w:r>
                </w:p>
                <w:p w14:paraId="7107C806">
                  <w:pPr>
                    <w:pStyle w:val="6"/>
                    <w:spacing w:before="26" w:line="228" w:lineRule="auto"/>
                    <w:ind w:left="123"/>
                    <w:rPr>
                      <w:sz w:val="20"/>
                      <w:szCs w:val="20"/>
                    </w:rPr>
                  </w:pPr>
                  <w:r>
                    <w:rPr>
                      <w:spacing w:val="8"/>
                      <w:sz w:val="20"/>
                      <w:szCs w:val="20"/>
                    </w:rPr>
                    <w:t>水管网；消防废</w:t>
                  </w:r>
                </w:p>
                <w:p w14:paraId="0C8C0F7C">
                  <w:pPr>
                    <w:pStyle w:val="6"/>
                    <w:spacing w:before="24" w:line="228" w:lineRule="auto"/>
                    <w:ind w:left="123"/>
                    <w:rPr>
                      <w:sz w:val="20"/>
                      <w:szCs w:val="20"/>
                    </w:rPr>
                  </w:pPr>
                  <w:r>
                    <w:rPr>
                      <w:spacing w:val="8"/>
                      <w:sz w:val="20"/>
                      <w:szCs w:val="20"/>
                    </w:rPr>
                    <w:t>水产生后，收集</w:t>
                  </w:r>
                </w:p>
                <w:p w14:paraId="466CA3E7">
                  <w:pPr>
                    <w:pStyle w:val="6"/>
                    <w:spacing w:before="28" w:line="228" w:lineRule="auto"/>
                    <w:ind w:left="122"/>
                    <w:rPr>
                      <w:sz w:val="20"/>
                      <w:szCs w:val="20"/>
                    </w:rPr>
                  </w:pPr>
                  <w:r>
                    <w:rPr>
                      <w:spacing w:val="6"/>
                      <w:sz w:val="20"/>
                      <w:szCs w:val="20"/>
                    </w:rPr>
                    <w:t>至事故应急池，</w:t>
                  </w:r>
                </w:p>
                <w:p w14:paraId="2D67C5A2">
                  <w:pPr>
                    <w:pStyle w:val="6"/>
                    <w:spacing w:before="23" w:line="228" w:lineRule="auto"/>
                    <w:ind w:left="146"/>
                    <w:rPr>
                      <w:sz w:val="20"/>
                      <w:szCs w:val="20"/>
                    </w:rPr>
                  </w:pPr>
                  <w:r>
                    <w:rPr>
                      <w:spacing w:val="5"/>
                      <w:sz w:val="20"/>
                      <w:szCs w:val="20"/>
                    </w:rPr>
                    <w:t>由罐车定期拉运</w:t>
                  </w:r>
                </w:p>
                <w:p w14:paraId="4FCF537B">
                  <w:pPr>
                    <w:pStyle w:val="6"/>
                    <w:spacing w:before="24" w:line="225" w:lineRule="auto"/>
                    <w:ind w:left="122"/>
                    <w:rPr>
                      <w:sz w:val="20"/>
                      <w:szCs w:val="20"/>
                    </w:rPr>
                  </w:pPr>
                  <w:r>
                    <w:rPr>
                      <w:spacing w:val="8"/>
                      <w:sz w:val="20"/>
                      <w:szCs w:val="20"/>
                    </w:rPr>
                    <w:t>至棋西项目区污</w:t>
                  </w:r>
                </w:p>
                <w:p w14:paraId="511D2031">
                  <w:pPr>
                    <w:pStyle w:val="6"/>
                    <w:spacing w:before="30" w:line="228" w:lineRule="auto"/>
                    <w:ind w:left="123"/>
                    <w:rPr>
                      <w:sz w:val="20"/>
                      <w:szCs w:val="20"/>
                    </w:rPr>
                  </w:pPr>
                  <w:r>
                    <w:rPr>
                      <w:spacing w:val="6"/>
                      <w:sz w:val="20"/>
                      <w:szCs w:val="20"/>
                    </w:rPr>
                    <w:t>水处理厂处理，</w:t>
                  </w:r>
                </w:p>
                <w:p w14:paraId="384A3BB1">
                  <w:pPr>
                    <w:pStyle w:val="6"/>
                    <w:spacing w:before="27" w:line="216" w:lineRule="auto"/>
                    <w:ind w:left="438"/>
                    <w:rPr>
                      <w:sz w:val="20"/>
                      <w:szCs w:val="20"/>
                    </w:rPr>
                  </w:pPr>
                  <w:r>
                    <w:rPr>
                      <w:spacing w:val="4"/>
                      <w:sz w:val="20"/>
                      <w:szCs w:val="20"/>
                    </w:rPr>
                    <w:t>不外排。</w:t>
                  </w:r>
                </w:p>
              </w:tc>
              <w:tc>
                <w:tcPr>
                  <w:tcW w:w="361" w:type="dxa"/>
                  <w:vAlign w:val="top"/>
                </w:tcPr>
                <w:p w14:paraId="5AB7AEA5">
                  <w:pPr>
                    <w:rPr>
                      <w:rFonts w:ascii="Arial"/>
                      <w:sz w:val="21"/>
                    </w:rPr>
                  </w:pPr>
                </w:p>
              </w:tc>
            </w:tr>
            <w:tr w14:paraId="1339E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0" w:hRule="atLeast"/>
              </w:trPr>
              <w:tc>
                <w:tcPr>
                  <w:tcW w:w="647" w:type="dxa"/>
                  <w:vMerge w:val="continue"/>
                  <w:tcBorders>
                    <w:top w:val="nil"/>
                    <w:bottom w:val="nil"/>
                  </w:tcBorders>
                  <w:vAlign w:val="top"/>
                </w:tcPr>
                <w:p w14:paraId="262BE8B2">
                  <w:pPr>
                    <w:rPr>
                      <w:rFonts w:ascii="Arial"/>
                      <w:sz w:val="21"/>
                    </w:rPr>
                  </w:pPr>
                </w:p>
              </w:tc>
              <w:tc>
                <w:tcPr>
                  <w:tcW w:w="651" w:type="dxa"/>
                  <w:vMerge w:val="continue"/>
                  <w:tcBorders>
                    <w:top w:val="nil"/>
                    <w:bottom w:val="nil"/>
                  </w:tcBorders>
                  <w:vAlign w:val="top"/>
                </w:tcPr>
                <w:p w14:paraId="4459AF71">
                  <w:pPr>
                    <w:rPr>
                      <w:rFonts w:ascii="Arial"/>
                      <w:sz w:val="21"/>
                    </w:rPr>
                  </w:pPr>
                </w:p>
              </w:tc>
              <w:tc>
                <w:tcPr>
                  <w:tcW w:w="385" w:type="dxa"/>
                  <w:vMerge w:val="continue"/>
                  <w:tcBorders>
                    <w:top w:val="nil"/>
                    <w:bottom w:val="nil"/>
                  </w:tcBorders>
                  <w:vAlign w:val="top"/>
                </w:tcPr>
                <w:p w14:paraId="25C7FAA9">
                  <w:pPr>
                    <w:rPr>
                      <w:rFonts w:ascii="Arial"/>
                      <w:sz w:val="21"/>
                    </w:rPr>
                  </w:pPr>
                </w:p>
              </w:tc>
              <w:tc>
                <w:tcPr>
                  <w:tcW w:w="385" w:type="dxa"/>
                  <w:textDirection w:val="tbRlV"/>
                  <w:vAlign w:val="top"/>
                </w:tcPr>
                <w:p w14:paraId="7D5B00A4">
                  <w:pPr>
                    <w:pStyle w:val="6"/>
                    <w:spacing w:before="67" w:line="216" w:lineRule="auto"/>
                    <w:ind w:left="2619"/>
                    <w:rPr>
                      <w:sz w:val="20"/>
                      <w:szCs w:val="20"/>
                    </w:rPr>
                  </w:pPr>
                  <w:r>
                    <w:rPr>
                      <w:spacing w:val="8"/>
                      <w:sz w:val="20"/>
                      <w:szCs w:val="20"/>
                    </w:rPr>
                    <w:t>环</w:t>
                  </w:r>
                  <w:r>
                    <w:rPr>
                      <w:spacing w:val="-34"/>
                      <w:sz w:val="20"/>
                      <w:szCs w:val="20"/>
                    </w:rPr>
                    <w:t xml:space="preserve"> </w:t>
                  </w:r>
                  <w:r>
                    <w:rPr>
                      <w:spacing w:val="8"/>
                      <w:sz w:val="20"/>
                      <w:szCs w:val="20"/>
                    </w:rPr>
                    <w:t>境</w:t>
                  </w:r>
                  <w:r>
                    <w:rPr>
                      <w:spacing w:val="-38"/>
                      <w:sz w:val="20"/>
                      <w:szCs w:val="20"/>
                    </w:rPr>
                    <w:t xml:space="preserve"> </w:t>
                  </w:r>
                  <w:r>
                    <w:rPr>
                      <w:spacing w:val="8"/>
                      <w:sz w:val="20"/>
                      <w:szCs w:val="20"/>
                    </w:rPr>
                    <w:t>风</w:t>
                  </w:r>
                  <w:r>
                    <w:rPr>
                      <w:spacing w:val="-35"/>
                      <w:sz w:val="20"/>
                      <w:szCs w:val="20"/>
                    </w:rPr>
                    <w:t xml:space="preserve"> </w:t>
                  </w:r>
                  <w:r>
                    <w:rPr>
                      <w:spacing w:val="8"/>
                      <w:sz w:val="20"/>
                      <w:szCs w:val="20"/>
                    </w:rPr>
                    <w:t>险</w:t>
                  </w:r>
                  <w:r>
                    <w:rPr>
                      <w:spacing w:val="-38"/>
                      <w:sz w:val="20"/>
                      <w:szCs w:val="20"/>
                    </w:rPr>
                    <w:t xml:space="preserve"> </w:t>
                  </w:r>
                  <w:r>
                    <w:rPr>
                      <w:spacing w:val="8"/>
                      <w:sz w:val="20"/>
                      <w:szCs w:val="20"/>
                    </w:rPr>
                    <w:t>防</w:t>
                  </w:r>
                  <w:r>
                    <w:rPr>
                      <w:spacing w:val="-35"/>
                      <w:sz w:val="20"/>
                      <w:szCs w:val="20"/>
                    </w:rPr>
                    <w:t xml:space="preserve"> </w:t>
                  </w:r>
                  <w:r>
                    <w:rPr>
                      <w:spacing w:val="8"/>
                      <w:sz w:val="20"/>
                      <w:szCs w:val="20"/>
                    </w:rPr>
                    <w:t>范</w:t>
                  </w:r>
                </w:p>
              </w:tc>
              <w:tc>
                <w:tcPr>
                  <w:tcW w:w="3007" w:type="dxa"/>
                  <w:vAlign w:val="top"/>
                </w:tcPr>
                <w:p w14:paraId="45622925">
                  <w:pPr>
                    <w:pStyle w:val="6"/>
                    <w:spacing w:before="26" w:line="250" w:lineRule="auto"/>
                    <w:ind w:left="113" w:right="167"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2"/>
                      <w:sz w:val="20"/>
                      <w:szCs w:val="20"/>
                    </w:rPr>
                    <w:t xml:space="preserve"> </w:t>
                  </w:r>
                  <w:r>
                    <w:rPr>
                      <w:spacing w:val="5"/>
                      <w:sz w:val="20"/>
                      <w:szCs w:val="20"/>
                    </w:rPr>
                    <w:t>园区应建立三级防控及应急</w:t>
                  </w:r>
                  <w:r>
                    <w:rPr>
                      <w:sz w:val="20"/>
                      <w:szCs w:val="20"/>
                    </w:rPr>
                    <w:t xml:space="preserve"> </w:t>
                  </w:r>
                  <w:r>
                    <w:rPr>
                      <w:spacing w:val="9"/>
                      <w:sz w:val="20"/>
                      <w:szCs w:val="20"/>
                    </w:rPr>
                    <w:t>救援体系，编制园区环境风险</w:t>
                  </w:r>
                  <w:r>
                    <w:rPr>
                      <w:spacing w:val="2"/>
                      <w:sz w:val="20"/>
                      <w:szCs w:val="20"/>
                    </w:rPr>
                    <w:t xml:space="preserve"> </w:t>
                  </w:r>
                  <w:r>
                    <w:rPr>
                      <w:spacing w:val="9"/>
                      <w:sz w:val="20"/>
                      <w:szCs w:val="20"/>
                    </w:rPr>
                    <w:t>应急预案；园区应落实环境风</w:t>
                  </w:r>
                  <w:r>
                    <w:rPr>
                      <w:spacing w:val="2"/>
                      <w:sz w:val="20"/>
                      <w:szCs w:val="20"/>
                    </w:rPr>
                    <w:t xml:space="preserve"> </w:t>
                  </w:r>
                  <w:r>
                    <w:rPr>
                      <w:spacing w:val="9"/>
                      <w:sz w:val="20"/>
                      <w:szCs w:val="20"/>
                    </w:rPr>
                    <w:t>险防范措施，做好风险防护距</w:t>
                  </w:r>
                  <w:r>
                    <w:rPr>
                      <w:spacing w:val="2"/>
                      <w:sz w:val="20"/>
                      <w:szCs w:val="20"/>
                    </w:rPr>
                    <w:t xml:space="preserve"> </w:t>
                  </w:r>
                  <w:r>
                    <w:rPr>
                      <w:spacing w:val="9"/>
                      <w:sz w:val="20"/>
                      <w:szCs w:val="20"/>
                    </w:rPr>
                    <w:t>离的管理，防止发生环境污染</w:t>
                  </w:r>
                  <w:r>
                    <w:rPr>
                      <w:spacing w:val="2"/>
                      <w:sz w:val="20"/>
                      <w:szCs w:val="20"/>
                    </w:rPr>
                    <w:t xml:space="preserve"> </w:t>
                  </w:r>
                  <w:r>
                    <w:rPr>
                      <w:spacing w:val="9"/>
                      <w:sz w:val="20"/>
                      <w:szCs w:val="20"/>
                    </w:rPr>
                    <w:t>事件建立重点风险源动态管理</w:t>
                  </w:r>
                  <w:r>
                    <w:rPr>
                      <w:spacing w:val="2"/>
                      <w:sz w:val="20"/>
                      <w:szCs w:val="20"/>
                    </w:rPr>
                    <w:t xml:space="preserve"> </w:t>
                  </w:r>
                  <w:r>
                    <w:rPr>
                      <w:spacing w:val="9"/>
                      <w:sz w:val="20"/>
                      <w:szCs w:val="20"/>
                    </w:rPr>
                    <w:t>信息库、园区内外环境风险救</w:t>
                  </w:r>
                  <w:r>
                    <w:rPr>
                      <w:spacing w:val="2"/>
                      <w:sz w:val="20"/>
                      <w:szCs w:val="20"/>
                    </w:rPr>
                    <w:t xml:space="preserve"> </w:t>
                  </w:r>
                  <w:r>
                    <w:rPr>
                      <w:spacing w:val="9"/>
                      <w:sz w:val="20"/>
                      <w:szCs w:val="20"/>
                    </w:rPr>
                    <w:t>援力量管理库以及应急监测小</w:t>
                  </w:r>
                  <w:r>
                    <w:rPr>
                      <w:spacing w:val="2"/>
                      <w:sz w:val="20"/>
                      <w:szCs w:val="20"/>
                    </w:rPr>
                    <w:t xml:space="preserve"> </w:t>
                  </w:r>
                  <w:r>
                    <w:rPr>
                      <w:spacing w:val="9"/>
                      <w:sz w:val="20"/>
                      <w:szCs w:val="20"/>
                    </w:rPr>
                    <w:t>组，在发生风险环境污染事故</w:t>
                  </w:r>
                  <w:r>
                    <w:rPr>
                      <w:spacing w:val="2"/>
                      <w:sz w:val="20"/>
                      <w:szCs w:val="20"/>
                    </w:rPr>
                    <w:t xml:space="preserve"> </w:t>
                  </w:r>
                  <w:r>
                    <w:rPr>
                      <w:spacing w:val="9"/>
                      <w:sz w:val="20"/>
                      <w:szCs w:val="20"/>
                    </w:rPr>
                    <w:t>时事故现场及周边区域实施应</w:t>
                  </w:r>
                  <w:r>
                    <w:rPr>
                      <w:spacing w:val="2"/>
                      <w:sz w:val="20"/>
                      <w:szCs w:val="20"/>
                    </w:rPr>
                    <w:t xml:space="preserve"> </w:t>
                  </w:r>
                  <w:r>
                    <w:rPr>
                      <w:spacing w:val="9"/>
                      <w:sz w:val="20"/>
                      <w:szCs w:val="20"/>
                    </w:rPr>
                    <w:t>急监测，不断完善环境风险防</w:t>
                  </w:r>
                  <w:r>
                    <w:rPr>
                      <w:spacing w:val="2"/>
                      <w:sz w:val="20"/>
                      <w:szCs w:val="20"/>
                    </w:rPr>
                    <w:t xml:space="preserve"> </w:t>
                  </w:r>
                  <w:r>
                    <w:rPr>
                      <w:spacing w:val="9"/>
                      <w:sz w:val="20"/>
                      <w:szCs w:val="20"/>
                    </w:rPr>
                    <w:t>范机制和应急体系，构建有效</w:t>
                  </w:r>
                  <w:r>
                    <w:rPr>
                      <w:spacing w:val="2"/>
                      <w:sz w:val="20"/>
                      <w:szCs w:val="20"/>
                    </w:rPr>
                    <w:t xml:space="preserve"> </w:t>
                  </w:r>
                  <w:r>
                    <w:rPr>
                      <w:spacing w:val="9"/>
                      <w:sz w:val="20"/>
                      <w:szCs w:val="20"/>
                    </w:rPr>
                    <w:t>的区域环境风险联防联控机</w:t>
                  </w:r>
                </w:p>
                <w:p w14:paraId="037732E3">
                  <w:pPr>
                    <w:pStyle w:val="6"/>
                    <w:spacing w:before="23" w:line="244" w:lineRule="auto"/>
                    <w:ind w:left="117" w:right="167" w:hanging="3"/>
                    <w:rPr>
                      <w:sz w:val="20"/>
                      <w:szCs w:val="20"/>
                    </w:rPr>
                  </w:pPr>
                  <w:r>
                    <w:rPr>
                      <w:spacing w:val="9"/>
                      <w:sz w:val="20"/>
                      <w:szCs w:val="20"/>
                    </w:rPr>
                    <w:t>制，最大限度降低环境风险。</w:t>
                  </w:r>
                  <w:r>
                    <w:rPr>
                      <w:spacing w:val="1"/>
                      <w:sz w:val="20"/>
                      <w:szCs w:val="20"/>
                    </w:rPr>
                    <w:t xml:space="preserve"> </w:t>
                  </w:r>
                  <w:r>
                    <w:rPr>
                      <w:spacing w:val="8"/>
                      <w:sz w:val="20"/>
                      <w:szCs w:val="20"/>
                    </w:rPr>
                    <w:t>劳动密集型的非化工企业不得</w:t>
                  </w:r>
                  <w:r>
                    <w:rPr>
                      <w:spacing w:val="11"/>
                      <w:sz w:val="20"/>
                      <w:szCs w:val="20"/>
                    </w:rPr>
                    <w:t xml:space="preserve"> </w:t>
                  </w:r>
                  <w:r>
                    <w:rPr>
                      <w:spacing w:val="8"/>
                      <w:sz w:val="20"/>
                      <w:szCs w:val="20"/>
                    </w:rPr>
                    <w:t>与化工企业混建在同园区内。</w:t>
                  </w:r>
                </w:p>
                <w:p w14:paraId="615B935E">
                  <w:pPr>
                    <w:pStyle w:val="6"/>
                    <w:spacing w:before="28" w:line="247" w:lineRule="auto"/>
                    <w:ind w:left="111" w:right="34" w:hanging="2"/>
                    <w:rPr>
                      <w:sz w:val="20"/>
                      <w:szCs w:val="20"/>
                    </w:rPr>
                  </w:pPr>
                  <w:r>
                    <w:rPr>
                      <w:rFonts w:ascii="Times New Roman" w:hAnsi="Times New Roman" w:eastAsia="Times New Roman" w:cs="Times New Roman"/>
                      <w:spacing w:val="8"/>
                      <w:sz w:val="20"/>
                      <w:szCs w:val="20"/>
                    </w:rPr>
                    <w:t>2.</w:t>
                  </w:r>
                  <w:r>
                    <w:rPr>
                      <w:spacing w:val="8"/>
                      <w:sz w:val="20"/>
                      <w:szCs w:val="20"/>
                    </w:rPr>
                    <w:t>土壤污染重点监管单位应当</w:t>
                  </w:r>
                  <w:r>
                    <w:rPr>
                      <w:spacing w:val="2"/>
                      <w:sz w:val="20"/>
                      <w:szCs w:val="20"/>
                    </w:rPr>
                    <w:t xml:space="preserve">   </w:t>
                  </w:r>
                  <w:r>
                    <w:rPr>
                      <w:spacing w:val="10"/>
                      <w:sz w:val="20"/>
                      <w:szCs w:val="20"/>
                    </w:rPr>
                    <w:t>严格控制有毒有害物质排放，</w:t>
                  </w:r>
                  <w:r>
                    <w:rPr>
                      <w:spacing w:val="3"/>
                      <w:sz w:val="20"/>
                      <w:szCs w:val="20"/>
                    </w:rPr>
                    <w:t xml:space="preserve">  </w:t>
                  </w:r>
                  <w:r>
                    <w:rPr>
                      <w:spacing w:val="9"/>
                      <w:sz w:val="20"/>
                      <w:szCs w:val="20"/>
                    </w:rPr>
                    <w:t>并按年度向生态环境主管部门</w:t>
                  </w:r>
                  <w:r>
                    <w:rPr>
                      <w:spacing w:val="2"/>
                      <w:sz w:val="20"/>
                      <w:szCs w:val="20"/>
                    </w:rPr>
                    <w:t xml:space="preserve">  </w:t>
                  </w:r>
                  <w:r>
                    <w:rPr>
                      <w:spacing w:val="9"/>
                      <w:sz w:val="20"/>
                      <w:szCs w:val="20"/>
                    </w:rPr>
                    <w:t>报告排放情况；建立土壤污染</w:t>
                  </w:r>
                  <w:r>
                    <w:rPr>
                      <w:spacing w:val="2"/>
                      <w:sz w:val="20"/>
                      <w:szCs w:val="20"/>
                    </w:rPr>
                    <w:t xml:space="preserve">  </w:t>
                  </w:r>
                  <w:r>
                    <w:rPr>
                      <w:spacing w:val="9"/>
                      <w:sz w:val="20"/>
                      <w:szCs w:val="20"/>
                    </w:rPr>
                    <w:t>隐患排查制度，保证持续有效</w:t>
                  </w:r>
                  <w:r>
                    <w:rPr>
                      <w:spacing w:val="2"/>
                      <w:sz w:val="20"/>
                      <w:szCs w:val="20"/>
                    </w:rPr>
                    <w:t xml:space="preserve">  </w:t>
                  </w:r>
                  <w:r>
                    <w:rPr>
                      <w:spacing w:val="3"/>
                      <w:sz w:val="20"/>
                      <w:szCs w:val="20"/>
                    </w:rPr>
                    <w:t>防止有毒有害物质渗漏、流失、</w:t>
                  </w:r>
                  <w:r>
                    <w:rPr>
                      <w:spacing w:val="12"/>
                      <w:sz w:val="20"/>
                      <w:szCs w:val="20"/>
                    </w:rPr>
                    <w:t xml:space="preserve"> </w:t>
                  </w:r>
                  <w:r>
                    <w:rPr>
                      <w:spacing w:val="9"/>
                      <w:sz w:val="20"/>
                      <w:szCs w:val="20"/>
                    </w:rPr>
                    <w:t>扬散；制定、实施自行监测方</w:t>
                  </w:r>
                  <w:r>
                    <w:rPr>
                      <w:spacing w:val="2"/>
                      <w:sz w:val="20"/>
                      <w:szCs w:val="20"/>
                    </w:rPr>
                    <w:t xml:space="preserve">  </w:t>
                  </w:r>
                  <w:r>
                    <w:rPr>
                      <w:spacing w:val="9"/>
                      <w:sz w:val="20"/>
                      <w:szCs w:val="20"/>
                    </w:rPr>
                    <w:t>案，并将监测数据报生态环境</w:t>
                  </w:r>
                  <w:r>
                    <w:rPr>
                      <w:spacing w:val="2"/>
                      <w:sz w:val="20"/>
                      <w:szCs w:val="20"/>
                    </w:rPr>
                    <w:t xml:space="preserve">  </w:t>
                  </w:r>
                  <w:r>
                    <w:rPr>
                      <w:spacing w:val="6"/>
                      <w:sz w:val="20"/>
                      <w:szCs w:val="20"/>
                    </w:rPr>
                    <w:t>主管部门。</w:t>
                  </w:r>
                </w:p>
              </w:tc>
              <w:tc>
                <w:tcPr>
                  <w:tcW w:w="1696" w:type="dxa"/>
                  <w:vAlign w:val="top"/>
                </w:tcPr>
                <w:p w14:paraId="7A25998C">
                  <w:pPr>
                    <w:spacing w:line="265" w:lineRule="auto"/>
                    <w:rPr>
                      <w:rFonts w:ascii="Arial"/>
                      <w:sz w:val="21"/>
                    </w:rPr>
                  </w:pPr>
                </w:p>
                <w:p w14:paraId="55291F0A">
                  <w:pPr>
                    <w:spacing w:line="266" w:lineRule="auto"/>
                    <w:rPr>
                      <w:rFonts w:ascii="Arial"/>
                      <w:sz w:val="21"/>
                    </w:rPr>
                  </w:pPr>
                </w:p>
                <w:p w14:paraId="42AA3C6B">
                  <w:pPr>
                    <w:spacing w:line="266" w:lineRule="auto"/>
                    <w:rPr>
                      <w:rFonts w:ascii="Arial"/>
                      <w:sz w:val="21"/>
                    </w:rPr>
                  </w:pPr>
                </w:p>
                <w:p w14:paraId="4401895E">
                  <w:pPr>
                    <w:spacing w:line="266" w:lineRule="auto"/>
                    <w:rPr>
                      <w:rFonts w:ascii="Arial"/>
                      <w:sz w:val="21"/>
                    </w:rPr>
                  </w:pPr>
                </w:p>
                <w:p w14:paraId="505C28D2">
                  <w:pPr>
                    <w:spacing w:line="266" w:lineRule="auto"/>
                    <w:rPr>
                      <w:rFonts w:ascii="Arial"/>
                      <w:sz w:val="21"/>
                    </w:rPr>
                  </w:pPr>
                </w:p>
                <w:p w14:paraId="7CB85A2B">
                  <w:pPr>
                    <w:spacing w:line="266" w:lineRule="auto"/>
                    <w:rPr>
                      <w:rFonts w:ascii="Arial"/>
                      <w:sz w:val="21"/>
                    </w:rPr>
                  </w:pPr>
                </w:p>
                <w:p w14:paraId="5D6ABCCD">
                  <w:pPr>
                    <w:spacing w:line="266" w:lineRule="auto"/>
                    <w:rPr>
                      <w:rFonts w:ascii="Arial"/>
                      <w:sz w:val="21"/>
                    </w:rPr>
                  </w:pPr>
                </w:p>
                <w:p w14:paraId="40161CE3">
                  <w:pPr>
                    <w:pStyle w:val="6"/>
                    <w:spacing w:before="65" w:line="228" w:lineRule="auto"/>
                    <w:ind w:left="124"/>
                    <w:rPr>
                      <w:sz w:val="20"/>
                      <w:szCs w:val="20"/>
                    </w:rPr>
                  </w:pPr>
                  <w:r>
                    <w:rPr>
                      <w:spacing w:val="8"/>
                      <w:sz w:val="20"/>
                      <w:szCs w:val="20"/>
                    </w:rPr>
                    <w:t>项目建成后，建</w:t>
                  </w:r>
                </w:p>
                <w:p w14:paraId="0F8F2AE6">
                  <w:pPr>
                    <w:pStyle w:val="6"/>
                    <w:spacing w:before="27" w:line="228" w:lineRule="auto"/>
                    <w:ind w:left="124"/>
                    <w:rPr>
                      <w:sz w:val="20"/>
                      <w:szCs w:val="20"/>
                    </w:rPr>
                  </w:pPr>
                  <w:r>
                    <w:rPr>
                      <w:spacing w:val="8"/>
                      <w:sz w:val="20"/>
                      <w:szCs w:val="20"/>
                    </w:rPr>
                    <w:t>设单位对危险化</w:t>
                  </w:r>
                </w:p>
                <w:p w14:paraId="5EB73D60">
                  <w:pPr>
                    <w:pStyle w:val="6"/>
                    <w:spacing w:before="23" w:line="228" w:lineRule="auto"/>
                    <w:ind w:left="125"/>
                    <w:rPr>
                      <w:sz w:val="20"/>
                      <w:szCs w:val="20"/>
                    </w:rPr>
                  </w:pPr>
                  <w:r>
                    <w:rPr>
                      <w:spacing w:val="8"/>
                      <w:sz w:val="20"/>
                      <w:szCs w:val="20"/>
                    </w:rPr>
                    <w:t>学品运输车辆进</w:t>
                  </w:r>
                </w:p>
                <w:p w14:paraId="16AB12F9">
                  <w:pPr>
                    <w:pStyle w:val="6"/>
                    <w:spacing w:before="26" w:line="228" w:lineRule="auto"/>
                    <w:ind w:left="124"/>
                    <w:rPr>
                      <w:sz w:val="20"/>
                      <w:szCs w:val="20"/>
                    </w:rPr>
                  </w:pPr>
                  <w:r>
                    <w:rPr>
                      <w:spacing w:val="9"/>
                      <w:sz w:val="20"/>
                      <w:szCs w:val="20"/>
                    </w:rPr>
                    <w:t>行严格管理，防</w:t>
                  </w:r>
                </w:p>
                <w:p w14:paraId="54305C29">
                  <w:pPr>
                    <w:pStyle w:val="6"/>
                    <w:spacing w:before="24" w:line="228" w:lineRule="auto"/>
                    <w:ind w:left="121"/>
                    <w:rPr>
                      <w:sz w:val="20"/>
                      <w:szCs w:val="20"/>
                    </w:rPr>
                  </w:pPr>
                  <w:r>
                    <w:rPr>
                      <w:spacing w:val="8"/>
                      <w:sz w:val="20"/>
                      <w:szCs w:val="20"/>
                    </w:rPr>
                    <w:t>止环境风险事故</w:t>
                  </w:r>
                </w:p>
                <w:p w14:paraId="120638F2">
                  <w:pPr>
                    <w:pStyle w:val="6"/>
                    <w:spacing w:before="24" w:line="228" w:lineRule="auto"/>
                    <w:ind w:left="138"/>
                    <w:rPr>
                      <w:sz w:val="20"/>
                      <w:szCs w:val="20"/>
                    </w:rPr>
                  </w:pPr>
                  <w:r>
                    <w:rPr>
                      <w:spacing w:val="6"/>
                      <w:sz w:val="20"/>
                      <w:szCs w:val="20"/>
                    </w:rPr>
                    <w:t>的发生，积极制</w:t>
                  </w:r>
                </w:p>
                <w:p w14:paraId="0E09BF47">
                  <w:pPr>
                    <w:pStyle w:val="6"/>
                    <w:spacing w:before="27" w:line="228" w:lineRule="auto"/>
                    <w:ind w:left="125"/>
                    <w:rPr>
                      <w:sz w:val="20"/>
                      <w:szCs w:val="20"/>
                    </w:rPr>
                  </w:pPr>
                  <w:r>
                    <w:rPr>
                      <w:spacing w:val="7"/>
                      <w:sz w:val="20"/>
                      <w:szCs w:val="20"/>
                    </w:rPr>
                    <w:t>定环境风险应急</w:t>
                  </w:r>
                </w:p>
                <w:p w14:paraId="253ADEA4">
                  <w:pPr>
                    <w:pStyle w:val="6"/>
                    <w:spacing w:before="23" w:line="228" w:lineRule="auto"/>
                    <w:ind w:left="122"/>
                    <w:rPr>
                      <w:sz w:val="20"/>
                      <w:szCs w:val="20"/>
                    </w:rPr>
                  </w:pPr>
                  <w:r>
                    <w:rPr>
                      <w:spacing w:val="8"/>
                      <w:sz w:val="20"/>
                      <w:szCs w:val="20"/>
                    </w:rPr>
                    <w:t>预案，加强环境</w:t>
                  </w:r>
                </w:p>
                <w:p w14:paraId="5F71FD00">
                  <w:pPr>
                    <w:pStyle w:val="6"/>
                    <w:spacing w:before="27" w:line="228" w:lineRule="auto"/>
                    <w:ind w:left="121"/>
                    <w:rPr>
                      <w:sz w:val="20"/>
                      <w:szCs w:val="20"/>
                    </w:rPr>
                  </w:pPr>
                  <w:r>
                    <w:rPr>
                      <w:spacing w:val="8"/>
                      <w:sz w:val="20"/>
                      <w:szCs w:val="20"/>
                    </w:rPr>
                    <w:t>风险源的风险管</w:t>
                  </w:r>
                </w:p>
                <w:p w14:paraId="2B0925A4">
                  <w:pPr>
                    <w:pStyle w:val="6"/>
                    <w:spacing w:before="24" w:line="228" w:lineRule="auto"/>
                    <w:ind w:left="120"/>
                    <w:rPr>
                      <w:sz w:val="20"/>
                      <w:szCs w:val="20"/>
                    </w:rPr>
                  </w:pPr>
                  <w:r>
                    <w:rPr>
                      <w:spacing w:val="8"/>
                      <w:sz w:val="20"/>
                      <w:szCs w:val="20"/>
                    </w:rPr>
                    <w:t>控，符合环境风</w:t>
                  </w:r>
                </w:p>
                <w:p w14:paraId="6364E70D">
                  <w:pPr>
                    <w:pStyle w:val="6"/>
                    <w:spacing w:before="27" w:line="228" w:lineRule="auto"/>
                    <w:ind w:left="235"/>
                    <w:rPr>
                      <w:sz w:val="20"/>
                      <w:szCs w:val="20"/>
                    </w:rPr>
                  </w:pPr>
                  <w:r>
                    <w:rPr>
                      <w:spacing w:val="4"/>
                      <w:sz w:val="20"/>
                      <w:szCs w:val="20"/>
                    </w:rPr>
                    <w:t>险防控要求。</w:t>
                  </w:r>
                </w:p>
              </w:tc>
              <w:tc>
                <w:tcPr>
                  <w:tcW w:w="361" w:type="dxa"/>
                  <w:vAlign w:val="top"/>
                </w:tcPr>
                <w:p w14:paraId="21B5A8A0">
                  <w:pPr>
                    <w:rPr>
                      <w:rFonts w:ascii="Arial"/>
                      <w:sz w:val="21"/>
                    </w:rPr>
                  </w:pPr>
                </w:p>
              </w:tc>
            </w:tr>
            <w:tr w14:paraId="23076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647" w:type="dxa"/>
                  <w:vMerge w:val="continue"/>
                  <w:tcBorders>
                    <w:top w:val="nil"/>
                  </w:tcBorders>
                  <w:vAlign w:val="top"/>
                </w:tcPr>
                <w:p w14:paraId="658193C1">
                  <w:pPr>
                    <w:rPr>
                      <w:rFonts w:ascii="Arial"/>
                      <w:sz w:val="21"/>
                    </w:rPr>
                  </w:pPr>
                </w:p>
              </w:tc>
              <w:tc>
                <w:tcPr>
                  <w:tcW w:w="651" w:type="dxa"/>
                  <w:vMerge w:val="continue"/>
                  <w:tcBorders>
                    <w:top w:val="nil"/>
                  </w:tcBorders>
                  <w:vAlign w:val="top"/>
                </w:tcPr>
                <w:p w14:paraId="2B3DDFDC">
                  <w:pPr>
                    <w:rPr>
                      <w:rFonts w:ascii="Arial"/>
                      <w:sz w:val="21"/>
                    </w:rPr>
                  </w:pPr>
                </w:p>
              </w:tc>
              <w:tc>
                <w:tcPr>
                  <w:tcW w:w="385" w:type="dxa"/>
                  <w:vMerge w:val="continue"/>
                  <w:tcBorders>
                    <w:top w:val="nil"/>
                  </w:tcBorders>
                  <w:vAlign w:val="top"/>
                </w:tcPr>
                <w:p w14:paraId="2D120F6B">
                  <w:pPr>
                    <w:rPr>
                      <w:rFonts w:ascii="Arial"/>
                      <w:sz w:val="21"/>
                    </w:rPr>
                  </w:pPr>
                </w:p>
              </w:tc>
              <w:tc>
                <w:tcPr>
                  <w:tcW w:w="385" w:type="dxa"/>
                  <w:textDirection w:val="tbRlV"/>
                  <w:vAlign w:val="top"/>
                </w:tcPr>
                <w:p w14:paraId="4609AC68">
                  <w:pPr>
                    <w:pStyle w:val="6"/>
                    <w:spacing w:before="66" w:line="215" w:lineRule="auto"/>
                    <w:ind w:left="717"/>
                    <w:rPr>
                      <w:sz w:val="20"/>
                      <w:szCs w:val="20"/>
                    </w:rPr>
                  </w:pPr>
                  <w:r>
                    <w:rPr>
                      <w:spacing w:val="8"/>
                      <w:sz w:val="20"/>
                      <w:szCs w:val="20"/>
                    </w:rPr>
                    <w:t>资</w:t>
                  </w:r>
                  <w:r>
                    <w:rPr>
                      <w:spacing w:val="-34"/>
                      <w:sz w:val="20"/>
                      <w:szCs w:val="20"/>
                    </w:rPr>
                    <w:t xml:space="preserve"> </w:t>
                  </w:r>
                  <w:r>
                    <w:rPr>
                      <w:spacing w:val="8"/>
                      <w:sz w:val="20"/>
                      <w:szCs w:val="20"/>
                    </w:rPr>
                    <w:t>源</w:t>
                  </w:r>
                  <w:r>
                    <w:rPr>
                      <w:spacing w:val="-38"/>
                      <w:sz w:val="20"/>
                      <w:szCs w:val="20"/>
                    </w:rPr>
                    <w:t xml:space="preserve"> </w:t>
                  </w:r>
                  <w:r>
                    <w:rPr>
                      <w:spacing w:val="8"/>
                      <w:sz w:val="20"/>
                      <w:szCs w:val="20"/>
                    </w:rPr>
                    <w:t>利</w:t>
                  </w:r>
                  <w:r>
                    <w:rPr>
                      <w:spacing w:val="-35"/>
                      <w:sz w:val="20"/>
                      <w:szCs w:val="20"/>
                    </w:rPr>
                    <w:t xml:space="preserve"> </w:t>
                  </w:r>
                  <w:r>
                    <w:rPr>
                      <w:spacing w:val="8"/>
                      <w:sz w:val="20"/>
                      <w:szCs w:val="20"/>
                    </w:rPr>
                    <w:t>用</w:t>
                  </w:r>
                  <w:r>
                    <w:rPr>
                      <w:spacing w:val="-38"/>
                      <w:sz w:val="20"/>
                      <w:szCs w:val="20"/>
                    </w:rPr>
                    <w:t xml:space="preserve"> </w:t>
                  </w:r>
                  <w:r>
                    <w:rPr>
                      <w:spacing w:val="8"/>
                      <w:sz w:val="20"/>
                      <w:szCs w:val="20"/>
                    </w:rPr>
                    <w:t>效</w:t>
                  </w:r>
                  <w:r>
                    <w:rPr>
                      <w:spacing w:val="-35"/>
                      <w:sz w:val="20"/>
                      <w:szCs w:val="20"/>
                    </w:rPr>
                    <w:t xml:space="preserve"> </w:t>
                  </w:r>
                  <w:r>
                    <w:rPr>
                      <w:spacing w:val="8"/>
                      <w:sz w:val="20"/>
                      <w:szCs w:val="20"/>
                    </w:rPr>
                    <w:t>率</w:t>
                  </w:r>
                </w:p>
              </w:tc>
              <w:tc>
                <w:tcPr>
                  <w:tcW w:w="3007" w:type="dxa"/>
                  <w:vAlign w:val="top"/>
                </w:tcPr>
                <w:p w14:paraId="2CA84398">
                  <w:pPr>
                    <w:pStyle w:val="6"/>
                    <w:spacing w:before="36" w:line="248" w:lineRule="auto"/>
                    <w:ind w:left="112" w:right="67" w:firstLine="17"/>
                    <w:rPr>
                      <w:sz w:val="20"/>
                      <w:szCs w:val="20"/>
                    </w:rPr>
                  </w:pPr>
                  <w:r>
                    <w:rPr>
                      <w:rFonts w:ascii="Times New Roman" w:hAnsi="Times New Roman" w:eastAsia="Times New Roman" w:cs="Times New Roman"/>
                      <w:sz w:val="20"/>
                      <w:szCs w:val="20"/>
                    </w:rPr>
                    <w:t>1.</w:t>
                  </w:r>
                  <w:r>
                    <w:rPr>
                      <w:sz w:val="20"/>
                      <w:szCs w:val="20"/>
                    </w:rPr>
                    <w:t>坚持“以水定产业、以水定规</w:t>
                  </w:r>
                  <w:r>
                    <w:rPr>
                      <w:spacing w:val="13"/>
                      <w:sz w:val="20"/>
                      <w:szCs w:val="20"/>
                    </w:rPr>
                    <w:t xml:space="preserve"> </w:t>
                  </w:r>
                  <w:r>
                    <w:rPr>
                      <w:spacing w:val="7"/>
                      <w:sz w:val="20"/>
                      <w:szCs w:val="20"/>
                    </w:rPr>
                    <w:t>模</w:t>
                  </w:r>
                  <w:r>
                    <w:rPr>
                      <w:spacing w:val="-71"/>
                      <w:sz w:val="20"/>
                      <w:szCs w:val="20"/>
                    </w:rPr>
                    <w:t xml:space="preserve"> </w:t>
                  </w:r>
                  <w:r>
                    <w:rPr>
                      <w:spacing w:val="7"/>
                      <w:sz w:val="20"/>
                      <w:szCs w:val="20"/>
                    </w:rPr>
                    <w:t>”，做好节水工作，按分质</w:t>
                  </w:r>
                  <w:r>
                    <w:rPr>
                      <w:sz w:val="20"/>
                      <w:szCs w:val="20"/>
                    </w:rPr>
                    <w:t xml:space="preserve">  </w:t>
                  </w:r>
                  <w:r>
                    <w:rPr>
                      <w:spacing w:val="9"/>
                      <w:sz w:val="20"/>
                      <w:szCs w:val="20"/>
                    </w:rPr>
                    <w:t>供水原则，合理进行水资源分</w:t>
                  </w:r>
                  <w:r>
                    <w:rPr>
                      <w:spacing w:val="1"/>
                      <w:sz w:val="20"/>
                      <w:szCs w:val="20"/>
                    </w:rPr>
                    <w:t xml:space="preserve">  </w:t>
                  </w:r>
                  <w:r>
                    <w:rPr>
                      <w:spacing w:val="9"/>
                      <w:sz w:val="20"/>
                      <w:szCs w:val="20"/>
                    </w:rPr>
                    <w:t>配，优先使用中水。严控地下</w:t>
                  </w:r>
                  <w:r>
                    <w:rPr>
                      <w:spacing w:val="1"/>
                      <w:sz w:val="20"/>
                      <w:szCs w:val="20"/>
                    </w:rPr>
                    <w:t xml:space="preserve">  </w:t>
                  </w:r>
                  <w:r>
                    <w:rPr>
                      <w:spacing w:val="14"/>
                      <w:sz w:val="20"/>
                      <w:szCs w:val="20"/>
                    </w:rPr>
                    <w:t>水超采。实行地下水“五控</w:t>
                  </w:r>
                  <w:r>
                    <w:rPr>
                      <w:spacing w:val="-62"/>
                      <w:sz w:val="20"/>
                      <w:szCs w:val="20"/>
                    </w:rPr>
                    <w:t xml:space="preserve"> </w:t>
                  </w:r>
                  <w:r>
                    <w:rPr>
                      <w:spacing w:val="14"/>
                      <w:sz w:val="20"/>
                      <w:szCs w:val="20"/>
                    </w:rPr>
                    <w:t>”</w:t>
                  </w:r>
                  <w:r>
                    <w:rPr>
                      <w:sz w:val="20"/>
                      <w:szCs w:val="20"/>
                    </w:rPr>
                    <w:t xml:space="preserve"> </w:t>
                  </w:r>
                  <w:r>
                    <w:rPr>
                      <w:spacing w:val="9"/>
                      <w:sz w:val="20"/>
                      <w:szCs w:val="20"/>
                    </w:rPr>
                    <w:t>制度。五控即严格管控地下水</w:t>
                  </w:r>
                  <w:r>
                    <w:rPr>
                      <w:spacing w:val="1"/>
                      <w:sz w:val="20"/>
                      <w:szCs w:val="20"/>
                    </w:rPr>
                    <w:t xml:space="preserve">  </w:t>
                  </w:r>
                  <w:r>
                    <w:rPr>
                      <w:spacing w:val="8"/>
                      <w:sz w:val="20"/>
                      <w:szCs w:val="20"/>
                    </w:rPr>
                    <w:t>开发利用总量、水位、用途、</w:t>
                  </w:r>
                </w:p>
                <w:p w14:paraId="185E6FB6">
                  <w:pPr>
                    <w:pStyle w:val="6"/>
                    <w:spacing w:before="24" w:line="227" w:lineRule="auto"/>
                    <w:ind w:left="116"/>
                    <w:rPr>
                      <w:sz w:val="20"/>
                      <w:szCs w:val="20"/>
                    </w:rPr>
                  </w:pPr>
                  <w:r>
                    <w:rPr>
                      <w:spacing w:val="7"/>
                      <w:sz w:val="20"/>
                      <w:szCs w:val="20"/>
                    </w:rPr>
                    <w:t>水质及机电井数量。</w:t>
                  </w:r>
                </w:p>
                <w:p w14:paraId="50CB2234">
                  <w:pPr>
                    <w:pStyle w:val="6"/>
                    <w:spacing w:before="27"/>
                    <w:ind w:left="113" w:right="107" w:hanging="4"/>
                    <w:rPr>
                      <w:sz w:val="20"/>
                      <w:szCs w:val="20"/>
                    </w:rPr>
                  </w:pPr>
                  <w:r>
                    <w:rPr>
                      <w:rFonts w:ascii="Times New Roman" w:hAnsi="Times New Roman" w:eastAsia="Times New Roman" w:cs="Times New Roman"/>
                      <w:spacing w:val="2"/>
                      <w:sz w:val="20"/>
                      <w:szCs w:val="20"/>
                    </w:rPr>
                    <w:t>2.</w:t>
                  </w:r>
                  <w:r>
                    <w:rPr>
                      <w:spacing w:val="2"/>
                      <w:sz w:val="20"/>
                      <w:szCs w:val="20"/>
                    </w:rPr>
                    <w:t>推进能源梯级利用，提高能源</w:t>
                  </w:r>
                  <w:r>
                    <w:rPr>
                      <w:spacing w:val="3"/>
                      <w:sz w:val="20"/>
                      <w:szCs w:val="20"/>
                    </w:rPr>
                    <w:t xml:space="preserve"> </w:t>
                  </w:r>
                  <w:r>
                    <w:rPr>
                      <w:spacing w:val="9"/>
                      <w:sz w:val="20"/>
                      <w:szCs w:val="20"/>
                    </w:rPr>
                    <w:t>利用效率，鼓励使用清洁燃料</w:t>
                  </w:r>
                  <w:r>
                    <w:rPr>
                      <w:spacing w:val="1"/>
                      <w:sz w:val="20"/>
                      <w:szCs w:val="20"/>
                    </w:rPr>
                    <w:t xml:space="preserve"> </w:t>
                  </w:r>
                  <w:r>
                    <w:rPr>
                      <w:spacing w:val="6"/>
                      <w:sz w:val="20"/>
                      <w:szCs w:val="20"/>
                    </w:rPr>
                    <w:t>或可再生能源。</w:t>
                  </w:r>
                </w:p>
              </w:tc>
              <w:tc>
                <w:tcPr>
                  <w:tcW w:w="1696" w:type="dxa"/>
                  <w:vAlign w:val="top"/>
                </w:tcPr>
                <w:p w14:paraId="045AFDD7">
                  <w:pPr>
                    <w:spacing w:line="379" w:lineRule="auto"/>
                    <w:rPr>
                      <w:rFonts w:ascii="Arial"/>
                      <w:sz w:val="21"/>
                    </w:rPr>
                  </w:pPr>
                </w:p>
                <w:p w14:paraId="68FC8AE6">
                  <w:pPr>
                    <w:pStyle w:val="6"/>
                    <w:spacing w:before="65" w:line="251" w:lineRule="auto"/>
                    <w:ind w:left="120" w:right="109"/>
                    <w:rPr>
                      <w:sz w:val="20"/>
                      <w:szCs w:val="20"/>
                    </w:rPr>
                  </w:pPr>
                  <w:r>
                    <w:rPr>
                      <w:spacing w:val="8"/>
                      <w:sz w:val="20"/>
                      <w:szCs w:val="20"/>
                    </w:rPr>
                    <w:t>本项目运营期用</w:t>
                  </w:r>
                  <w:r>
                    <w:rPr>
                      <w:spacing w:val="2"/>
                      <w:sz w:val="20"/>
                      <w:szCs w:val="20"/>
                    </w:rPr>
                    <w:t xml:space="preserve"> </w:t>
                  </w:r>
                  <w:r>
                    <w:rPr>
                      <w:spacing w:val="8"/>
                      <w:sz w:val="20"/>
                      <w:szCs w:val="20"/>
                    </w:rPr>
                    <w:t>水主要为生活用</w:t>
                  </w:r>
                  <w:r>
                    <w:rPr>
                      <w:spacing w:val="3"/>
                      <w:sz w:val="20"/>
                      <w:szCs w:val="20"/>
                    </w:rPr>
                    <w:t xml:space="preserve"> </w:t>
                  </w:r>
                  <w:r>
                    <w:rPr>
                      <w:spacing w:val="8"/>
                      <w:sz w:val="20"/>
                      <w:szCs w:val="20"/>
                    </w:rPr>
                    <w:t>水、洗车用水、</w:t>
                  </w:r>
                  <w:r>
                    <w:rPr>
                      <w:spacing w:val="3"/>
                      <w:sz w:val="20"/>
                      <w:szCs w:val="20"/>
                    </w:rPr>
                    <w:t xml:space="preserve"> </w:t>
                  </w:r>
                  <w:r>
                    <w:rPr>
                      <w:spacing w:val="8"/>
                      <w:sz w:val="20"/>
                      <w:szCs w:val="20"/>
                    </w:rPr>
                    <w:t>地面冲洗用水、</w:t>
                  </w:r>
                  <w:r>
                    <w:rPr>
                      <w:spacing w:val="3"/>
                      <w:sz w:val="20"/>
                      <w:szCs w:val="20"/>
                    </w:rPr>
                    <w:t xml:space="preserve"> </w:t>
                  </w:r>
                  <w:r>
                    <w:rPr>
                      <w:spacing w:val="8"/>
                      <w:sz w:val="20"/>
                      <w:szCs w:val="20"/>
                    </w:rPr>
                    <w:t>绿化用水和消防</w:t>
                  </w:r>
                  <w:r>
                    <w:rPr>
                      <w:spacing w:val="3"/>
                      <w:sz w:val="20"/>
                      <w:szCs w:val="20"/>
                    </w:rPr>
                    <w:t xml:space="preserve"> </w:t>
                  </w:r>
                  <w:r>
                    <w:rPr>
                      <w:spacing w:val="2"/>
                      <w:sz w:val="20"/>
                      <w:szCs w:val="20"/>
                    </w:rPr>
                    <w:t>用水，</w:t>
                  </w:r>
                  <w:r>
                    <w:rPr>
                      <w:spacing w:val="-55"/>
                      <w:sz w:val="20"/>
                      <w:szCs w:val="20"/>
                    </w:rPr>
                    <w:t xml:space="preserve"> </w:t>
                  </w:r>
                  <w:r>
                    <w:rPr>
                      <w:spacing w:val="2"/>
                      <w:sz w:val="20"/>
                      <w:szCs w:val="20"/>
                    </w:rPr>
                    <w:t>由园区管</w:t>
                  </w:r>
                </w:p>
                <w:p w14:paraId="243FBC55">
                  <w:pPr>
                    <w:pStyle w:val="6"/>
                    <w:spacing w:line="226" w:lineRule="auto"/>
                    <w:ind w:left="137"/>
                    <w:rPr>
                      <w:sz w:val="20"/>
                      <w:szCs w:val="20"/>
                    </w:rPr>
                  </w:pPr>
                  <w:r>
                    <w:rPr>
                      <w:spacing w:val="6"/>
                      <w:sz w:val="20"/>
                      <w:szCs w:val="20"/>
                    </w:rPr>
                    <w:t>网提供，不取用</w:t>
                  </w:r>
                </w:p>
                <w:p w14:paraId="5C38A2D7">
                  <w:pPr>
                    <w:pStyle w:val="6"/>
                    <w:spacing w:before="24" w:line="228" w:lineRule="auto"/>
                    <w:ind w:left="435"/>
                    <w:rPr>
                      <w:sz w:val="20"/>
                      <w:szCs w:val="20"/>
                    </w:rPr>
                  </w:pPr>
                  <w:r>
                    <w:rPr>
                      <w:spacing w:val="5"/>
                      <w:sz w:val="20"/>
                      <w:szCs w:val="20"/>
                    </w:rPr>
                    <w:t>地下水。</w:t>
                  </w:r>
                </w:p>
              </w:tc>
              <w:tc>
                <w:tcPr>
                  <w:tcW w:w="361" w:type="dxa"/>
                  <w:textDirection w:val="tbRlV"/>
                  <w:vAlign w:val="top"/>
                </w:tcPr>
                <w:p w14:paraId="46E55FC2">
                  <w:pPr>
                    <w:pStyle w:val="6"/>
                    <w:spacing w:before="37" w:line="215" w:lineRule="auto"/>
                    <w:ind w:left="1262"/>
                    <w:rPr>
                      <w:sz w:val="20"/>
                      <w:szCs w:val="20"/>
                    </w:rPr>
                  </w:pPr>
                  <w:r>
                    <w:rPr>
                      <w:spacing w:val="8"/>
                      <w:sz w:val="20"/>
                      <w:szCs w:val="20"/>
                    </w:rPr>
                    <w:t>符</w:t>
                  </w:r>
                  <w:r>
                    <w:rPr>
                      <w:spacing w:val="-38"/>
                      <w:sz w:val="20"/>
                      <w:szCs w:val="20"/>
                    </w:rPr>
                    <w:t xml:space="preserve"> </w:t>
                  </w:r>
                  <w:r>
                    <w:rPr>
                      <w:spacing w:val="8"/>
                      <w:sz w:val="20"/>
                      <w:szCs w:val="20"/>
                    </w:rPr>
                    <w:t>合</w:t>
                  </w:r>
                </w:p>
              </w:tc>
            </w:tr>
          </w:tbl>
          <w:p w14:paraId="393A7F78">
            <w:pPr>
              <w:spacing w:line="59" w:lineRule="exact"/>
              <w:rPr>
                <w:rFonts w:ascii="Arial"/>
                <w:sz w:val="5"/>
              </w:rPr>
            </w:pPr>
          </w:p>
        </w:tc>
      </w:tr>
    </w:tbl>
    <w:p w14:paraId="5B13F664">
      <w:pPr>
        <w:pStyle w:val="2"/>
      </w:pPr>
    </w:p>
    <w:p w14:paraId="4A96E2CF">
      <w:pPr>
        <w:sectPr>
          <w:footerReference r:id="rId22" w:type="default"/>
          <w:pgSz w:w="11906" w:h="16839"/>
          <w:pgMar w:top="400" w:right="1739" w:bottom="1259" w:left="1738" w:header="0" w:footer="1097" w:gutter="0"/>
          <w:cols w:space="720" w:num="1"/>
        </w:sectPr>
      </w:pPr>
    </w:p>
    <w:p w14:paraId="5E47799B">
      <w:pPr>
        <w:spacing w:before="19"/>
      </w:pPr>
    </w:p>
    <w:p w14:paraId="341E022C">
      <w:pPr>
        <w:spacing w:before="19"/>
      </w:pPr>
    </w:p>
    <w:p w14:paraId="0E2177BF">
      <w:pPr>
        <w:spacing w:before="18"/>
      </w:pPr>
    </w:p>
    <w:p w14:paraId="6A0B4F3C">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DB0E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6" w:hRule="atLeast"/>
        </w:trPr>
        <w:tc>
          <w:tcPr>
            <w:tcW w:w="1171" w:type="dxa"/>
            <w:vAlign w:val="top"/>
          </w:tcPr>
          <w:p w14:paraId="670EA4FD">
            <w:pPr>
              <w:rPr>
                <w:rFonts w:ascii="Arial"/>
                <w:sz w:val="21"/>
              </w:rPr>
            </w:pPr>
          </w:p>
        </w:tc>
        <w:tc>
          <w:tcPr>
            <w:tcW w:w="7252" w:type="dxa"/>
            <w:vAlign w:val="top"/>
          </w:tcPr>
          <w:p w14:paraId="60CD8402">
            <w:pPr>
              <w:pStyle w:val="6"/>
              <w:spacing w:before="253" w:line="359" w:lineRule="auto"/>
              <w:ind w:left="60" w:right="57" w:firstLine="483"/>
              <w:rPr>
                <w:sz w:val="24"/>
                <w:szCs w:val="24"/>
              </w:rPr>
            </w:pPr>
            <w:r>
              <w:rPr>
                <w:spacing w:val="-4"/>
                <w:sz w:val="24"/>
                <w:szCs w:val="24"/>
              </w:rPr>
              <w:t>综上所述，本项目建设满足“</w:t>
            </w:r>
            <w:r>
              <w:rPr>
                <w:spacing w:val="-81"/>
                <w:sz w:val="24"/>
                <w:szCs w:val="24"/>
              </w:rPr>
              <w:t xml:space="preserve"> </w:t>
            </w:r>
            <w:r>
              <w:rPr>
                <w:spacing w:val="-4"/>
                <w:sz w:val="24"/>
                <w:szCs w:val="24"/>
              </w:rPr>
              <w:t>内蒙古鄂托克经济开发区棋</w:t>
            </w:r>
            <w:r>
              <w:rPr>
                <w:spacing w:val="-5"/>
                <w:sz w:val="24"/>
                <w:szCs w:val="24"/>
              </w:rPr>
              <w:t>盘井产</w:t>
            </w:r>
            <w:r>
              <w:rPr>
                <w:sz w:val="24"/>
                <w:szCs w:val="24"/>
              </w:rPr>
              <w:t xml:space="preserve"> </w:t>
            </w:r>
            <w:r>
              <w:rPr>
                <w:spacing w:val="-2"/>
                <w:sz w:val="24"/>
                <w:szCs w:val="24"/>
              </w:rPr>
              <w:t>业园（</w:t>
            </w:r>
            <w:r>
              <w:rPr>
                <w:rFonts w:ascii="Times New Roman" w:hAnsi="Times New Roman" w:eastAsia="Times New Roman" w:cs="Times New Roman"/>
                <w:spacing w:val="-2"/>
                <w:sz w:val="24"/>
                <w:szCs w:val="24"/>
              </w:rPr>
              <w:t>ZH15062220003</w:t>
            </w:r>
            <w:r>
              <w:rPr>
                <w:spacing w:val="-2"/>
                <w:sz w:val="24"/>
                <w:szCs w:val="24"/>
              </w:rPr>
              <w:t>）</w:t>
            </w:r>
            <w:r>
              <w:rPr>
                <w:spacing w:val="-73"/>
                <w:sz w:val="24"/>
                <w:szCs w:val="24"/>
              </w:rPr>
              <w:t xml:space="preserve"> </w:t>
            </w:r>
            <w:r>
              <w:rPr>
                <w:spacing w:val="-2"/>
                <w:sz w:val="24"/>
                <w:szCs w:val="24"/>
              </w:rPr>
              <w:t>”环境管控单元相关要求。</w:t>
            </w:r>
          </w:p>
          <w:p w14:paraId="28FFA944">
            <w:pPr>
              <w:pStyle w:val="6"/>
              <w:spacing w:line="219" w:lineRule="auto"/>
              <w:ind w:left="58"/>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32"/>
                <w:sz w:val="24"/>
                <w:szCs w:val="24"/>
              </w:rPr>
              <w:t xml:space="preserve"> </w:t>
            </w:r>
            <w:r>
              <w:rPr>
                <w:b/>
                <w:bCs/>
                <w:spacing w:val="-4"/>
                <w:sz w:val="24"/>
                <w:szCs w:val="24"/>
              </w:rPr>
              <w:t>、与《鄂尔多斯市“十四五</w:t>
            </w:r>
            <w:r>
              <w:rPr>
                <w:spacing w:val="-88"/>
                <w:sz w:val="24"/>
                <w:szCs w:val="24"/>
              </w:rPr>
              <w:t xml:space="preserve"> </w:t>
            </w:r>
            <w:r>
              <w:rPr>
                <w:b/>
                <w:bCs/>
                <w:spacing w:val="-4"/>
                <w:sz w:val="24"/>
                <w:szCs w:val="24"/>
              </w:rPr>
              <w:t>”生态环境保护规划》符合性分析</w:t>
            </w:r>
          </w:p>
          <w:p w14:paraId="422B8ECE">
            <w:pPr>
              <w:pStyle w:val="6"/>
              <w:spacing w:before="184" w:line="359" w:lineRule="auto"/>
              <w:ind w:left="61" w:firstLine="485"/>
              <w:jc w:val="both"/>
              <w:rPr>
                <w:sz w:val="24"/>
                <w:szCs w:val="24"/>
              </w:rPr>
            </w:pPr>
            <w:r>
              <w:rPr>
                <w:spacing w:val="-4"/>
                <w:sz w:val="24"/>
                <w:szCs w:val="24"/>
              </w:rPr>
              <w:t>《鄂尔多斯市“十四五</w:t>
            </w:r>
            <w:r>
              <w:rPr>
                <w:spacing w:val="-88"/>
                <w:sz w:val="24"/>
                <w:szCs w:val="24"/>
              </w:rPr>
              <w:t xml:space="preserve"> </w:t>
            </w:r>
            <w:r>
              <w:rPr>
                <w:spacing w:val="-4"/>
                <w:sz w:val="24"/>
                <w:szCs w:val="24"/>
              </w:rPr>
              <w:t>”生态环境保护规划》要求“鼓励</w:t>
            </w:r>
            <w:r>
              <w:rPr>
                <w:spacing w:val="-5"/>
                <w:sz w:val="24"/>
                <w:szCs w:val="24"/>
              </w:rPr>
              <w:t>工业园</w:t>
            </w:r>
            <w:r>
              <w:rPr>
                <w:sz w:val="24"/>
                <w:szCs w:val="24"/>
              </w:rPr>
              <w:t xml:space="preserve"> </w:t>
            </w:r>
            <w:r>
              <w:rPr>
                <w:spacing w:val="-4"/>
                <w:sz w:val="24"/>
                <w:szCs w:val="24"/>
              </w:rPr>
              <w:t>区配套建设危险废物集中贮存、预处理和处置设施</w:t>
            </w:r>
            <w:r>
              <w:rPr>
                <w:spacing w:val="-78"/>
                <w:sz w:val="24"/>
                <w:szCs w:val="24"/>
              </w:rPr>
              <w:t xml:space="preserve"> </w:t>
            </w:r>
            <w:r>
              <w:rPr>
                <w:spacing w:val="-4"/>
                <w:sz w:val="24"/>
                <w:szCs w:val="24"/>
              </w:rPr>
              <w:t>”“加强重点源监</w:t>
            </w:r>
            <w:r>
              <w:rPr>
                <w:sz w:val="24"/>
                <w:szCs w:val="24"/>
              </w:rPr>
              <w:t xml:space="preserve"> </w:t>
            </w:r>
            <w:r>
              <w:rPr>
                <w:spacing w:val="-3"/>
                <w:sz w:val="24"/>
                <w:szCs w:val="24"/>
              </w:rPr>
              <w:t>管，确定工业生产、建筑施工、交通运输和社会生活等领域的重点噪</w:t>
            </w:r>
            <w:r>
              <w:rPr>
                <w:spacing w:val="12"/>
                <w:sz w:val="24"/>
                <w:szCs w:val="24"/>
              </w:rPr>
              <w:t xml:space="preserve"> </w:t>
            </w:r>
            <w:r>
              <w:rPr>
                <w:spacing w:val="-3"/>
                <w:sz w:val="24"/>
                <w:szCs w:val="24"/>
              </w:rPr>
              <w:t>声排放源单位，健全污染源管理制度。强化城市声环境管理，噪声敏</w:t>
            </w:r>
            <w:r>
              <w:rPr>
                <w:spacing w:val="12"/>
                <w:sz w:val="24"/>
                <w:szCs w:val="24"/>
              </w:rPr>
              <w:t xml:space="preserve"> </w:t>
            </w:r>
            <w:r>
              <w:rPr>
                <w:spacing w:val="-1"/>
                <w:sz w:val="24"/>
                <w:szCs w:val="24"/>
              </w:rPr>
              <w:t>感建筑物集中区域应逐步配套建设隔声屏障，严格实施禁鸣、限行、</w:t>
            </w:r>
            <w:r>
              <w:rPr>
                <w:spacing w:val="14"/>
                <w:sz w:val="24"/>
                <w:szCs w:val="24"/>
              </w:rPr>
              <w:t xml:space="preserve"> </w:t>
            </w:r>
            <w:r>
              <w:rPr>
                <w:spacing w:val="-1"/>
                <w:sz w:val="24"/>
                <w:szCs w:val="24"/>
              </w:rPr>
              <w:t>限速等措施。加强施工噪声管理，实施城市建筑施工环保公告制度，</w:t>
            </w:r>
            <w:r>
              <w:rPr>
                <w:spacing w:val="14"/>
                <w:sz w:val="24"/>
                <w:szCs w:val="24"/>
              </w:rPr>
              <w:t xml:space="preserve"> </w:t>
            </w:r>
            <w:r>
              <w:rPr>
                <w:spacing w:val="-3"/>
                <w:sz w:val="24"/>
                <w:szCs w:val="24"/>
              </w:rPr>
              <w:t>推进噪声自动监测系统对建筑施工进行实时监督。严厉查处工业企业</w:t>
            </w:r>
            <w:r>
              <w:rPr>
                <w:spacing w:val="12"/>
                <w:sz w:val="24"/>
                <w:szCs w:val="24"/>
              </w:rPr>
              <w:t xml:space="preserve"> </w:t>
            </w:r>
            <w:r>
              <w:rPr>
                <w:spacing w:val="-3"/>
                <w:sz w:val="24"/>
                <w:szCs w:val="24"/>
              </w:rPr>
              <w:t>噪声排放超标扰民行为。”“推行工业园区危废智慧监管，开展危废</w:t>
            </w:r>
            <w:r>
              <w:rPr>
                <w:spacing w:val="12"/>
                <w:sz w:val="24"/>
                <w:szCs w:val="24"/>
              </w:rPr>
              <w:t xml:space="preserve"> </w:t>
            </w:r>
            <w:r>
              <w:rPr>
                <w:spacing w:val="-3"/>
                <w:sz w:val="24"/>
                <w:szCs w:val="24"/>
              </w:rPr>
              <w:t>实时申报、全程记录、自动管理，对企业危废的产生、贮存、转移到</w:t>
            </w:r>
            <w:r>
              <w:rPr>
                <w:spacing w:val="12"/>
                <w:sz w:val="24"/>
                <w:szCs w:val="24"/>
              </w:rPr>
              <w:t xml:space="preserve"> </w:t>
            </w:r>
            <w:r>
              <w:rPr>
                <w:spacing w:val="-9"/>
                <w:sz w:val="24"/>
                <w:szCs w:val="24"/>
              </w:rPr>
              <w:t>处置各环节进行全过程监控和严格管理</w:t>
            </w:r>
            <w:r>
              <w:rPr>
                <w:spacing w:val="-88"/>
                <w:sz w:val="24"/>
                <w:szCs w:val="24"/>
              </w:rPr>
              <w:t xml:space="preserve"> </w:t>
            </w:r>
            <w:r>
              <w:rPr>
                <w:spacing w:val="-9"/>
                <w:sz w:val="24"/>
                <w:szCs w:val="24"/>
              </w:rPr>
              <w:t>”“加强输</w:t>
            </w:r>
            <w:r>
              <w:rPr>
                <w:spacing w:val="-10"/>
                <w:sz w:val="24"/>
                <w:szCs w:val="24"/>
              </w:rPr>
              <w:t>入型危废处置监管，</w:t>
            </w:r>
            <w:r>
              <w:rPr>
                <w:sz w:val="24"/>
                <w:szCs w:val="24"/>
              </w:rPr>
              <w:t xml:space="preserve"> </w:t>
            </w:r>
            <w:r>
              <w:rPr>
                <w:spacing w:val="-3"/>
                <w:sz w:val="24"/>
                <w:szCs w:val="24"/>
              </w:rPr>
              <w:t>加强对危险废物贮存转移监督，严格执行转移联单制度，规范企业危</w:t>
            </w:r>
            <w:r>
              <w:rPr>
                <w:spacing w:val="12"/>
                <w:sz w:val="24"/>
                <w:szCs w:val="24"/>
              </w:rPr>
              <w:t xml:space="preserve"> </w:t>
            </w:r>
            <w:r>
              <w:rPr>
                <w:spacing w:val="-4"/>
                <w:sz w:val="24"/>
                <w:szCs w:val="24"/>
              </w:rPr>
              <w:t>险废物管理档案</w:t>
            </w:r>
            <w:r>
              <w:rPr>
                <w:spacing w:val="-78"/>
                <w:sz w:val="24"/>
                <w:szCs w:val="24"/>
              </w:rPr>
              <w:t xml:space="preserve"> </w:t>
            </w:r>
            <w:r>
              <w:rPr>
                <w:spacing w:val="-4"/>
                <w:sz w:val="24"/>
                <w:szCs w:val="24"/>
              </w:rPr>
              <w:t>”“强化地下水污染风险防控，对高风险的化工生产</w:t>
            </w:r>
            <w:r>
              <w:rPr>
                <w:sz w:val="24"/>
                <w:szCs w:val="24"/>
              </w:rPr>
              <w:t xml:space="preserve"> </w:t>
            </w:r>
            <w:r>
              <w:rPr>
                <w:spacing w:val="-3"/>
                <w:sz w:val="24"/>
                <w:szCs w:val="24"/>
              </w:rPr>
              <w:t>企业以及工业集聚区、危险废物处置场、垃圾填埋场等区域开展必要</w:t>
            </w:r>
            <w:r>
              <w:rPr>
                <w:spacing w:val="12"/>
                <w:sz w:val="24"/>
                <w:szCs w:val="24"/>
              </w:rPr>
              <w:t xml:space="preserve"> </w:t>
            </w:r>
            <w:r>
              <w:rPr>
                <w:spacing w:val="-1"/>
                <w:sz w:val="24"/>
                <w:szCs w:val="24"/>
              </w:rPr>
              <w:t>的防渗处理，防止持续污染地下水</w:t>
            </w:r>
            <w:r>
              <w:rPr>
                <w:spacing w:val="-83"/>
                <w:sz w:val="24"/>
                <w:szCs w:val="24"/>
              </w:rPr>
              <w:t xml:space="preserve"> </w:t>
            </w:r>
            <w:r>
              <w:rPr>
                <w:spacing w:val="-1"/>
                <w:sz w:val="24"/>
                <w:szCs w:val="24"/>
              </w:rPr>
              <w:t>”。</w:t>
            </w:r>
          </w:p>
          <w:p w14:paraId="27179D68">
            <w:pPr>
              <w:pStyle w:val="6"/>
              <w:spacing w:before="7" w:line="359" w:lineRule="auto"/>
              <w:ind w:left="60" w:firstLine="481"/>
              <w:jc w:val="both"/>
              <w:rPr>
                <w:sz w:val="24"/>
                <w:szCs w:val="24"/>
              </w:rPr>
            </w:pPr>
            <w:r>
              <w:rPr>
                <w:spacing w:val="-3"/>
                <w:sz w:val="24"/>
                <w:szCs w:val="24"/>
              </w:rPr>
              <w:t>本项目位于鄂托克经济开发区棋盘井产业园，化工园区进出危险</w:t>
            </w:r>
            <w:r>
              <w:rPr>
                <w:spacing w:val="6"/>
                <w:sz w:val="24"/>
                <w:szCs w:val="24"/>
              </w:rPr>
              <w:t xml:space="preserve"> </w:t>
            </w:r>
            <w:r>
              <w:rPr>
                <w:spacing w:val="-3"/>
                <w:sz w:val="24"/>
                <w:szCs w:val="24"/>
              </w:rPr>
              <w:t>化学品种类多、数量大，建设危险化学品车辆专用停车场，可对园区</w:t>
            </w:r>
            <w:r>
              <w:rPr>
                <w:spacing w:val="13"/>
                <w:sz w:val="24"/>
                <w:szCs w:val="24"/>
              </w:rPr>
              <w:t xml:space="preserve"> </w:t>
            </w:r>
            <w:r>
              <w:rPr>
                <w:spacing w:val="-3"/>
                <w:sz w:val="24"/>
                <w:szCs w:val="24"/>
              </w:rPr>
              <w:t>内危险化学品的使用、产生、转移、处置等各环节进行全过程监控和</w:t>
            </w:r>
            <w:r>
              <w:rPr>
                <w:spacing w:val="13"/>
                <w:sz w:val="24"/>
                <w:szCs w:val="24"/>
              </w:rPr>
              <w:t xml:space="preserve"> </w:t>
            </w:r>
            <w:r>
              <w:rPr>
                <w:spacing w:val="-8"/>
                <w:sz w:val="24"/>
                <w:szCs w:val="24"/>
              </w:rPr>
              <w:t>严格管理，规范园区危险危险化学品档案，通过提升园</w:t>
            </w:r>
            <w:r>
              <w:rPr>
                <w:spacing w:val="-9"/>
                <w:sz w:val="24"/>
                <w:szCs w:val="24"/>
              </w:rPr>
              <w:t>区的管理水平，</w:t>
            </w:r>
            <w:r>
              <w:rPr>
                <w:sz w:val="24"/>
                <w:szCs w:val="24"/>
              </w:rPr>
              <w:t xml:space="preserve"> </w:t>
            </w:r>
            <w:r>
              <w:rPr>
                <w:spacing w:val="-3"/>
                <w:sz w:val="24"/>
                <w:szCs w:val="24"/>
              </w:rPr>
              <w:t>可降低危险事故发生概率，减少人员伤亡和财产损失，有效提升危险</w:t>
            </w:r>
            <w:r>
              <w:rPr>
                <w:spacing w:val="13"/>
                <w:sz w:val="24"/>
                <w:szCs w:val="24"/>
              </w:rPr>
              <w:t xml:space="preserve"> </w:t>
            </w:r>
            <w:r>
              <w:rPr>
                <w:spacing w:val="-3"/>
                <w:sz w:val="24"/>
                <w:szCs w:val="24"/>
              </w:rPr>
              <w:t>化学品安全生产水平，保障员工、设备和环境安全。停车场建成运行</w:t>
            </w:r>
            <w:r>
              <w:rPr>
                <w:spacing w:val="13"/>
                <w:sz w:val="24"/>
                <w:szCs w:val="24"/>
              </w:rPr>
              <w:t xml:space="preserve"> </w:t>
            </w:r>
            <w:r>
              <w:rPr>
                <w:spacing w:val="1"/>
                <w:sz w:val="24"/>
                <w:szCs w:val="24"/>
              </w:rPr>
              <w:t>后，废气主要为汽车尾气（</w:t>
            </w:r>
            <w:r>
              <w:rPr>
                <w:rFonts w:ascii="Times New Roman" w:hAnsi="Times New Roman" w:eastAsia="Times New Roman" w:cs="Times New Roman"/>
                <w:sz w:val="24"/>
                <w:szCs w:val="24"/>
              </w:rPr>
              <w:t>CO</w:t>
            </w:r>
            <w:r>
              <w:rPr>
                <w:rFonts w:ascii="Times New Roman" w:hAnsi="Times New Roman" w:eastAsia="Times New Roman" w:cs="Times New Roman"/>
                <w:spacing w:val="-30"/>
                <w:sz w:val="24"/>
                <w:szCs w:val="24"/>
              </w:rPr>
              <w:t xml:space="preserve"> </w:t>
            </w:r>
            <w:r>
              <w:rPr>
                <w:spacing w:val="1"/>
                <w:sz w:val="24"/>
                <w:szCs w:val="24"/>
              </w:rPr>
              <w:t>、</w:t>
            </w:r>
            <w:r>
              <w:rPr>
                <w:rFonts w:ascii="Times New Roman" w:hAnsi="Times New Roman" w:eastAsia="Times New Roman" w:cs="Times New Roman"/>
                <w:sz w:val="24"/>
                <w:szCs w:val="24"/>
              </w:rPr>
              <w:t>NOx</w:t>
            </w:r>
            <w:r>
              <w:rPr>
                <w:rFonts w:ascii="Times New Roman" w:hAnsi="Times New Roman" w:eastAsia="Times New Roman" w:cs="Times New Roman"/>
                <w:spacing w:val="-29"/>
                <w:sz w:val="24"/>
                <w:szCs w:val="24"/>
              </w:rPr>
              <w:t xml:space="preserve"> </w:t>
            </w:r>
            <w:r>
              <w:rPr>
                <w:spacing w:val="1"/>
                <w:sz w:val="24"/>
                <w:szCs w:val="24"/>
              </w:rPr>
              <w:t>、非甲烷总烃等）和</w:t>
            </w:r>
            <w:r>
              <w:rPr>
                <w:sz w:val="24"/>
                <w:szCs w:val="24"/>
              </w:rPr>
              <w:t xml:space="preserve">储罐呼吸 </w:t>
            </w:r>
            <w:r>
              <w:rPr>
                <w:spacing w:val="-3"/>
                <w:sz w:val="24"/>
                <w:szCs w:val="24"/>
              </w:rPr>
              <w:t>废气，通过加强进出运输车辆的管理、绿化吸附等措施，确保场界无</w:t>
            </w:r>
            <w:r>
              <w:rPr>
                <w:spacing w:val="13"/>
                <w:sz w:val="24"/>
                <w:szCs w:val="24"/>
              </w:rPr>
              <w:t xml:space="preserve"> </w:t>
            </w:r>
            <w:r>
              <w:rPr>
                <w:spacing w:val="-3"/>
                <w:sz w:val="24"/>
                <w:szCs w:val="24"/>
              </w:rPr>
              <w:t>组织废气符合相关标准。运营期废水主要有生活污水、洗车废水、地</w:t>
            </w:r>
            <w:r>
              <w:rPr>
                <w:spacing w:val="13"/>
                <w:sz w:val="24"/>
                <w:szCs w:val="24"/>
              </w:rPr>
              <w:t xml:space="preserve"> </w:t>
            </w:r>
            <w:r>
              <w:rPr>
                <w:spacing w:val="-4"/>
                <w:sz w:val="24"/>
                <w:szCs w:val="24"/>
              </w:rPr>
              <w:t>面冲洗废水和消防废水，场区实行“清污分流、雨污分流</w:t>
            </w:r>
            <w:r>
              <w:rPr>
                <w:spacing w:val="-77"/>
                <w:sz w:val="24"/>
                <w:szCs w:val="24"/>
              </w:rPr>
              <w:t xml:space="preserve"> </w:t>
            </w:r>
            <w:r>
              <w:rPr>
                <w:spacing w:val="-4"/>
                <w:sz w:val="24"/>
                <w:szCs w:val="24"/>
              </w:rPr>
              <w:t>”，通过初</w:t>
            </w:r>
            <w:r>
              <w:rPr>
                <w:sz w:val="24"/>
                <w:szCs w:val="24"/>
              </w:rPr>
              <w:t xml:space="preserve"> </w:t>
            </w:r>
            <w:r>
              <w:rPr>
                <w:spacing w:val="-3"/>
                <w:sz w:val="24"/>
                <w:szCs w:val="24"/>
              </w:rPr>
              <w:t>期雨水收集池收集，排入园区市政雨水管网；生活污水经隔油池、化</w:t>
            </w:r>
            <w:r>
              <w:rPr>
                <w:spacing w:val="13"/>
                <w:sz w:val="24"/>
                <w:szCs w:val="24"/>
              </w:rPr>
              <w:t xml:space="preserve"> </w:t>
            </w:r>
            <w:r>
              <w:rPr>
                <w:spacing w:val="-3"/>
                <w:sz w:val="24"/>
                <w:szCs w:val="24"/>
              </w:rPr>
              <w:t>粪池收集停留一段时间后，排入园区污水管网；洗车废水、地面冲洗</w:t>
            </w:r>
          </w:p>
        </w:tc>
      </w:tr>
    </w:tbl>
    <w:p w14:paraId="6AA2874E">
      <w:pPr>
        <w:pStyle w:val="2"/>
      </w:pPr>
    </w:p>
    <w:p w14:paraId="133A7A05">
      <w:pPr>
        <w:sectPr>
          <w:footerReference r:id="rId23" w:type="default"/>
          <w:pgSz w:w="11906" w:h="16839"/>
          <w:pgMar w:top="400" w:right="1739" w:bottom="1259" w:left="1738" w:header="0" w:footer="1097" w:gutter="0"/>
          <w:cols w:space="720" w:num="1"/>
        </w:sectPr>
      </w:pPr>
    </w:p>
    <w:p w14:paraId="6F235B42">
      <w:pPr>
        <w:spacing w:before="19"/>
      </w:pPr>
    </w:p>
    <w:p w14:paraId="61E149DF">
      <w:pPr>
        <w:spacing w:before="19"/>
      </w:pPr>
    </w:p>
    <w:p w14:paraId="280F9FB0">
      <w:pPr>
        <w:spacing w:before="18"/>
      </w:pPr>
    </w:p>
    <w:p w14:paraId="58384769">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07AEF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4923E0A0">
            <w:pPr>
              <w:rPr>
                <w:rFonts w:ascii="Arial"/>
                <w:sz w:val="21"/>
              </w:rPr>
            </w:pPr>
          </w:p>
        </w:tc>
        <w:tc>
          <w:tcPr>
            <w:tcW w:w="7252" w:type="dxa"/>
            <w:vAlign w:val="top"/>
          </w:tcPr>
          <w:p w14:paraId="0A526216">
            <w:pPr>
              <w:pStyle w:val="6"/>
              <w:spacing w:before="108" w:line="359" w:lineRule="auto"/>
              <w:ind w:left="60"/>
              <w:rPr>
                <w:sz w:val="24"/>
                <w:szCs w:val="24"/>
              </w:rPr>
            </w:pPr>
            <w:r>
              <w:rPr>
                <w:spacing w:val="-6"/>
                <w:sz w:val="24"/>
                <w:szCs w:val="24"/>
              </w:rPr>
              <w:t>废水经沉淀池、隔油池收集停留后，排入园区</w:t>
            </w:r>
            <w:r>
              <w:rPr>
                <w:spacing w:val="-7"/>
                <w:sz w:val="24"/>
                <w:szCs w:val="24"/>
              </w:rPr>
              <w:t>污水管网；消防废水产</w:t>
            </w:r>
            <w:r>
              <w:rPr>
                <w:sz w:val="24"/>
                <w:szCs w:val="24"/>
              </w:rPr>
              <w:t xml:space="preserve">  </w:t>
            </w:r>
            <w:r>
              <w:rPr>
                <w:spacing w:val="-6"/>
                <w:sz w:val="24"/>
                <w:szCs w:val="24"/>
              </w:rPr>
              <w:t>生后，收集至事故应急池，由罐车定期拉运至</w:t>
            </w:r>
            <w:r>
              <w:rPr>
                <w:spacing w:val="-7"/>
                <w:sz w:val="24"/>
                <w:szCs w:val="24"/>
              </w:rPr>
              <w:t>棋西项目区污水处理厂</w:t>
            </w:r>
            <w:r>
              <w:rPr>
                <w:sz w:val="24"/>
                <w:szCs w:val="24"/>
              </w:rPr>
              <w:t xml:space="preserve">  </w:t>
            </w:r>
            <w:r>
              <w:rPr>
                <w:spacing w:val="-3"/>
                <w:sz w:val="24"/>
                <w:szCs w:val="24"/>
              </w:rPr>
              <w:t>处理，不外排。噪声主要为车辆行驶、维修或清洗过程</w:t>
            </w:r>
            <w:r>
              <w:rPr>
                <w:spacing w:val="-4"/>
                <w:sz w:val="24"/>
                <w:szCs w:val="24"/>
              </w:rPr>
              <w:t>产生的噪声，</w:t>
            </w:r>
            <w:r>
              <w:rPr>
                <w:sz w:val="24"/>
                <w:szCs w:val="24"/>
              </w:rPr>
              <w:t xml:space="preserve"> </w:t>
            </w:r>
            <w:r>
              <w:rPr>
                <w:spacing w:val="-9"/>
                <w:sz w:val="24"/>
                <w:szCs w:val="24"/>
              </w:rPr>
              <w:t>可通过选用低噪声设备、合理布局高噪声设备并采取隔音、减震措施，</w:t>
            </w:r>
            <w:r>
              <w:rPr>
                <w:sz w:val="24"/>
                <w:szCs w:val="24"/>
              </w:rPr>
              <w:t xml:space="preserve"> </w:t>
            </w:r>
            <w:r>
              <w:rPr>
                <w:spacing w:val="-6"/>
                <w:sz w:val="24"/>
                <w:szCs w:val="24"/>
              </w:rPr>
              <w:t>确保噪声达标排放。固体废物主要有生活垃圾</w:t>
            </w:r>
            <w:r>
              <w:rPr>
                <w:spacing w:val="-7"/>
                <w:sz w:val="24"/>
                <w:szCs w:val="24"/>
              </w:rPr>
              <w:t>、维修废弃零件、废机</w:t>
            </w:r>
            <w:r>
              <w:rPr>
                <w:sz w:val="24"/>
                <w:szCs w:val="24"/>
              </w:rPr>
              <w:t xml:space="preserve">  </w:t>
            </w:r>
            <w:r>
              <w:rPr>
                <w:spacing w:val="-6"/>
                <w:sz w:val="24"/>
                <w:szCs w:val="24"/>
              </w:rPr>
              <w:t>油、废油桶、废手套、含油废抹布、污泥、浮</w:t>
            </w:r>
            <w:r>
              <w:rPr>
                <w:spacing w:val="-7"/>
                <w:sz w:val="24"/>
                <w:szCs w:val="24"/>
              </w:rPr>
              <w:t>渣和沉渣等。生活垃圾</w:t>
            </w:r>
            <w:r>
              <w:rPr>
                <w:sz w:val="24"/>
                <w:szCs w:val="24"/>
              </w:rPr>
              <w:t xml:space="preserve">  </w:t>
            </w:r>
            <w:r>
              <w:rPr>
                <w:spacing w:val="-4"/>
                <w:sz w:val="24"/>
                <w:szCs w:val="24"/>
              </w:rPr>
              <w:t>由环卫部门统一收集并处置；车辆废弃零件经收集后外售综</w:t>
            </w:r>
            <w:r>
              <w:rPr>
                <w:spacing w:val="-5"/>
                <w:sz w:val="24"/>
                <w:szCs w:val="24"/>
              </w:rPr>
              <w:t>合利用；</w:t>
            </w:r>
            <w:r>
              <w:rPr>
                <w:sz w:val="24"/>
                <w:szCs w:val="24"/>
              </w:rPr>
              <w:t xml:space="preserve">  </w:t>
            </w:r>
            <w:r>
              <w:rPr>
                <w:spacing w:val="-5"/>
                <w:sz w:val="24"/>
                <w:szCs w:val="24"/>
              </w:rPr>
              <w:t>维修产生的废机油属于《国家危险废物名录（</w:t>
            </w:r>
            <w:r>
              <w:rPr>
                <w:rFonts w:ascii="Times New Roman" w:hAnsi="Times New Roman" w:eastAsia="Times New Roman" w:cs="Times New Roman"/>
                <w:spacing w:val="-5"/>
                <w:sz w:val="24"/>
                <w:szCs w:val="24"/>
              </w:rPr>
              <w:t xml:space="preserve">2025 </w:t>
            </w:r>
            <w:r>
              <w:rPr>
                <w:spacing w:val="-5"/>
                <w:sz w:val="24"/>
                <w:szCs w:val="24"/>
              </w:rPr>
              <w:t>年版）》“</w:t>
            </w:r>
            <w:r>
              <w:rPr>
                <w:rFonts w:ascii="Times New Roman" w:hAnsi="Times New Roman" w:eastAsia="Times New Roman" w:cs="Times New Roman"/>
                <w:spacing w:val="-5"/>
                <w:sz w:val="24"/>
                <w:szCs w:val="24"/>
              </w:rPr>
              <w:t>HW08</w:t>
            </w:r>
            <w:r>
              <w:rPr>
                <w:rFonts w:ascii="Times New Roman" w:hAnsi="Times New Roman" w:eastAsia="Times New Roman" w:cs="Times New Roman"/>
                <w:sz w:val="24"/>
                <w:szCs w:val="24"/>
              </w:rPr>
              <w:t xml:space="preserve">    </w:t>
            </w:r>
            <w:r>
              <w:rPr>
                <w:spacing w:val="-4"/>
                <w:sz w:val="24"/>
                <w:szCs w:val="24"/>
              </w:rPr>
              <w:t>废矿物油与含矿物油废物</w:t>
            </w:r>
            <w:r>
              <w:rPr>
                <w:rFonts w:ascii="Times New Roman" w:hAnsi="Times New Roman" w:eastAsia="Times New Roman" w:cs="Times New Roman"/>
                <w:spacing w:val="-4"/>
                <w:sz w:val="24"/>
                <w:szCs w:val="24"/>
              </w:rPr>
              <w:t>--</w:t>
            </w:r>
            <w:r>
              <w:rPr>
                <w:spacing w:val="-4"/>
                <w:sz w:val="24"/>
                <w:szCs w:val="24"/>
              </w:rPr>
              <w:t>车辆、轮船及其它机械维修过程中产生的</w:t>
            </w:r>
            <w:r>
              <w:rPr>
                <w:spacing w:val="7"/>
                <w:sz w:val="24"/>
                <w:szCs w:val="24"/>
              </w:rPr>
              <w:t xml:space="preserve">  </w:t>
            </w:r>
            <w:r>
              <w:rPr>
                <w:spacing w:val="-7"/>
                <w:sz w:val="24"/>
                <w:szCs w:val="24"/>
              </w:rPr>
              <w:t>废发动机油、制动器油、自动变速器油、齿</w:t>
            </w:r>
            <w:r>
              <w:rPr>
                <w:spacing w:val="-8"/>
                <w:sz w:val="24"/>
                <w:szCs w:val="24"/>
              </w:rPr>
              <w:t>轮油等废润滑油</w:t>
            </w:r>
            <w:r>
              <w:rPr>
                <w:spacing w:val="-89"/>
                <w:sz w:val="24"/>
                <w:szCs w:val="24"/>
              </w:rPr>
              <w:t xml:space="preserve"> </w:t>
            </w:r>
            <w:r>
              <w:rPr>
                <w:spacing w:val="-8"/>
                <w:sz w:val="24"/>
                <w:szCs w:val="24"/>
              </w:rPr>
              <w:t>”，危险</w:t>
            </w:r>
            <w:r>
              <w:rPr>
                <w:sz w:val="24"/>
                <w:szCs w:val="24"/>
              </w:rPr>
              <w:t xml:space="preserve">  </w:t>
            </w:r>
            <w:r>
              <w:rPr>
                <w:spacing w:val="-5"/>
                <w:sz w:val="24"/>
                <w:szCs w:val="24"/>
              </w:rPr>
              <w:t>废物代码</w:t>
            </w:r>
            <w:r>
              <w:rPr>
                <w:spacing w:val="-51"/>
                <w:sz w:val="24"/>
                <w:szCs w:val="24"/>
              </w:rPr>
              <w:t xml:space="preserve"> </w:t>
            </w:r>
            <w:r>
              <w:rPr>
                <w:rFonts w:ascii="Times New Roman" w:hAnsi="Times New Roman" w:eastAsia="Times New Roman" w:cs="Times New Roman"/>
                <w:spacing w:val="-5"/>
                <w:sz w:val="24"/>
                <w:szCs w:val="24"/>
              </w:rPr>
              <w:t>900-214-08</w:t>
            </w:r>
            <w:r>
              <w:rPr>
                <w:spacing w:val="-5"/>
                <w:sz w:val="24"/>
                <w:szCs w:val="24"/>
              </w:rPr>
              <w:t>，需经专门的收集桶收集后放置在危废暂</w:t>
            </w:r>
            <w:r>
              <w:rPr>
                <w:spacing w:val="-6"/>
                <w:sz w:val="24"/>
                <w:szCs w:val="24"/>
              </w:rPr>
              <w:t>存间中</w:t>
            </w:r>
            <w:r>
              <w:rPr>
                <w:sz w:val="24"/>
                <w:szCs w:val="24"/>
              </w:rPr>
              <w:t xml:space="preserve">  </w:t>
            </w:r>
            <w:r>
              <w:rPr>
                <w:spacing w:val="-9"/>
                <w:sz w:val="24"/>
                <w:szCs w:val="24"/>
              </w:rPr>
              <w:t>暂存，按危险废物管理有关规定送至有资质的单位进行处理；废</w:t>
            </w:r>
            <w:r>
              <w:rPr>
                <w:spacing w:val="-10"/>
                <w:sz w:val="24"/>
                <w:szCs w:val="24"/>
              </w:rPr>
              <w:t>手套、</w:t>
            </w:r>
            <w:r>
              <w:rPr>
                <w:sz w:val="24"/>
                <w:szCs w:val="24"/>
              </w:rPr>
              <w:t xml:space="preserve"> 含油废抹布属于《国家危险废物名录（</w:t>
            </w:r>
            <w:r>
              <w:rPr>
                <w:rFonts w:ascii="Times New Roman" w:hAnsi="Times New Roman" w:eastAsia="Times New Roman" w:cs="Times New Roman"/>
                <w:sz w:val="24"/>
                <w:szCs w:val="24"/>
              </w:rPr>
              <w:t xml:space="preserve">2025 </w:t>
            </w:r>
            <w:r>
              <w:rPr>
                <w:spacing w:val="-1"/>
                <w:sz w:val="24"/>
                <w:szCs w:val="24"/>
              </w:rPr>
              <w:t>年版）》“危险废物豁</w:t>
            </w:r>
            <w:r>
              <w:rPr>
                <w:sz w:val="24"/>
                <w:szCs w:val="24"/>
              </w:rPr>
              <w:t xml:space="preserve">  </w:t>
            </w:r>
            <w:r>
              <w:rPr>
                <w:spacing w:val="10"/>
                <w:sz w:val="24"/>
                <w:szCs w:val="24"/>
              </w:rPr>
              <w:t>免管理清单</w:t>
            </w:r>
            <w:r>
              <w:rPr>
                <w:spacing w:val="-60"/>
                <w:sz w:val="24"/>
                <w:szCs w:val="24"/>
              </w:rPr>
              <w:t xml:space="preserve"> </w:t>
            </w:r>
            <w:r>
              <w:rPr>
                <w:spacing w:val="10"/>
                <w:sz w:val="24"/>
                <w:szCs w:val="24"/>
              </w:rPr>
              <w:t>”中“</w:t>
            </w:r>
            <w:r>
              <w:rPr>
                <w:rFonts w:ascii="Times New Roman" w:hAnsi="Times New Roman" w:eastAsia="Times New Roman" w:cs="Times New Roman"/>
                <w:spacing w:val="10"/>
                <w:sz w:val="24"/>
                <w:szCs w:val="24"/>
              </w:rPr>
              <w:t xml:space="preserve">23  </w:t>
            </w:r>
            <w:r>
              <w:rPr>
                <w:spacing w:val="10"/>
                <w:sz w:val="24"/>
                <w:szCs w:val="24"/>
              </w:rPr>
              <w:t>废弃的含油抹布、劳保用品</w:t>
            </w:r>
            <w:r>
              <w:rPr>
                <w:spacing w:val="-70"/>
                <w:sz w:val="24"/>
                <w:szCs w:val="24"/>
              </w:rPr>
              <w:t xml:space="preserve"> </w:t>
            </w:r>
            <w:r>
              <w:rPr>
                <w:spacing w:val="10"/>
                <w:sz w:val="24"/>
                <w:szCs w:val="24"/>
              </w:rPr>
              <w:t>”，废物代码</w:t>
            </w:r>
            <w:r>
              <w:rPr>
                <w:sz w:val="24"/>
                <w:szCs w:val="24"/>
              </w:rPr>
              <w:t xml:space="preserve">  </w:t>
            </w:r>
            <w:r>
              <w:rPr>
                <w:rFonts w:ascii="Times New Roman" w:hAnsi="Times New Roman" w:eastAsia="Times New Roman" w:cs="Times New Roman"/>
                <w:spacing w:val="-4"/>
                <w:sz w:val="24"/>
                <w:szCs w:val="24"/>
              </w:rPr>
              <w:t>900-041-49</w:t>
            </w:r>
            <w:r>
              <w:rPr>
                <w:rFonts w:ascii="Times New Roman" w:hAnsi="Times New Roman" w:eastAsia="Times New Roman" w:cs="Times New Roman"/>
                <w:spacing w:val="-29"/>
                <w:sz w:val="24"/>
                <w:szCs w:val="24"/>
              </w:rPr>
              <w:t xml:space="preserve"> </w:t>
            </w:r>
            <w:r>
              <w:rPr>
                <w:spacing w:val="-4"/>
                <w:sz w:val="24"/>
                <w:szCs w:val="24"/>
              </w:rPr>
              <w:t>，单独收集后放置在危废暂存间中暂存，与其他危险废物</w:t>
            </w:r>
            <w:r>
              <w:rPr>
                <w:sz w:val="24"/>
                <w:szCs w:val="24"/>
              </w:rPr>
              <w:t xml:space="preserve">  </w:t>
            </w:r>
            <w:r>
              <w:rPr>
                <w:spacing w:val="-6"/>
                <w:sz w:val="24"/>
                <w:szCs w:val="24"/>
              </w:rPr>
              <w:t>一同送至有资质的单位进行处理；污泥、浮渣</w:t>
            </w:r>
            <w:r>
              <w:rPr>
                <w:spacing w:val="-7"/>
                <w:sz w:val="24"/>
                <w:szCs w:val="24"/>
              </w:rPr>
              <w:t>和沉渣属于《国家危险</w:t>
            </w:r>
            <w:r>
              <w:rPr>
                <w:sz w:val="24"/>
                <w:szCs w:val="24"/>
              </w:rPr>
              <w:t xml:space="preserve">  </w:t>
            </w:r>
            <w:r>
              <w:rPr>
                <w:spacing w:val="-6"/>
                <w:sz w:val="24"/>
                <w:szCs w:val="24"/>
              </w:rPr>
              <w:t>废物名录（</w:t>
            </w:r>
            <w:r>
              <w:rPr>
                <w:rFonts w:ascii="Times New Roman" w:hAnsi="Times New Roman" w:eastAsia="Times New Roman" w:cs="Times New Roman"/>
                <w:spacing w:val="-6"/>
                <w:sz w:val="24"/>
                <w:szCs w:val="24"/>
              </w:rPr>
              <w:t xml:space="preserve">2025 </w:t>
            </w:r>
            <w:r>
              <w:rPr>
                <w:spacing w:val="-6"/>
                <w:sz w:val="24"/>
                <w:szCs w:val="24"/>
              </w:rPr>
              <w:t>年版）》“</w:t>
            </w:r>
            <w:r>
              <w:rPr>
                <w:rFonts w:ascii="Times New Roman" w:hAnsi="Times New Roman" w:eastAsia="Times New Roman" w:cs="Times New Roman"/>
                <w:spacing w:val="-6"/>
                <w:sz w:val="24"/>
                <w:szCs w:val="24"/>
              </w:rPr>
              <w:t xml:space="preserve">HW08  </w:t>
            </w:r>
            <w:r>
              <w:rPr>
                <w:spacing w:val="-6"/>
                <w:sz w:val="24"/>
                <w:szCs w:val="24"/>
              </w:rPr>
              <w:t>废矿物油与含矿物油废物</w:t>
            </w:r>
            <w:r>
              <w:rPr>
                <w:rFonts w:ascii="Times New Roman" w:hAnsi="Times New Roman" w:eastAsia="Times New Roman" w:cs="Times New Roman"/>
                <w:spacing w:val="-6"/>
                <w:sz w:val="24"/>
                <w:szCs w:val="24"/>
              </w:rPr>
              <w:t>--</w:t>
            </w:r>
            <w:r>
              <w:rPr>
                <w:spacing w:val="-6"/>
                <w:sz w:val="24"/>
                <w:szCs w:val="24"/>
              </w:rPr>
              <w:t>含油废</w:t>
            </w:r>
            <w:r>
              <w:rPr>
                <w:spacing w:val="6"/>
                <w:sz w:val="24"/>
                <w:szCs w:val="24"/>
              </w:rPr>
              <w:t xml:space="preserve">  </w:t>
            </w:r>
            <w:r>
              <w:rPr>
                <w:spacing w:val="-14"/>
                <w:sz w:val="24"/>
                <w:szCs w:val="24"/>
              </w:rPr>
              <w:t>水处理中隔油、气浮、沉淀等处理过程中产生的浮油、浮渣和污泥（不</w:t>
            </w:r>
            <w:r>
              <w:rPr>
                <w:spacing w:val="2"/>
                <w:sz w:val="24"/>
                <w:szCs w:val="24"/>
              </w:rPr>
              <w:t xml:space="preserve">  </w:t>
            </w:r>
            <w:r>
              <w:rPr>
                <w:spacing w:val="-8"/>
                <w:sz w:val="24"/>
                <w:szCs w:val="24"/>
              </w:rPr>
              <w:t>包括废水生化处理污泥）”,</w:t>
            </w:r>
            <w:r>
              <w:rPr>
                <w:spacing w:val="71"/>
                <w:sz w:val="24"/>
                <w:szCs w:val="24"/>
              </w:rPr>
              <w:t xml:space="preserve"> </w:t>
            </w:r>
            <w:r>
              <w:rPr>
                <w:spacing w:val="-8"/>
                <w:sz w:val="24"/>
                <w:szCs w:val="24"/>
              </w:rPr>
              <w:t>危险废物代码</w:t>
            </w:r>
            <w:r>
              <w:rPr>
                <w:spacing w:val="-51"/>
                <w:sz w:val="24"/>
                <w:szCs w:val="24"/>
              </w:rPr>
              <w:t xml:space="preserve"> </w:t>
            </w:r>
            <w:r>
              <w:rPr>
                <w:rFonts w:ascii="Times New Roman" w:hAnsi="Times New Roman" w:eastAsia="Times New Roman" w:cs="Times New Roman"/>
                <w:spacing w:val="-8"/>
                <w:sz w:val="24"/>
                <w:szCs w:val="24"/>
              </w:rPr>
              <w:t>900-210-08</w:t>
            </w:r>
            <w:r>
              <w:rPr>
                <w:rFonts w:ascii="Times New Roman" w:hAnsi="Times New Roman" w:eastAsia="Times New Roman" w:cs="Times New Roman"/>
                <w:spacing w:val="-29"/>
                <w:sz w:val="24"/>
                <w:szCs w:val="24"/>
              </w:rPr>
              <w:t xml:space="preserve"> </w:t>
            </w:r>
            <w:r>
              <w:rPr>
                <w:spacing w:val="-8"/>
                <w:sz w:val="24"/>
                <w:szCs w:val="24"/>
              </w:rPr>
              <w:t>，需经专门的</w:t>
            </w:r>
            <w:r>
              <w:rPr>
                <w:sz w:val="24"/>
                <w:szCs w:val="24"/>
              </w:rPr>
              <w:t xml:space="preserve">  </w:t>
            </w:r>
            <w:r>
              <w:rPr>
                <w:spacing w:val="-6"/>
                <w:sz w:val="24"/>
                <w:szCs w:val="24"/>
              </w:rPr>
              <w:t>收集桶收集后放置在危废暂存间中暂存，按危</w:t>
            </w:r>
            <w:r>
              <w:rPr>
                <w:spacing w:val="-7"/>
                <w:sz w:val="24"/>
                <w:szCs w:val="24"/>
              </w:rPr>
              <w:t>险废物管理有关规定送</w:t>
            </w:r>
            <w:r>
              <w:rPr>
                <w:sz w:val="24"/>
                <w:szCs w:val="24"/>
              </w:rPr>
              <w:t xml:space="preserve">  </w:t>
            </w:r>
            <w:r>
              <w:rPr>
                <w:spacing w:val="-6"/>
                <w:sz w:val="24"/>
                <w:szCs w:val="24"/>
              </w:rPr>
              <w:t>至有资质的单位进行处理。在地下水、土壤环</w:t>
            </w:r>
            <w:r>
              <w:rPr>
                <w:spacing w:val="-7"/>
                <w:sz w:val="24"/>
                <w:szCs w:val="24"/>
              </w:rPr>
              <w:t>境风险防控方面，项目</w:t>
            </w:r>
            <w:r>
              <w:rPr>
                <w:sz w:val="24"/>
                <w:szCs w:val="24"/>
              </w:rPr>
              <w:t xml:space="preserve">  </w:t>
            </w:r>
            <w:r>
              <w:rPr>
                <w:spacing w:val="-6"/>
                <w:sz w:val="24"/>
                <w:szCs w:val="24"/>
              </w:rPr>
              <w:t>场区采取分区防渗，其中停车区、候检区、维</w:t>
            </w:r>
            <w:r>
              <w:rPr>
                <w:spacing w:val="-7"/>
                <w:sz w:val="24"/>
                <w:szCs w:val="24"/>
              </w:rPr>
              <w:t>修车间、洗车车间、危</w:t>
            </w:r>
            <w:r>
              <w:rPr>
                <w:sz w:val="24"/>
                <w:szCs w:val="24"/>
              </w:rPr>
              <w:t xml:space="preserve">  </w:t>
            </w:r>
            <w:r>
              <w:rPr>
                <w:spacing w:val="-6"/>
                <w:sz w:val="24"/>
                <w:szCs w:val="24"/>
              </w:rPr>
              <w:t>废暂存间、污水收集池、事故应急池、初期雨</w:t>
            </w:r>
            <w:r>
              <w:rPr>
                <w:spacing w:val="-7"/>
                <w:sz w:val="24"/>
                <w:szCs w:val="24"/>
              </w:rPr>
              <w:t>水池以及场区道路均按</w:t>
            </w:r>
            <w:r>
              <w:rPr>
                <w:sz w:val="24"/>
                <w:szCs w:val="24"/>
              </w:rPr>
              <w:t xml:space="preserve">  </w:t>
            </w:r>
            <w:r>
              <w:rPr>
                <w:spacing w:val="-7"/>
                <w:sz w:val="24"/>
                <w:szCs w:val="24"/>
              </w:rPr>
              <w:t>照《危险废物贮存污染控制标准》（</w:t>
            </w:r>
            <w:r>
              <w:rPr>
                <w:rFonts w:ascii="Times New Roman" w:hAnsi="Times New Roman" w:eastAsia="Times New Roman" w:cs="Times New Roman"/>
                <w:spacing w:val="-7"/>
                <w:sz w:val="24"/>
                <w:szCs w:val="24"/>
              </w:rPr>
              <w:t>GB18597-2023</w:t>
            </w:r>
            <w:r>
              <w:rPr>
                <w:spacing w:val="-7"/>
                <w:sz w:val="24"/>
                <w:szCs w:val="24"/>
              </w:rPr>
              <w:t>）相关要求进行重</w:t>
            </w:r>
            <w:r>
              <w:rPr>
                <w:spacing w:val="4"/>
                <w:sz w:val="24"/>
                <w:szCs w:val="24"/>
              </w:rPr>
              <w:t xml:space="preserve">  </w:t>
            </w:r>
            <w:r>
              <w:rPr>
                <w:spacing w:val="-9"/>
                <w:sz w:val="24"/>
                <w:szCs w:val="24"/>
              </w:rPr>
              <w:t>点防渗，消防水池、消防水泵房、综合管理用房和餐厅为一般防渗区，</w:t>
            </w:r>
            <w:r>
              <w:rPr>
                <w:sz w:val="24"/>
                <w:szCs w:val="24"/>
              </w:rPr>
              <w:t xml:space="preserve"> </w:t>
            </w:r>
            <w:r>
              <w:rPr>
                <w:spacing w:val="2"/>
                <w:sz w:val="24"/>
                <w:szCs w:val="24"/>
              </w:rPr>
              <w:t>若发生突发环境风险事故，场区防渗可有效地阻</w:t>
            </w:r>
            <w:r>
              <w:rPr>
                <w:spacing w:val="1"/>
                <w:sz w:val="24"/>
                <w:szCs w:val="24"/>
              </w:rPr>
              <w:t>隔有害物质渗透土</w:t>
            </w:r>
            <w:r>
              <w:rPr>
                <w:sz w:val="24"/>
                <w:szCs w:val="24"/>
              </w:rPr>
              <w:t xml:space="preserve">  </w:t>
            </w:r>
            <w:r>
              <w:rPr>
                <w:spacing w:val="-6"/>
                <w:sz w:val="24"/>
                <w:szCs w:val="24"/>
              </w:rPr>
              <w:t>壤、污染地下水，降低环境污染风险。项目运</w:t>
            </w:r>
            <w:r>
              <w:rPr>
                <w:spacing w:val="-7"/>
                <w:sz w:val="24"/>
                <w:szCs w:val="24"/>
              </w:rPr>
              <w:t>营产生的污染物均会采</w:t>
            </w:r>
            <w:r>
              <w:rPr>
                <w:sz w:val="24"/>
                <w:szCs w:val="24"/>
              </w:rPr>
              <w:t xml:space="preserve">  </w:t>
            </w:r>
            <w:r>
              <w:rPr>
                <w:spacing w:val="-2"/>
                <w:sz w:val="24"/>
                <w:szCs w:val="24"/>
              </w:rPr>
              <w:t>取相应的环境保护措施进行处理处置，符合《鄂尔多斯市“十四五</w:t>
            </w:r>
            <w:r>
              <w:rPr>
                <w:spacing w:val="-75"/>
                <w:sz w:val="24"/>
                <w:szCs w:val="24"/>
              </w:rPr>
              <w:t xml:space="preserve"> </w:t>
            </w:r>
            <w:r>
              <w:rPr>
                <w:spacing w:val="-2"/>
                <w:sz w:val="24"/>
                <w:szCs w:val="24"/>
              </w:rPr>
              <w:t>”</w:t>
            </w:r>
            <w:r>
              <w:rPr>
                <w:sz w:val="24"/>
                <w:szCs w:val="24"/>
              </w:rPr>
              <w:t xml:space="preserve"> </w:t>
            </w:r>
            <w:r>
              <w:rPr>
                <w:spacing w:val="-5"/>
                <w:sz w:val="24"/>
                <w:szCs w:val="24"/>
              </w:rPr>
              <w:t>生态环境保护规划》相关要求。</w:t>
            </w:r>
          </w:p>
        </w:tc>
      </w:tr>
    </w:tbl>
    <w:p w14:paraId="54421321">
      <w:pPr>
        <w:pStyle w:val="2"/>
      </w:pPr>
    </w:p>
    <w:p w14:paraId="1894672C">
      <w:pPr>
        <w:sectPr>
          <w:footerReference r:id="rId24" w:type="default"/>
          <w:pgSz w:w="11906" w:h="16839"/>
          <w:pgMar w:top="400" w:right="1739" w:bottom="1259" w:left="1738" w:header="0" w:footer="1097" w:gutter="0"/>
          <w:cols w:space="720" w:num="1"/>
        </w:sectPr>
      </w:pPr>
    </w:p>
    <w:p w14:paraId="2DE1DD82">
      <w:pPr>
        <w:spacing w:before="19"/>
      </w:pPr>
    </w:p>
    <w:p w14:paraId="71DC6050">
      <w:pPr>
        <w:spacing w:before="19"/>
      </w:pPr>
    </w:p>
    <w:p w14:paraId="7562C078">
      <w:pPr>
        <w:spacing w:before="18"/>
      </w:pPr>
    </w:p>
    <w:p w14:paraId="1C29BAA6">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CB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0" w:hRule="atLeast"/>
        </w:trPr>
        <w:tc>
          <w:tcPr>
            <w:tcW w:w="1171" w:type="dxa"/>
            <w:vAlign w:val="top"/>
          </w:tcPr>
          <w:p w14:paraId="56F90C12">
            <w:pPr>
              <w:rPr>
                <w:rFonts w:ascii="Arial"/>
                <w:sz w:val="21"/>
              </w:rPr>
            </w:pPr>
          </w:p>
        </w:tc>
        <w:tc>
          <w:tcPr>
            <w:tcW w:w="7252" w:type="dxa"/>
            <w:vAlign w:val="top"/>
          </w:tcPr>
          <w:p w14:paraId="1C4B8CED">
            <w:pPr>
              <w:pStyle w:val="6"/>
              <w:spacing w:before="97" w:line="219" w:lineRule="auto"/>
              <w:ind w:left="60"/>
              <w:outlineLvl w:val="1"/>
              <w:rPr>
                <w:sz w:val="24"/>
                <w:szCs w:val="24"/>
              </w:rPr>
            </w:pPr>
            <w:r>
              <w:rPr>
                <w:rFonts w:ascii="Times New Roman" w:hAnsi="Times New Roman" w:eastAsia="Times New Roman" w:cs="Times New Roman"/>
                <w:b/>
                <w:bCs/>
                <w:spacing w:val="-3"/>
                <w:sz w:val="24"/>
                <w:szCs w:val="24"/>
              </w:rPr>
              <w:t>5</w:t>
            </w:r>
            <w:r>
              <w:rPr>
                <w:rFonts w:ascii="Times New Roman" w:hAnsi="Times New Roman" w:eastAsia="Times New Roman" w:cs="Times New Roman"/>
                <w:b/>
                <w:bCs/>
                <w:spacing w:val="-30"/>
                <w:sz w:val="24"/>
                <w:szCs w:val="24"/>
              </w:rPr>
              <w:t xml:space="preserve"> </w:t>
            </w:r>
            <w:r>
              <w:rPr>
                <w:b/>
                <w:bCs/>
                <w:spacing w:val="-3"/>
                <w:sz w:val="24"/>
                <w:szCs w:val="24"/>
              </w:rPr>
              <w:t>、与《化工园区危险品运输车辆停车场建设标准》符合性分析</w:t>
            </w:r>
          </w:p>
          <w:p w14:paraId="3E7E3237">
            <w:pPr>
              <w:pStyle w:val="6"/>
              <w:spacing w:before="180" w:line="219" w:lineRule="auto"/>
              <w:ind w:left="55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）建设规模与项目构成</w:t>
            </w:r>
          </w:p>
          <w:p w14:paraId="77F04517">
            <w:pPr>
              <w:pStyle w:val="6"/>
              <w:spacing w:before="183" w:line="359" w:lineRule="auto"/>
              <w:ind w:left="60" w:firstLine="479"/>
              <w:rPr>
                <w:sz w:val="24"/>
                <w:szCs w:val="24"/>
              </w:rPr>
            </w:pPr>
            <w:r>
              <w:rPr>
                <w:spacing w:val="8"/>
                <w:sz w:val="24"/>
                <w:szCs w:val="24"/>
              </w:rPr>
              <w:t>根据《化工园区危险品运输车辆停车场建设标准》</w:t>
            </w:r>
            <w:r>
              <w:rPr>
                <w:spacing w:val="-96"/>
                <w:sz w:val="24"/>
                <w:szCs w:val="24"/>
              </w:rPr>
              <w:t xml:space="preserve"> </w:t>
            </w:r>
            <w:r>
              <w:rPr>
                <w:spacing w:val="8"/>
                <w:sz w:val="24"/>
                <w:szCs w:val="24"/>
              </w:rPr>
              <w:t>（</w:t>
            </w:r>
            <w:r>
              <w:rPr>
                <w:rFonts w:ascii="Times New Roman" w:hAnsi="Times New Roman" w:eastAsia="Times New Roman" w:cs="Times New Roman"/>
                <w:spacing w:val="8"/>
                <w:sz w:val="24"/>
                <w:szCs w:val="24"/>
              </w:rPr>
              <w:t>T/</w:t>
            </w:r>
            <w:r>
              <w:rPr>
                <w:rFonts w:ascii="Times New Roman" w:hAnsi="Times New Roman" w:eastAsia="Times New Roman" w:cs="Times New Roman"/>
                <w:sz w:val="24"/>
                <w:szCs w:val="24"/>
              </w:rPr>
              <w:t xml:space="preserve">CPCIF  </w:t>
            </w:r>
            <w:r>
              <w:rPr>
                <w:rFonts w:ascii="Times New Roman" w:hAnsi="Times New Roman" w:eastAsia="Times New Roman" w:cs="Times New Roman"/>
                <w:spacing w:val="1"/>
                <w:sz w:val="24"/>
                <w:szCs w:val="24"/>
              </w:rPr>
              <w:t>0050-2020</w:t>
            </w:r>
            <w:r>
              <w:rPr>
                <w:spacing w:val="17"/>
                <w:sz w:val="24"/>
                <w:szCs w:val="24"/>
              </w:rPr>
              <w:t>），</w:t>
            </w:r>
            <w:r>
              <w:rPr>
                <w:spacing w:val="1"/>
                <w:sz w:val="24"/>
                <w:szCs w:val="24"/>
              </w:rPr>
              <w:t xml:space="preserve">化工园区危险品运输车辆停车场建设规模应根据化工 </w:t>
            </w:r>
            <w:r>
              <w:rPr>
                <w:spacing w:val="-3"/>
                <w:sz w:val="24"/>
                <w:szCs w:val="24"/>
              </w:rPr>
              <w:t>园区企业生产、运输需要，结合化工园区产业发展规划和</w:t>
            </w:r>
            <w:r>
              <w:rPr>
                <w:spacing w:val="-4"/>
                <w:sz w:val="24"/>
                <w:szCs w:val="24"/>
              </w:rPr>
              <w:t>综合交通规</w:t>
            </w:r>
            <w:r>
              <w:rPr>
                <w:sz w:val="24"/>
                <w:szCs w:val="24"/>
              </w:rPr>
              <w:t xml:space="preserve"> </w:t>
            </w:r>
            <w:r>
              <w:rPr>
                <w:spacing w:val="-1"/>
                <w:sz w:val="24"/>
                <w:szCs w:val="24"/>
              </w:rPr>
              <w:t>划，在综合考虑化工园区用地情况、路网承载能力及化工园区安全、</w:t>
            </w:r>
            <w:r>
              <w:rPr>
                <w:spacing w:val="15"/>
                <w:sz w:val="24"/>
                <w:szCs w:val="24"/>
              </w:rPr>
              <w:t xml:space="preserve"> </w:t>
            </w:r>
            <w:r>
              <w:rPr>
                <w:spacing w:val="-3"/>
                <w:sz w:val="24"/>
                <w:szCs w:val="24"/>
              </w:rPr>
              <w:t>消防、环保等应急配套措施规模和能力的基础上确定。根</w:t>
            </w:r>
            <w:r>
              <w:rPr>
                <w:spacing w:val="-4"/>
                <w:sz w:val="24"/>
                <w:szCs w:val="24"/>
              </w:rPr>
              <w:t>据《鄂托克</w:t>
            </w:r>
            <w:r>
              <w:rPr>
                <w:sz w:val="24"/>
                <w:szCs w:val="24"/>
              </w:rPr>
              <w:t xml:space="preserve"> </w:t>
            </w:r>
            <w:r>
              <w:rPr>
                <w:spacing w:val="5"/>
                <w:sz w:val="24"/>
                <w:szCs w:val="24"/>
              </w:rPr>
              <w:t>经济开发区棋盘井产业园危险化学品车辆专用停车场建设项目可行</w:t>
            </w:r>
            <w:r>
              <w:rPr>
                <w:sz w:val="24"/>
                <w:szCs w:val="24"/>
              </w:rPr>
              <w:t xml:space="preserve"> </w:t>
            </w:r>
            <w:r>
              <w:rPr>
                <w:spacing w:val="-4"/>
                <w:sz w:val="24"/>
                <w:szCs w:val="24"/>
              </w:rPr>
              <w:t>性研究报告》，本项目共设置停车位</w:t>
            </w:r>
            <w:r>
              <w:rPr>
                <w:spacing w:val="-51"/>
                <w:sz w:val="24"/>
                <w:szCs w:val="24"/>
              </w:rPr>
              <w:t xml:space="preserve"> </w:t>
            </w:r>
            <w:r>
              <w:rPr>
                <w:rFonts w:ascii="Times New Roman" w:hAnsi="Times New Roman" w:eastAsia="Times New Roman" w:cs="Times New Roman"/>
                <w:spacing w:val="-4"/>
                <w:sz w:val="24"/>
                <w:szCs w:val="24"/>
              </w:rPr>
              <w:t xml:space="preserve">92 </w:t>
            </w:r>
            <w:r>
              <w:rPr>
                <w:spacing w:val="-4"/>
                <w:sz w:val="24"/>
                <w:szCs w:val="24"/>
              </w:rPr>
              <w:t>个，包括重载车位</w:t>
            </w:r>
            <w:r>
              <w:rPr>
                <w:spacing w:val="-32"/>
                <w:sz w:val="24"/>
                <w:szCs w:val="24"/>
              </w:rPr>
              <w:t xml:space="preserve"> </w:t>
            </w:r>
            <w:r>
              <w:rPr>
                <w:rFonts w:ascii="Times New Roman" w:hAnsi="Times New Roman" w:eastAsia="Times New Roman" w:cs="Times New Roman"/>
                <w:spacing w:val="-4"/>
                <w:sz w:val="24"/>
                <w:szCs w:val="24"/>
              </w:rPr>
              <w:t xml:space="preserve">10 </w:t>
            </w:r>
            <w:r>
              <w:rPr>
                <w:spacing w:val="-4"/>
                <w:sz w:val="24"/>
                <w:szCs w:val="24"/>
              </w:rPr>
              <w:t>个、空</w:t>
            </w:r>
            <w:r>
              <w:rPr>
                <w:sz w:val="24"/>
                <w:szCs w:val="24"/>
              </w:rPr>
              <w:t xml:space="preserve"> </w:t>
            </w:r>
            <w:r>
              <w:rPr>
                <w:spacing w:val="-5"/>
                <w:sz w:val="24"/>
                <w:szCs w:val="24"/>
              </w:rPr>
              <w:t>车车位</w:t>
            </w:r>
            <w:r>
              <w:rPr>
                <w:spacing w:val="-35"/>
                <w:sz w:val="24"/>
                <w:szCs w:val="24"/>
              </w:rPr>
              <w:t xml:space="preserve"> </w:t>
            </w:r>
            <w:r>
              <w:rPr>
                <w:rFonts w:ascii="Times New Roman" w:hAnsi="Times New Roman" w:eastAsia="Times New Roman" w:cs="Times New Roman"/>
                <w:spacing w:val="-5"/>
                <w:sz w:val="24"/>
                <w:szCs w:val="24"/>
              </w:rPr>
              <w:t xml:space="preserve">82 </w:t>
            </w:r>
            <w:r>
              <w:rPr>
                <w:spacing w:val="-5"/>
                <w:sz w:val="24"/>
                <w:szCs w:val="24"/>
              </w:rPr>
              <w:t>个，属于小型停车场，配套智慧化管控系统、给排水系统、</w:t>
            </w:r>
            <w:r>
              <w:rPr>
                <w:sz w:val="24"/>
                <w:szCs w:val="24"/>
              </w:rPr>
              <w:t xml:space="preserve"> </w:t>
            </w:r>
            <w:r>
              <w:rPr>
                <w:spacing w:val="-3"/>
                <w:sz w:val="24"/>
                <w:szCs w:val="24"/>
              </w:rPr>
              <w:t>供配电系统、照明系统、通信电信网络系统等重要的辅助</w:t>
            </w:r>
            <w:r>
              <w:rPr>
                <w:spacing w:val="-4"/>
                <w:sz w:val="24"/>
                <w:szCs w:val="24"/>
              </w:rPr>
              <w:t>系统，符合</w:t>
            </w:r>
            <w:r>
              <w:rPr>
                <w:sz w:val="24"/>
                <w:szCs w:val="24"/>
              </w:rPr>
              <w:t xml:space="preserve"> </w:t>
            </w:r>
            <w:r>
              <w:rPr>
                <w:spacing w:val="-2"/>
                <w:sz w:val="24"/>
                <w:szCs w:val="24"/>
              </w:rPr>
              <w:t>化工园区危险品运输车辆停车场项目构成要求。</w:t>
            </w:r>
          </w:p>
          <w:p w14:paraId="2D405BA8">
            <w:pPr>
              <w:pStyle w:val="6"/>
              <w:spacing w:before="1" w:line="218" w:lineRule="auto"/>
              <w:ind w:left="55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）选址与布局</w:t>
            </w:r>
          </w:p>
          <w:p w14:paraId="6F015C59">
            <w:pPr>
              <w:pStyle w:val="6"/>
              <w:spacing w:before="186" w:line="359" w:lineRule="auto"/>
              <w:ind w:left="60" w:firstLine="480"/>
              <w:rPr>
                <w:sz w:val="24"/>
                <w:szCs w:val="24"/>
              </w:rPr>
            </w:pPr>
            <w:r>
              <w:rPr>
                <w:spacing w:val="8"/>
                <w:sz w:val="24"/>
                <w:szCs w:val="24"/>
              </w:rPr>
              <w:t>根据《化工园区危险品运输车辆停车场建设标准》</w:t>
            </w:r>
            <w:r>
              <w:rPr>
                <w:spacing w:val="-79"/>
                <w:sz w:val="24"/>
                <w:szCs w:val="24"/>
              </w:rPr>
              <w:t xml:space="preserve"> </w:t>
            </w:r>
            <w:r>
              <w:rPr>
                <w:spacing w:val="8"/>
                <w:sz w:val="24"/>
                <w:szCs w:val="24"/>
              </w:rPr>
              <w:t>（</w:t>
            </w:r>
            <w:r>
              <w:rPr>
                <w:rFonts w:ascii="Times New Roman" w:hAnsi="Times New Roman" w:eastAsia="Times New Roman" w:cs="Times New Roman"/>
                <w:spacing w:val="8"/>
                <w:sz w:val="24"/>
                <w:szCs w:val="24"/>
              </w:rPr>
              <w:t>T/</w:t>
            </w:r>
            <w:r>
              <w:rPr>
                <w:rFonts w:ascii="Times New Roman" w:hAnsi="Times New Roman" w:eastAsia="Times New Roman" w:cs="Times New Roman"/>
                <w:sz w:val="24"/>
                <w:szCs w:val="24"/>
              </w:rPr>
              <w:t xml:space="preserve">CPCIF  </w:t>
            </w:r>
            <w:r>
              <w:rPr>
                <w:rFonts w:ascii="Times New Roman" w:hAnsi="Times New Roman" w:eastAsia="Times New Roman" w:cs="Times New Roman"/>
                <w:spacing w:val="2"/>
                <w:sz w:val="24"/>
                <w:szCs w:val="24"/>
              </w:rPr>
              <w:t>0050-2020</w:t>
            </w:r>
            <w:r>
              <w:rPr>
                <w:spacing w:val="11"/>
                <w:sz w:val="24"/>
                <w:szCs w:val="24"/>
              </w:rPr>
              <w:t>），</w:t>
            </w:r>
            <w:r>
              <w:rPr>
                <w:spacing w:val="2"/>
                <w:sz w:val="24"/>
                <w:szCs w:val="24"/>
              </w:rPr>
              <w:t>化工园区危险品运输车辆停车场的选址应根据</w:t>
            </w:r>
            <w:r>
              <w:rPr>
                <w:spacing w:val="1"/>
                <w:sz w:val="24"/>
                <w:szCs w:val="24"/>
              </w:rPr>
              <w:t>化工园</w:t>
            </w:r>
            <w:r>
              <w:rPr>
                <w:sz w:val="24"/>
                <w:szCs w:val="24"/>
              </w:rPr>
              <w:t xml:space="preserve"> </w:t>
            </w:r>
            <w:r>
              <w:rPr>
                <w:spacing w:val="-3"/>
                <w:sz w:val="24"/>
                <w:szCs w:val="24"/>
              </w:rPr>
              <w:t>区产业特点、地域环境及与相邻用地之间的相互影像等综合考虑，并</w:t>
            </w:r>
            <w:r>
              <w:rPr>
                <w:spacing w:val="13"/>
                <w:sz w:val="24"/>
                <w:szCs w:val="24"/>
              </w:rPr>
              <w:t xml:space="preserve"> </w:t>
            </w:r>
            <w:r>
              <w:rPr>
                <w:spacing w:val="-1"/>
                <w:sz w:val="24"/>
                <w:szCs w:val="24"/>
              </w:rPr>
              <w:t>应符合化工园区总体规划、控制性详细规划、综合交通规划及安全、</w:t>
            </w:r>
            <w:r>
              <w:rPr>
                <w:spacing w:val="15"/>
                <w:sz w:val="24"/>
                <w:szCs w:val="24"/>
              </w:rPr>
              <w:t xml:space="preserve"> </w:t>
            </w:r>
            <w:r>
              <w:rPr>
                <w:spacing w:val="-3"/>
                <w:sz w:val="24"/>
                <w:szCs w:val="24"/>
              </w:rPr>
              <w:t>环保、消防和卫生要求；避开地震活动断层和容易发生洪灾、地质灾</w:t>
            </w:r>
            <w:r>
              <w:rPr>
                <w:spacing w:val="13"/>
                <w:sz w:val="24"/>
                <w:szCs w:val="24"/>
              </w:rPr>
              <w:t xml:space="preserve"> </w:t>
            </w:r>
            <w:r>
              <w:rPr>
                <w:spacing w:val="-3"/>
                <w:sz w:val="24"/>
                <w:szCs w:val="24"/>
              </w:rPr>
              <w:t>害的区域；宜临近主要货运通道，便于车辆进出；不应有架空电力线</w:t>
            </w:r>
            <w:r>
              <w:rPr>
                <w:spacing w:val="13"/>
                <w:sz w:val="24"/>
                <w:szCs w:val="24"/>
              </w:rPr>
              <w:t xml:space="preserve"> </w:t>
            </w:r>
            <w:r>
              <w:rPr>
                <w:spacing w:val="-3"/>
                <w:sz w:val="24"/>
                <w:szCs w:val="24"/>
              </w:rPr>
              <w:t>路、通信线路穿越。本项目东侧为空地、金海路，西侧有棋盘井泰发</w:t>
            </w:r>
            <w:r>
              <w:rPr>
                <w:spacing w:val="13"/>
                <w:sz w:val="24"/>
                <w:szCs w:val="24"/>
              </w:rPr>
              <w:t xml:space="preserve"> </w:t>
            </w:r>
            <w:r>
              <w:rPr>
                <w:spacing w:val="-3"/>
                <w:sz w:val="24"/>
                <w:szCs w:val="24"/>
              </w:rPr>
              <w:t>祥汽车城，西南侧有一加油站，南侧为南环路、京拉线，北侧为空地</w:t>
            </w:r>
            <w:r>
              <w:rPr>
                <w:spacing w:val="13"/>
                <w:sz w:val="24"/>
                <w:szCs w:val="24"/>
              </w:rPr>
              <w:t xml:space="preserve"> </w:t>
            </w:r>
            <w:r>
              <w:rPr>
                <w:spacing w:val="-1"/>
                <w:sz w:val="24"/>
                <w:szCs w:val="24"/>
              </w:rPr>
              <w:t>和工业街。加油站储罐距离本项目停车区约</w:t>
            </w:r>
            <w:r>
              <w:rPr>
                <w:spacing w:val="-22"/>
                <w:sz w:val="24"/>
                <w:szCs w:val="24"/>
              </w:rPr>
              <w:t xml:space="preserve"> </w:t>
            </w:r>
            <w:r>
              <w:rPr>
                <w:rFonts w:ascii="Times New Roman" w:hAnsi="Times New Roman" w:eastAsia="Times New Roman" w:cs="Times New Roman"/>
                <w:spacing w:val="-1"/>
                <w:sz w:val="24"/>
                <w:szCs w:val="24"/>
              </w:rPr>
              <w:t>170m</w:t>
            </w:r>
            <w:r>
              <w:rPr>
                <w:rFonts w:ascii="Times New Roman" w:hAnsi="Times New Roman" w:eastAsia="Times New Roman" w:cs="Times New Roman"/>
                <w:spacing w:val="-28"/>
                <w:sz w:val="24"/>
                <w:szCs w:val="24"/>
              </w:rPr>
              <w:t xml:space="preserve"> </w:t>
            </w:r>
            <w:r>
              <w:rPr>
                <w:spacing w:val="-1"/>
                <w:sz w:val="24"/>
                <w:szCs w:val="24"/>
              </w:rPr>
              <w:t>，符合《化工园区</w:t>
            </w:r>
            <w:r>
              <w:rPr>
                <w:sz w:val="24"/>
                <w:szCs w:val="24"/>
              </w:rPr>
              <w:t xml:space="preserve"> </w:t>
            </w:r>
            <w:r>
              <w:rPr>
                <w:spacing w:val="-3"/>
                <w:sz w:val="24"/>
                <w:szCs w:val="24"/>
              </w:rPr>
              <w:t>危险品运输车辆停车场建设标准》化工园区危险品运输车辆停车场与</w:t>
            </w:r>
            <w:r>
              <w:rPr>
                <w:spacing w:val="13"/>
                <w:sz w:val="24"/>
                <w:szCs w:val="24"/>
              </w:rPr>
              <w:t xml:space="preserve"> </w:t>
            </w:r>
            <w:r>
              <w:rPr>
                <w:spacing w:val="3"/>
                <w:sz w:val="24"/>
                <w:szCs w:val="24"/>
              </w:rPr>
              <w:t>化工园区的公用设施防火间距（</w:t>
            </w:r>
            <w:r>
              <w:rPr>
                <w:rFonts w:ascii="Times New Roman" w:hAnsi="Times New Roman" w:eastAsia="Times New Roman" w:cs="Times New Roman"/>
                <w:spacing w:val="3"/>
                <w:sz w:val="24"/>
                <w:szCs w:val="24"/>
              </w:rPr>
              <w:t>100m</w:t>
            </w:r>
            <w:r>
              <w:rPr>
                <w:spacing w:val="3"/>
                <w:sz w:val="24"/>
                <w:szCs w:val="24"/>
              </w:rPr>
              <w:t>）要求，化工园区其他的公用</w:t>
            </w:r>
            <w:r>
              <w:rPr>
                <w:spacing w:val="6"/>
                <w:sz w:val="24"/>
                <w:szCs w:val="24"/>
              </w:rPr>
              <w:t xml:space="preserve"> </w:t>
            </w:r>
            <w:r>
              <w:rPr>
                <w:spacing w:val="-8"/>
                <w:sz w:val="24"/>
                <w:szCs w:val="24"/>
              </w:rPr>
              <w:t>设施、铁路走行线的防火间距均符合有关要求，交通便</w:t>
            </w:r>
            <w:r>
              <w:rPr>
                <w:spacing w:val="-9"/>
                <w:sz w:val="24"/>
                <w:szCs w:val="24"/>
              </w:rPr>
              <w:t>利，安全可控，</w:t>
            </w:r>
            <w:r>
              <w:rPr>
                <w:sz w:val="24"/>
                <w:szCs w:val="24"/>
              </w:rPr>
              <w:t xml:space="preserve"> </w:t>
            </w:r>
            <w:r>
              <w:rPr>
                <w:spacing w:val="-1"/>
                <w:sz w:val="24"/>
                <w:szCs w:val="24"/>
              </w:rPr>
              <w:t>区位优势明显。项目已取得用地预审意见，选址合理。</w:t>
            </w:r>
          </w:p>
          <w:p w14:paraId="2FA433C2">
            <w:pPr>
              <w:pStyle w:val="6"/>
              <w:spacing w:before="1" w:line="218" w:lineRule="auto"/>
              <w:ind w:left="55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）总平面布置</w:t>
            </w:r>
          </w:p>
          <w:p w14:paraId="5C600BCC">
            <w:pPr>
              <w:pStyle w:val="6"/>
              <w:spacing w:before="180" w:line="362" w:lineRule="auto"/>
              <w:ind w:left="60" w:right="57" w:firstLine="480"/>
              <w:rPr>
                <w:sz w:val="24"/>
                <w:szCs w:val="24"/>
              </w:rPr>
            </w:pPr>
            <w:r>
              <w:rPr>
                <w:spacing w:val="-3"/>
                <w:sz w:val="24"/>
                <w:szCs w:val="24"/>
              </w:rPr>
              <w:t>根据《鄂托克经济开发区棋盘井产业园危险化学品车辆专用停车</w:t>
            </w:r>
            <w:r>
              <w:rPr>
                <w:spacing w:val="11"/>
                <w:sz w:val="24"/>
                <w:szCs w:val="24"/>
              </w:rPr>
              <w:t xml:space="preserve"> </w:t>
            </w:r>
            <w:r>
              <w:rPr>
                <w:spacing w:val="-3"/>
                <w:sz w:val="24"/>
                <w:szCs w:val="24"/>
              </w:rPr>
              <w:t>场建设项目初步设计说明》，本项目总平面布置严格按照《化工园区</w:t>
            </w:r>
          </w:p>
        </w:tc>
      </w:tr>
    </w:tbl>
    <w:p w14:paraId="0A4EB1CD">
      <w:pPr>
        <w:pStyle w:val="2"/>
      </w:pPr>
    </w:p>
    <w:p w14:paraId="1B94B233">
      <w:pPr>
        <w:sectPr>
          <w:footerReference r:id="rId25" w:type="default"/>
          <w:pgSz w:w="11906" w:h="16839"/>
          <w:pgMar w:top="400" w:right="1739" w:bottom="1259" w:left="1738" w:header="0" w:footer="1097" w:gutter="0"/>
          <w:cols w:space="720" w:num="1"/>
        </w:sectPr>
      </w:pPr>
    </w:p>
    <w:p w14:paraId="58F48B59">
      <w:pPr>
        <w:spacing w:before="19"/>
      </w:pPr>
    </w:p>
    <w:p w14:paraId="70A03C76">
      <w:pPr>
        <w:spacing w:before="19"/>
      </w:pPr>
    </w:p>
    <w:p w14:paraId="24742B79">
      <w:pPr>
        <w:spacing w:before="18"/>
      </w:pPr>
    </w:p>
    <w:p w14:paraId="4DFADC90">
      <w:pPr>
        <w:spacing w:before="18"/>
      </w:pPr>
    </w:p>
    <w:tbl>
      <w:tblPr>
        <w:tblStyle w:val="5"/>
        <w:tblW w:w="8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1"/>
        <w:gridCol w:w="7252"/>
      </w:tblGrid>
      <w:tr w14:paraId="11BAA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1" w:hRule="atLeast"/>
        </w:trPr>
        <w:tc>
          <w:tcPr>
            <w:tcW w:w="1171" w:type="dxa"/>
            <w:vAlign w:val="top"/>
          </w:tcPr>
          <w:p w14:paraId="1FE3D627">
            <w:pPr>
              <w:rPr>
                <w:rFonts w:ascii="Arial"/>
                <w:sz w:val="21"/>
              </w:rPr>
            </w:pPr>
          </w:p>
        </w:tc>
        <w:tc>
          <w:tcPr>
            <w:tcW w:w="7252" w:type="dxa"/>
            <w:vAlign w:val="top"/>
          </w:tcPr>
          <w:p w14:paraId="1B2F85D8">
            <w:pPr>
              <w:pStyle w:val="6"/>
              <w:spacing w:before="97" w:line="359" w:lineRule="auto"/>
              <w:ind w:left="60" w:right="53" w:firstLine="3"/>
              <w:jc w:val="both"/>
              <w:rPr>
                <w:sz w:val="24"/>
                <w:szCs w:val="24"/>
              </w:rPr>
            </w:pPr>
            <w:r>
              <w:rPr>
                <w:spacing w:val="3"/>
                <w:sz w:val="24"/>
                <w:szCs w:val="24"/>
              </w:rPr>
              <w:t>危险品运输车辆停车场建设标准》（</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CPCIF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3"/>
                <w:sz w:val="24"/>
                <w:szCs w:val="24"/>
              </w:rPr>
              <w:t>0050-</w:t>
            </w:r>
            <w:r>
              <w:rPr>
                <w:rFonts w:ascii="Times New Roman" w:hAnsi="Times New Roman" w:eastAsia="Times New Roman" w:cs="Times New Roman"/>
                <w:spacing w:val="2"/>
                <w:sz w:val="24"/>
                <w:szCs w:val="24"/>
              </w:rPr>
              <w:t>2020</w:t>
            </w:r>
            <w:r>
              <w:rPr>
                <w:spacing w:val="2"/>
                <w:sz w:val="24"/>
                <w:szCs w:val="24"/>
              </w:rPr>
              <w:t>）等有关要</w:t>
            </w:r>
            <w:r>
              <w:rPr>
                <w:sz w:val="24"/>
                <w:szCs w:val="24"/>
              </w:rPr>
              <w:t xml:space="preserve"> </w:t>
            </w:r>
            <w:r>
              <w:rPr>
                <w:spacing w:val="-3"/>
                <w:sz w:val="24"/>
                <w:szCs w:val="24"/>
              </w:rPr>
              <w:t>求进行设计，充分利用站区现有土地资源，因地制宜、紧凑布置、节</w:t>
            </w:r>
            <w:r>
              <w:rPr>
                <w:spacing w:val="18"/>
                <w:sz w:val="24"/>
                <w:szCs w:val="24"/>
              </w:rPr>
              <w:t xml:space="preserve"> </w:t>
            </w:r>
            <w:r>
              <w:rPr>
                <w:spacing w:val="-3"/>
                <w:sz w:val="24"/>
                <w:szCs w:val="24"/>
              </w:rPr>
              <w:t>约用地，力求项目厂区与园区有机结合，方便管理，确保站区外道路</w:t>
            </w:r>
            <w:r>
              <w:rPr>
                <w:spacing w:val="18"/>
                <w:sz w:val="24"/>
                <w:szCs w:val="24"/>
              </w:rPr>
              <w:t xml:space="preserve"> </w:t>
            </w:r>
            <w:r>
              <w:rPr>
                <w:spacing w:val="-2"/>
                <w:sz w:val="24"/>
                <w:szCs w:val="24"/>
              </w:rPr>
              <w:t>及公用工程管线引入通畅，根据各个建构筑物功能</w:t>
            </w:r>
            <w:r>
              <w:rPr>
                <w:spacing w:val="-3"/>
                <w:sz w:val="24"/>
                <w:szCs w:val="24"/>
              </w:rPr>
              <w:t>，结合实际情况，</w:t>
            </w:r>
            <w:r>
              <w:rPr>
                <w:sz w:val="24"/>
                <w:szCs w:val="24"/>
              </w:rPr>
              <w:t xml:space="preserve"> </w:t>
            </w:r>
            <w:r>
              <w:rPr>
                <w:spacing w:val="-3"/>
                <w:sz w:val="24"/>
                <w:szCs w:val="24"/>
              </w:rPr>
              <w:t>根据停车流程和消防、绿化等要求，在总平面布置时，尽可能做到紧</w:t>
            </w:r>
            <w:r>
              <w:rPr>
                <w:spacing w:val="18"/>
                <w:sz w:val="24"/>
                <w:szCs w:val="24"/>
              </w:rPr>
              <w:t xml:space="preserve"> </w:t>
            </w:r>
            <w:r>
              <w:rPr>
                <w:spacing w:val="-2"/>
                <w:sz w:val="24"/>
                <w:szCs w:val="24"/>
              </w:rPr>
              <w:t>凑、合理、流畅。</w:t>
            </w:r>
          </w:p>
          <w:p w14:paraId="7C29FAE6">
            <w:pPr>
              <w:pStyle w:val="6"/>
              <w:spacing w:line="220" w:lineRule="auto"/>
              <w:ind w:left="55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）安全防护、环境保护和消防配套</w:t>
            </w:r>
          </w:p>
          <w:p w14:paraId="60E9151C">
            <w:pPr>
              <w:pStyle w:val="6"/>
              <w:spacing w:before="180" w:line="336" w:lineRule="auto"/>
              <w:ind w:left="59" w:firstLine="479"/>
              <w:rPr>
                <w:sz w:val="24"/>
                <w:szCs w:val="24"/>
              </w:rPr>
            </w:pPr>
            <w:r>
              <w:rPr>
                <w:spacing w:val="-4"/>
                <w:sz w:val="24"/>
                <w:szCs w:val="24"/>
              </w:rPr>
              <w:t>①根据火灾危险性等级和防火、防爆要求，建筑物的防火等级均</w:t>
            </w:r>
            <w:r>
              <w:rPr>
                <w:spacing w:val="18"/>
                <w:sz w:val="24"/>
                <w:szCs w:val="24"/>
              </w:rPr>
              <w:t xml:space="preserve"> </w:t>
            </w:r>
            <w:r>
              <w:rPr>
                <w:spacing w:val="-8"/>
                <w:sz w:val="24"/>
                <w:szCs w:val="24"/>
              </w:rPr>
              <w:t>采用国家现行规范要求按一、二级耐火等级设计，满足建</w:t>
            </w:r>
            <w:r>
              <w:rPr>
                <w:spacing w:val="-9"/>
                <w:sz w:val="24"/>
                <w:szCs w:val="24"/>
              </w:rPr>
              <w:t>筑防火要求。</w:t>
            </w:r>
            <w:r>
              <w:rPr>
                <w:sz w:val="24"/>
                <w:szCs w:val="24"/>
              </w:rPr>
              <w:t xml:space="preserve"> </w:t>
            </w:r>
            <w:r>
              <w:rPr>
                <w:spacing w:val="-1"/>
                <w:sz w:val="24"/>
                <w:szCs w:val="24"/>
              </w:rPr>
              <w:t>禁火区设置明显标志牌。运输易燃易爆化学品的运输车辆远离火源，</w:t>
            </w:r>
            <w:r>
              <w:rPr>
                <w:spacing w:val="16"/>
                <w:sz w:val="24"/>
                <w:szCs w:val="24"/>
              </w:rPr>
              <w:t xml:space="preserve"> </w:t>
            </w:r>
            <w:r>
              <w:rPr>
                <w:spacing w:val="-3"/>
                <w:sz w:val="24"/>
                <w:szCs w:val="24"/>
              </w:rPr>
              <w:t>避免与强氧化剂接触，不允许任何人员随便启动，操作全部</w:t>
            </w:r>
            <w:r>
              <w:rPr>
                <w:spacing w:val="-4"/>
                <w:sz w:val="24"/>
                <w:szCs w:val="24"/>
              </w:rPr>
              <w:t>在控制室</w:t>
            </w:r>
            <w:r>
              <w:rPr>
                <w:sz w:val="24"/>
                <w:szCs w:val="24"/>
              </w:rPr>
              <w:t xml:space="preserve"> </w:t>
            </w:r>
            <w:r>
              <w:rPr>
                <w:spacing w:val="21"/>
                <w:sz w:val="24"/>
                <w:szCs w:val="24"/>
              </w:rPr>
              <w:t>进行</w:t>
            </w:r>
            <w:r>
              <w:rPr>
                <w:spacing w:val="-63"/>
                <w:sz w:val="24"/>
                <w:szCs w:val="24"/>
              </w:rPr>
              <w:t xml:space="preserve"> </w:t>
            </w:r>
            <w:r>
              <w:rPr>
                <w:spacing w:val="21"/>
                <w:sz w:val="24"/>
                <w:szCs w:val="24"/>
              </w:rPr>
              <w:t>。安全出口及安全疏散距离应符合《建筑</w:t>
            </w:r>
            <w:r>
              <w:rPr>
                <w:spacing w:val="20"/>
                <w:sz w:val="24"/>
                <w:szCs w:val="24"/>
              </w:rPr>
              <w:t>设计防火规范》</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GB50016-2006</w:t>
            </w:r>
            <w:r>
              <w:rPr>
                <w:spacing w:val="-1"/>
                <w:sz w:val="24"/>
                <w:szCs w:val="24"/>
              </w:rPr>
              <w:t>）的要求。</w:t>
            </w:r>
          </w:p>
          <w:p w14:paraId="4A5510B2">
            <w:pPr>
              <w:pStyle w:val="6"/>
              <w:spacing w:before="179" w:line="313" w:lineRule="auto"/>
              <w:ind w:left="63" w:firstLine="474"/>
              <w:rPr>
                <w:sz w:val="24"/>
                <w:szCs w:val="24"/>
              </w:rPr>
            </w:pPr>
            <w:r>
              <w:rPr>
                <w:spacing w:val="-9"/>
                <w:sz w:val="24"/>
                <w:szCs w:val="24"/>
              </w:rPr>
              <w:t>②本项目坚持以“注重源头控制、强化监测手段、污水集中处理、</w:t>
            </w:r>
            <w:r>
              <w:rPr>
                <w:spacing w:val="8"/>
                <w:sz w:val="24"/>
                <w:szCs w:val="24"/>
              </w:rPr>
              <w:t xml:space="preserve"> </w:t>
            </w:r>
            <w:r>
              <w:rPr>
                <w:spacing w:val="-4"/>
                <w:sz w:val="24"/>
                <w:szCs w:val="24"/>
              </w:rPr>
              <w:t>完善应急响应系统建设</w:t>
            </w:r>
            <w:r>
              <w:rPr>
                <w:spacing w:val="-88"/>
                <w:sz w:val="24"/>
                <w:szCs w:val="24"/>
              </w:rPr>
              <w:t xml:space="preserve"> </w:t>
            </w:r>
            <w:r>
              <w:rPr>
                <w:spacing w:val="-4"/>
                <w:sz w:val="24"/>
                <w:szCs w:val="24"/>
              </w:rPr>
              <w:t>”为原则，项目运营期</w:t>
            </w:r>
            <w:r>
              <w:rPr>
                <w:spacing w:val="-5"/>
                <w:sz w:val="24"/>
                <w:szCs w:val="24"/>
              </w:rPr>
              <w:t>产生的废水均采取相应</w:t>
            </w:r>
            <w:r>
              <w:rPr>
                <w:sz w:val="24"/>
                <w:szCs w:val="24"/>
              </w:rPr>
              <w:t xml:space="preserve"> </w:t>
            </w:r>
            <w:r>
              <w:rPr>
                <w:spacing w:val="-2"/>
                <w:sz w:val="24"/>
                <w:szCs w:val="24"/>
              </w:rPr>
              <w:t>的污染防治措施，厂区设置分区防渗。</w:t>
            </w:r>
          </w:p>
          <w:p w14:paraId="617B75E5">
            <w:pPr>
              <w:pStyle w:val="6"/>
              <w:spacing w:before="180" w:line="313" w:lineRule="auto"/>
              <w:ind w:left="62" w:right="57" w:firstLine="477"/>
              <w:rPr>
                <w:sz w:val="24"/>
                <w:szCs w:val="24"/>
              </w:rPr>
            </w:pPr>
            <w:r>
              <w:rPr>
                <w:spacing w:val="2"/>
                <w:sz w:val="24"/>
                <w:szCs w:val="24"/>
              </w:rPr>
              <w:t>③本项目严格按照</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 xml:space="preserve"> 50974 </w:t>
            </w:r>
            <w:r>
              <w:rPr>
                <w:spacing w:val="2"/>
                <w:sz w:val="24"/>
                <w:szCs w:val="24"/>
              </w:rPr>
              <w:t>有关要求配套消防给水及室外消火</w:t>
            </w:r>
            <w:r>
              <w:rPr>
                <w:spacing w:val="15"/>
                <w:sz w:val="24"/>
                <w:szCs w:val="24"/>
              </w:rPr>
              <w:t xml:space="preserve"> </w:t>
            </w:r>
            <w:r>
              <w:rPr>
                <w:spacing w:val="-3"/>
                <w:sz w:val="24"/>
                <w:szCs w:val="24"/>
              </w:rPr>
              <w:t>栓系统，设有智慧管控系统、视频监控系统、火灾自动报警系统及可</w:t>
            </w:r>
            <w:r>
              <w:rPr>
                <w:spacing w:val="16"/>
                <w:sz w:val="24"/>
                <w:szCs w:val="24"/>
              </w:rPr>
              <w:t xml:space="preserve"> </w:t>
            </w:r>
            <w:r>
              <w:rPr>
                <w:spacing w:val="-1"/>
                <w:sz w:val="24"/>
                <w:szCs w:val="24"/>
              </w:rPr>
              <w:t>燃气体探测器，重载停车区配置移动式消防炮。</w:t>
            </w:r>
          </w:p>
          <w:p w14:paraId="665B2FFD">
            <w:pPr>
              <w:pStyle w:val="6"/>
              <w:spacing w:before="182" w:line="362" w:lineRule="auto"/>
              <w:ind w:left="60" w:right="57" w:firstLine="483"/>
              <w:rPr>
                <w:sz w:val="24"/>
                <w:szCs w:val="24"/>
              </w:rPr>
            </w:pPr>
            <w:r>
              <w:rPr>
                <w:spacing w:val="-3"/>
                <w:sz w:val="24"/>
                <w:szCs w:val="24"/>
              </w:rPr>
              <w:t>综上所述，本项目设施设计符合《化工园区危险品运输车辆停车</w:t>
            </w:r>
            <w:r>
              <w:rPr>
                <w:spacing w:val="8"/>
                <w:sz w:val="24"/>
                <w:szCs w:val="24"/>
              </w:rPr>
              <w:t xml:space="preserve"> </w:t>
            </w:r>
            <w:r>
              <w:rPr>
                <w:sz w:val="24"/>
                <w:szCs w:val="24"/>
              </w:rPr>
              <w:t>场建设标准》（</w:t>
            </w:r>
            <w:r>
              <w:rPr>
                <w:rFonts w:ascii="Times New Roman" w:hAnsi="Times New Roman" w:eastAsia="Times New Roman" w:cs="Times New Roman"/>
                <w:sz w:val="24"/>
                <w:szCs w:val="24"/>
              </w:rPr>
              <w:t>T/CPCIF 0050-</w:t>
            </w:r>
            <w:r>
              <w:rPr>
                <w:rFonts w:ascii="Times New Roman" w:hAnsi="Times New Roman" w:eastAsia="Times New Roman" w:cs="Times New Roman"/>
                <w:spacing w:val="-1"/>
                <w:sz w:val="24"/>
                <w:szCs w:val="24"/>
              </w:rPr>
              <w:t>2020</w:t>
            </w:r>
            <w:r>
              <w:rPr>
                <w:spacing w:val="-1"/>
                <w:sz w:val="24"/>
                <w:szCs w:val="24"/>
              </w:rPr>
              <w:t>）有关要求。</w:t>
            </w:r>
          </w:p>
        </w:tc>
      </w:tr>
    </w:tbl>
    <w:p w14:paraId="4F3ADD5E">
      <w:pPr>
        <w:pStyle w:val="2"/>
      </w:pPr>
    </w:p>
    <w:p w14:paraId="09F99860">
      <w:pPr>
        <w:sectPr>
          <w:footerReference r:id="rId26" w:type="default"/>
          <w:pgSz w:w="11906" w:h="16839"/>
          <w:pgMar w:top="400" w:right="1739" w:bottom="1259" w:left="1738" w:header="0" w:footer="1097" w:gutter="0"/>
          <w:cols w:space="720" w:num="1"/>
        </w:sectPr>
      </w:pPr>
    </w:p>
    <w:p w14:paraId="2D920090">
      <w:pPr>
        <w:pStyle w:val="2"/>
        <w:spacing w:line="245" w:lineRule="auto"/>
      </w:pPr>
    </w:p>
    <w:p w14:paraId="6AB28318">
      <w:pPr>
        <w:pStyle w:val="2"/>
        <w:spacing w:line="245" w:lineRule="auto"/>
      </w:pPr>
    </w:p>
    <w:p w14:paraId="1AF2F109">
      <w:pPr>
        <w:pStyle w:val="2"/>
        <w:spacing w:line="245" w:lineRule="auto"/>
      </w:pPr>
    </w:p>
    <w:p w14:paraId="75D02502">
      <w:pPr>
        <w:pStyle w:val="2"/>
        <w:spacing w:line="246" w:lineRule="auto"/>
      </w:pPr>
    </w:p>
    <w:p w14:paraId="33498B45">
      <w:pPr>
        <w:spacing w:before="101" w:line="227" w:lineRule="auto"/>
        <w:ind w:left="2731"/>
        <w:outlineLvl w:val="0"/>
        <w:rPr>
          <w:rFonts w:ascii="黑体" w:hAnsi="黑体" w:eastAsia="黑体" w:cs="黑体"/>
          <w:sz w:val="31"/>
          <w:szCs w:val="31"/>
        </w:rPr>
      </w:pPr>
      <w:r>
        <w:rPr>
          <w:rFonts w:ascii="黑体" w:hAnsi="黑体" w:eastAsia="黑体" w:cs="黑体"/>
          <w:spacing w:val="8"/>
          <w:sz w:val="31"/>
          <w:szCs w:val="31"/>
        </w:rPr>
        <w:t>二、建设项目工程分析</w:t>
      </w:r>
    </w:p>
    <w:p w14:paraId="55F098A8">
      <w:pPr>
        <w:spacing w:line="193"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91BB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5" w:hRule="atLeast"/>
        </w:trPr>
        <w:tc>
          <w:tcPr>
            <w:tcW w:w="456" w:type="dxa"/>
            <w:textDirection w:val="tbRlV"/>
            <w:vAlign w:val="top"/>
          </w:tcPr>
          <w:p w14:paraId="0E194DBA">
            <w:pPr>
              <w:pStyle w:val="6"/>
              <w:spacing w:before="103" w:line="199" w:lineRule="auto"/>
              <w:ind w:left="6030"/>
              <w:rPr>
                <w:sz w:val="24"/>
                <w:szCs w:val="24"/>
              </w:rPr>
            </w:pPr>
            <w:r>
              <w:rPr>
                <w:spacing w:val="53"/>
                <w:sz w:val="24"/>
                <w:szCs w:val="24"/>
              </w:rPr>
              <w:t>建设</w:t>
            </w:r>
            <w:r>
              <w:rPr>
                <w:spacing w:val="53"/>
                <w:position w:val="1"/>
                <w:sz w:val="24"/>
                <w:szCs w:val="24"/>
              </w:rPr>
              <w:t>内</w:t>
            </w:r>
            <w:r>
              <w:rPr>
                <w:spacing w:val="53"/>
                <w:sz w:val="24"/>
                <w:szCs w:val="24"/>
              </w:rPr>
              <w:t>容</w:t>
            </w:r>
          </w:p>
        </w:tc>
        <w:tc>
          <w:tcPr>
            <w:tcW w:w="8169" w:type="dxa"/>
            <w:vAlign w:val="top"/>
          </w:tcPr>
          <w:p w14:paraId="7B3CF270">
            <w:pPr>
              <w:pStyle w:val="6"/>
              <w:spacing w:before="196" w:line="219" w:lineRule="auto"/>
              <w:ind w:left="118"/>
              <w:outlineLvl w:val="1"/>
              <w:rPr>
                <w:sz w:val="24"/>
                <w:szCs w:val="24"/>
              </w:rPr>
            </w:pPr>
            <w:r>
              <w:rPr>
                <w:rFonts w:ascii="Times New Roman" w:hAnsi="Times New Roman" w:eastAsia="Times New Roman" w:cs="Times New Roman"/>
                <w:b/>
                <w:bCs/>
                <w:spacing w:val="-9"/>
                <w:sz w:val="24"/>
                <w:szCs w:val="24"/>
              </w:rPr>
              <w:t>1</w:t>
            </w:r>
            <w:r>
              <w:rPr>
                <w:rFonts w:ascii="Times New Roman" w:hAnsi="Times New Roman" w:eastAsia="Times New Roman" w:cs="Times New Roman"/>
                <w:b/>
                <w:bCs/>
                <w:spacing w:val="-34"/>
                <w:sz w:val="24"/>
                <w:szCs w:val="24"/>
              </w:rPr>
              <w:t xml:space="preserve"> </w:t>
            </w:r>
            <w:r>
              <w:rPr>
                <w:b/>
                <w:bCs/>
                <w:spacing w:val="-9"/>
                <w:sz w:val="24"/>
                <w:szCs w:val="24"/>
              </w:rPr>
              <w:t>、项目由来</w:t>
            </w:r>
          </w:p>
          <w:p w14:paraId="7B8B1F46">
            <w:pPr>
              <w:pStyle w:val="6"/>
              <w:spacing w:before="180"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）园区规划背景</w:t>
            </w:r>
          </w:p>
          <w:p w14:paraId="194D88F1">
            <w:pPr>
              <w:pStyle w:val="6"/>
              <w:spacing w:before="181" w:line="359" w:lineRule="auto"/>
              <w:ind w:left="112" w:right="8" w:firstLine="509"/>
              <w:rPr>
                <w:sz w:val="24"/>
                <w:szCs w:val="24"/>
              </w:rPr>
            </w:pPr>
            <w:r>
              <w:rPr>
                <w:spacing w:val="-13"/>
                <w:sz w:val="24"/>
                <w:szCs w:val="24"/>
              </w:rPr>
              <w:t>内蒙古鄂托克经济开发区棋盘井工业园区（以下简称“棋盘井工业园区</w:t>
            </w:r>
            <w:r>
              <w:rPr>
                <w:spacing w:val="-78"/>
                <w:sz w:val="24"/>
                <w:szCs w:val="24"/>
              </w:rPr>
              <w:t xml:space="preserve"> </w:t>
            </w:r>
            <w:r>
              <w:rPr>
                <w:spacing w:val="-13"/>
                <w:sz w:val="24"/>
                <w:szCs w:val="24"/>
              </w:rPr>
              <w:t>”）</w:t>
            </w:r>
            <w:r>
              <w:rPr>
                <w:sz w:val="24"/>
                <w:szCs w:val="24"/>
              </w:rPr>
              <w:t xml:space="preserve"> 位于鄂尔多斯市鄂托克旗棋盘井镇，是自治</w:t>
            </w:r>
            <w:r>
              <w:rPr>
                <w:spacing w:val="-1"/>
                <w:sz w:val="24"/>
                <w:szCs w:val="24"/>
              </w:rPr>
              <w:t>区呼包鄂“大金三角</w:t>
            </w:r>
            <w:r>
              <w:rPr>
                <w:spacing w:val="-86"/>
                <w:sz w:val="24"/>
                <w:szCs w:val="24"/>
              </w:rPr>
              <w:t xml:space="preserve"> </w:t>
            </w:r>
            <w:r>
              <w:rPr>
                <w:spacing w:val="-1"/>
                <w:sz w:val="24"/>
                <w:szCs w:val="24"/>
              </w:rPr>
              <w:t>”经济区的</w:t>
            </w:r>
            <w:r>
              <w:rPr>
                <w:sz w:val="24"/>
                <w:szCs w:val="24"/>
              </w:rPr>
              <w:t xml:space="preserve">  </w:t>
            </w:r>
            <w:r>
              <w:rPr>
                <w:spacing w:val="-5"/>
                <w:sz w:val="24"/>
                <w:szCs w:val="24"/>
              </w:rPr>
              <w:t>重要组成部分，是自治区西部乌海－乌斯太－棋盘井“小三角</w:t>
            </w:r>
            <w:r>
              <w:rPr>
                <w:spacing w:val="-82"/>
                <w:sz w:val="24"/>
                <w:szCs w:val="24"/>
              </w:rPr>
              <w:t xml:space="preserve"> </w:t>
            </w:r>
            <w:r>
              <w:rPr>
                <w:spacing w:val="-5"/>
                <w:sz w:val="24"/>
                <w:szCs w:val="24"/>
              </w:rPr>
              <w:t>”的核心一角。</w:t>
            </w:r>
          </w:p>
          <w:p w14:paraId="4B707DE7">
            <w:pPr>
              <w:pStyle w:val="6"/>
              <w:spacing w:before="10" w:line="358" w:lineRule="auto"/>
              <w:ind w:left="110" w:right="107" w:firstLine="484"/>
              <w:rPr>
                <w:sz w:val="24"/>
                <w:szCs w:val="24"/>
              </w:rPr>
            </w:pPr>
            <w:r>
              <w:rPr>
                <w:spacing w:val="-4"/>
                <w:sz w:val="24"/>
                <w:szCs w:val="24"/>
              </w:rPr>
              <w:t>棋盘井工业园区始建于</w:t>
            </w:r>
            <w:r>
              <w:rPr>
                <w:spacing w:val="-50"/>
                <w:sz w:val="24"/>
                <w:szCs w:val="24"/>
              </w:rPr>
              <w:t xml:space="preserve"> </w:t>
            </w:r>
            <w:r>
              <w:rPr>
                <w:rFonts w:ascii="Times New Roman" w:hAnsi="Times New Roman" w:eastAsia="Times New Roman" w:cs="Times New Roman"/>
                <w:spacing w:val="-4"/>
                <w:sz w:val="24"/>
                <w:szCs w:val="24"/>
              </w:rPr>
              <w:t xml:space="preserve">2001 </w:t>
            </w:r>
            <w:r>
              <w:rPr>
                <w:spacing w:val="-4"/>
                <w:sz w:val="24"/>
                <w:szCs w:val="24"/>
              </w:rPr>
              <w:t>年</w:t>
            </w:r>
            <w:r>
              <w:rPr>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sz w:val="24"/>
                <w:szCs w:val="24"/>
              </w:rPr>
              <w:t xml:space="preserve"> </w:t>
            </w:r>
            <w:r>
              <w:rPr>
                <w:spacing w:val="-4"/>
                <w:sz w:val="24"/>
                <w:szCs w:val="24"/>
              </w:rPr>
              <w:t>月，原为蒙西经济技术开发区（蒙西高</w:t>
            </w:r>
            <w:r>
              <w:rPr>
                <w:sz w:val="24"/>
                <w:szCs w:val="24"/>
              </w:rPr>
              <w:t xml:space="preserve"> </w:t>
            </w:r>
            <w:r>
              <w:rPr>
                <w:spacing w:val="-3"/>
                <w:sz w:val="24"/>
                <w:szCs w:val="24"/>
              </w:rPr>
              <w:t>新技术工业园区和棋盘井工业园区）。</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4"/>
                <w:sz w:val="24"/>
                <w:szCs w:val="24"/>
              </w:rPr>
              <w:t xml:space="preserve">6 </w:t>
            </w:r>
            <w:r>
              <w:rPr>
                <w:spacing w:val="-4"/>
                <w:sz w:val="24"/>
                <w:szCs w:val="24"/>
              </w:rPr>
              <w:t>年</w:t>
            </w:r>
            <w:r>
              <w:rPr>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spacing w:val="-4"/>
                <w:sz w:val="24"/>
                <w:szCs w:val="24"/>
              </w:rPr>
              <w:t>月</w:t>
            </w:r>
            <w:r>
              <w:rPr>
                <w:spacing w:val="-49"/>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日，内蒙古建设厅出具</w:t>
            </w:r>
            <w:r>
              <w:rPr>
                <w:sz w:val="24"/>
                <w:szCs w:val="24"/>
              </w:rPr>
              <w:t xml:space="preserve"> 了《内蒙古建设厅关于</w:t>
            </w:r>
            <w:r>
              <w:rPr>
                <w:rFonts w:ascii="Times New Roman" w:hAnsi="Times New Roman" w:eastAsia="Times New Roman" w:cs="Times New Roman"/>
                <w:sz w:val="24"/>
                <w:szCs w:val="24"/>
              </w:rPr>
              <w:t>&lt;</w:t>
            </w:r>
            <w:r>
              <w:rPr>
                <w:rFonts w:ascii="Times New Roman" w:hAnsi="Times New Roman" w:eastAsia="Times New Roman" w:cs="Times New Roman"/>
                <w:spacing w:val="-20"/>
                <w:sz w:val="24"/>
                <w:szCs w:val="24"/>
              </w:rPr>
              <w:t xml:space="preserve"> </w:t>
            </w:r>
            <w:r>
              <w:rPr>
                <w:sz w:val="24"/>
                <w:szCs w:val="24"/>
              </w:rPr>
              <w:t>内蒙古蒙西经济技术开发区总</w:t>
            </w:r>
            <w:r>
              <w:rPr>
                <w:spacing w:val="-1"/>
                <w:sz w:val="24"/>
                <w:szCs w:val="24"/>
              </w:rPr>
              <w:t>体规划</w:t>
            </w:r>
            <w:r>
              <w:rPr>
                <w:spacing w:val="-53"/>
                <w:sz w:val="24"/>
                <w:szCs w:val="24"/>
              </w:rPr>
              <w:t xml:space="preserve"> </w:t>
            </w:r>
            <w:r>
              <w:rPr>
                <w:rFonts w:ascii="Times New Roman" w:hAnsi="Times New Roman" w:eastAsia="Times New Roman" w:cs="Times New Roman"/>
                <w:spacing w:val="-1"/>
                <w:sz w:val="24"/>
                <w:szCs w:val="24"/>
              </w:rPr>
              <w:t xml:space="preserve">2006-2020 </w:t>
            </w:r>
            <w:r>
              <w:rPr>
                <w:spacing w:val="-1"/>
                <w:sz w:val="24"/>
                <w:szCs w:val="24"/>
              </w:rPr>
              <w:t>年</w:t>
            </w:r>
            <w:r>
              <w:rPr>
                <w:rFonts w:ascii="Times New Roman" w:hAnsi="Times New Roman" w:eastAsia="Times New Roman" w:cs="Times New Roman"/>
                <w:spacing w:val="-1"/>
                <w:sz w:val="24"/>
                <w:szCs w:val="24"/>
              </w:rPr>
              <w:t>&gt;</w:t>
            </w:r>
            <w:r>
              <w:rPr>
                <w:rFonts w:ascii="Times New Roman" w:hAnsi="Times New Roman" w:eastAsia="Times New Roman" w:cs="Times New Roman"/>
                <w:sz w:val="24"/>
                <w:szCs w:val="24"/>
              </w:rPr>
              <w:t xml:space="preserve"> </w:t>
            </w:r>
            <w:r>
              <w:rPr>
                <w:spacing w:val="-3"/>
                <w:sz w:val="24"/>
                <w:szCs w:val="24"/>
              </w:rPr>
              <w:t>的批复》（内建规</w:t>
            </w:r>
            <w:r>
              <w:rPr>
                <w:rFonts w:ascii="Times New Roman" w:hAnsi="Times New Roman" w:eastAsia="Times New Roman" w:cs="Times New Roman"/>
                <w:spacing w:val="-3"/>
                <w:sz w:val="24"/>
                <w:szCs w:val="24"/>
              </w:rPr>
              <w:t>[2006]139</w:t>
            </w:r>
            <w:r>
              <w:rPr>
                <w:rFonts w:ascii="Times New Roman" w:hAnsi="Times New Roman" w:eastAsia="Times New Roman" w:cs="Times New Roman"/>
                <w:spacing w:val="15"/>
                <w:sz w:val="24"/>
                <w:szCs w:val="24"/>
              </w:rPr>
              <w:t xml:space="preserve"> </w:t>
            </w:r>
            <w:r>
              <w:rPr>
                <w:spacing w:val="-3"/>
                <w:sz w:val="24"/>
                <w:szCs w:val="24"/>
              </w:rPr>
              <w:t>号</w:t>
            </w:r>
            <w:r>
              <w:rPr>
                <w:spacing w:val="9"/>
                <w:sz w:val="24"/>
                <w:szCs w:val="24"/>
              </w:rPr>
              <w:t>），</w:t>
            </w:r>
            <w:r>
              <w:rPr>
                <w:spacing w:val="-3"/>
                <w:sz w:val="24"/>
                <w:szCs w:val="24"/>
              </w:rPr>
              <w:t>明确表示园区定位为发展特色冶金、焦化</w:t>
            </w:r>
            <w:r>
              <w:rPr>
                <w:sz w:val="24"/>
                <w:szCs w:val="24"/>
              </w:rPr>
              <w:t xml:space="preserve"> </w:t>
            </w:r>
            <w:r>
              <w:rPr>
                <w:spacing w:val="-1"/>
                <w:sz w:val="24"/>
                <w:szCs w:val="24"/>
              </w:rPr>
              <w:t>盐化和天然气化工，形成“煤</w:t>
            </w:r>
            <w:r>
              <w:rPr>
                <w:rFonts w:ascii="Times New Roman" w:hAnsi="Times New Roman" w:eastAsia="Times New Roman" w:cs="Times New Roman"/>
                <w:spacing w:val="-1"/>
                <w:sz w:val="24"/>
                <w:szCs w:val="24"/>
              </w:rPr>
              <w:t>-</w:t>
            </w:r>
            <w:r>
              <w:rPr>
                <w:spacing w:val="-1"/>
                <w:sz w:val="24"/>
                <w:szCs w:val="24"/>
              </w:rPr>
              <w:t>电</w:t>
            </w:r>
            <w:r>
              <w:rPr>
                <w:rFonts w:ascii="Times New Roman" w:hAnsi="Times New Roman" w:eastAsia="Times New Roman" w:cs="Times New Roman"/>
                <w:spacing w:val="-1"/>
                <w:sz w:val="24"/>
                <w:szCs w:val="24"/>
              </w:rPr>
              <w:t>-</w:t>
            </w:r>
            <w:r>
              <w:rPr>
                <w:spacing w:val="-1"/>
                <w:sz w:val="24"/>
                <w:szCs w:val="24"/>
              </w:rPr>
              <w:t>冶金</w:t>
            </w:r>
            <w:r>
              <w:rPr>
                <w:rFonts w:ascii="Times New Roman" w:hAnsi="Times New Roman" w:eastAsia="Times New Roman" w:cs="Times New Roman"/>
                <w:spacing w:val="-1"/>
                <w:sz w:val="24"/>
                <w:szCs w:val="24"/>
              </w:rPr>
              <w:t>-</w:t>
            </w:r>
            <w:r>
              <w:rPr>
                <w:spacing w:val="-1"/>
                <w:sz w:val="24"/>
                <w:szCs w:val="24"/>
              </w:rPr>
              <w:t>化</w:t>
            </w:r>
            <w:r>
              <w:rPr>
                <w:spacing w:val="-86"/>
                <w:sz w:val="24"/>
                <w:szCs w:val="24"/>
              </w:rPr>
              <w:t xml:space="preserve"> </w:t>
            </w:r>
            <w:r>
              <w:rPr>
                <w:spacing w:val="-1"/>
                <w:sz w:val="24"/>
                <w:szCs w:val="24"/>
              </w:rPr>
              <w:t>”“煤</w:t>
            </w:r>
            <w:r>
              <w:rPr>
                <w:rFonts w:ascii="Times New Roman" w:hAnsi="Times New Roman" w:eastAsia="Times New Roman" w:cs="Times New Roman"/>
                <w:spacing w:val="-1"/>
                <w:sz w:val="24"/>
                <w:szCs w:val="24"/>
              </w:rPr>
              <w:t>-</w:t>
            </w:r>
            <w:r>
              <w:rPr>
                <w:spacing w:val="-1"/>
                <w:sz w:val="24"/>
                <w:szCs w:val="24"/>
              </w:rPr>
              <w:t>焦</w:t>
            </w:r>
            <w:r>
              <w:rPr>
                <w:rFonts w:ascii="Times New Roman" w:hAnsi="Times New Roman" w:eastAsia="Times New Roman" w:cs="Times New Roman"/>
                <w:spacing w:val="-1"/>
                <w:sz w:val="24"/>
                <w:szCs w:val="24"/>
              </w:rPr>
              <w:t>-</w:t>
            </w:r>
            <w:r>
              <w:rPr>
                <w:spacing w:val="-1"/>
                <w:sz w:val="24"/>
                <w:szCs w:val="24"/>
              </w:rPr>
              <w:t>油（气）</w:t>
            </w:r>
            <w:r>
              <w:rPr>
                <w:rFonts w:ascii="Times New Roman" w:hAnsi="Times New Roman" w:eastAsia="Times New Roman" w:cs="Times New Roman"/>
                <w:spacing w:val="-1"/>
                <w:sz w:val="24"/>
                <w:szCs w:val="24"/>
              </w:rPr>
              <w:t>-</w:t>
            </w:r>
            <w:r>
              <w:rPr>
                <w:spacing w:val="-2"/>
                <w:sz w:val="24"/>
                <w:szCs w:val="24"/>
              </w:rPr>
              <w:t>化</w:t>
            </w:r>
            <w:r>
              <w:rPr>
                <w:spacing w:val="-88"/>
                <w:sz w:val="24"/>
                <w:szCs w:val="24"/>
              </w:rPr>
              <w:t xml:space="preserve"> </w:t>
            </w:r>
            <w:r>
              <w:rPr>
                <w:spacing w:val="-2"/>
                <w:sz w:val="24"/>
                <w:szCs w:val="24"/>
              </w:rPr>
              <w:t>”和“天然</w:t>
            </w:r>
            <w:r>
              <w:rPr>
                <w:sz w:val="24"/>
                <w:szCs w:val="24"/>
              </w:rPr>
              <w:t xml:space="preserve"> 气（煤气）化</w:t>
            </w:r>
            <w:r>
              <w:rPr>
                <w:spacing w:val="-85"/>
                <w:sz w:val="24"/>
                <w:szCs w:val="24"/>
              </w:rPr>
              <w:t xml:space="preserve"> </w:t>
            </w:r>
            <w:r>
              <w:rPr>
                <w:sz w:val="24"/>
                <w:szCs w:val="24"/>
              </w:rPr>
              <w:t>”的主要产业链，是具现代化、产业化</w:t>
            </w:r>
            <w:r>
              <w:rPr>
                <w:spacing w:val="-1"/>
                <w:sz w:val="24"/>
                <w:szCs w:val="24"/>
              </w:rPr>
              <w:t>，遵循循环经济技术发</w:t>
            </w:r>
            <w:r>
              <w:rPr>
                <w:sz w:val="24"/>
                <w:szCs w:val="24"/>
              </w:rPr>
              <w:t xml:space="preserve"> </w:t>
            </w:r>
            <w:r>
              <w:rPr>
                <w:spacing w:val="1"/>
                <w:sz w:val="24"/>
                <w:szCs w:val="24"/>
              </w:rPr>
              <w:t>展的自治区级开发区。</w:t>
            </w:r>
            <w:r>
              <w:rPr>
                <w:rFonts w:ascii="Times New Roman" w:hAnsi="Times New Roman" w:eastAsia="Times New Roman" w:cs="Times New Roman"/>
                <w:spacing w:val="1"/>
                <w:sz w:val="24"/>
                <w:szCs w:val="24"/>
              </w:rPr>
              <w:t xml:space="preserve">2006 </w:t>
            </w:r>
            <w:r>
              <w:rPr>
                <w:spacing w:val="1"/>
                <w:sz w:val="24"/>
                <w:szCs w:val="24"/>
              </w:rPr>
              <w:t>年</w:t>
            </w:r>
            <w:r>
              <w:rPr>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0"/>
                <w:sz w:val="24"/>
                <w:szCs w:val="24"/>
              </w:rPr>
              <w:t xml:space="preserve"> </w:t>
            </w:r>
            <w:r>
              <w:rPr>
                <w:spacing w:val="1"/>
                <w:sz w:val="24"/>
                <w:szCs w:val="24"/>
              </w:rPr>
              <w:t>月，国家发展改革委</w:t>
            </w:r>
            <w:r>
              <w:rPr>
                <w:rFonts w:ascii="Times New Roman" w:hAnsi="Times New Roman" w:eastAsia="Times New Roman" w:cs="Times New Roman"/>
                <w:spacing w:val="1"/>
                <w:sz w:val="24"/>
                <w:szCs w:val="24"/>
              </w:rPr>
              <w:t xml:space="preserve">[2006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第</w:t>
            </w:r>
            <w:r>
              <w:rPr>
                <w:spacing w:val="-45"/>
                <w:sz w:val="24"/>
                <w:szCs w:val="24"/>
              </w:rPr>
              <w:t xml:space="preserve"> </w:t>
            </w:r>
            <w:r>
              <w:rPr>
                <w:rFonts w:ascii="Times New Roman" w:hAnsi="Times New Roman" w:eastAsia="Times New Roman" w:cs="Times New Roman"/>
                <w:spacing w:val="1"/>
                <w:sz w:val="24"/>
                <w:szCs w:val="24"/>
              </w:rPr>
              <w:t>66</w:t>
            </w:r>
            <w:r>
              <w:rPr>
                <w:rFonts w:ascii="Times New Roman" w:hAnsi="Times New Roman" w:eastAsia="Times New Roman" w:cs="Times New Roman"/>
                <w:spacing w:val="20"/>
                <w:sz w:val="24"/>
                <w:szCs w:val="24"/>
              </w:rPr>
              <w:t xml:space="preserve"> </w:t>
            </w:r>
            <w:r>
              <w:rPr>
                <w:spacing w:val="1"/>
                <w:sz w:val="24"/>
                <w:szCs w:val="24"/>
              </w:rPr>
              <w:t>号</w:t>
            </w:r>
            <w:r>
              <w:rPr>
                <w:sz w:val="24"/>
                <w:szCs w:val="24"/>
              </w:rPr>
              <w:t xml:space="preserve">公告 </w:t>
            </w:r>
            <w:r>
              <w:rPr>
                <w:spacing w:val="-1"/>
                <w:sz w:val="24"/>
                <w:szCs w:val="24"/>
              </w:rPr>
              <w:t>将园区名称核准为内蒙古鄂托克经济开发区。</w:t>
            </w:r>
          </w:p>
          <w:p w14:paraId="67994D7A">
            <w:pPr>
              <w:pStyle w:val="6"/>
              <w:spacing w:before="4" w:line="359" w:lineRule="auto"/>
              <w:ind w:left="113" w:right="45" w:firstLine="474"/>
              <w:jc w:val="both"/>
              <w:rPr>
                <w:sz w:val="24"/>
                <w:szCs w:val="24"/>
              </w:rPr>
            </w:pPr>
            <w:r>
              <w:rPr>
                <w:rFonts w:ascii="Times New Roman" w:hAnsi="Times New Roman" w:eastAsia="Times New Roman" w:cs="Times New Roman"/>
                <w:spacing w:val="-1"/>
                <w:sz w:val="24"/>
                <w:szCs w:val="24"/>
              </w:rPr>
              <w:t>2010</w:t>
            </w:r>
            <w:r>
              <w:rPr>
                <w:rFonts w:ascii="Times New Roman" w:hAnsi="Times New Roman" w:eastAsia="Times New Roman" w:cs="Times New Roman"/>
                <w:spacing w:val="28"/>
                <w:sz w:val="24"/>
                <w:szCs w:val="24"/>
              </w:rPr>
              <w:t xml:space="preserve"> </w:t>
            </w:r>
            <w:r>
              <w:rPr>
                <w:spacing w:val="-1"/>
                <w:sz w:val="24"/>
                <w:szCs w:val="24"/>
              </w:rPr>
              <w:t>年</w:t>
            </w:r>
            <w:r>
              <w:rPr>
                <w:spacing w:val="-48"/>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28</w:t>
            </w:r>
            <w:r>
              <w:rPr>
                <w:rFonts w:ascii="Times New Roman" w:hAnsi="Times New Roman" w:eastAsia="Times New Roman" w:cs="Times New Roman"/>
                <w:spacing w:val="53"/>
                <w:sz w:val="24"/>
                <w:szCs w:val="24"/>
              </w:rPr>
              <w:t xml:space="preserve"> </w:t>
            </w:r>
            <w:r>
              <w:rPr>
                <w:spacing w:val="-1"/>
                <w:sz w:val="24"/>
                <w:szCs w:val="24"/>
              </w:rPr>
              <w:t>日，内蒙古自治区环境保护厅出具了《内蒙古自治区环</w:t>
            </w:r>
            <w:r>
              <w:rPr>
                <w:sz w:val="24"/>
                <w:szCs w:val="24"/>
              </w:rPr>
              <w:t xml:space="preserve"> </w:t>
            </w:r>
            <w:r>
              <w:rPr>
                <w:spacing w:val="-5"/>
                <w:sz w:val="24"/>
                <w:szCs w:val="24"/>
              </w:rPr>
              <w:t>境保护厅关于</w:t>
            </w:r>
            <w:r>
              <w:rPr>
                <w:rFonts w:ascii="Times New Roman" w:hAnsi="Times New Roman" w:eastAsia="Times New Roman" w:cs="Times New Roman"/>
                <w:spacing w:val="-5"/>
                <w:sz w:val="24"/>
                <w:szCs w:val="24"/>
              </w:rPr>
              <w:t>&lt;</w:t>
            </w:r>
            <w:r>
              <w:rPr>
                <w:rFonts w:ascii="Times New Roman" w:hAnsi="Times New Roman" w:eastAsia="Times New Roman" w:cs="Times New Roman"/>
                <w:spacing w:val="-4"/>
                <w:sz w:val="24"/>
                <w:szCs w:val="24"/>
              </w:rPr>
              <w:t xml:space="preserve"> </w:t>
            </w:r>
            <w:r>
              <w:rPr>
                <w:spacing w:val="-5"/>
                <w:sz w:val="24"/>
                <w:szCs w:val="24"/>
              </w:rPr>
              <w:t>内蒙古鄂托克经济开发区（棋盘井工业园区）规划环境影响报</w:t>
            </w:r>
            <w:r>
              <w:rPr>
                <w:sz w:val="24"/>
                <w:szCs w:val="24"/>
              </w:rPr>
              <w:t xml:space="preserve"> </w:t>
            </w:r>
            <w:r>
              <w:rPr>
                <w:spacing w:val="-10"/>
                <w:sz w:val="24"/>
                <w:szCs w:val="24"/>
              </w:rPr>
              <w:t>告书</w:t>
            </w:r>
            <w:r>
              <w:rPr>
                <w:rFonts w:ascii="Times New Roman" w:hAnsi="Times New Roman" w:eastAsia="Times New Roman" w:cs="Times New Roman"/>
                <w:spacing w:val="-10"/>
                <w:sz w:val="24"/>
                <w:szCs w:val="24"/>
              </w:rPr>
              <w:t>&gt;</w:t>
            </w:r>
            <w:r>
              <w:rPr>
                <w:spacing w:val="-10"/>
                <w:sz w:val="24"/>
                <w:szCs w:val="24"/>
              </w:rPr>
              <w:t>审查的意见》（内环字〔</w:t>
            </w:r>
            <w:r>
              <w:rPr>
                <w:rFonts w:ascii="Times New Roman" w:hAnsi="Times New Roman" w:eastAsia="Times New Roman" w:cs="Times New Roman"/>
                <w:spacing w:val="-10"/>
                <w:sz w:val="24"/>
                <w:szCs w:val="24"/>
              </w:rPr>
              <w:t>2010</w:t>
            </w:r>
            <w:r>
              <w:rPr>
                <w:spacing w:val="-10"/>
                <w:sz w:val="24"/>
                <w:szCs w:val="24"/>
              </w:rPr>
              <w:t>〕</w:t>
            </w:r>
            <w:r>
              <w:rPr>
                <w:rFonts w:ascii="Times New Roman" w:hAnsi="Times New Roman" w:eastAsia="Times New Roman" w:cs="Times New Roman"/>
                <w:spacing w:val="-10"/>
                <w:sz w:val="24"/>
                <w:szCs w:val="24"/>
              </w:rPr>
              <w:t>168</w:t>
            </w:r>
            <w:r>
              <w:rPr>
                <w:rFonts w:ascii="Times New Roman" w:hAnsi="Times New Roman" w:eastAsia="Times New Roman" w:cs="Times New Roman"/>
                <w:spacing w:val="15"/>
                <w:sz w:val="24"/>
                <w:szCs w:val="24"/>
              </w:rPr>
              <w:t xml:space="preserve"> </w:t>
            </w:r>
            <w:r>
              <w:rPr>
                <w:spacing w:val="-10"/>
                <w:sz w:val="24"/>
                <w:szCs w:val="24"/>
              </w:rPr>
              <w:t>号</w:t>
            </w:r>
            <w:r>
              <w:rPr>
                <w:spacing w:val="-35"/>
                <w:sz w:val="24"/>
                <w:szCs w:val="24"/>
              </w:rPr>
              <w:t>），</w:t>
            </w:r>
            <w:r>
              <w:rPr>
                <w:spacing w:val="-10"/>
                <w:sz w:val="24"/>
                <w:szCs w:val="24"/>
              </w:rPr>
              <w:t>明确园区规划占地面积</w:t>
            </w:r>
            <w:r>
              <w:rPr>
                <w:spacing w:val="-49"/>
                <w:sz w:val="24"/>
                <w:szCs w:val="24"/>
              </w:rPr>
              <w:t xml:space="preserve"> </w:t>
            </w:r>
            <w:r>
              <w:rPr>
                <w:rFonts w:ascii="Times New Roman" w:hAnsi="Times New Roman" w:eastAsia="Times New Roman" w:cs="Times New Roman"/>
                <w:spacing w:val="-10"/>
                <w:sz w:val="24"/>
                <w:szCs w:val="24"/>
              </w:rPr>
              <w:t>54km</w:t>
            </w:r>
            <w:r>
              <w:rPr>
                <w:rFonts w:ascii="Times New Roman" w:hAnsi="Times New Roman" w:eastAsia="Times New Roman" w:cs="Times New Roman"/>
                <w:spacing w:val="-10"/>
                <w:position w:val="8"/>
                <w:sz w:val="15"/>
                <w:szCs w:val="15"/>
              </w:rPr>
              <w:t>2</w:t>
            </w:r>
            <w:r>
              <w:rPr>
                <w:spacing w:val="-10"/>
                <w:sz w:val="24"/>
                <w:szCs w:val="24"/>
              </w:rPr>
              <w:t>，</w:t>
            </w:r>
            <w:r>
              <w:rPr>
                <w:sz w:val="24"/>
                <w:szCs w:val="24"/>
              </w:rPr>
              <w:t xml:space="preserve"> </w:t>
            </w:r>
            <w:r>
              <w:rPr>
                <w:spacing w:val="1"/>
                <w:sz w:val="24"/>
                <w:szCs w:val="24"/>
              </w:rPr>
              <w:t>目前已基本形成化工产业、煤炭深加工在西南，特</w:t>
            </w:r>
            <w:r>
              <w:rPr>
                <w:sz w:val="24"/>
                <w:szCs w:val="24"/>
              </w:rPr>
              <w:t xml:space="preserve">色冶金、建材、轻工业和 </w:t>
            </w:r>
            <w:r>
              <w:rPr>
                <w:spacing w:val="1"/>
                <w:sz w:val="24"/>
                <w:szCs w:val="24"/>
              </w:rPr>
              <w:t>行政办公在东北，鄂绒产业集团电力、特色冶金在</w:t>
            </w:r>
            <w:r>
              <w:rPr>
                <w:sz w:val="24"/>
                <w:szCs w:val="24"/>
              </w:rPr>
              <w:t xml:space="preserve">西北的产业布局，并在西 </w:t>
            </w:r>
            <w:r>
              <w:rPr>
                <w:spacing w:val="2"/>
                <w:sz w:val="24"/>
                <w:szCs w:val="24"/>
              </w:rPr>
              <w:t>方向建成</w:t>
            </w:r>
            <w:r>
              <w:rPr>
                <w:spacing w:val="-4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万</w:t>
            </w:r>
            <w:r>
              <w:rPr>
                <w:rFonts w:ascii="Times New Roman" w:hAnsi="Times New Roman" w:eastAsia="Times New Roman" w:cs="Times New Roman"/>
                <w:spacing w:val="2"/>
                <w:sz w:val="24"/>
                <w:szCs w:val="24"/>
              </w:rPr>
              <w:t xml:space="preserve">t/d </w:t>
            </w:r>
            <w:r>
              <w:rPr>
                <w:spacing w:val="2"/>
                <w:sz w:val="24"/>
                <w:szCs w:val="24"/>
              </w:rPr>
              <w:t>污水处理厂。</w:t>
            </w:r>
          </w:p>
          <w:p w14:paraId="47C9E486">
            <w:pPr>
              <w:pStyle w:val="6"/>
              <w:spacing w:before="9" w:line="358" w:lineRule="auto"/>
              <w:ind w:left="112" w:right="107" w:firstLine="475"/>
              <w:jc w:val="both"/>
              <w:rPr>
                <w:sz w:val="24"/>
                <w:szCs w:val="24"/>
              </w:rPr>
            </w:pPr>
            <w:r>
              <w:rPr>
                <w:rFonts w:ascii="Times New Roman" w:hAnsi="Times New Roman" w:eastAsia="Times New Roman" w:cs="Times New Roman"/>
                <w:spacing w:val="-2"/>
                <w:sz w:val="24"/>
                <w:szCs w:val="24"/>
              </w:rPr>
              <w:t xml:space="preserve">2018 </w:t>
            </w:r>
            <w:r>
              <w:rPr>
                <w:spacing w:val="-2"/>
                <w:sz w:val="24"/>
                <w:szCs w:val="24"/>
              </w:rPr>
              <w:t>年</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5"/>
                <w:sz w:val="24"/>
                <w:szCs w:val="24"/>
              </w:rPr>
              <w:t xml:space="preserve"> </w:t>
            </w:r>
            <w:r>
              <w:rPr>
                <w:spacing w:val="-2"/>
                <w:sz w:val="24"/>
                <w:szCs w:val="24"/>
              </w:rPr>
              <w:t>月内蒙古自治区环境保护厅出具了《内蒙古</w:t>
            </w:r>
            <w:r>
              <w:rPr>
                <w:spacing w:val="-3"/>
                <w:sz w:val="24"/>
                <w:szCs w:val="24"/>
              </w:rPr>
              <w:t>自治区环境保护厅</w:t>
            </w:r>
            <w:r>
              <w:rPr>
                <w:sz w:val="24"/>
                <w:szCs w:val="24"/>
              </w:rPr>
              <w:t xml:space="preserve"> </w:t>
            </w:r>
            <w:r>
              <w:rPr>
                <w:spacing w:val="1"/>
                <w:sz w:val="24"/>
                <w:szCs w:val="24"/>
              </w:rPr>
              <w:t>关于内蒙古鄂托克经济开发区（棋盘井工业园区）规</w:t>
            </w:r>
            <w:r>
              <w:rPr>
                <w:sz w:val="24"/>
                <w:szCs w:val="24"/>
              </w:rPr>
              <w:t xml:space="preserve">划环境影响跟踪评价工 </w:t>
            </w:r>
            <w:r>
              <w:rPr>
                <w:spacing w:val="8"/>
                <w:sz w:val="24"/>
                <w:szCs w:val="24"/>
              </w:rPr>
              <w:t>作的意见》，明确指出在跟踪评价阶段现有工业园区范围超出原有批复的</w:t>
            </w:r>
            <w:r>
              <w:rPr>
                <w:spacing w:val="7"/>
                <w:sz w:val="24"/>
                <w:szCs w:val="24"/>
              </w:rPr>
              <w:t xml:space="preserve"> </w:t>
            </w:r>
            <w:r>
              <w:rPr>
                <w:rFonts w:ascii="Times New Roman" w:hAnsi="Times New Roman" w:eastAsia="Times New Roman" w:cs="Times New Roman"/>
                <w:spacing w:val="-3"/>
                <w:sz w:val="24"/>
                <w:szCs w:val="24"/>
              </w:rPr>
              <w:t>8km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8"/>
                <w:position w:val="7"/>
                <w:sz w:val="15"/>
                <w:szCs w:val="15"/>
              </w:rPr>
              <w:t xml:space="preserve"> </w:t>
            </w:r>
            <w:r>
              <w:rPr>
                <w:spacing w:val="-3"/>
                <w:sz w:val="24"/>
                <w:szCs w:val="24"/>
              </w:rPr>
              <w:t>范围，实际工业园区规划面积</w:t>
            </w:r>
            <w:r>
              <w:rPr>
                <w:spacing w:val="-50"/>
                <w:sz w:val="24"/>
                <w:szCs w:val="24"/>
              </w:rPr>
              <w:t xml:space="preserve"> </w:t>
            </w:r>
            <w:r>
              <w:rPr>
                <w:rFonts w:ascii="Times New Roman" w:hAnsi="Times New Roman" w:eastAsia="Times New Roman" w:cs="Times New Roman"/>
                <w:spacing w:val="-3"/>
                <w:sz w:val="24"/>
                <w:szCs w:val="24"/>
              </w:rPr>
              <w:t>65.28km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4"/>
                <w:position w:val="7"/>
                <w:sz w:val="15"/>
                <w:szCs w:val="15"/>
              </w:rPr>
              <w:t xml:space="preserve"> </w:t>
            </w:r>
            <w:r>
              <w:rPr>
                <w:spacing w:val="-4"/>
                <w:sz w:val="24"/>
                <w:szCs w:val="24"/>
              </w:rPr>
              <w:t>。</w:t>
            </w:r>
            <w:r>
              <w:rPr>
                <w:rFonts w:ascii="Times New Roman" w:hAnsi="Times New Roman" w:eastAsia="Times New Roman" w:cs="Times New Roman"/>
                <w:spacing w:val="-4"/>
                <w:sz w:val="24"/>
                <w:szCs w:val="24"/>
              </w:rPr>
              <w:t xml:space="preserve">2018 </w:t>
            </w:r>
            <w:r>
              <w:rPr>
                <w:spacing w:val="-4"/>
                <w:sz w:val="24"/>
                <w:szCs w:val="24"/>
              </w:rPr>
              <w:t>年</w:t>
            </w:r>
            <w:r>
              <w:rPr>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spacing w:val="-4"/>
                <w:sz w:val="24"/>
                <w:szCs w:val="24"/>
              </w:rPr>
              <w:t>月</w:t>
            </w:r>
            <w:r>
              <w:rPr>
                <w:spacing w:val="-55"/>
                <w:sz w:val="24"/>
                <w:szCs w:val="24"/>
              </w:rPr>
              <w:t xml:space="preserve"> </w:t>
            </w:r>
            <w:r>
              <w:rPr>
                <w:rFonts w:ascii="Times New Roman" w:hAnsi="Times New Roman" w:eastAsia="Times New Roman" w:cs="Times New Roman"/>
                <w:spacing w:val="-4"/>
                <w:sz w:val="24"/>
                <w:szCs w:val="24"/>
              </w:rPr>
              <w:t xml:space="preserve">25  </w:t>
            </w:r>
            <w:r>
              <w:rPr>
                <w:spacing w:val="-4"/>
                <w:sz w:val="24"/>
                <w:szCs w:val="24"/>
              </w:rPr>
              <w:t>日，鄂托克旗</w:t>
            </w:r>
            <w:r>
              <w:rPr>
                <w:sz w:val="24"/>
                <w:szCs w:val="24"/>
              </w:rPr>
              <w:t xml:space="preserve"> </w:t>
            </w:r>
            <w:r>
              <w:rPr>
                <w:spacing w:val="1"/>
                <w:sz w:val="24"/>
                <w:szCs w:val="24"/>
              </w:rPr>
              <w:t>人民政府下发《关于明确鄂托克经济开发区管理范围</w:t>
            </w:r>
            <w:r>
              <w:rPr>
                <w:sz w:val="24"/>
                <w:szCs w:val="24"/>
              </w:rPr>
              <w:t xml:space="preserve">界限的批复》（鄂政发 </w:t>
            </w:r>
            <w:r>
              <w:rPr>
                <w:spacing w:val="1"/>
                <w:sz w:val="24"/>
                <w:szCs w:val="24"/>
              </w:rPr>
              <w:t>〔</w:t>
            </w:r>
            <w:r>
              <w:rPr>
                <w:rFonts w:ascii="Times New Roman" w:hAnsi="Times New Roman" w:eastAsia="Times New Roman" w:cs="Times New Roman"/>
                <w:spacing w:val="1"/>
                <w:sz w:val="24"/>
                <w:szCs w:val="24"/>
              </w:rPr>
              <w:t>2018</w:t>
            </w:r>
            <w:r>
              <w:rPr>
                <w:spacing w:val="1"/>
                <w:sz w:val="24"/>
                <w:szCs w:val="24"/>
              </w:rPr>
              <w:t>〕</w:t>
            </w:r>
            <w:r>
              <w:rPr>
                <w:rFonts w:ascii="Times New Roman" w:hAnsi="Times New Roman" w:eastAsia="Times New Roman" w:cs="Times New Roman"/>
                <w:spacing w:val="1"/>
                <w:sz w:val="24"/>
                <w:szCs w:val="24"/>
              </w:rPr>
              <w:t>131</w:t>
            </w:r>
            <w:r>
              <w:rPr>
                <w:rFonts w:ascii="Times New Roman" w:hAnsi="Times New Roman" w:eastAsia="Times New Roman" w:cs="Times New Roman"/>
                <w:spacing w:val="19"/>
                <w:sz w:val="24"/>
                <w:szCs w:val="24"/>
              </w:rPr>
              <w:t xml:space="preserve"> </w:t>
            </w:r>
            <w:r>
              <w:rPr>
                <w:spacing w:val="1"/>
                <w:sz w:val="24"/>
                <w:szCs w:val="24"/>
              </w:rPr>
              <w:t>号</w:t>
            </w:r>
            <w:r>
              <w:rPr>
                <w:spacing w:val="20"/>
                <w:sz w:val="24"/>
                <w:szCs w:val="24"/>
              </w:rPr>
              <w:t>），</w:t>
            </w:r>
            <w:r>
              <w:rPr>
                <w:spacing w:val="1"/>
                <w:sz w:val="24"/>
                <w:szCs w:val="24"/>
              </w:rPr>
              <w:t>明确指出：原则同意根据开发区</w:t>
            </w:r>
            <w:r>
              <w:rPr>
                <w:sz w:val="24"/>
                <w:szCs w:val="24"/>
              </w:rPr>
              <w:t xml:space="preserve">实际建设情况，划定用 </w:t>
            </w:r>
            <w:r>
              <w:rPr>
                <w:spacing w:val="-2"/>
                <w:sz w:val="24"/>
                <w:szCs w:val="24"/>
              </w:rPr>
              <w:t>地管理范围总面积</w:t>
            </w:r>
            <w:r>
              <w:rPr>
                <w:spacing w:val="-32"/>
                <w:sz w:val="24"/>
                <w:szCs w:val="24"/>
              </w:rPr>
              <w:t xml:space="preserve"> </w:t>
            </w:r>
            <w:r>
              <w:rPr>
                <w:rFonts w:ascii="Times New Roman" w:hAnsi="Times New Roman" w:eastAsia="Times New Roman" w:cs="Times New Roman"/>
                <w:spacing w:val="-2"/>
                <w:sz w:val="24"/>
                <w:szCs w:val="24"/>
              </w:rPr>
              <w:t>158.88km</w:t>
            </w:r>
            <w:r>
              <w:rPr>
                <w:rFonts w:ascii="Times New Roman" w:hAnsi="Times New Roman" w:eastAsia="Times New Roman" w:cs="Times New Roman"/>
                <w:spacing w:val="-2"/>
                <w:position w:val="7"/>
                <w:sz w:val="15"/>
                <w:szCs w:val="15"/>
              </w:rPr>
              <w:t xml:space="preserve">2 </w:t>
            </w:r>
            <w:r>
              <w:rPr>
                <w:spacing w:val="-2"/>
                <w:sz w:val="24"/>
                <w:szCs w:val="24"/>
              </w:rPr>
              <w:t>。其中：棋盘井园区范围面积</w:t>
            </w:r>
            <w:r>
              <w:rPr>
                <w:spacing w:val="-46"/>
                <w:sz w:val="24"/>
                <w:szCs w:val="24"/>
              </w:rPr>
              <w:t xml:space="preserve"> </w:t>
            </w:r>
            <w:r>
              <w:rPr>
                <w:rFonts w:ascii="Times New Roman" w:hAnsi="Times New Roman" w:eastAsia="Times New Roman" w:cs="Times New Roman"/>
                <w:spacing w:val="-2"/>
                <w:sz w:val="24"/>
                <w:szCs w:val="24"/>
              </w:rPr>
              <w:t>88.6</w:t>
            </w:r>
            <w:r>
              <w:rPr>
                <w:rFonts w:ascii="Times New Roman" w:hAnsi="Times New Roman" w:eastAsia="Times New Roman" w:cs="Times New Roman"/>
                <w:spacing w:val="-3"/>
                <w:sz w:val="24"/>
                <w:szCs w:val="24"/>
              </w:rPr>
              <w:t>7km</w:t>
            </w:r>
            <w:r>
              <w:rPr>
                <w:rFonts w:ascii="Times New Roman" w:hAnsi="Times New Roman" w:eastAsia="Times New Roman" w:cs="Times New Roman"/>
                <w:spacing w:val="-3"/>
                <w:position w:val="7"/>
                <w:sz w:val="15"/>
                <w:szCs w:val="15"/>
              </w:rPr>
              <w:t>2</w:t>
            </w:r>
            <w:r>
              <w:rPr>
                <w:spacing w:val="-3"/>
                <w:sz w:val="24"/>
                <w:szCs w:val="24"/>
              </w:rPr>
              <w:t>。</w:t>
            </w:r>
          </w:p>
          <w:p w14:paraId="38877CE9">
            <w:pPr>
              <w:pStyle w:val="6"/>
              <w:spacing w:before="3" w:line="342" w:lineRule="auto"/>
              <w:ind w:left="113" w:right="107" w:firstLine="492"/>
              <w:rPr>
                <w:sz w:val="24"/>
                <w:szCs w:val="24"/>
              </w:rPr>
            </w:pPr>
            <w:r>
              <w:rPr>
                <w:spacing w:val="-7"/>
                <w:sz w:val="24"/>
                <w:szCs w:val="24"/>
              </w:rPr>
              <w:t>随着工业园区发展，工业园区总体规划纳入棋盘井镇城镇总体规划。</w:t>
            </w:r>
            <w:r>
              <w:rPr>
                <w:rFonts w:ascii="Times New Roman" w:hAnsi="Times New Roman" w:eastAsia="Times New Roman" w:cs="Times New Roman"/>
                <w:spacing w:val="-7"/>
                <w:sz w:val="24"/>
                <w:szCs w:val="24"/>
              </w:rPr>
              <w:t>2019</w:t>
            </w:r>
            <w:r>
              <w:rPr>
                <w:rFonts w:ascii="Times New Roman" w:hAnsi="Times New Roman" w:eastAsia="Times New Roman" w:cs="Times New Roman"/>
                <w:spacing w:val="8"/>
                <w:sz w:val="24"/>
                <w:szCs w:val="24"/>
              </w:rPr>
              <w:t xml:space="preserve"> </w:t>
            </w:r>
            <w:r>
              <w:rPr>
                <w:spacing w:val="-3"/>
                <w:sz w:val="24"/>
                <w:szCs w:val="24"/>
              </w:rPr>
              <w:t>年</w:t>
            </w:r>
            <w:r>
              <w:rPr>
                <w:spacing w:val="-16"/>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月</w:t>
            </w:r>
            <w:r>
              <w:rPr>
                <w:spacing w:val="-49"/>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51"/>
                <w:sz w:val="24"/>
                <w:szCs w:val="24"/>
              </w:rPr>
              <w:t xml:space="preserve"> </w:t>
            </w:r>
            <w:r>
              <w:rPr>
                <w:spacing w:val="-3"/>
                <w:sz w:val="24"/>
                <w:szCs w:val="24"/>
              </w:rPr>
              <w:t>日，鄂托克旗人民政府下发《关于鄂托克旗棋盘井镇城镇总体规划</w:t>
            </w:r>
          </w:p>
        </w:tc>
      </w:tr>
    </w:tbl>
    <w:p w14:paraId="6F641C19">
      <w:pPr>
        <w:pStyle w:val="2"/>
      </w:pPr>
    </w:p>
    <w:p w14:paraId="79903FD2">
      <w:pPr>
        <w:sectPr>
          <w:footerReference r:id="rId27" w:type="default"/>
          <w:pgSz w:w="11906" w:h="16839"/>
          <w:pgMar w:top="400" w:right="1588" w:bottom="1259" w:left="1687" w:header="0" w:footer="1097" w:gutter="0"/>
          <w:cols w:space="720" w:num="1"/>
        </w:sectPr>
      </w:pPr>
    </w:p>
    <w:p w14:paraId="7BA44646">
      <w:pPr>
        <w:spacing w:before="19"/>
      </w:pPr>
    </w:p>
    <w:p w14:paraId="40E2DCBA">
      <w:pPr>
        <w:spacing w:before="19"/>
      </w:pPr>
    </w:p>
    <w:p w14:paraId="7E076DA5">
      <w:pPr>
        <w:spacing w:before="18"/>
      </w:pPr>
    </w:p>
    <w:p w14:paraId="09400592">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30D6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2CEB4457">
            <w:pPr>
              <w:rPr>
                <w:rFonts w:ascii="Arial"/>
                <w:sz w:val="21"/>
              </w:rPr>
            </w:pPr>
          </w:p>
        </w:tc>
        <w:tc>
          <w:tcPr>
            <w:tcW w:w="8169" w:type="dxa"/>
            <w:vAlign w:val="top"/>
          </w:tcPr>
          <w:p w14:paraId="5D61F196">
            <w:pPr>
              <w:pStyle w:val="6"/>
              <w:spacing w:before="39" w:line="359" w:lineRule="auto"/>
              <w:ind w:left="111" w:right="107" w:firstLine="12"/>
              <w:jc w:val="both"/>
              <w:rPr>
                <w:sz w:val="24"/>
                <w:szCs w:val="24"/>
              </w:rPr>
            </w:pPr>
            <w:r>
              <w:rPr>
                <w:spacing w:val="-2"/>
                <w:sz w:val="24"/>
                <w:szCs w:val="24"/>
              </w:rPr>
              <w:t>（</w:t>
            </w:r>
            <w:r>
              <w:rPr>
                <w:rFonts w:ascii="Times New Roman" w:hAnsi="Times New Roman" w:eastAsia="Times New Roman" w:cs="Times New Roman"/>
                <w:spacing w:val="-2"/>
                <w:sz w:val="24"/>
                <w:szCs w:val="24"/>
              </w:rPr>
              <w:t>2016-2030</w:t>
            </w:r>
            <w:r>
              <w:rPr>
                <w:spacing w:val="-2"/>
                <w:sz w:val="24"/>
                <w:szCs w:val="24"/>
              </w:rPr>
              <w:t>）的批复》（鄂政发〔</w:t>
            </w:r>
            <w:r>
              <w:rPr>
                <w:rFonts w:ascii="Times New Roman" w:hAnsi="Times New Roman" w:eastAsia="Times New Roman" w:cs="Times New Roman"/>
                <w:spacing w:val="-2"/>
                <w:sz w:val="24"/>
                <w:szCs w:val="24"/>
              </w:rPr>
              <w:t>2019</w:t>
            </w:r>
            <w:r>
              <w:rPr>
                <w:spacing w:val="-2"/>
                <w:sz w:val="24"/>
                <w:szCs w:val="24"/>
              </w:rPr>
              <w:t>〕</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spacing w:val="-2"/>
                <w:sz w:val="24"/>
                <w:szCs w:val="24"/>
              </w:rPr>
              <w:t>号</w:t>
            </w:r>
            <w:r>
              <w:rPr>
                <w:spacing w:val="26"/>
                <w:sz w:val="24"/>
                <w:szCs w:val="24"/>
              </w:rPr>
              <w:t>），</w:t>
            </w:r>
            <w:r>
              <w:rPr>
                <w:spacing w:val="-2"/>
                <w:sz w:val="24"/>
                <w:szCs w:val="24"/>
              </w:rPr>
              <w:t>明确指出：同意《总体规</w:t>
            </w:r>
            <w:r>
              <w:rPr>
                <w:sz w:val="24"/>
                <w:szCs w:val="24"/>
              </w:rPr>
              <w:t xml:space="preserve"> </w:t>
            </w:r>
            <w:r>
              <w:rPr>
                <w:spacing w:val="1"/>
                <w:sz w:val="24"/>
                <w:szCs w:val="24"/>
              </w:rPr>
              <w:t>划》确定的规划范围是棋盘井镇所辖镇域行</w:t>
            </w:r>
            <w:r>
              <w:rPr>
                <w:sz w:val="24"/>
                <w:szCs w:val="24"/>
              </w:rPr>
              <w:t>政范围，镇域面积为</w:t>
            </w:r>
            <w:r>
              <w:rPr>
                <w:spacing w:val="-47"/>
                <w:sz w:val="24"/>
                <w:szCs w:val="24"/>
              </w:rPr>
              <w:t xml:space="preserve"> </w:t>
            </w:r>
            <w:r>
              <w:rPr>
                <w:rFonts w:ascii="Times New Roman" w:hAnsi="Times New Roman" w:eastAsia="Times New Roman" w:cs="Times New Roman"/>
                <w:sz w:val="24"/>
                <w:szCs w:val="24"/>
              </w:rPr>
              <w:t>3614km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7"/>
                <w:position w:val="8"/>
                <w:sz w:val="15"/>
                <w:szCs w:val="15"/>
              </w:rPr>
              <w:t xml:space="preserve"> </w:t>
            </w:r>
            <w:r>
              <w:rPr>
                <w:sz w:val="24"/>
                <w:szCs w:val="24"/>
              </w:rPr>
              <w:t xml:space="preserve">， </w:t>
            </w:r>
            <w:r>
              <w:rPr>
                <w:spacing w:val="-1"/>
                <w:sz w:val="24"/>
                <w:szCs w:val="24"/>
              </w:rPr>
              <w:t>其中包括棋盘井园区范围面积</w:t>
            </w:r>
            <w:r>
              <w:rPr>
                <w:spacing w:val="-49"/>
                <w:sz w:val="24"/>
                <w:szCs w:val="24"/>
              </w:rPr>
              <w:t xml:space="preserve"> </w:t>
            </w:r>
            <w:r>
              <w:rPr>
                <w:rFonts w:ascii="Times New Roman" w:hAnsi="Times New Roman" w:eastAsia="Times New Roman" w:cs="Times New Roman"/>
                <w:spacing w:val="-1"/>
                <w:sz w:val="24"/>
                <w:szCs w:val="24"/>
              </w:rPr>
              <w:t>65.28km</w:t>
            </w:r>
            <w:r>
              <w:rPr>
                <w:rFonts w:ascii="Times New Roman" w:hAnsi="Times New Roman" w:eastAsia="Times New Roman" w:cs="Times New Roman"/>
                <w:spacing w:val="-1"/>
                <w:position w:val="7"/>
                <w:sz w:val="15"/>
                <w:szCs w:val="15"/>
              </w:rPr>
              <w:t xml:space="preserve">2 </w:t>
            </w:r>
            <w:r>
              <w:rPr>
                <w:spacing w:val="-1"/>
                <w:sz w:val="24"/>
                <w:szCs w:val="24"/>
              </w:rPr>
              <w:t>。按照《总体规划</w:t>
            </w:r>
            <w:r>
              <w:rPr>
                <w:spacing w:val="-2"/>
                <w:sz w:val="24"/>
                <w:szCs w:val="24"/>
              </w:rPr>
              <w:t>》要求在镇域范围</w:t>
            </w:r>
            <w:r>
              <w:rPr>
                <w:sz w:val="24"/>
                <w:szCs w:val="24"/>
              </w:rPr>
              <w:t xml:space="preserve"> </w:t>
            </w:r>
            <w:r>
              <w:rPr>
                <w:spacing w:val="-1"/>
                <w:sz w:val="24"/>
                <w:szCs w:val="24"/>
              </w:rPr>
              <w:t>内实行城乡统筹规划，镇区范围内加强统一规划管理。</w:t>
            </w:r>
          </w:p>
          <w:p w14:paraId="3EBA8AAF">
            <w:pPr>
              <w:pStyle w:val="6"/>
              <w:spacing w:before="2" w:line="359" w:lineRule="auto"/>
              <w:ind w:left="111" w:right="107" w:firstLine="476"/>
              <w:jc w:val="both"/>
              <w:rPr>
                <w:sz w:val="24"/>
                <w:szCs w:val="24"/>
              </w:rPr>
            </w:pPr>
            <w:r>
              <w:rPr>
                <w:rFonts w:ascii="Times New Roman" w:hAnsi="Times New Roman" w:eastAsia="Times New Roman" w:cs="Times New Roman"/>
                <w:spacing w:val="-1"/>
                <w:sz w:val="24"/>
                <w:szCs w:val="24"/>
              </w:rPr>
              <w:t>2019</w:t>
            </w:r>
            <w:r>
              <w:rPr>
                <w:rFonts w:ascii="Times New Roman" w:hAnsi="Times New Roman" w:eastAsia="Times New Roman" w:cs="Times New Roman"/>
                <w:spacing w:val="16"/>
                <w:sz w:val="24"/>
                <w:szCs w:val="24"/>
              </w:rPr>
              <w:t xml:space="preserve"> </w:t>
            </w:r>
            <w:r>
              <w:rPr>
                <w:spacing w:val="-1"/>
                <w:sz w:val="24"/>
                <w:szCs w:val="24"/>
              </w:rPr>
              <w:t>年</w:t>
            </w:r>
            <w:r>
              <w:rPr>
                <w:spacing w:val="-47"/>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8"/>
                <w:sz w:val="24"/>
                <w:szCs w:val="24"/>
              </w:rPr>
              <w:t xml:space="preserve"> </w:t>
            </w:r>
            <w:r>
              <w:rPr>
                <w:spacing w:val="-1"/>
                <w:sz w:val="24"/>
                <w:szCs w:val="24"/>
              </w:rPr>
              <w:t>月</w:t>
            </w:r>
            <w:r>
              <w:rPr>
                <w:spacing w:val="-27"/>
                <w:sz w:val="24"/>
                <w:szCs w:val="24"/>
              </w:rPr>
              <w:t xml:space="preserve"> </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53"/>
                <w:sz w:val="24"/>
                <w:szCs w:val="24"/>
              </w:rPr>
              <w:t xml:space="preserve"> </w:t>
            </w:r>
            <w:r>
              <w:rPr>
                <w:spacing w:val="-1"/>
                <w:sz w:val="24"/>
                <w:szCs w:val="24"/>
              </w:rPr>
              <w:t>日，内蒙古自治区人民政</w:t>
            </w:r>
            <w:r>
              <w:rPr>
                <w:spacing w:val="-2"/>
                <w:sz w:val="24"/>
                <w:szCs w:val="24"/>
              </w:rPr>
              <w:t>府下发《内蒙古自治区人民政</w:t>
            </w:r>
            <w:r>
              <w:rPr>
                <w:sz w:val="24"/>
                <w:szCs w:val="24"/>
              </w:rPr>
              <w:t xml:space="preserve"> </w:t>
            </w:r>
            <w:r>
              <w:rPr>
                <w:spacing w:val="1"/>
                <w:sz w:val="24"/>
                <w:szCs w:val="24"/>
              </w:rPr>
              <w:t>府关于包头达茂巴润工业园区等三个园区调整和更名有</w:t>
            </w:r>
            <w:r>
              <w:rPr>
                <w:sz w:val="24"/>
                <w:szCs w:val="24"/>
              </w:rPr>
              <w:t xml:space="preserve">关事宜的批复》（内 </w:t>
            </w:r>
            <w:r>
              <w:rPr>
                <w:spacing w:val="-6"/>
                <w:sz w:val="24"/>
                <w:szCs w:val="24"/>
              </w:rPr>
              <w:t>政字〔</w:t>
            </w:r>
            <w:r>
              <w:rPr>
                <w:rFonts w:ascii="Times New Roman" w:hAnsi="Times New Roman" w:eastAsia="Times New Roman" w:cs="Times New Roman"/>
                <w:spacing w:val="-6"/>
                <w:sz w:val="24"/>
                <w:szCs w:val="24"/>
              </w:rPr>
              <w:t>2019</w:t>
            </w:r>
            <w:r>
              <w:rPr>
                <w:spacing w:val="-6"/>
                <w:sz w:val="24"/>
                <w:szCs w:val="24"/>
              </w:rPr>
              <w:t>〕</w:t>
            </w:r>
            <w:r>
              <w:rPr>
                <w:rFonts w:ascii="Times New Roman" w:hAnsi="Times New Roman" w:eastAsia="Times New Roman" w:cs="Times New Roman"/>
                <w:spacing w:val="-6"/>
                <w:sz w:val="24"/>
                <w:szCs w:val="24"/>
              </w:rPr>
              <w:t>41</w:t>
            </w:r>
            <w:r>
              <w:rPr>
                <w:rFonts w:ascii="Times New Roman" w:hAnsi="Times New Roman" w:eastAsia="Times New Roman" w:cs="Times New Roman"/>
                <w:spacing w:val="15"/>
                <w:sz w:val="24"/>
                <w:szCs w:val="24"/>
              </w:rPr>
              <w:t xml:space="preserve"> </w:t>
            </w:r>
            <w:r>
              <w:rPr>
                <w:spacing w:val="-6"/>
                <w:sz w:val="24"/>
                <w:szCs w:val="24"/>
              </w:rPr>
              <w:t>号</w:t>
            </w:r>
            <w:r>
              <w:rPr>
                <w:spacing w:val="-38"/>
                <w:sz w:val="24"/>
                <w:szCs w:val="24"/>
              </w:rPr>
              <w:t>），</w:t>
            </w:r>
            <w:r>
              <w:rPr>
                <w:spacing w:val="-6"/>
                <w:sz w:val="24"/>
                <w:szCs w:val="24"/>
              </w:rPr>
              <w:t>明确指出：同意鄂托克经济开发区适当调整</w:t>
            </w:r>
            <w:r>
              <w:rPr>
                <w:spacing w:val="-7"/>
                <w:sz w:val="24"/>
                <w:szCs w:val="24"/>
              </w:rPr>
              <w:t>规划面积…</w:t>
            </w:r>
            <w:r>
              <w:rPr>
                <w:sz w:val="24"/>
                <w:szCs w:val="24"/>
              </w:rPr>
              <w:t xml:space="preserve"> </w:t>
            </w:r>
            <w:r>
              <w:rPr>
                <w:spacing w:val="-1"/>
                <w:sz w:val="24"/>
                <w:szCs w:val="24"/>
              </w:rPr>
              <w:t>棋盘井工业园规划面积由</w:t>
            </w:r>
            <w:r>
              <w:rPr>
                <w:spacing w:val="-50"/>
                <w:sz w:val="24"/>
                <w:szCs w:val="24"/>
              </w:rPr>
              <w:t xml:space="preserve"> </w:t>
            </w:r>
            <w:r>
              <w:rPr>
                <w:rFonts w:ascii="Times New Roman" w:hAnsi="Times New Roman" w:eastAsia="Times New Roman" w:cs="Times New Roman"/>
                <w:spacing w:val="-1"/>
                <w:sz w:val="24"/>
                <w:szCs w:val="24"/>
              </w:rPr>
              <w:t>6.779km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1"/>
                <w:w w:val="101"/>
                <w:position w:val="7"/>
                <w:sz w:val="15"/>
                <w:szCs w:val="15"/>
              </w:rPr>
              <w:t xml:space="preserve"> </w:t>
            </w:r>
            <w:r>
              <w:rPr>
                <w:spacing w:val="-1"/>
                <w:sz w:val="24"/>
                <w:szCs w:val="24"/>
              </w:rPr>
              <w:t>调整为</w:t>
            </w:r>
            <w:r>
              <w:rPr>
                <w:spacing w:val="-50"/>
                <w:sz w:val="24"/>
                <w:szCs w:val="24"/>
              </w:rPr>
              <w:t xml:space="preserve"> </w:t>
            </w:r>
            <w:r>
              <w:rPr>
                <w:rFonts w:ascii="Times New Roman" w:hAnsi="Times New Roman" w:eastAsia="Times New Roman" w:cs="Times New Roman"/>
                <w:spacing w:val="-1"/>
                <w:sz w:val="24"/>
                <w:szCs w:val="24"/>
              </w:rPr>
              <w:t>31.</w:t>
            </w:r>
            <w:r>
              <w:rPr>
                <w:rFonts w:ascii="Times New Roman" w:hAnsi="Times New Roman" w:eastAsia="Times New Roman" w:cs="Times New Roman"/>
                <w:spacing w:val="-2"/>
                <w:sz w:val="24"/>
                <w:szCs w:val="24"/>
              </w:rPr>
              <w:t>6721km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8"/>
                <w:position w:val="7"/>
                <w:sz w:val="15"/>
                <w:szCs w:val="15"/>
              </w:rPr>
              <w:t xml:space="preserve"> </w:t>
            </w:r>
            <w:r>
              <w:rPr>
                <w:spacing w:val="-2"/>
                <w:sz w:val="24"/>
                <w:szCs w:val="24"/>
              </w:rPr>
              <w:t>，新增</w:t>
            </w:r>
            <w:r>
              <w:rPr>
                <w:spacing w:val="-55"/>
                <w:sz w:val="24"/>
                <w:szCs w:val="24"/>
              </w:rPr>
              <w:t xml:space="preserve"> </w:t>
            </w:r>
            <w:r>
              <w:rPr>
                <w:rFonts w:ascii="Times New Roman" w:hAnsi="Times New Roman" w:eastAsia="Times New Roman" w:cs="Times New Roman"/>
                <w:spacing w:val="-2"/>
                <w:sz w:val="24"/>
                <w:szCs w:val="24"/>
              </w:rPr>
              <w:t>24.8931km</w:t>
            </w:r>
            <w:r>
              <w:rPr>
                <w:rFonts w:ascii="Times New Roman" w:hAnsi="Times New Roman" w:eastAsia="Times New Roman" w:cs="Times New Roman"/>
                <w:spacing w:val="-2"/>
                <w:position w:val="7"/>
                <w:sz w:val="15"/>
                <w:szCs w:val="15"/>
              </w:rPr>
              <w:t>2</w:t>
            </w:r>
            <w:r>
              <w:rPr>
                <w:spacing w:val="-2"/>
                <w:sz w:val="24"/>
                <w:szCs w:val="24"/>
              </w:rPr>
              <w:t>。</w:t>
            </w:r>
          </w:p>
          <w:p w14:paraId="285312CE">
            <w:pPr>
              <w:pStyle w:val="6"/>
              <w:spacing w:before="5" w:line="358" w:lineRule="auto"/>
              <w:ind w:left="111" w:right="27" w:firstLine="476"/>
              <w:jc w:val="both"/>
              <w:rPr>
                <w:sz w:val="24"/>
                <w:szCs w:val="24"/>
              </w:rPr>
            </w:pPr>
            <w:r>
              <w:rPr>
                <w:rFonts w:ascii="Times New Roman" w:hAnsi="Times New Roman" w:eastAsia="Times New Roman" w:cs="Times New Roman"/>
                <w:spacing w:val="-1"/>
                <w:sz w:val="24"/>
                <w:szCs w:val="24"/>
              </w:rPr>
              <w:t>2020</w:t>
            </w:r>
            <w:r>
              <w:rPr>
                <w:rFonts w:ascii="Times New Roman" w:hAnsi="Times New Roman" w:eastAsia="Times New Roman" w:cs="Times New Roman"/>
                <w:spacing w:val="27"/>
                <w:sz w:val="24"/>
                <w:szCs w:val="24"/>
              </w:rPr>
              <w:t xml:space="preserve"> </w:t>
            </w:r>
            <w:r>
              <w:rPr>
                <w:spacing w:val="-1"/>
                <w:sz w:val="24"/>
                <w:szCs w:val="24"/>
              </w:rPr>
              <w:t>年</w:t>
            </w:r>
            <w:r>
              <w:rPr>
                <w:spacing w:val="-47"/>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24</w:t>
            </w:r>
            <w:r>
              <w:rPr>
                <w:rFonts w:ascii="Times New Roman" w:hAnsi="Times New Roman" w:eastAsia="Times New Roman" w:cs="Times New Roman"/>
                <w:spacing w:val="53"/>
                <w:sz w:val="24"/>
                <w:szCs w:val="24"/>
              </w:rPr>
              <w:t xml:space="preserve"> </w:t>
            </w:r>
            <w:r>
              <w:rPr>
                <w:spacing w:val="-1"/>
                <w:sz w:val="24"/>
                <w:szCs w:val="24"/>
              </w:rPr>
              <w:t>日，内蒙古自治区自然资源厅出具了《内蒙古自治区自</w:t>
            </w:r>
            <w:r>
              <w:rPr>
                <w:spacing w:val="8"/>
                <w:sz w:val="24"/>
                <w:szCs w:val="24"/>
              </w:rPr>
              <w:t>然资源厅关于同意将鄂托克经济开发区确定为城镇开发边界划定试点的意</w:t>
            </w:r>
            <w:r>
              <w:rPr>
                <w:spacing w:val="7"/>
                <w:sz w:val="24"/>
                <w:szCs w:val="24"/>
              </w:rPr>
              <w:t xml:space="preserve"> </w:t>
            </w:r>
            <w:r>
              <w:rPr>
                <w:spacing w:val="-2"/>
                <w:sz w:val="24"/>
                <w:szCs w:val="24"/>
              </w:rPr>
              <w:t>见》（内自然资字〔</w:t>
            </w:r>
            <w:r>
              <w:rPr>
                <w:rFonts w:ascii="Times New Roman" w:hAnsi="Times New Roman" w:eastAsia="Times New Roman" w:cs="Times New Roman"/>
                <w:spacing w:val="-2"/>
                <w:sz w:val="24"/>
                <w:szCs w:val="24"/>
              </w:rPr>
              <w:t>2020</w:t>
            </w:r>
            <w:r>
              <w:rPr>
                <w:spacing w:val="-2"/>
                <w:sz w:val="24"/>
                <w:szCs w:val="24"/>
              </w:rPr>
              <w:t>〕</w:t>
            </w:r>
            <w:r>
              <w:rPr>
                <w:rFonts w:ascii="Times New Roman" w:hAnsi="Times New Roman" w:eastAsia="Times New Roman" w:cs="Times New Roman"/>
                <w:spacing w:val="-2"/>
                <w:sz w:val="24"/>
                <w:szCs w:val="24"/>
              </w:rPr>
              <w:t>229</w:t>
            </w:r>
            <w:r>
              <w:rPr>
                <w:rFonts w:ascii="Times New Roman" w:hAnsi="Times New Roman" w:eastAsia="Times New Roman" w:cs="Times New Roman"/>
                <w:spacing w:val="15"/>
                <w:sz w:val="24"/>
                <w:szCs w:val="24"/>
              </w:rPr>
              <w:t xml:space="preserve"> </w:t>
            </w:r>
            <w:r>
              <w:rPr>
                <w:spacing w:val="-2"/>
                <w:sz w:val="24"/>
                <w:szCs w:val="24"/>
              </w:rPr>
              <w:t>号</w:t>
            </w:r>
            <w:r>
              <w:rPr>
                <w:spacing w:val="21"/>
                <w:sz w:val="24"/>
                <w:szCs w:val="24"/>
              </w:rPr>
              <w:t>），</w:t>
            </w:r>
            <w:r>
              <w:rPr>
                <w:spacing w:val="-2"/>
                <w:sz w:val="24"/>
                <w:szCs w:val="24"/>
              </w:rPr>
              <w:t>明确指出：鄂托克经济开发区至</w:t>
            </w:r>
            <w:r>
              <w:rPr>
                <w:spacing w:val="-55"/>
                <w:sz w:val="24"/>
                <w:szCs w:val="24"/>
              </w:rPr>
              <w:t xml:space="preserve"> </w:t>
            </w:r>
            <w:r>
              <w:rPr>
                <w:rFonts w:ascii="Times New Roman" w:hAnsi="Times New Roman" w:eastAsia="Times New Roman" w:cs="Times New Roman"/>
                <w:spacing w:val="-2"/>
                <w:sz w:val="24"/>
                <w:szCs w:val="24"/>
              </w:rPr>
              <w:t>2035</w:t>
            </w:r>
            <w:r>
              <w:rPr>
                <w:rFonts w:ascii="Times New Roman" w:hAnsi="Times New Roman" w:eastAsia="Times New Roman" w:cs="Times New Roman"/>
                <w:sz w:val="24"/>
                <w:szCs w:val="24"/>
              </w:rPr>
              <w:t xml:space="preserve">   </w:t>
            </w:r>
            <w:r>
              <w:rPr>
                <w:spacing w:val="-7"/>
                <w:sz w:val="24"/>
                <w:szCs w:val="24"/>
              </w:rPr>
              <w:t>年的城镇建设用地规模为</w:t>
            </w:r>
            <w:r>
              <w:rPr>
                <w:spacing w:val="-56"/>
                <w:sz w:val="24"/>
                <w:szCs w:val="24"/>
              </w:rPr>
              <w:t xml:space="preserve"> </w:t>
            </w:r>
            <w:r>
              <w:rPr>
                <w:rFonts w:ascii="Times New Roman" w:hAnsi="Times New Roman" w:eastAsia="Times New Roman" w:cs="Times New Roman"/>
                <w:spacing w:val="-7"/>
                <w:sz w:val="24"/>
                <w:szCs w:val="24"/>
              </w:rPr>
              <w:t>44km</w:t>
            </w:r>
            <w:r>
              <w:rPr>
                <w:rFonts w:ascii="Times New Roman" w:hAnsi="Times New Roman" w:eastAsia="Times New Roman" w:cs="Times New Roman"/>
                <w:spacing w:val="-7"/>
                <w:position w:val="7"/>
                <w:sz w:val="15"/>
                <w:szCs w:val="15"/>
              </w:rPr>
              <w:t>2</w:t>
            </w:r>
            <w:r>
              <w:rPr>
                <w:spacing w:val="-7"/>
                <w:sz w:val="24"/>
                <w:szCs w:val="24"/>
              </w:rPr>
              <w:t>，其中，棋盘井园区</w:t>
            </w:r>
            <w:r>
              <w:rPr>
                <w:spacing w:val="-55"/>
                <w:sz w:val="24"/>
                <w:szCs w:val="24"/>
              </w:rPr>
              <w:t xml:space="preserve"> </w:t>
            </w:r>
            <w:r>
              <w:rPr>
                <w:rFonts w:ascii="Times New Roman" w:hAnsi="Times New Roman" w:eastAsia="Times New Roman" w:cs="Times New Roman"/>
                <w:spacing w:val="-7"/>
                <w:sz w:val="24"/>
                <w:szCs w:val="24"/>
              </w:rPr>
              <w:t>27km</w:t>
            </w:r>
            <w:r>
              <w:rPr>
                <w:rFonts w:ascii="Times New Roman" w:hAnsi="Times New Roman" w:eastAsia="Times New Roman" w:cs="Times New Roman"/>
                <w:spacing w:val="-7"/>
                <w:position w:val="7"/>
                <w:sz w:val="15"/>
                <w:szCs w:val="15"/>
              </w:rPr>
              <w:t>2</w:t>
            </w:r>
            <w:r>
              <w:rPr>
                <w:spacing w:val="-8"/>
                <w:sz w:val="24"/>
                <w:szCs w:val="24"/>
              </w:rPr>
              <w:t>，蒙西园区</w:t>
            </w:r>
            <w:r>
              <w:rPr>
                <w:spacing w:val="-32"/>
                <w:sz w:val="24"/>
                <w:szCs w:val="24"/>
              </w:rPr>
              <w:t xml:space="preserve"> </w:t>
            </w:r>
            <w:r>
              <w:rPr>
                <w:rFonts w:ascii="Times New Roman" w:hAnsi="Times New Roman" w:eastAsia="Times New Roman" w:cs="Times New Roman"/>
                <w:spacing w:val="-8"/>
                <w:sz w:val="24"/>
                <w:szCs w:val="24"/>
              </w:rPr>
              <w:t>17km</w:t>
            </w:r>
            <w:r>
              <w:rPr>
                <w:rFonts w:ascii="Times New Roman" w:hAnsi="Times New Roman" w:eastAsia="Times New Roman" w:cs="Times New Roman"/>
                <w:spacing w:val="-8"/>
                <w:position w:val="7"/>
                <w:sz w:val="15"/>
                <w:szCs w:val="15"/>
              </w:rPr>
              <w:t>2</w:t>
            </w:r>
            <w:r>
              <w:rPr>
                <w:spacing w:val="-8"/>
                <w:sz w:val="24"/>
                <w:szCs w:val="24"/>
              </w:rPr>
              <w:t>。</w:t>
            </w:r>
            <w:r>
              <w:rPr>
                <w:sz w:val="24"/>
                <w:szCs w:val="24"/>
              </w:rPr>
              <w:t xml:space="preserve"> </w:t>
            </w:r>
            <w:r>
              <w:rPr>
                <w:spacing w:val="-1"/>
                <w:sz w:val="24"/>
                <w:szCs w:val="24"/>
              </w:rPr>
              <w:t>划定的城镇开发边界集中建设区的面积不得突破规模上限要求。</w:t>
            </w:r>
          </w:p>
          <w:p w14:paraId="68D91A10">
            <w:pPr>
              <w:pStyle w:val="6"/>
              <w:spacing w:before="1" w:line="359" w:lineRule="auto"/>
              <w:ind w:left="115" w:right="107" w:firstLine="490"/>
              <w:jc w:val="both"/>
              <w:rPr>
                <w:sz w:val="24"/>
                <w:szCs w:val="24"/>
              </w:rPr>
            </w:pPr>
            <w:r>
              <w:rPr>
                <w:sz w:val="24"/>
                <w:szCs w:val="24"/>
              </w:rPr>
              <w:t>随着棋盘井工业园区的发展，内蒙古鄂尔多斯鄂托克经济开发区管理委</w:t>
            </w:r>
            <w:r>
              <w:rPr>
                <w:spacing w:val="9"/>
                <w:sz w:val="24"/>
                <w:szCs w:val="24"/>
              </w:rPr>
              <w:t xml:space="preserve"> </w:t>
            </w:r>
            <w:r>
              <w:rPr>
                <w:spacing w:val="1"/>
                <w:sz w:val="24"/>
                <w:szCs w:val="24"/>
              </w:rPr>
              <w:t>员会决定在棋盘井镇东北</w:t>
            </w:r>
            <w:r>
              <w:rPr>
                <w:spacing w:val="-30"/>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z w:val="24"/>
                <w:szCs w:val="24"/>
              </w:rPr>
              <w:t>km</w:t>
            </w:r>
            <w:r>
              <w:rPr>
                <w:rFonts w:ascii="Times New Roman" w:hAnsi="Times New Roman" w:eastAsia="Times New Roman" w:cs="Times New Roman"/>
                <w:spacing w:val="18"/>
                <w:sz w:val="24"/>
                <w:szCs w:val="24"/>
              </w:rPr>
              <w:t xml:space="preserve"> </w:t>
            </w:r>
            <w:r>
              <w:rPr>
                <w:spacing w:val="1"/>
                <w:sz w:val="24"/>
                <w:szCs w:val="24"/>
              </w:rPr>
              <w:t>处设置鄂托克经济开发</w:t>
            </w:r>
            <w:r>
              <w:rPr>
                <w:sz w:val="24"/>
                <w:szCs w:val="24"/>
              </w:rPr>
              <w:t xml:space="preserve">区棋东项目区，作为 </w:t>
            </w:r>
            <w:r>
              <w:rPr>
                <w:spacing w:val="-1"/>
                <w:sz w:val="24"/>
                <w:szCs w:val="24"/>
              </w:rPr>
              <w:t>棋盘井工业园区未来的发展区。</w:t>
            </w:r>
          </w:p>
          <w:p w14:paraId="614A06A5">
            <w:pPr>
              <w:pStyle w:val="6"/>
              <w:spacing w:before="2" w:line="359" w:lineRule="auto"/>
              <w:ind w:left="111" w:right="27" w:firstLine="476"/>
              <w:jc w:val="both"/>
              <w:rPr>
                <w:sz w:val="24"/>
                <w:szCs w:val="24"/>
              </w:rPr>
            </w:pPr>
            <w:r>
              <w:rPr>
                <w:rFonts w:ascii="Times New Roman" w:hAnsi="Times New Roman" w:eastAsia="Times New Roman" w:cs="Times New Roman"/>
                <w:spacing w:val="-4"/>
                <w:sz w:val="24"/>
                <w:szCs w:val="24"/>
              </w:rPr>
              <w:t xml:space="preserve">2020 </w:t>
            </w:r>
            <w:r>
              <w:rPr>
                <w:spacing w:val="-4"/>
                <w:sz w:val="24"/>
                <w:szCs w:val="24"/>
              </w:rPr>
              <w:t>年</w:t>
            </w:r>
            <w:r>
              <w:rPr>
                <w:spacing w:val="-25"/>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spacing w:val="-4"/>
                <w:sz w:val="24"/>
                <w:szCs w:val="24"/>
              </w:rPr>
              <w:t>月</w:t>
            </w:r>
            <w:r>
              <w:rPr>
                <w:spacing w:val="-55"/>
                <w:sz w:val="24"/>
                <w:szCs w:val="24"/>
              </w:rPr>
              <w:t xml:space="preserve"> </w:t>
            </w:r>
            <w:r>
              <w:rPr>
                <w:rFonts w:ascii="Times New Roman" w:hAnsi="Times New Roman" w:eastAsia="Times New Roman" w:cs="Times New Roman"/>
                <w:spacing w:val="-4"/>
                <w:sz w:val="24"/>
                <w:szCs w:val="24"/>
              </w:rPr>
              <w:t xml:space="preserve">24  </w:t>
            </w:r>
            <w:r>
              <w:rPr>
                <w:spacing w:val="-4"/>
                <w:sz w:val="24"/>
                <w:szCs w:val="24"/>
              </w:rPr>
              <w:t>日，内蒙古自治区生态环境厅出具了《内蒙古自治区生</w:t>
            </w:r>
            <w:r>
              <w:rPr>
                <w:spacing w:val="-5"/>
                <w:sz w:val="24"/>
                <w:szCs w:val="24"/>
              </w:rPr>
              <w:t>态环境厅关于</w:t>
            </w:r>
            <w:r>
              <w:rPr>
                <w:rFonts w:ascii="Times New Roman" w:hAnsi="Times New Roman" w:eastAsia="Times New Roman" w:cs="Times New Roman"/>
                <w:spacing w:val="-5"/>
                <w:sz w:val="24"/>
                <w:szCs w:val="24"/>
              </w:rPr>
              <w:t>&lt;</w:t>
            </w:r>
            <w:r>
              <w:rPr>
                <w:rFonts w:ascii="Times New Roman" w:hAnsi="Times New Roman" w:eastAsia="Times New Roman" w:cs="Times New Roman"/>
                <w:spacing w:val="-2"/>
                <w:sz w:val="24"/>
                <w:szCs w:val="24"/>
              </w:rPr>
              <w:t xml:space="preserve"> </w:t>
            </w:r>
            <w:r>
              <w:rPr>
                <w:spacing w:val="-5"/>
                <w:sz w:val="24"/>
                <w:szCs w:val="24"/>
              </w:rPr>
              <w:t>内蒙古鄂托克经济开发区棋东项目区总体规划（修编）环境影</w:t>
            </w:r>
            <w:r>
              <w:rPr>
                <w:sz w:val="24"/>
                <w:szCs w:val="24"/>
              </w:rPr>
              <w:t xml:space="preserve"> </w:t>
            </w:r>
            <w:r>
              <w:rPr>
                <w:spacing w:val="-2"/>
                <w:sz w:val="24"/>
                <w:szCs w:val="24"/>
              </w:rPr>
              <w:t>响报告书</w:t>
            </w:r>
            <w:r>
              <w:rPr>
                <w:rFonts w:ascii="Times New Roman" w:hAnsi="Times New Roman" w:eastAsia="Times New Roman" w:cs="Times New Roman"/>
                <w:spacing w:val="-2"/>
                <w:sz w:val="24"/>
                <w:szCs w:val="24"/>
              </w:rPr>
              <w:t>&gt;</w:t>
            </w:r>
            <w:r>
              <w:rPr>
                <w:spacing w:val="-2"/>
                <w:sz w:val="24"/>
                <w:szCs w:val="24"/>
              </w:rPr>
              <w:t>审查意见的函》（内环函〔</w:t>
            </w:r>
            <w:r>
              <w:rPr>
                <w:rFonts w:ascii="Times New Roman" w:hAnsi="Times New Roman" w:eastAsia="Times New Roman" w:cs="Times New Roman"/>
                <w:spacing w:val="-2"/>
                <w:sz w:val="24"/>
                <w:szCs w:val="24"/>
              </w:rPr>
              <w:t>2020</w:t>
            </w:r>
            <w:r>
              <w:rPr>
                <w:spacing w:val="-3"/>
                <w:sz w:val="24"/>
                <w:szCs w:val="24"/>
              </w:rPr>
              <w:t>〕</w:t>
            </w:r>
            <w:r>
              <w:rPr>
                <w:rFonts w:ascii="Times New Roman" w:hAnsi="Times New Roman" w:eastAsia="Times New Roman" w:cs="Times New Roman"/>
                <w:spacing w:val="-3"/>
                <w:sz w:val="24"/>
                <w:szCs w:val="24"/>
              </w:rPr>
              <w:t>216</w:t>
            </w:r>
            <w:r>
              <w:rPr>
                <w:rFonts w:ascii="Times New Roman" w:hAnsi="Times New Roman" w:eastAsia="Times New Roman" w:cs="Times New Roman"/>
                <w:spacing w:val="16"/>
                <w:w w:val="101"/>
                <w:sz w:val="24"/>
                <w:szCs w:val="24"/>
              </w:rPr>
              <w:t xml:space="preserve"> </w:t>
            </w:r>
            <w:r>
              <w:rPr>
                <w:spacing w:val="-3"/>
                <w:sz w:val="24"/>
                <w:szCs w:val="24"/>
              </w:rPr>
              <w:t>号</w:t>
            </w:r>
            <w:r>
              <w:rPr>
                <w:spacing w:val="8"/>
                <w:sz w:val="24"/>
                <w:szCs w:val="24"/>
              </w:rPr>
              <w:t>），</w:t>
            </w:r>
            <w:r>
              <w:rPr>
                <w:spacing w:val="-3"/>
                <w:sz w:val="24"/>
                <w:szCs w:val="24"/>
              </w:rPr>
              <w:t>明确指出棋东项目区</w:t>
            </w:r>
            <w:r>
              <w:rPr>
                <w:sz w:val="24"/>
                <w:szCs w:val="24"/>
              </w:rPr>
              <w:t xml:space="preserve"> </w:t>
            </w:r>
            <w:r>
              <w:rPr>
                <w:spacing w:val="-2"/>
                <w:sz w:val="24"/>
                <w:szCs w:val="24"/>
              </w:rPr>
              <w:t>规划面积</w:t>
            </w:r>
            <w:r>
              <w:rPr>
                <w:spacing w:val="-14"/>
                <w:sz w:val="24"/>
                <w:szCs w:val="24"/>
              </w:rPr>
              <w:t xml:space="preserve"> </w:t>
            </w:r>
            <w:r>
              <w:rPr>
                <w:rFonts w:ascii="Times New Roman" w:hAnsi="Times New Roman" w:eastAsia="Times New Roman" w:cs="Times New Roman"/>
                <w:spacing w:val="-2"/>
                <w:sz w:val="24"/>
                <w:szCs w:val="24"/>
              </w:rPr>
              <w:t>18.67km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7"/>
                <w:position w:val="7"/>
                <w:sz w:val="15"/>
                <w:szCs w:val="15"/>
              </w:rPr>
              <w:t xml:space="preserve"> </w:t>
            </w:r>
            <w:r>
              <w:rPr>
                <w:spacing w:val="-2"/>
                <w:sz w:val="24"/>
                <w:szCs w:val="24"/>
              </w:rPr>
              <w:t>，四至范围东起规划的棋蒙一级公路，西至阿尔巴斯一矿</w:t>
            </w:r>
            <w:r>
              <w:rPr>
                <w:sz w:val="24"/>
                <w:szCs w:val="24"/>
              </w:rPr>
              <w:t xml:space="preserve"> </w:t>
            </w:r>
            <w:r>
              <w:rPr>
                <w:spacing w:val="1"/>
                <w:sz w:val="24"/>
                <w:szCs w:val="24"/>
              </w:rPr>
              <w:t>边界，南临恒邦煤矿边界，北到小冲沟，园区产业定位</w:t>
            </w:r>
            <w:r>
              <w:rPr>
                <w:sz w:val="24"/>
                <w:szCs w:val="24"/>
              </w:rPr>
              <w:t xml:space="preserve">围绕棋盘井资源优势 </w:t>
            </w:r>
            <w:r>
              <w:rPr>
                <w:spacing w:val="-4"/>
                <w:sz w:val="24"/>
                <w:szCs w:val="24"/>
              </w:rPr>
              <w:t>和现有产业基础，重点发展化工产业及新材料和塑料等下游产业，配套建材、</w:t>
            </w:r>
            <w:r>
              <w:rPr>
                <w:sz w:val="24"/>
                <w:szCs w:val="24"/>
              </w:rPr>
              <w:t xml:space="preserve"> </w:t>
            </w:r>
            <w:r>
              <w:rPr>
                <w:spacing w:val="-1"/>
                <w:sz w:val="24"/>
                <w:szCs w:val="24"/>
              </w:rPr>
              <w:t>机械制造、冶金及其他等产业。</w:t>
            </w:r>
          </w:p>
          <w:p w14:paraId="418BD5D9">
            <w:pPr>
              <w:pStyle w:val="6"/>
              <w:spacing w:before="4" w:line="353" w:lineRule="auto"/>
              <w:ind w:left="115" w:right="107" w:firstLine="472"/>
              <w:jc w:val="both"/>
              <w:rPr>
                <w:sz w:val="24"/>
                <w:szCs w:val="24"/>
              </w:rPr>
            </w:pPr>
            <w:r>
              <w:rPr>
                <w:rFonts w:ascii="Times New Roman" w:hAnsi="Times New Roman" w:eastAsia="Times New Roman" w:cs="Times New Roman"/>
                <w:spacing w:val="-1"/>
                <w:sz w:val="24"/>
                <w:szCs w:val="24"/>
              </w:rPr>
              <w:t>2020</w:t>
            </w:r>
            <w:r>
              <w:rPr>
                <w:rFonts w:ascii="Times New Roman" w:hAnsi="Times New Roman" w:eastAsia="Times New Roman" w:cs="Times New Roman"/>
                <w:spacing w:val="26"/>
                <w:sz w:val="24"/>
                <w:szCs w:val="24"/>
              </w:rPr>
              <w:t xml:space="preserve"> </w:t>
            </w:r>
            <w:r>
              <w:rPr>
                <w:spacing w:val="-1"/>
                <w:sz w:val="24"/>
                <w:szCs w:val="24"/>
              </w:rPr>
              <w:t>年</w:t>
            </w:r>
            <w:r>
              <w:rPr>
                <w:spacing w:val="-46"/>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7"/>
                <w:sz w:val="24"/>
                <w:szCs w:val="24"/>
              </w:rPr>
              <w:t xml:space="preserve"> </w:t>
            </w:r>
            <w:r>
              <w:rPr>
                <w:spacing w:val="-1"/>
                <w:sz w:val="24"/>
                <w:szCs w:val="24"/>
              </w:rPr>
              <w:t>月</w:t>
            </w:r>
            <w:r>
              <w:rPr>
                <w:spacing w:val="-50"/>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53"/>
                <w:sz w:val="24"/>
                <w:szCs w:val="24"/>
              </w:rPr>
              <w:t xml:space="preserve"> </w:t>
            </w:r>
            <w:r>
              <w:rPr>
                <w:spacing w:val="-1"/>
                <w:sz w:val="24"/>
                <w:szCs w:val="24"/>
              </w:rPr>
              <w:t>日，内蒙古自治区工业和信息化厅印发《内蒙古自治区</w:t>
            </w:r>
            <w:r>
              <w:rPr>
                <w:sz w:val="24"/>
                <w:szCs w:val="24"/>
              </w:rPr>
              <w:t xml:space="preserve"> </w:t>
            </w:r>
            <w:r>
              <w:rPr>
                <w:spacing w:val="1"/>
                <w:sz w:val="24"/>
                <w:szCs w:val="24"/>
              </w:rPr>
              <w:t>工业园区优化调整实施方案》进一步细化要求</w:t>
            </w:r>
            <w:r>
              <w:rPr>
                <w:sz w:val="24"/>
                <w:szCs w:val="24"/>
              </w:rPr>
              <w:t xml:space="preserve">，整合区位相近、产业同质园 </w:t>
            </w:r>
            <w:r>
              <w:rPr>
                <w:spacing w:val="-1"/>
                <w:sz w:val="24"/>
                <w:szCs w:val="24"/>
              </w:rPr>
              <w:t>区，同时要求各园区编制园区发展规划，明确主导产业发展定位。</w:t>
            </w:r>
            <w:r>
              <w:rPr>
                <w:rFonts w:ascii="Times New Roman" w:hAnsi="Times New Roman" w:eastAsia="Times New Roman" w:cs="Times New Roman"/>
                <w:spacing w:val="-1"/>
                <w:sz w:val="24"/>
                <w:szCs w:val="24"/>
              </w:rPr>
              <w:t xml:space="preserve">2022 </w:t>
            </w:r>
            <w:r>
              <w:rPr>
                <w:spacing w:val="-1"/>
                <w:sz w:val="24"/>
                <w:szCs w:val="24"/>
              </w:rPr>
              <w:t>年</w:t>
            </w:r>
            <w:r>
              <w:rPr>
                <w:spacing w:val="-38"/>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z w:val="24"/>
                <w:szCs w:val="24"/>
              </w:rPr>
              <w:t xml:space="preserve"> </w:t>
            </w:r>
            <w:r>
              <w:rPr>
                <w:spacing w:val="-5"/>
                <w:sz w:val="24"/>
                <w:szCs w:val="24"/>
              </w:rPr>
              <w:t>月</w:t>
            </w:r>
            <w:r>
              <w:rPr>
                <w:spacing w:val="-41"/>
                <w:sz w:val="24"/>
                <w:szCs w:val="24"/>
              </w:rPr>
              <w:t xml:space="preserve"> </w:t>
            </w:r>
            <w:r>
              <w:rPr>
                <w:rFonts w:ascii="Times New Roman" w:hAnsi="Times New Roman" w:eastAsia="Times New Roman" w:cs="Times New Roman"/>
                <w:spacing w:val="-5"/>
                <w:sz w:val="24"/>
                <w:szCs w:val="24"/>
              </w:rPr>
              <w:t>23</w:t>
            </w:r>
            <w:r>
              <w:rPr>
                <w:rFonts w:ascii="Times New Roman" w:hAnsi="Times New Roman" w:eastAsia="Times New Roman" w:cs="Times New Roman"/>
                <w:spacing w:val="51"/>
                <w:sz w:val="24"/>
                <w:szCs w:val="24"/>
              </w:rPr>
              <w:t xml:space="preserve"> </w:t>
            </w:r>
            <w:r>
              <w:rPr>
                <w:spacing w:val="-5"/>
                <w:sz w:val="24"/>
                <w:szCs w:val="24"/>
              </w:rPr>
              <w:t>日，内蒙古自治区工业和信息化厅关于印发实施《内蒙古自治区开发区</w:t>
            </w:r>
            <w:r>
              <w:rPr>
                <w:sz w:val="24"/>
                <w:szCs w:val="24"/>
              </w:rPr>
              <w:t xml:space="preserve"> </w:t>
            </w:r>
            <w:r>
              <w:rPr>
                <w:spacing w:val="-2"/>
                <w:sz w:val="24"/>
                <w:szCs w:val="24"/>
              </w:rPr>
              <w:t>审核公告目录》的通知（内工信发〔</w:t>
            </w:r>
            <w:r>
              <w:rPr>
                <w:rFonts w:ascii="Times New Roman" w:hAnsi="Times New Roman" w:eastAsia="Times New Roman" w:cs="Times New Roman"/>
                <w:spacing w:val="-2"/>
                <w:sz w:val="24"/>
                <w:szCs w:val="24"/>
              </w:rPr>
              <w:t>2022</w:t>
            </w:r>
            <w:r>
              <w:rPr>
                <w:spacing w:val="-2"/>
                <w:sz w:val="24"/>
                <w:szCs w:val="24"/>
              </w:rPr>
              <w:t>〕</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16"/>
                <w:sz w:val="24"/>
                <w:szCs w:val="24"/>
              </w:rPr>
              <w:t xml:space="preserve"> </w:t>
            </w:r>
            <w:r>
              <w:rPr>
                <w:spacing w:val="-2"/>
                <w:sz w:val="24"/>
                <w:szCs w:val="24"/>
              </w:rPr>
              <w:t>号</w:t>
            </w:r>
            <w:r>
              <w:rPr>
                <w:spacing w:val="6"/>
                <w:sz w:val="24"/>
                <w:szCs w:val="24"/>
              </w:rPr>
              <w:t>），</w:t>
            </w:r>
            <w:r>
              <w:rPr>
                <w:spacing w:val="-2"/>
                <w:sz w:val="24"/>
                <w:szCs w:val="24"/>
              </w:rPr>
              <w:t>根据该目录内蒙古鄂尔</w:t>
            </w:r>
            <w:r>
              <w:rPr>
                <w:sz w:val="24"/>
                <w:szCs w:val="24"/>
              </w:rPr>
              <w:t xml:space="preserve"> </w:t>
            </w:r>
            <w:r>
              <w:rPr>
                <w:spacing w:val="1"/>
                <w:sz w:val="24"/>
                <w:szCs w:val="24"/>
              </w:rPr>
              <w:t>多斯鄂托克经济开发区园区级别为一类，分为</w:t>
            </w:r>
            <w:r>
              <w:rPr>
                <w:sz w:val="24"/>
                <w:szCs w:val="24"/>
              </w:rPr>
              <w:t>蒙西产业园和棋盘井产业园两</w:t>
            </w:r>
          </w:p>
        </w:tc>
      </w:tr>
    </w:tbl>
    <w:p w14:paraId="186A9E79">
      <w:pPr>
        <w:pStyle w:val="2"/>
      </w:pPr>
    </w:p>
    <w:p w14:paraId="0D4E6271">
      <w:pPr>
        <w:sectPr>
          <w:footerReference r:id="rId28" w:type="default"/>
          <w:pgSz w:w="11906" w:h="16839"/>
          <w:pgMar w:top="400" w:right="1588" w:bottom="1259" w:left="1687" w:header="0" w:footer="1097" w:gutter="0"/>
          <w:cols w:space="720" w:num="1"/>
        </w:sectPr>
      </w:pPr>
    </w:p>
    <w:p w14:paraId="619A7B30">
      <w:pPr>
        <w:spacing w:before="19"/>
      </w:pPr>
    </w:p>
    <w:p w14:paraId="6C3B4A4B">
      <w:pPr>
        <w:spacing w:before="19"/>
      </w:pPr>
    </w:p>
    <w:p w14:paraId="3CB10A18">
      <w:pPr>
        <w:spacing w:before="18"/>
      </w:pPr>
    </w:p>
    <w:p w14:paraId="5518243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41300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0A6B28E7">
            <w:pPr>
              <w:rPr>
                <w:rFonts w:ascii="Arial"/>
                <w:sz w:val="21"/>
              </w:rPr>
            </w:pPr>
          </w:p>
        </w:tc>
        <w:tc>
          <w:tcPr>
            <w:tcW w:w="8169" w:type="dxa"/>
            <w:vAlign w:val="top"/>
          </w:tcPr>
          <w:p w14:paraId="203FEC47">
            <w:pPr>
              <w:pStyle w:val="6"/>
              <w:spacing w:before="42" w:line="358" w:lineRule="auto"/>
              <w:ind w:left="114" w:right="107" w:hanging="2"/>
              <w:rPr>
                <w:sz w:val="24"/>
                <w:szCs w:val="24"/>
              </w:rPr>
            </w:pPr>
            <w:r>
              <w:rPr>
                <w:spacing w:val="1"/>
                <w:sz w:val="24"/>
                <w:szCs w:val="24"/>
              </w:rPr>
              <w:t>个区块，蒙西产业园主导产业为新材料、精细化工，</w:t>
            </w:r>
            <w:r>
              <w:rPr>
                <w:sz w:val="24"/>
                <w:szCs w:val="24"/>
              </w:rPr>
              <w:t xml:space="preserve">棋盘井产业园主导产业 </w:t>
            </w:r>
            <w:r>
              <w:rPr>
                <w:spacing w:val="-2"/>
                <w:sz w:val="24"/>
                <w:szCs w:val="24"/>
              </w:rPr>
              <w:t>为能源化工、新兴产业。</w:t>
            </w:r>
          </w:p>
          <w:p w14:paraId="39479464">
            <w:pPr>
              <w:pStyle w:val="6"/>
              <w:spacing w:before="5" w:line="357" w:lineRule="auto"/>
              <w:ind w:left="106" w:right="107" w:firstLine="481"/>
              <w:rPr>
                <w:sz w:val="24"/>
                <w:szCs w:val="24"/>
              </w:rPr>
            </w:pPr>
            <w:r>
              <w:rPr>
                <w:rFonts w:ascii="Times New Roman" w:hAnsi="Times New Roman" w:eastAsia="Times New Roman" w:cs="Times New Roman"/>
                <w:spacing w:val="-4"/>
                <w:sz w:val="24"/>
                <w:szCs w:val="24"/>
              </w:rPr>
              <w:t xml:space="preserve">2021 </w:t>
            </w:r>
            <w:r>
              <w:rPr>
                <w:spacing w:val="-4"/>
                <w:sz w:val="24"/>
                <w:szCs w:val="24"/>
              </w:rPr>
              <w:t>年</w:t>
            </w:r>
            <w:r>
              <w:rPr>
                <w:spacing w:val="-30"/>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spacing w:val="-4"/>
                <w:sz w:val="24"/>
                <w:szCs w:val="24"/>
              </w:rPr>
              <w:t>月</w:t>
            </w:r>
            <w:r>
              <w:rPr>
                <w:spacing w:val="-51"/>
                <w:sz w:val="24"/>
                <w:szCs w:val="24"/>
              </w:rPr>
              <w:t xml:space="preserve"> </w:t>
            </w:r>
            <w:r>
              <w:rPr>
                <w:rFonts w:ascii="Times New Roman" w:hAnsi="Times New Roman" w:eastAsia="Times New Roman" w:cs="Times New Roman"/>
                <w:spacing w:val="-4"/>
                <w:sz w:val="24"/>
                <w:szCs w:val="24"/>
              </w:rPr>
              <w:t xml:space="preserve">31  </w:t>
            </w:r>
            <w:r>
              <w:rPr>
                <w:spacing w:val="-4"/>
                <w:sz w:val="24"/>
                <w:szCs w:val="24"/>
              </w:rPr>
              <w:t>日，内蒙古自治区自然资源厅发布了《自治区工程建设</w:t>
            </w:r>
            <w:r>
              <w:rPr>
                <w:sz w:val="24"/>
                <w:szCs w:val="24"/>
              </w:rPr>
              <w:t xml:space="preserve"> </w:t>
            </w:r>
            <w:r>
              <w:rPr>
                <w:spacing w:val="1"/>
                <w:sz w:val="24"/>
                <w:szCs w:val="24"/>
              </w:rPr>
              <w:t>项目区域评估厅际联席会议制度办公室关于征求〈内蒙古自治区</w:t>
            </w:r>
            <w:r>
              <w:rPr>
                <w:sz w:val="24"/>
                <w:szCs w:val="24"/>
              </w:rPr>
              <w:t xml:space="preserve">开发区审核 </w:t>
            </w:r>
            <w:r>
              <w:rPr>
                <w:spacing w:val="1"/>
                <w:sz w:val="24"/>
                <w:szCs w:val="24"/>
              </w:rPr>
              <w:t>公告目录〉面积与四至范围划定成果意见的函》，明确指出：内</w:t>
            </w:r>
            <w:r>
              <w:rPr>
                <w:sz w:val="24"/>
                <w:szCs w:val="24"/>
              </w:rPr>
              <w:t xml:space="preserve">蒙古鄂尔多 </w:t>
            </w:r>
            <w:r>
              <w:rPr>
                <w:spacing w:val="1"/>
                <w:sz w:val="24"/>
                <w:szCs w:val="24"/>
              </w:rPr>
              <w:t>斯鄂托克经济开发区，分为蒙西产业园和棋盘井产业园两个区块</w:t>
            </w:r>
            <w:r>
              <w:rPr>
                <w:sz w:val="24"/>
                <w:szCs w:val="24"/>
              </w:rPr>
              <w:t xml:space="preserve">，开发区面 </w:t>
            </w:r>
            <w:r>
              <w:rPr>
                <w:spacing w:val="-2"/>
                <w:sz w:val="24"/>
                <w:szCs w:val="24"/>
              </w:rPr>
              <w:t>积</w:t>
            </w:r>
            <w:r>
              <w:rPr>
                <w:spacing w:val="-45"/>
                <w:sz w:val="24"/>
                <w:szCs w:val="24"/>
              </w:rPr>
              <w:t xml:space="preserve"> </w:t>
            </w:r>
            <w:r>
              <w:rPr>
                <w:rFonts w:ascii="Times New Roman" w:hAnsi="Times New Roman" w:eastAsia="Times New Roman" w:cs="Times New Roman"/>
                <w:spacing w:val="-2"/>
                <w:sz w:val="24"/>
                <w:szCs w:val="24"/>
              </w:rPr>
              <w:t>87.4792km</w:t>
            </w:r>
            <w:r>
              <w:rPr>
                <w:rFonts w:ascii="Times New Roman" w:hAnsi="Times New Roman" w:eastAsia="Times New Roman" w:cs="Times New Roman"/>
                <w:spacing w:val="-2"/>
                <w:position w:val="7"/>
                <w:sz w:val="15"/>
                <w:szCs w:val="15"/>
              </w:rPr>
              <w:t xml:space="preserve">2 </w:t>
            </w:r>
            <w:r>
              <w:rPr>
                <w:spacing w:val="-2"/>
                <w:sz w:val="24"/>
                <w:szCs w:val="24"/>
              </w:rPr>
              <w:t>。蒙西产业园区块面积为</w:t>
            </w:r>
            <w:r>
              <w:rPr>
                <w:spacing w:val="-56"/>
                <w:sz w:val="24"/>
                <w:szCs w:val="24"/>
              </w:rPr>
              <w:t xml:space="preserve"> </w:t>
            </w:r>
            <w:r>
              <w:rPr>
                <w:rFonts w:ascii="Times New Roman" w:hAnsi="Times New Roman" w:eastAsia="Times New Roman" w:cs="Times New Roman"/>
                <w:spacing w:val="-2"/>
                <w:sz w:val="24"/>
                <w:szCs w:val="24"/>
              </w:rPr>
              <w:t>45.0966km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spacing w:val="-3"/>
                <w:sz w:val="24"/>
                <w:szCs w:val="24"/>
              </w:rPr>
              <w:t>，四至范围为东至京藏高</w:t>
            </w:r>
            <w:r>
              <w:rPr>
                <w:sz w:val="24"/>
                <w:szCs w:val="24"/>
              </w:rPr>
              <w:t xml:space="preserve"> </w:t>
            </w:r>
            <w:r>
              <w:rPr>
                <w:spacing w:val="-1"/>
                <w:sz w:val="24"/>
                <w:szCs w:val="24"/>
              </w:rPr>
              <w:t>速、南至新千公路、西至包兰铁路、北至千里山</w:t>
            </w:r>
            <w:r>
              <w:rPr>
                <w:rFonts w:ascii="Times New Roman" w:hAnsi="Times New Roman" w:eastAsia="Times New Roman" w:cs="Times New Roman"/>
                <w:spacing w:val="-1"/>
                <w:sz w:val="24"/>
                <w:szCs w:val="24"/>
              </w:rPr>
              <w:t xml:space="preserve">500KV </w:t>
            </w:r>
            <w:r>
              <w:rPr>
                <w:spacing w:val="-1"/>
                <w:sz w:val="24"/>
                <w:szCs w:val="24"/>
              </w:rPr>
              <w:t>变电站南规划路；蒙</w:t>
            </w:r>
            <w:r>
              <w:rPr>
                <w:spacing w:val="18"/>
                <w:sz w:val="24"/>
                <w:szCs w:val="24"/>
              </w:rPr>
              <w:t xml:space="preserve"> </w:t>
            </w:r>
            <w:r>
              <w:rPr>
                <w:spacing w:val="19"/>
                <w:sz w:val="24"/>
                <w:szCs w:val="24"/>
              </w:rPr>
              <w:t>西产业园城镇集中建设区面积为</w:t>
            </w:r>
            <w:r>
              <w:rPr>
                <w:spacing w:val="-17"/>
                <w:sz w:val="24"/>
                <w:szCs w:val="24"/>
              </w:rPr>
              <w:t xml:space="preserve"> </w:t>
            </w:r>
            <w:r>
              <w:rPr>
                <w:rFonts w:ascii="Times New Roman" w:hAnsi="Times New Roman" w:eastAsia="Times New Roman" w:cs="Times New Roman"/>
                <w:spacing w:val="19"/>
                <w:sz w:val="24"/>
                <w:szCs w:val="24"/>
              </w:rPr>
              <w:t>25.0866</w:t>
            </w:r>
            <w:r>
              <w:rPr>
                <w:rFonts w:ascii="Times New Roman" w:hAnsi="Times New Roman" w:eastAsia="Times New Roman" w:cs="Times New Roman"/>
                <w:sz w:val="24"/>
                <w:szCs w:val="24"/>
              </w:rPr>
              <w:t>km</w:t>
            </w:r>
            <w:r>
              <w:rPr>
                <w:rFonts w:ascii="Times New Roman" w:hAnsi="Times New Roman" w:eastAsia="Times New Roman" w:cs="Times New Roman"/>
                <w:spacing w:val="19"/>
                <w:position w:val="8"/>
                <w:sz w:val="15"/>
                <w:szCs w:val="15"/>
              </w:rPr>
              <w:t>2</w:t>
            </w:r>
            <w:r>
              <w:rPr>
                <w:rFonts w:ascii="Times New Roman" w:hAnsi="Times New Roman" w:eastAsia="Times New Roman" w:cs="Times New Roman"/>
                <w:spacing w:val="19"/>
                <w:w w:val="101"/>
                <w:position w:val="8"/>
                <w:sz w:val="15"/>
                <w:szCs w:val="15"/>
              </w:rPr>
              <w:t xml:space="preserve"> </w:t>
            </w:r>
            <w:r>
              <w:rPr>
                <w:spacing w:val="19"/>
                <w:sz w:val="24"/>
                <w:szCs w:val="24"/>
              </w:rPr>
              <w:t>，城镇弹性发展区面积为</w:t>
            </w:r>
            <w:r>
              <w:rPr>
                <w:sz w:val="24"/>
                <w:szCs w:val="24"/>
              </w:rPr>
              <w:t xml:space="preserve"> </w:t>
            </w:r>
            <w:r>
              <w:rPr>
                <w:rFonts w:ascii="Times New Roman" w:hAnsi="Times New Roman" w:eastAsia="Times New Roman" w:cs="Times New Roman"/>
                <w:spacing w:val="7"/>
                <w:sz w:val="24"/>
                <w:szCs w:val="24"/>
              </w:rPr>
              <w:t>8.3896</w:t>
            </w:r>
            <w:r>
              <w:rPr>
                <w:rFonts w:ascii="Times New Roman" w:hAnsi="Times New Roman" w:eastAsia="Times New Roman" w:cs="Times New Roman"/>
                <w:sz w:val="24"/>
                <w:szCs w:val="24"/>
              </w:rPr>
              <w:t>km</w:t>
            </w:r>
            <w:r>
              <w:rPr>
                <w:rFonts w:ascii="Times New Roman" w:hAnsi="Times New Roman" w:eastAsia="Times New Roman" w:cs="Times New Roman"/>
                <w:spacing w:val="7"/>
                <w:position w:val="8"/>
                <w:sz w:val="15"/>
                <w:szCs w:val="15"/>
              </w:rPr>
              <w:t xml:space="preserve">2 </w:t>
            </w:r>
            <w:r>
              <w:rPr>
                <w:spacing w:val="7"/>
                <w:sz w:val="24"/>
                <w:szCs w:val="24"/>
              </w:rPr>
              <w:t xml:space="preserve">，特别用途区面积为 </w:t>
            </w:r>
            <w:r>
              <w:rPr>
                <w:rFonts w:ascii="Times New Roman" w:hAnsi="Times New Roman" w:eastAsia="Times New Roman" w:cs="Times New Roman"/>
                <w:spacing w:val="7"/>
                <w:sz w:val="24"/>
                <w:szCs w:val="24"/>
              </w:rPr>
              <w:t>11.620</w:t>
            </w:r>
            <w:r>
              <w:rPr>
                <w:rFonts w:ascii="Times New Roman" w:hAnsi="Times New Roman" w:eastAsia="Times New Roman" w:cs="Times New Roman"/>
                <w:spacing w:val="6"/>
                <w:sz w:val="24"/>
                <w:szCs w:val="24"/>
              </w:rPr>
              <w:t>4</w:t>
            </w:r>
            <w:r>
              <w:rPr>
                <w:rFonts w:ascii="Times New Roman" w:hAnsi="Times New Roman" w:eastAsia="Times New Roman" w:cs="Times New Roman"/>
                <w:sz w:val="24"/>
                <w:szCs w:val="24"/>
              </w:rPr>
              <w:t>km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2"/>
                <w:w w:val="101"/>
                <w:position w:val="8"/>
                <w:sz w:val="15"/>
                <w:szCs w:val="15"/>
              </w:rPr>
              <w:t xml:space="preserve"> </w:t>
            </w:r>
            <w:r>
              <w:rPr>
                <w:spacing w:val="6"/>
                <w:sz w:val="24"/>
                <w:szCs w:val="24"/>
              </w:rPr>
              <w:t>”。棋盘井产业园区块面积为</w:t>
            </w:r>
            <w:r>
              <w:rPr>
                <w:sz w:val="24"/>
                <w:szCs w:val="24"/>
              </w:rPr>
              <w:t xml:space="preserve"> </w:t>
            </w:r>
            <w:r>
              <w:rPr>
                <w:rFonts w:ascii="Times New Roman" w:hAnsi="Times New Roman" w:eastAsia="Times New Roman" w:cs="Times New Roman"/>
                <w:spacing w:val="-1"/>
                <w:sz w:val="24"/>
                <w:szCs w:val="24"/>
              </w:rPr>
              <w:t>42.3826km</w:t>
            </w:r>
            <w:r>
              <w:rPr>
                <w:rFonts w:ascii="Times New Roman" w:hAnsi="Times New Roman" w:eastAsia="Times New Roman" w:cs="Times New Roman"/>
                <w:spacing w:val="-1"/>
                <w:position w:val="7"/>
                <w:sz w:val="15"/>
                <w:szCs w:val="15"/>
              </w:rPr>
              <w:t xml:space="preserve">2 </w:t>
            </w:r>
            <w:r>
              <w:rPr>
                <w:spacing w:val="-1"/>
                <w:sz w:val="24"/>
                <w:szCs w:val="24"/>
              </w:rPr>
              <w:t>；其中棋西项目区面积为</w:t>
            </w:r>
            <w:r>
              <w:rPr>
                <w:spacing w:val="-39"/>
                <w:sz w:val="24"/>
                <w:szCs w:val="24"/>
              </w:rPr>
              <w:t xml:space="preserve"> </w:t>
            </w:r>
            <w:r>
              <w:rPr>
                <w:rFonts w:ascii="Times New Roman" w:hAnsi="Times New Roman" w:eastAsia="Times New Roman" w:cs="Times New Roman"/>
                <w:spacing w:val="-1"/>
                <w:sz w:val="24"/>
                <w:szCs w:val="24"/>
              </w:rPr>
              <w:t>26.8148km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7"/>
                <w:position w:val="7"/>
                <w:sz w:val="15"/>
                <w:szCs w:val="15"/>
              </w:rPr>
              <w:t xml:space="preserve"> </w:t>
            </w:r>
            <w:r>
              <w:rPr>
                <w:spacing w:val="-1"/>
                <w:sz w:val="24"/>
                <w:szCs w:val="24"/>
              </w:rPr>
              <w:t>，四至范围为东至二号路、</w:t>
            </w:r>
            <w:r>
              <w:rPr>
                <w:sz w:val="24"/>
                <w:szCs w:val="24"/>
              </w:rPr>
              <w:t xml:space="preserve"> </w:t>
            </w:r>
            <w:r>
              <w:rPr>
                <w:spacing w:val="8"/>
                <w:sz w:val="24"/>
                <w:szCs w:val="24"/>
              </w:rPr>
              <w:t>南至西鄂尔多斯保护区、西至乌海界、北至硅电大街；棋东项目区面积为</w:t>
            </w:r>
            <w:r>
              <w:rPr>
                <w:spacing w:val="12"/>
                <w:sz w:val="24"/>
                <w:szCs w:val="24"/>
              </w:rPr>
              <w:t xml:space="preserve"> </w:t>
            </w:r>
            <w:r>
              <w:rPr>
                <w:rFonts w:ascii="Times New Roman" w:hAnsi="Times New Roman" w:eastAsia="Times New Roman" w:cs="Times New Roman"/>
                <w:spacing w:val="1"/>
                <w:sz w:val="24"/>
                <w:szCs w:val="24"/>
              </w:rPr>
              <w:t>15.5678</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spacing w:val="1"/>
                <w:sz w:val="24"/>
                <w:szCs w:val="24"/>
              </w:rPr>
              <w:t>，四至范围为东起规划棋蒙一级公路、南临恒邦煤矿、西至阿尔</w:t>
            </w:r>
            <w:r>
              <w:rPr>
                <w:sz w:val="24"/>
                <w:szCs w:val="24"/>
              </w:rPr>
              <w:t xml:space="preserve"> </w:t>
            </w:r>
            <w:r>
              <w:rPr>
                <w:spacing w:val="16"/>
                <w:sz w:val="24"/>
                <w:szCs w:val="24"/>
              </w:rPr>
              <w:t>巴斯一矿边界、北到现状小冲沟；棋盘井产业园城镇集中建设区面积为</w:t>
            </w:r>
            <w:r>
              <w:rPr>
                <w:spacing w:val="12"/>
                <w:sz w:val="24"/>
                <w:szCs w:val="24"/>
              </w:rPr>
              <w:t xml:space="preserve"> </w:t>
            </w:r>
            <w:r>
              <w:rPr>
                <w:rFonts w:ascii="Times New Roman" w:hAnsi="Times New Roman" w:eastAsia="Times New Roman" w:cs="Times New Roman"/>
                <w:spacing w:val="-8"/>
                <w:sz w:val="24"/>
                <w:szCs w:val="24"/>
              </w:rPr>
              <w:t>25.8409km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spacing w:val="49"/>
                <w:w w:val="101"/>
                <w:position w:val="7"/>
                <w:sz w:val="15"/>
                <w:szCs w:val="15"/>
              </w:rPr>
              <w:t xml:space="preserve"> </w:t>
            </w:r>
            <w:r>
              <w:rPr>
                <w:spacing w:val="-8"/>
                <w:sz w:val="24"/>
                <w:szCs w:val="24"/>
              </w:rPr>
              <w:t>，</w:t>
            </w:r>
            <w:r>
              <w:rPr>
                <w:spacing w:val="-68"/>
                <w:sz w:val="24"/>
                <w:szCs w:val="24"/>
              </w:rPr>
              <w:t xml:space="preserve"> </w:t>
            </w:r>
            <w:r>
              <w:rPr>
                <w:spacing w:val="-8"/>
                <w:sz w:val="24"/>
                <w:szCs w:val="24"/>
              </w:rPr>
              <w:t>城</w:t>
            </w:r>
            <w:r>
              <w:rPr>
                <w:spacing w:val="-70"/>
                <w:sz w:val="24"/>
                <w:szCs w:val="24"/>
              </w:rPr>
              <w:t xml:space="preserve"> </w:t>
            </w:r>
            <w:r>
              <w:rPr>
                <w:spacing w:val="-8"/>
                <w:sz w:val="24"/>
                <w:szCs w:val="24"/>
              </w:rPr>
              <w:t>镇</w:t>
            </w:r>
            <w:r>
              <w:rPr>
                <w:spacing w:val="-63"/>
                <w:sz w:val="24"/>
                <w:szCs w:val="24"/>
              </w:rPr>
              <w:t xml:space="preserve"> </w:t>
            </w:r>
            <w:r>
              <w:rPr>
                <w:spacing w:val="-8"/>
                <w:sz w:val="24"/>
                <w:szCs w:val="24"/>
              </w:rPr>
              <w:t>弹</w:t>
            </w:r>
            <w:r>
              <w:rPr>
                <w:spacing w:val="-67"/>
                <w:sz w:val="24"/>
                <w:szCs w:val="24"/>
              </w:rPr>
              <w:t xml:space="preserve"> </w:t>
            </w:r>
            <w:r>
              <w:rPr>
                <w:spacing w:val="-8"/>
                <w:sz w:val="24"/>
                <w:szCs w:val="24"/>
              </w:rPr>
              <w:t>性</w:t>
            </w:r>
            <w:r>
              <w:rPr>
                <w:spacing w:val="-64"/>
                <w:sz w:val="24"/>
                <w:szCs w:val="24"/>
              </w:rPr>
              <w:t xml:space="preserve"> </w:t>
            </w:r>
            <w:r>
              <w:rPr>
                <w:spacing w:val="-8"/>
                <w:sz w:val="24"/>
                <w:szCs w:val="24"/>
              </w:rPr>
              <w:t>发</w:t>
            </w:r>
            <w:r>
              <w:rPr>
                <w:spacing w:val="-68"/>
                <w:sz w:val="24"/>
                <w:szCs w:val="24"/>
              </w:rPr>
              <w:t xml:space="preserve"> </w:t>
            </w:r>
            <w:r>
              <w:rPr>
                <w:spacing w:val="-8"/>
                <w:sz w:val="24"/>
                <w:szCs w:val="24"/>
              </w:rPr>
              <w:t>展</w:t>
            </w:r>
            <w:r>
              <w:rPr>
                <w:spacing w:val="-49"/>
                <w:sz w:val="24"/>
                <w:szCs w:val="24"/>
              </w:rPr>
              <w:t xml:space="preserve"> </w:t>
            </w:r>
            <w:r>
              <w:rPr>
                <w:spacing w:val="-8"/>
                <w:sz w:val="24"/>
                <w:szCs w:val="24"/>
              </w:rPr>
              <w:t>区</w:t>
            </w:r>
            <w:r>
              <w:rPr>
                <w:spacing w:val="-69"/>
                <w:sz w:val="24"/>
                <w:szCs w:val="24"/>
              </w:rPr>
              <w:t xml:space="preserve"> </w:t>
            </w:r>
            <w:r>
              <w:rPr>
                <w:spacing w:val="-8"/>
                <w:sz w:val="24"/>
                <w:szCs w:val="24"/>
              </w:rPr>
              <w:t>面</w:t>
            </w:r>
            <w:r>
              <w:rPr>
                <w:spacing w:val="-68"/>
                <w:sz w:val="24"/>
                <w:szCs w:val="24"/>
              </w:rPr>
              <w:t xml:space="preserve"> </w:t>
            </w:r>
            <w:r>
              <w:rPr>
                <w:spacing w:val="-8"/>
                <w:sz w:val="24"/>
                <w:szCs w:val="24"/>
              </w:rPr>
              <w:t>积</w:t>
            </w:r>
            <w:r>
              <w:rPr>
                <w:spacing w:val="-64"/>
                <w:sz w:val="24"/>
                <w:szCs w:val="24"/>
              </w:rPr>
              <w:t xml:space="preserve"> </w:t>
            </w:r>
            <w:r>
              <w:rPr>
                <w:spacing w:val="-8"/>
                <w:sz w:val="24"/>
                <w:szCs w:val="24"/>
              </w:rPr>
              <w:t xml:space="preserve">为 </w:t>
            </w:r>
            <w:r>
              <w:rPr>
                <w:rFonts w:ascii="Times New Roman" w:hAnsi="Times New Roman" w:eastAsia="Times New Roman" w:cs="Times New Roman"/>
                <w:spacing w:val="-8"/>
                <w:sz w:val="24"/>
                <w:szCs w:val="24"/>
              </w:rPr>
              <w:t>9.7655km</w:t>
            </w:r>
            <w:r>
              <w:rPr>
                <w:rFonts w:ascii="Times New Roman" w:hAnsi="Times New Roman" w:eastAsia="Times New Roman" w:cs="Times New Roman"/>
                <w:spacing w:val="-8"/>
                <w:position w:val="7"/>
                <w:sz w:val="15"/>
                <w:szCs w:val="15"/>
              </w:rPr>
              <w:t>2</w:t>
            </w:r>
            <w:r>
              <w:rPr>
                <w:rFonts w:ascii="Times New Roman" w:hAnsi="Times New Roman" w:eastAsia="Times New Roman" w:cs="Times New Roman"/>
                <w:spacing w:val="33"/>
                <w:w w:val="101"/>
                <w:position w:val="7"/>
                <w:sz w:val="15"/>
                <w:szCs w:val="15"/>
              </w:rPr>
              <w:t xml:space="preserve"> </w:t>
            </w:r>
            <w:r>
              <w:rPr>
                <w:spacing w:val="-8"/>
                <w:sz w:val="24"/>
                <w:szCs w:val="24"/>
              </w:rPr>
              <w:t>，</w:t>
            </w:r>
            <w:r>
              <w:rPr>
                <w:spacing w:val="-68"/>
                <w:sz w:val="24"/>
                <w:szCs w:val="24"/>
              </w:rPr>
              <w:t xml:space="preserve"> </w:t>
            </w:r>
            <w:r>
              <w:rPr>
                <w:spacing w:val="-8"/>
                <w:sz w:val="24"/>
                <w:szCs w:val="24"/>
              </w:rPr>
              <w:t>特</w:t>
            </w:r>
            <w:r>
              <w:rPr>
                <w:spacing w:val="-67"/>
                <w:sz w:val="24"/>
                <w:szCs w:val="24"/>
              </w:rPr>
              <w:t xml:space="preserve"> </w:t>
            </w:r>
            <w:r>
              <w:rPr>
                <w:spacing w:val="-8"/>
                <w:sz w:val="24"/>
                <w:szCs w:val="24"/>
              </w:rPr>
              <w:t>别</w:t>
            </w:r>
            <w:r>
              <w:rPr>
                <w:spacing w:val="-65"/>
                <w:sz w:val="24"/>
                <w:szCs w:val="24"/>
              </w:rPr>
              <w:t xml:space="preserve"> </w:t>
            </w:r>
            <w:r>
              <w:rPr>
                <w:spacing w:val="-8"/>
                <w:sz w:val="24"/>
                <w:szCs w:val="24"/>
              </w:rPr>
              <w:t>用</w:t>
            </w:r>
            <w:r>
              <w:rPr>
                <w:spacing w:val="-70"/>
                <w:sz w:val="24"/>
                <w:szCs w:val="24"/>
              </w:rPr>
              <w:t xml:space="preserve"> </w:t>
            </w:r>
            <w:r>
              <w:rPr>
                <w:spacing w:val="-8"/>
                <w:sz w:val="24"/>
                <w:szCs w:val="24"/>
              </w:rPr>
              <w:t>途</w:t>
            </w:r>
            <w:r>
              <w:rPr>
                <w:spacing w:val="-50"/>
                <w:sz w:val="24"/>
                <w:szCs w:val="24"/>
              </w:rPr>
              <w:t xml:space="preserve"> </w:t>
            </w:r>
            <w:r>
              <w:rPr>
                <w:spacing w:val="-8"/>
                <w:sz w:val="24"/>
                <w:szCs w:val="24"/>
              </w:rPr>
              <w:t>区</w:t>
            </w:r>
            <w:r>
              <w:rPr>
                <w:spacing w:val="-68"/>
                <w:sz w:val="24"/>
                <w:szCs w:val="24"/>
              </w:rPr>
              <w:t xml:space="preserve"> </w:t>
            </w:r>
            <w:r>
              <w:rPr>
                <w:spacing w:val="-8"/>
                <w:sz w:val="24"/>
                <w:szCs w:val="24"/>
              </w:rPr>
              <w:t>面</w:t>
            </w:r>
            <w:r>
              <w:rPr>
                <w:spacing w:val="-68"/>
                <w:sz w:val="24"/>
                <w:szCs w:val="24"/>
              </w:rPr>
              <w:t xml:space="preserve"> </w:t>
            </w:r>
            <w:r>
              <w:rPr>
                <w:spacing w:val="-8"/>
                <w:sz w:val="24"/>
                <w:szCs w:val="24"/>
              </w:rPr>
              <w:t>积</w:t>
            </w:r>
            <w:r>
              <w:rPr>
                <w:spacing w:val="-67"/>
                <w:sz w:val="24"/>
                <w:szCs w:val="24"/>
              </w:rPr>
              <w:t xml:space="preserve"> </w:t>
            </w:r>
            <w:r>
              <w:rPr>
                <w:spacing w:val="-8"/>
                <w:sz w:val="24"/>
                <w:szCs w:val="24"/>
              </w:rPr>
              <w:t>为</w:t>
            </w:r>
            <w:r>
              <w:rPr>
                <w:sz w:val="24"/>
                <w:szCs w:val="24"/>
              </w:rPr>
              <w:t xml:space="preserve"> </w:t>
            </w:r>
            <w:r>
              <w:rPr>
                <w:rFonts w:ascii="Times New Roman" w:hAnsi="Times New Roman" w:eastAsia="Times New Roman" w:cs="Times New Roman"/>
                <w:spacing w:val="-1"/>
                <w:sz w:val="24"/>
                <w:szCs w:val="24"/>
              </w:rPr>
              <w:t>6.7762km</w:t>
            </w:r>
            <w:r>
              <w:rPr>
                <w:rFonts w:ascii="Times New Roman" w:hAnsi="Times New Roman" w:eastAsia="Times New Roman" w:cs="Times New Roman"/>
                <w:spacing w:val="-1"/>
                <w:position w:val="7"/>
                <w:sz w:val="15"/>
                <w:szCs w:val="15"/>
              </w:rPr>
              <w:t>2</w:t>
            </w:r>
            <w:r>
              <w:rPr>
                <w:spacing w:val="-1"/>
                <w:sz w:val="24"/>
                <w:szCs w:val="24"/>
              </w:rPr>
              <w:t>。</w:t>
            </w:r>
          </w:p>
          <w:p w14:paraId="7EBC35E1">
            <w:pPr>
              <w:pStyle w:val="6"/>
              <w:spacing w:before="35" w:line="359" w:lineRule="auto"/>
              <w:ind w:left="113" w:right="48" w:firstLine="480"/>
              <w:jc w:val="both"/>
              <w:rPr>
                <w:sz w:val="24"/>
                <w:szCs w:val="24"/>
              </w:rPr>
            </w:pPr>
            <w:r>
              <w:rPr>
                <w:spacing w:val="-1"/>
                <w:sz w:val="24"/>
                <w:szCs w:val="24"/>
              </w:rPr>
              <w:t>按照中办、国办《关于在国土空间规划中统筹划定落实三条控制线的指</w:t>
            </w:r>
            <w:r>
              <w:rPr>
                <w:spacing w:val="18"/>
                <w:sz w:val="24"/>
                <w:szCs w:val="24"/>
              </w:rPr>
              <w:t xml:space="preserve"> </w:t>
            </w:r>
            <w:r>
              <w:rPr>
                <w:spacing w:val="-1"/>
                <w:sz w:val="24"/>
                <w:szCs w:val="24"/>
              </w:rPr>
              <w:t>导意见》（厅字</w:t>
            </w:r>
            <w:r>
              <w:rPr>
                <w:spacing w:val="-51"/>
                <w:sz w:val="24"/>
                <w:szCs w:val="24"/>
              </w:rPr>
              <w:t xml:space="preserve"> </w:t>
            </w:r>
            <w:r>
              <w:rPr>
                <w:rFonts w:ascii="Times New Roman" w:hAnsi="Times New Roman" w:eastAsia="Times New Roman" w:cs="Times New Roman"/>
                <w:spacing w:val="-1"/>
                <w:sz w:val="24"/>
                <w:szCs w:val="24"/>
              </w:rPr>
              <w:t>2019348</w:t>
            </w:r>
            <w:r>
              <w:rPr>
                <w:rFonts w:ascii="Times New Roman" w:hAnsi="Times New Roman" w:eastAsia="Times New Roman" w:cs="Times New Roman"/>
                <w:spacing w:val="15"/>
                <w:w w:val="101"/>
                <w:sz w:val="24"/>
                <w:szCs w:val="24"/>
              </w:rPr>
              <w:t xml:space="preserve"> </w:t>
            </w:r>
            <w:r>
              <w:rPr>
                <w:spacing w:val="-1"/>
                <w:sz w:val="24"/>
                <w:szCs w:val="24"/>
              </w:rPr>
              <w:t>号）、《自然资源部关于全面开展国土空间规划工</w:t>
            </w:r>
            <w:r>
              <w:rPr>
                <w:sz w:val="24"/>
                <w:szCs w:val="24"/>
              </w:rPr>
              <w:t xml:space="preserve"> </w:t>
            </w:r>
            <w:r>
              <w:rPr>
                <w:spacing w:val="-3"/>
                <w:sz w:val="24"/>
                <w:szCs w:val="24"/>
              </w:rPr>
              <w:t>作的通知》（自然资发</w:t>
            </w:r>
            <w:r>
              <w:rPr>
                <w:spacing w:val="-55"/>
                <w:sz w:val="24"/>
                <w:szCs w:val="24"/>
              </w:rPr>
              <w:t xml:space="preserve"> </w:t>
            </w:r>
            <w:r>
              <w:rPr>
                <w:rFonts w:ascii="Times New Roman" w:hAnsi="Times New Roman" w:eastAsia="Times New Roman" w:cs="Times New Roman"/>
                <w:spacing w:val="-3"/>
                <w:sz w:val="24"/>
                <w:szCs w:val="24"/>
              </w:rPr>
              <w:t>201987</w:t>
            </w:r>
            <w:r>
              <w:rPr>
                <w:rFonts w:ascii="Times New Roman" w:hAnsi="Times New Roman" w:eastAsia="Times New Roman" w:cs="Times New Roman"/>
                <w:spacing w:val="15"/>
                <w:sz w:val="24"/>
                <w:szCs w:val="24"/>
              </w:rPr>
              <w:t xml:space="preserve"> </w:t>
            </w:r>
            <w:r>
              <w:rPr>
                <w:spacing w:val="-3"/>
                <w:sz w:val="24"/>
                <w:szCs w:val="24"/>
              </w:rPr>
              <w:t>号）要求，明确要求各</w:t>
            </w:r>
            <w:r>
              <w:rPr>
                <w:spacing w:val="-4"/>
                <w:sz w:val="24"/>
                <w:szCs w:val="24"/>
              </w:rPr>
              <w:t>类开发区必须划定城镇</w:t>
            </w:r>
            <w:r>
              <w:rPr>
                <w:sz w:val="24"/>
                <w:szCs w:val="24"/>
              </w:rPr>
              <w:t xml:space="preserve"> 开发边界（开发边界由集中建设区、弹性发展区</w:t>
            </w:r>
            <w:r>
              <w:rPr>
                <w:spacing w:val="-1"/>
                <w:sz w:val="24"/>
                <w:szCs w:val="24"/>
              </w:rPr>
              <w:t>、特别用途区组成）。依据</w:t>
            </w:r>
            <w:r>
              <w:rPr>
                <w:sz w:val="24"/>
                <w:szCs w:val="24"/>
              </w:rPr>
              <w:t xml:space="preserve"> 以上规定，明确了园区的开发边界，对棋盘井产业园规划范围进行了调整，</w:t>
            </w:r>
            <w:r>
              <w:rPr>
                <w:spacing w:val="17"/>
                <w:sz w:val="24"/>
                <w:szCs w:val="24"/>
              </w:rPr>
              <w:t xml:space="preserve"> </w:t>
            </w:r>
            <w:r>
              <w:rPr>
                <w:spacing w:val="-1"/>
                <w:sz w:val="24"/>
                <w:szCs w:val="24"/>
              </w:rPr>
              <w:t>调整后棋盘井产业园总规划面积为</w:t>
            </w:r>
            <w:r>
              <w:rPr>
                <w:spacing w:val="-56"/>
                <w:sz w:val="24"/>
                <w:szCs w:val="24"/>
              </w:rPr>
              <w:t xml:space="preserve"> </w:t>
            </w:r>
            <w:r>
              <w:rPr>
                <w:rFonts w:ascii="Times New Roman" w:hAnsi="Times New Roman" w:eastAsia="Times New Roman" w:cs="Times New Roman"/>
                <w:spacing w:val="-1"/>
                <w:sz w:val="24"/>
                <w:szCs w:val="24"/>
              </w:rPr>
              <w:t>42.3826km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spacing w:val="-1"/>
                <w:sz w:val="24"/>
                <w:szCs w:val="24"/>
              </w:rPr>
              <w:t>，包括棋西项目区和棋</w:t>
            </w:r>
            <w:r>
              <w:rPr>
                <w:spacing w:val="-2"/>
                <w:sz w:val="24"/>
                <w:szCs w:val="24"/>
              </w:rPr>
              <w:t>东项目</w:t>
            </w:r>
            <w:r>
              <w:rPr>
                <w:sz w:val="24"/>
                <w:szCs w:val="24"/>
              </w:rPr>
              <w:t xml:space="preserve"> </w:t>
            </w:r>
            <w:r>
              <w:rPr>
                <w:spacing w:val="-4"/>
                <w:sz w:val="24"/>
                <w:szCs w:val="24"/>
              </w:rPr>
              <w:t>区，主导产业调整为能源化工、新兴产业。西区</w:t>
            </w:r>
            <w:r>
              <w:rPr>
                <w:spacing w:val="-32"/>
                <w:sz w:val="24"/>
                <w:szCs w:val="24"/>
              </w:rPr>
              <w:t xml:space="preserve"> </w:t>
            </w:r>
            <w:r>
              <w:rPr>
                <w:rFonts w:ascii="Times New Roman" w:hAnsi="Times New Roman" w:eastAsia="Times New Roman" w:cs="Times New Roman"/>
                <w:spacing w:val="-4"/>
                <w:sz w:val="24"/>
                <w:szCs w:val="24"/>
              </w:rPr>
              <w:t>19.766km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0"/>
                <w:position w:val="8"/>
                <w:sz w:val="15"/>
                <w:szCs w:val="15"/>
              </w:rPr>
              <w:t xml:space="preserve"> </w:t>
            </w:r>
            <w:r>
              <w:rPr>
                <w:spacing w:val="-5"/>
                <w:sz w:val="24"/>
                <w:szCs w:val="24"/>
              </w:rPr>
              <w:t>，东区</w:t>
            </w:r>
            <w:r>
              <w:rPr>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136km</w:t>
            </w:r>
            <w:r>
              <w:rPr>
                <w:rFonts w:ascii="Times New Roman" w:hAnsi="Times New Roman" w:eastAsia="Times New Roman" w:cs="Times New Roman"/>
                <w:spacing w:val="-5"/>
                <w:position w:val="8"/>
                <w:sz w:val="15"/>
                <w:szCs w:val="15"/>
              </w:rPr>
              <w:t>2</w:t>
            </w:r>
            <w:r>
              <w:rPr>
                <w:spacing w:val="-5"/>
                <w:sz w:val="24"/>
                <w:szCs w:val="24"/>
              </w:rPr>
              <w:t>；</w:t>
            </w:r>
            <w:r>
              <w:rPr>
                <w:sz w:val="24"/>
                <w:szCs w:val="24"/>
              </w:rPr>
              <w:t xml:space="preserve"> 西区四至范围为东至二号路、南至西鄂尔多斯保</w:t>
            </w:r>
            <w:r>
              <w:rPr>
                <w:spacing w:val="-1"/>
                <w:sz w:val="24"/>
                <w:szCs w:val="24"/>
              </w:rPr>
              <w:t>护区、西至乌海界、北至硅</w:t>
            </w:r>
            <w:r>
              <w:rPr>
                <w:sz w:val="24"/>
                <w:szCs w:val="24"/>
              </w:rPr>
              <w:t xml:space="preserve"> 电大街；东区四至范围为东至规划棋蒙一级公路</w:t>
            </w:r>
            <w:r>
              <w:rPr>
                <w:spacing w:val="-1"/>
                <w:sz w:val="24"/>
                <w:szCs w:val="24"/>
              </w:rPr>
              <w:t>、南至恒邦煤矿、西至阿尔</w:t>
            </w:r>
            <w:r>
              <w:rPr>
                <w:sz w:val="24"/>
                <w:szCs w:val="24"/>
              </w:rPr>
              <w:t xml:space="preserve"> </w:t>
            </w:r>
            <w:r>
              <w:rPr>
                <w:spacing w:val="-1"/>
                <w:sz w:val="24"/>
                <w:szCs w:val="24"/>
              </w:rPr>
              <w:t>巴斯一矿边界、北至现状小冲沟。</w:t>
            </w:r>
          </w:p>
          <w:p w14:paraId="05BAC46F">
            <w:pPr>
              <w:pStyle w:val="6"/>
              <w:spacing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）园区产业发展现状与规划</w:t>
            </w:r>
          </w:p>
          <w:p w14:paraId="0E67168A">
            <w:pPr>
              <w:pStyle w:val="6"/>
              <w:spacing w:before="183" w:line="342" w:lineRule="auto"/>
              <w:ind w:left="114" w:right="107" w:firstLine="480"/>
              <w:rPr>
                <w:sz w:val="24"/>
                <w:szCs w:val="24"/>
              </w:rPr>
            </w:pPr>
            <w:r>
              <w:rPr>
                <w:spacing w:val="-1"/>
                <w:sz w:val="24"/>
                <w:szCs w:val="24"/>
              </w:rPr>
              <w:t>棋盘井产业园位于内蒙古自治区鄂尔多斯市鄂托克旗棋盘井镇，现有规</w:t>
            </w:r>
            <w:r>
              <w:rPr>
                <w:spacing w:val="17"/>
                <w:sz w:val="24"/>
                <w:szCs w:val="24"/>
              </w:rPr>
              <w:t xml:space="preserve"> </w:t>
            </w:r>
            <w:r>
              <w:rPr>
                <w:spacing w:val="-3"/>
                <w:sz w:val="24"/>
                <w:szCs w:val="24"/>
              </w:rPr>
              <w:t>上入驻企业</w:t>
            </w:r>
            <w:r>
              <w:rPr>
                <w:spacing w:val="-51"/>
                <w:sz w:val="24"/>
                <w:szCs w:val="24"/>
              </w:rPr>
              <w:t xml:space="preserve"> </w:t>
            </w:r>
            <w:r>
              <w:rPr>
                <w:rFonts w:ascii="Times New Roman" w:hAnsi="Times New Roman" w:eastAsia="Times New Roman" w:cs="Times New Roman"/>
                <w:spacing w:val="-3"/>
                <w:sz w:val="24"/>
                <w:szCs w:val="24"/>
              </w:rPr>
              <w:t xml:space="preserve">77 </w:t>
            </w:r>
            <w:r>
              <w:rPr>
                <w:spacing w:val="-3"/>
                <w:sz w:val="24"/>
                <w:szCs w:val="24"/>
              </w:rPr>
              <w:t>家，是以煤炭、化工、焦化、电力、冶金、建材产业为</w:t>
            </w:r>
            <w:r>
              <w:rPr>
                <w:spacing w:val="-4"/>
                <w:sz w:val="24"/>
                <w:szCs w:val="24"/>
              </w:rPr>
              <w:t>主的重</w:t>
            </w:r>
          </w:p>
        </w:tc>
      </w:tr>
    </w:tbl>
    <w:p w14:paraId="11948D04">
      <w:pPr>
        <w:pStyle w:val="2"/>
      </w:pPr>
    </w:p>
    <w:p w14:paraId="1717D411">
      <w:pPr>
        <w:sectPr>
          <w:footerReference r:id="rId29" w:type="default"/>
          <w:pgSz w:w="11906" w:h="16839"/>
          <w:pgMar w:top="400" w:right="1588" w:bottom="1259" w:left="1687" w:header="0" w:footer="1097" w:gutter="0"/>
          <w:cols w:space="720" w:num="1"/>
        </w:sectPr>
      </w:pPr>
    </w:p>
    <w:p w14:paraId="03CEBF03">
      <w:pPr>
        <w:spacing w:before="19"/>
      </w:pPr>
    </w:p>
    <w:p w14:paraId="06FBDC22">
      <w:pPr>
        <w:spacing w:before="19"/>
      </w:pPr>
    </w:p>
    <w:p w14:paraId="5768935E">
      <w:pPr>
        <w:spacing w:before="18"/>
      </w:pPr>
    </w:p>
    <w:p w14:paraId="210C0B0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1F95D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14449079">
            <w:pPr>
              <w:rPr>
                <w:rFonts w:ascii="Arial"/>
                <w:sz w:val="21"/>
              </w:rPr>
            </w:pPr>
          </w:p>
        </w:tc>
        <w:tc>
          <w:tcPr>
            <w:tcW w:w="8169" w:type="dxa"/>
            <w:vAlign w:val="top"/>
          </w:tcPr>
          <w:p w14:paraId="7E4AE66D">
            <w:pPr>
              <w:pStyle w:val="6"/>
              <w:spacing w:before="43" w:line="359" w:lineRule="auto"/>
              <w:ind w:left="111" w:right="27" w:firstLine="1"/>
              <w:jc w:val="both"/>
              <w:rPr>
                <w:sz w:val="24"/>
                <w:szCs w:val="24"/>
              </w:rPr>
            </w:pPr>
            <w:r>
              <w:rPr>
                <w:spacing w:val="-5"/>
                <w:sz w:val="24"/>
                <w:szCs w:val="24"/>
              </w:rPr>
              <w:t>化工基地，危化品生产企业</w:t>
            </w:r>
            <w:r>
              <w:rPr>
                <w:spacing w:val="-18"/>
                <w:sz w:val="24"/>
                <w:szCs w:val="24"/>
              </w:rPr>
              <w:t xml:space="preserve"> </w:t>
            </w:r>
            <w:r>
              <w:rPr>
                <w:rFonts w:ascii="Times New Roman" w:hAnsi="Times New Roman" w:eastAsia="Times New Roman" w:cs="Times New Roman"/>
                <w:spacing w:val="-5"/>
                <w:sz w:val="24"/>
                <w:szCs w:val="24"/>
              </w:rPr>
              <w:t xml:space="preserve">19 </w:t>
            </w:r>
            <w:r>
              <w:rPr>
                <w:spacing w:val="-5"/>
                <w:sz w:val="24"/>
                <w:szCs w:val="24"/>
              </w:rPr>
              <w:t>家，重点监管危险化学品</w:t>
            </w:r>
            <w:r>
              <w:rPr>
                <w:spacing w:val="-55"/>
                <w:sz w:val="24"/>
                <w:szCs w:val="24"/>
              </w:rPr>
              <w:t xml:space="preserve"> </w:t>
            </w:r>
            <w:r>
              <w:rPr>
                <w:rFonts w:ascii="Times New Roman" w:hAnsi="Times New Roman" w:eastAsia="Times New Roman" w:cs="Times New Roman"/>
                <w:spacing w:val="-5"/>
                <w:sz w:val="24"/>
                <w:szCs w:val="24"/>
              </w:rPr>
              <w:t xml:space="preserve">21 </w:t>
            </w:r>
            <w:r>
              <w:rPr>
                <w:spacing w:val="-5"/>
                <w:sz w:val="24"/>
                <w:szCs w:val="24"/>
              </w:rPr>
              <w:t>种，分别为液氯、</w:t>
            </w:r>
            <w:r>
              <w:rPr>
                <w:sz w:val="24"/>
                <w:szCs w:val="24"/>
              </w:rPr>
              <w:t xml:space="preserve"> 液氨、苯、氯乙烯、甲醇、氢、乙炔、天然气等。棋</w:t>
            </w:r>
            <w:r>
              <w:rPr>
                <w:spacing w:val="-1"/>
                <w:sz w:val="24"/>
                <w:szCs w:val="24"/>
              </w:rPr>
              <w:t>盘井工业园分为西区和</w:t>
            </w:r>
            <w:r>
              <w:rPr>
                <w:sz w:val="24"/>
                <w:szCs w:val="24"/>
              </w:rPr>
              <w:t xml:space="preserve">  东区两个园区。西区企业主要有鄂托克旗建元煤焦化</w:t>
            </w:r>
            <w:r>
              <w:rPr>
                <w:spacing w:val="-1"/>
                <w:sz w:val="24"/>
                <w:szCs w:val="24"/>
              </w:rPr>
              <w:t>有限责任公司、鄂托克</w:t>
            </w:r>
            <w:r>
              <w:rPr>
                <w:sz w:val="24"/>
                <w:szCs w:val="24"/>
              </w:rPr>
              <w:t xml:space="preserve">  旗建元煤化科技有限责任公司、内蒙古鄂尔多斯化学</w:t>
            </w:r>
            <w:r>
              <w:rPr>
                <w:spacing w:val="-1"/>
                <w:sz w:val="24"/>
                <w:szCs w:val="24"/>
              </w:rPr>
              <w:t>工业有限公司、内蒙古</w:t>
            </w:r>
            <w:r>
              <w:rPr>
                <w:sz w:val="24"/>
                <w:szCs w:val="24"/>
              </w:rPr>
              <w:t xml:space="preserve">  鄂尔多斯电力冶金股份有限公司氯碱化工分公司、内</w:t>
            </w:r>
            <w:r>
              <w:rPr>
                <w:spacing w:val="-1"/>
                <w:sz w:val="24"/>
                <w:szCs w:val="24"/>
              </w:rPr>
              <w:t>蒙古鄂尔多斯多晶硅业</w:t>
            </w:r>
            <w:r>
              <w:rPr>
                <w:sz w:val="24"/>
                <w:szCs w:val="24"/>
              </w:rPr>
              <w:t xml:space="preserve">  有限公司、鄂托克旗红缨煤焦化有限责任公司、内蒙</w:t>
            </w:r>
            <w:r>
              <w:rPr>
                <w:spacing w:val="-1"/>
                <w:sz w:val="24"/>
                <w:szCs w:val="24"/>
              </w:rPr>
              <w:t>古鄂尔多斯多晶硅业有</w:t>
            </w:r>
            <w:r>
              <w:rPr>
                <w:sz w:val="24"/>
                <w:szCs w:val="24"/>
              </w:rPr>
              <w:t xml:space="preserve">  </w:t>
            </w:r>
            <w:r>
              <w:rPr>
                <w:spacing w:val="-4"/>
                <w:sz w:val="24"/>
                <w:szCs w:val="24"/>
              </w:rPr>
              <w:t>限公司、鄂尔多斯市碳氢能源科技有限公司、内蒙古同辉天科气体有限公司、</w:t>
            </w:r>
            <w:r>
              <w:rPr>
                <w:sz w:val="24"/>
                <w:szCs w:val="24"/>
              </w:rPr>
              <w:t xml:space="preserve"> 鄂尔多斯市瀚博科技有限公司、鄂托克旗棋盘井晶华</w:t>
            </w:r>
            <w:r>
              <w:rPr>
                <w:spacing w:val="-1"/>
                <w:sz w:val="24"/>
                <w:szCs w:val="24"/>
              </w:rPr>
              <w:t>燃气厂等，入区项目基</w:t>
            </w:r>
            <w:r>
              <w:rPr>
                <w:sz w:val="24"/>
                <w:szCs w:val="24"/>
              </w:rPr>
              <w:t xml:space="preserve">  本以化工、冶金、建材项目为主，未来以清洁高效为</w:t>
            </w:r>
            <w:r>
              <w:rPr>
                <w:spacing w:val="-1"/>
                <w:sz w:val="24"/>
                <w:szCs w:val="24"/>
              </w:rPr>
              <w:t>重点，改造提升传统产</w:t>
            </w:r>
            <w:r>
              <w:rPr>
                <w:sz w:val="24"/>
                <w:szCs w:val="24"/>
              </w:rPr>
              <w:t xml:space="preserve">  业为主，围绕提升能源资源利用效率和清洁生产水平</w:t>
            </w:r>
            <w:r>
              <w:rPr>
                <w:spacing w:val="-1"/>
                <w:sz w:val="24"/>
                <w:szCs w:val="24"/>
              </w:rPr>
              <w:t>，以促进全产业链和产</w:t>
            </w:r>
            <w:r>
              <w:rPr>
                <w:sz w:val="24"/>
                <w:szCs w:val="24"/>
              </w:rPr>
              <w:t xml:space="preserve">  品全生命周期绿色发展为目标，打造全区低碳示范产</w:t>
            </w:r>
            <w:r>
              <w:rPr>
                <w:spacing w:val="-1"/>
                <w:sz w:val="24"/>
                <w:szCs w:val="24"/>
              </w:rPr>
              <w:t>业园。东区企业主要有</w:t>
            </w:r>
            <w:r>
              <w:rPr>
                <w:sz w:val="24"/>
                <w:szCs w:val="24"/>
              </w:rPr>
              <w:t xml:space="preserve">  棋东鄂托克旗新航焦化有限公司、内蒙古东日新能源</w:t>
            </w:r>
            <w:r>
              <w:rPr>
                <w:spacing w:val="-1"/>
                <w:sz w:val="24"/>
                <w:szCs w:val="24"/>
              </w:rPr>
              <w:t>材料有限公司、鄂托克</w:t>
            </w:r>
            <w:r>
              <w:rPr>
                <w:sz w:val="24"/>
                <w:szCs w:val="24"/>
              </w:rPr>
              <w:t xml:space="preserve">  旗达峰特种气体充装有限责任公司等，入区项目趋于</w:t>
            </w:r>
            <w:r>
              <w:rPr>
                <w:spacing w:val="-1"/>
                <w:sz w:val="24"/>
                <w:szCs w:val="24"/>
              </w:rPr>
              <w:t>资源精细化加工产业方</w:t>
            </w:r>
            <w:r>
              <w:rPr>
                <w:sz w:val="24"/>
                <w:szCs w:val="24"/>
              </w:rPr>
              <w:t xml:space="preserve">  向，利用其用地规模大、拓展潜力足等优势，重点打</w:t>
            </w:r>
            <w:r>
              <w:rPr>
                <w:spacing w:val="-1"/>
                <w:sz w:val="24"/>
                <w:szCs w:val="24"/>
              </w:rPr>
              <w:t>造以新型能源和清洁化</w:t>
            </w:r>
            <w:r>
              <w:rPr>
                <w:sz w:val="24"/>
                <w:szCs w:val="24"/>
              </w:rPr>
              <w:t xml:space="preserve">  工产业为主的零碳示范园，是引领鄂托克高新区发展</w:t>
            </w:r>
            <w:r>
              <w:rPr>
                <w:spacing w:val="-1"/>
                <w:sz w:val="24"/>
                <w:szCs w:val="24"/>
              </w:rPr>
              <w:t>的主导产业园，鄂尔多</w:t>
            </w:r>
            <w:r>
              <w:rPr>
                <w:sz w:val="24"/>
                <w:szCs w:val="24"/>
              </w:rPr>
              <w:t xml:space="preserve">  </w:t>
            </w:r>
            <w:r>
              <w:rPr>
                <w:spacing w:val="-1"/>
                <w:sz w:val="24"/>
                <w:szCs w:val="24"/>
              </w:rPr>
              <w:t>斯重要的循环经济示范基地。</w:t>
            </w:r>
          </w:p>
          <w:p w14:paraId="6801A4A6">
            <w:pPr>
              <w:pStyle w:val="6"/>
              <w:spacing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）项目实施的必要性</w:t>
            </w:r>
          </w:p>
          <w:p w14:paraId="48F88904">
            <w:pPr>
              <w:pStyle w:val="6"/>
              <w:spacing w:before="178" w:line="354" w:lineRule="auto"/>
              <w:ind w:left="113" w:right="45" w:firstLine="480"/>
              <w:rPr>
                <w:sz w:val="24"/>
                <w:szCs w:val="24"/>
              </w:rPr>
            </w:pPr>
            <w:r>
              <w:rPr>
                <w:spacing w:val="1"/>
                <w:sz w:val="24"/>
                <w:szCs w:val="24"/>
              </w:rPr>
              <w:t>本项目为棋盘井产业园（棋西项目区）危险</w:t>
            </w:r>
            <w:r>
              <w:rPr>
                <w:sz w:val="24"/>
                <w:szCs w:val="24"/>
              </w:rPr>
              <w:t xml:space="preserve">化学品车辆专用停车场建设 </w:t>
            </w:r>
            <w:r>
              <w:rPr>
                <w:spacing w:val="1"/>
                <w:sz w:val="24"/>
                <w:szCs w:val="24"/>
              </w:rPr>
              <w:t>项目，棋西项目区作为一个以冶金、煤焦化、新能</w:t>
            </w:r>
            <w:r>
              <w:rPr>
                <w:sz w:val="24"/>
                <w:szCs w:val="24"/>
              </w:rPr>
              <w:t xml:space="preserve">源、新材料等工业为主的 </w:t>
            </w:r>
            <w:r>
              <w:rPr>
                <w:spacing w:val="-5"/>
                <w:sz w:val="24"/>
                <w:szCs w:val="24"/>
              </w:rPr>
              <w:t>化工园区，进出园区的危险化学品种类多、数量大，运输车辆密集、流量大，</w:t>
            </w:r>
            <w:r>
              <w:rPr>
                <w:spacing w:val="13"/>
                <w:sz w:val="24"/>
                <w:szCs w:val="24"/>
              </w:rPr>
              <w:t xml:space="preserve"> </w:t>
            </w:r>
            <w:r>
              <w:rPr>
                <w:sz w:val="24"/>
                <w:szCs w:val="24"/>
              </w:rPr>
              <w:t>如同一座座“流动的化工厂</w:t>
            </w:r>
            <w:r>
              <w:rPr>
                <w:spacing w:val="-88"/>
                <w:sz w:val="24"/>
                <w:szCs w:val="24"/>
              </w:rPr>
              <w:t xml:space="preserve"> </w:t>
            </w:r>
            <w:r>
              <w:rPr>
                <w:sz w:val="24"/>
                <w:szCs w:val="24"/>
              </w:rPr>
              <w:t>”，与客车、普通货车等</w:t>
            </w:r>
            <w:r>
              <w:rPr>
                <w:spacing w:val="-1"/>
                <w:sz w:val="24"/>
                <w:szCs w:val="24"/>
              </w:rPr>
              <w:t>各种车辆混行，极易出</w:t>
            </w:r>
            <w:r>
              <w:rPr>
                <w:sz w:val="24"/>
                <w:szCs w:val="24"/>
              </w:rPr>
              <w:t xml:space="preserve"> 现道路拥堵、车辆碰撞、侧翻等事故，导致交通</w:t>
            </w:r>
            <w:r>
              <w:rPr>
                <w:spacing w:val="-1"/>
                <w:sz w:val="24"/>
                <w:szCs w:val="24"/>
              </w:rPr>
              <w:t>安全问题和运营效率下降。</w:t>
            </w:r>
          </w:p>
          <w:p w14:paraId="743F7C5A">
            <w:pPr>
              <w:pStyle w:val="6"/>
              <w:spacing w:before="2" w:line="358" w:lineRule="auto"/>
              <w:ind w:left="113" w:right="45" w:firstLine="474"/>
              <w:rPr>
                <w:sz w:val="24"/>
                <w:szCs w:val="24"/>
              </w:rPr>
            </w:pPr>
            <w:r>
              <w:rPr>
                <w:rFonts w:ascii="Times New Roman" w:hAnsi="Times New Roman" w:eastAsia="Times New Roman" w:cs="Times New Roman"/>
                <w:spacing w:val="-1"/>
                <w:sz w:val="24"/>
                <w:szCs w:val="24"/>
              </w:rPr>
              <w:t xml:space="preserve">2020 </w:t>
            </w:r>
            <w:r>
              <w:rPr>
                <w:spacing w:val="-1"/>
                <w:sz w:val="24"/>
                <w:szCs w:val="24"/>
              </w:rPr>
              <w:t>年</w:t>
            </w:r>
            <w:r>
              <w:rPr>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8"/>
                <w:sz w:val="24"/>
                <w:szCs w:val="24"/>
              </w:rPr>
              <w:t xml:space="preserve"> </w:t>
            </w:r>
            <w:r>
              <w:rPr>
                <w:spacing w:val="-1"/>
                <w:sz w:val="24"/>
                <w:szCs w:val="24"/>
              </w:rPr>
              <w:t>月</w:t>
            </w:r>
            <w:r>
              <w:rPr>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spacing w:val="-1"/>
                <w:sz w:val="24"/>
                <w:szCs w:val="24"/>
              </w:rPr>
              <w:t>，</w:t>
            </w:r>
            <w:r>
              <w:fldChar w:fldCharType="begin"/>
            </w:r>
            <w:r>
              <w:instrText xml:space="preserve"> HYPERLINK "https://baike.baidu.com/item/%E4%B8%AD%E5%8D%8E%E4%BA%BA%E6%B0%91%E5%85%B1%E5%92%8C%E5%9B%BD%E5%9B%BD%E5%AE%B6%E5%B8%82%E5%9C%BA%E7%9B%91%E7%9D%A3%E7%AE%A1%E7%90%86%E6%80%BB%E5%B1%80/22428855?fromModule=lemma_inlink" </w:instrText>
            </w:r>
            <w:r>
              <w:fldChar w:fldCharType="separate"/>
            </w:r>
            <w:r>
              <w:rPr>
                <w:spacing w:val="-1"/>
                <w:sz w:val="24"/>
                <w:szCs w:val="24"/>
              </w:rPr>
              <w:t>中华人民共和国国家市场监督管理总局</w:t>
            </w:r>
            <w:r>
              <w:rPr>
                <w:spacing w:val="-1"/>
                <w:sz w:val="24"/>
                <w:szCs w:val="24"/>
              </w:rPr>
              <w:fldChar w:fldCharType="end"/>
            </w:r>
            <w:r>
              <w:rPr>
                <w:spacing w:val="-1"/>
                <w:sz w:val="24"/>
                <w:szCs w:val="24"/>
              </w:rPr>
              <w:t>、</w:t>
            </w:r>
            <w:r>
              <w:fldChar w:fldCharType="begin"/>
            </w:r>
            <w:r>
              <w:instrText xml:space="preserve"> HYPERLINK "https://baike.baidu.com/item/%E4%B8%AD%E5%8D%8E%E4%BA%BA%E6%B0%91%E5%85%B1%E5%92%8C%E5%9B%BD%E5%9B%BD%E5%AE%B6%E6%A0%87%E5%87%86%E5%8C%96%E7%AE%A1%E7%90%86%E5%A7%94%E5%91%98%E4%BC%9A/22217727?fromModule=lemma_inlink" </w:instrText>
            </w:r>
            <w:r>
              <w:fldChar w:fldCharType="separate"/>
            </w:r>
            <w:r>
              <w:rPr>
                <w:spacing w:val="-1"/>
                <w:sz w:val="24"/>
                <w:szCs w:val="24"/>
              </w:rPr>
              <w:t>中华人民共和</w:t>
            </w:r>
            <w:r>
              <w:rPr>
                <w:spacing w:val="-1"/>
                <w:sz w:val="24"/>
                <w:szCs w:val="24"/>
              </w:rPr>
              <w:fldChar w:fldCharType="end"/>
            </w:r>
            <w:r>
              <w:fldChar w:fldCharType="begin"/>
            </w:r>
            <w:r>
              <w:instrText xml:space="preserve"> HYPERLINK "https://baike.baidu.com/item/%E4%B8%AD%E5%8D%8E%E4%BA%BA%E6%B0%91%E5%85%B1%E5%92%8C%E5%9B%BD%E5%9B%BD%E5%AE%B6%E6%A0%87%E5%87%86%E5%8C%96%E7%AE%A1%E7%90%86%E5%A7%94%E5%91%98%E4%BC%9A/22217727?fromModule=lemma_inlink" </w:instrText>
            </w:r>
            <w:r>
              <w:fldChar w:fldCharType="separate"/>
            </w:r>
            <w:r>
              <w:rPr>
                <w:spacing w:val="-7"/>
                <w:sz w:val="24"/>
                <w:szCs w:val="24"/>
              </w:rPr>
              <w:t>国国家标准化管理委员会</w:t>
            </w:r>
            <w:r>
              <w:rPr>
                <w:spacing w:val="-7"/>
                <w:sz w:val="24"/>
                <w:szCs w:val="24"/>
              </w:rPr>
              <w:fldChar w:fldCharType="end"/>
            </w:r>
            <w:r>
              <w:rPr>
                <w:spacing w:val="-7"/>
                <w:sz w:val="24"/>
                <w:szCs w:val="24"/>
              </w:rPr>
              <w:t>发布《化工园区综合评价导</w:t>
            </w:r>
            <w:r>
              <w:rPr>
                <w:spacing w:val="-8"/>
                <w:sz w:val="24"/>
                <w:szCs w:val="24"/>
              </w:rPr>
              <w:t>则》（</w:t>
            </w:r>
            <w:r>
              <w:rPr>
                <w:rFonts w:ascii="Times New Roman" w:hAnsi="Times New Roman" w:eastAsia="Times New Roman" w:cs="Times New Roman"/>
                <w:spacing w:val="-8"/>
                <w:sz w:val="24"/>
                <w:szCs w:val="24"/>
              </w:rPr>
              <w:t>GB/T 39217-2020</w:t>
            </w:r>
            <w:r>
              <w:rPr>
                <w:spacing w:val="-53"/>
                <w:w w:val="85"/>
                <w:sz w:val="24"/>
                <w:szCs w:val="24"/>
              </w:rPr>
              <w:t>），</w:t>
            </w:r>
            <w:r>
              <w:rPr>
                <w:sz w:val="24"/>
                <w:szCs w:val="24"/>
              </w:rPr>
              <w:t xml:space="preserve"> </w:t>
            </w:r>
            <w:r>
              <w:rPr>
                <w:spacing w:val="1"/>
                <w:sz w:val="24"/>
                <w:szCs w:val="24"/>
              </w:rPr>
              <w:t>涉及对化工园区内危险化学品运输的管理要求，倡</w:t>
            </w:r>
            <w:r>
              <w:rPr>
                <w:sz w:val="24"/>
                <w:szCs w:val="24"/>
              </w:rPr>
              <w:t xml:space="preserve">导化工园区建设完善的配 </w:t>
            </w:r>
            <w:r>
              <w:rPr>
                <w:spacing w:val="1"/>
                <w:sz w:val="24"/>
                <w:szCs w:val="24"/>
              </w:rPr>
              <w:t>套基础设施和服务设施。为更好地落实化工园区运</w:t>
            </w:r>
            <w:r>
              <w:rPr>
                <w:sz w:val="24"/>
                <w:szCs w:val="24"/>
              </w:rPr>
              <w:t xml:space="preserve">输管理要求，满足园区内 </w:t>
            </w:r>
            <w:r>
              <w:rPr>
                <w:spacing w:val="1"/>
                <w:sz w:val="24"/>
                <w:szCs w:val="24"/>
              </w:rPr>
              <w:t>企业的生产经营以及危险化学品流转等需求，配套</w:t>
            </w:r>
            <w:r>
              <w:rPr>
                <w:sz w:val="24"/>
                <w:szCs w:val="24"/>
              </w:rPr>
              <w:t xml:space="preserve">建设危险化学品停车场可 </w:t>
            </w:r>
            <w:r>
              <w:rPr>
                <w:spacing w:val="1"/>
                <w:sz w:val="24"/>
                <w:szCs w:val="24"/>
              </w:rPr>
              <w:t>以对运输车辆进行集中停放、检查和维护，有助于</w:t>
            </w:r>
            <w:r>
              <w:rPr>
                <w:sz w:val="24"/>
                <w:szCs w:val="24"/>
              </w:rPr>
              <w:t xml:space="preserve">实现对运输车辆有效管理 </w:t>
            </w:r>
            <w:r>
              <w:rPr>
                <w:spacing w:val="1"/>
                <w:sz w:val="24"/>
                <w:szCs w:val="24"/>
              </w:rPr>
              <w:t>和安全保障，有助于完善园区整体功能，提高园区</w:t>
            </w:r>
            <w:r>
              <w:rPr>
                <w:sz w:val="24"/>
                <w:szCs w:val="24"/>
              </w:rPr>
              <w:t>应对危险化学品相关事务</w:t>
            </w:r>
          </w:p>
        </w:tc>
      </w:tr>
    </w:tbl>
    <w:p w14:paraId="5FE6B771">
      <w:pPr>
        <w:pStyle w:val="2"/>
      </w:pPr>
    </w:p>
    <w:p w14:paraId="1F2F2D11">
      <w:pPr>
        <w:sectPr>
          <w:footerReference r:id="rId30" w:type="default"/>
          <w:pgSz w:w="11906" w:h="16839"/>
          <w:pgMar w:top="400" w:right="1588" w:bottom="1259" w:left="1687" w:header="0" w:footer="1097" w:gutter="0"/>
          <w:cols w:space="720" w:num="1"/>
        </w:sectPr>
      </w:pPr>
    </w:p>
    <w:p w14:paraId="6A1F098B">
      <w:pPr>
        <w:spacing w:before="19"/>
      </w:pPr>
    </w:p>
    <w:p w14:paraId="0E039C83">
      <w:pPr>
        <w:spacing w:before="19"/>
      </w:pPr>
    </w:p>
    <w:p w14:paraId="1B42559C">
      <w:pPr>
        <w:spacing w:before="18"/>
      </w:pPr>
    </w:p>
    <w:p w14:paraId="07C4472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0F229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0ED66B8E">
            <w:pPr>
              <w:rPr>
                <w:rFonts w:ascii="Arial"/>
                <w:sz w:val="21"/>
              </w:rPr>
            </w:pPr>
          </w:p>
        </w:tc>
        <w:tc>
          <w:tcPr>
            <w:tcW w:w="8169" w:type="dxa"/>
            <w:vAlign w:val="top"/>
          </w:tcPr>
          <w:p w14:paraId="5F8291D1">
            <w:pPr>
              <w:pStyle w:val="6"/>
              <w:spacing w:before="42" w:line="359" w:lineRule="auto"/>
              <w:ind w:left="111" w:right="107" w:firstLine="20"/>
              <w:jc w:val="both"/>
              <w:rPr>
                <w:sz w:val="24"/>
                <w:szCs w:val="24"/>
              </w:rPr>
            </w:pPr>
            <w:r>
              <w:rPr>
                <w:spacing w:val="-1"/>
                <w:sz w:val="24"/>
                <w:szCs w:val="24"/>
              </w:rPr>
              <w:t>的能力。</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15"/>
                <w:sz w:val="24"/>
                <w:szCs w:val="24"/>
              </w:rPr>
              <w:t xml:space="preserve"> </w:t>
            </w:r>
            <w:r>
              <w:rPr>
                <w:spacing w:val="-1"/>
                <w:sz w:val="24"/>
                <w:szCs w:val="24"/>
              </w:rPr>
              <w:t>年</w:t>
            </w:r>
            <w:r>
              <w:rPr>
                <w:spacing w:val="-30"/>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18"/>
                <w:sz w:val="24"/>
                <w:szCs w:val="24"/>
              </w:rPr>
              <w:t xml:space="preserve"> </w:t>
            </w:r>
            <w:r>
              <w:rPr>
                <w:spacing w:val="-1"/>
                <w:sz w:val="24"/>
                <w:szCs w:val="24"/>
              </w:rPr>
              <w:t>月，工业和信息化</w:t>
            </w:r>
            <w:r>
              <w:rPr>
                <w:spacing w:val="-2"/>
                <w:sz w:val="24"/>
                <w:szCs w:val="24"/>
              </w:rPr>
              <w:t>部、</w:t>
            </w:r>
            <w:r>
              <w:rPr>
                <w:spacing w:val="-69"/>
                <w:sz w:val="24"/>
                <w:szCs w:val="24"/>
              </w:rPr>
              <w:t xml:space="preserve"> </w:t>
            </w:r>
            <w:r>
              <w:rPr>
                <w:spacing w:val="-2"/>
                <w:sz w:val="24"/>
                <w:szCs w:val="24"/>
              </w:rPr>
              <w:t>自然资源部、生态环境部、住房</w:t>
            </w:r>
            <w:r>
              <w:rPr>
                <w:sz w:val="24"/>
                <w:szCs w:val="24"/>
              </w:rPr>
              <w:t xml:space="preserve"> </w:t>
            </w:r>
            <w:r>
              <w:rPr>
                <w:spacing w:val="1"/>
                <w:sz w:val="24"/>
                <w:szCs w:val="24"/>
              </w:rPr>
              <w:t>和城乡建设部、交通运输部、应急管理部等多部门联合</w:t>
            </w:r>
            <w:r>
              <w:rPr>
                <w:sz w:val="24"/>
                <w:szCs w:val="24"/>
              </w:rPr>
              <w:t xml:space="preserve">发布《化工园区建设 </w:t>
            </w:r>
            <w:r>
              <w:rPr>
                <w:spacing w:val="1"/>
                <w:sz w:val="24"/>
                <w:szCs w:val="24"/>
              </w:rPr>
              <w:t>标准和认定管理办法（试行）》（工信部联原〔</w:t>
            </w:r>
            <w:r>
              <w:rPr>
                <w:rFonts w:ascii="Times New Roman" w:hAnsi="Times New Roman" w:eastAsia="Times New Roman" w:cs="Times New Roman"/>
                <w:spacing w:val="1"/>
                <w:sz w:val="24"/>
                <w:szCs w:val="24"/>
              </w:rPr>
              <w:t>2021</w:t>
            </w:r>
            <w:r>
              <w:rPr>
                <w:spacing w:val="1"/>
                <w:sz w:val="24"/>
                <w:szCs w:val="24"/>
              </w:rPr>
              <w:t>〕</w:t>
            </w:r>
            <w:r>
              <w:rPr>
                <w:rFonts w:ascii="Times New Roman" w:hAnsi="Times New Roman" w:eastAsia="Times New Roman" w:cs="Times New Roman"/>
                <w:spacing w:val="1"/>
                <w:sz w:val="24"/>
                <w:szCs w:val="24"/>
              </w:rPr>
              <w:t>220</w:t>
            </w:r>
            <w:r>
              <w:rPr>
                <w:rFonts w:ascii="Times New Roman" w:hAnsi="Times New Roman" w:eastAsia="Times New Roman" w:cs="Times New Roman"/>
                <w:spacing w:val="18"/>
                <w:sz w:val="24"/>
                <w:szCs w:val="24"/>
              </w:rPr>
              <w:t xml:space="preserve"> </w:t>
            </w:r>
            <w:r>
              <w:rPr>
                <w:spacing w:val="1"/>
                <w:sz w:val="24"/>
                <w:szCs w:val="24"/>
              </w:rPr>
              <w:t>号</w:t>
            </w:r>
            <w:r>
              <w:rPr>
                <w:spacing w:val="16"/>
                <w:sz w:val="24"/>
                <w:szCs w:val="24"/>
              </w:rPr>
              <w:t>），</w:t>
            </w:r>
            <w:r>
              <w:rPr>
                <w:spacing w:val="1"/>
                <w:sz w:val="24"/>
                <w:szCs w:val="24"/>
              </w:rPr>
              <w:t>办法强调</w:t>
            </w:r>
            <w:r>
              <w:rPr>
                <w:sz w:val="24"/>
                <w:szCs w:val="24"/>
              </w:rPr>
              <w:t xml:space="preserve"> </w:t>
            </w:r>
            <w:r>
              <w:rPr>
                <w:spacing w:val="1"/>
                <w:sz w:val="24"/>
                <w:szCs w:val="24"/>
              </w:rPr>
              <w:t>化工园区应具备完善的基础设施，以保障园区的正常运</w:t>
            </w:r>
            <w:r>
              <w:rPr>
                <w:sz w:val="24"/>
                <w:szCs w:val="24"/>
              </w:rPr>
              <w:t xml:space="preserve">营。鉴于化工园区涉 </w:t>
            </w:r>
            <w:r>
              <w:rPr>
                <w:spacing w:val="1"/>
                <w:sz w:val="24"/>
                <w:szCs w:val="24"/>
              </w:rPr>
              <w:t>及大量危险化学品的生产、储存和运输等活动，应充分</w:t>
            </w:r>
            <w:r>
              <w:rPr>
                <w:sz w:val="24"/>
                <w:szCs w:val="24"/>
              </w:rPr>
              <w:t xml:space="preserve">考虑危险化学品运输 </w:t>
            </w:r>
            <w:r>
              <w:rPr>
                <w:spacing w:val="1"/>
                <w:sz w:val="24"/>
                <w:szCs w:val="24"/>
              </w:rPr>
              <w:t>车辆的安全停放和管理。停车场作为园区交通体系的重</w:t>
            </w:r>
            <w:r>
              <w:rPr>
                <w:sz w:val="24"/>
                <w:szCs w:val="24"/>
              </w:rPr>
              <w:t xml:space="preserve">要组成部分，需要根 </w:t>
            </w:r>
            <w:r>
              <w:rPr>
                <w:spacing w:val="1"/>
                <w:sz w:val="24"/>
                <w:szCs w:val="24"/>
              </w:rPr>
              <w:t>据园区内企业的数量、规模以及危险化学品运输车辆的</w:t>
            </w:r>
            <w:r>
              <w:rPr>
                <w:sz w:val="24"/>
                <w:szCs w:val="24"/>
              </w:rPr>
              <w:t xml:space="preserve">流量等因素，合理规 </w:t>
            </w:r>
            <w:r>
              <w:rPr>
                <w:spacing w:val="1"/>
                <w:sz w:val="24"/>
                <w:szCs w:val="24"/>
              </w:rPr>
              <w:t>划建设足够数量和规模的停车场，以满足园区内人员、</w:t>
            </w:r>
            <w:r>
              <w:rPr>
                <w:sz w:val="24"/>
                <w:szCs w:val="24"/>
              </w:rPr>
              <w:t xml:space="preserve">普通车辆以及危险化 </w:t>
            </w:r>
            <w:r>
              <w:rPr>
                <w:spacing w:val="-4"/>
                <w:sz w:val="24"/>
                <w:szCs w:val="24"/>
              </w:rPr>
              <w:t>学品运输车辆的停放需求。</w:t>
            </w:r>
            <w:r>
              <w:rPr>
                <w:rFonts w:ascii="Times New Roman" w:hAnsi="Times New Roman" w:eastAsia="Times New Roman" w:cs="Times New Roman"/>
                <w:spacing w:val="-4"/>
                <w:sz w:val="24"/>
                <w:szCs w:val="24"/>
              </w:rPr>
              <w:t xml:space="preserve">2020 </w:t>
            </w:r>
            <w:r>
              <w:rPr>
                <w:spacing w:val="-4"/>
                <w:sz w:val="24"/>
                <w:szCs w:val="24"/>
              </w:rPr>
              <w:t>年</w:t>
            </w:r>
            <w:r>
              <w:rPr>
                <w:spacing w:val="-24"/>
                <w:sz w:val="24"/>
                <w:szCs w:val="24"/>
              </w:rPr>
              <w:t xml:space="preserve"> </w:t>
            </w:r>
            <w:r>
              <w:rPr>
                <w:rFonts w:ascii="Times New Roman" w:hAnsi="Times New Roman" w:eastAsia="Times New Roman" w:cs="Times New Roman"/>
                <w:spacing w:val="-4"/>
                <w:sz w:val="24"/>
                <w:szCs w:val="24"/>
              </w:rPr>
              <w:t xml:space="preserve">11 </w:t>
            </w:r>
            <w:r>
              <w:rPr>
                <w:spacing w:val="-4"/>
                <w:sz w:val="24"/>
                <w:szCs w:val="24"/>
              </w:rPr>
              <w:t>月</w:t>
            </w:r>
            <w:r>
              <w:rPr>
                <w:spacing w:val="-32"/>
                <w:sz w:val="24"/>
                <w:szCs w:val="24"/>
              </w:rPr>
              <w:t xml:space="preserve"> </w:t>
            </w:r>
            <w:r>
              <w:rPr>
                <w:rFonts w:ascii="Times New Roman" w:hAnsi="Times New Roman" w:eastAsia="Times New Roman" w:cs="Times New Roman"/>
                <w:spacing w:val="-4"/>
                <w:sz w:val="24"/>
                <w:szCs w:val="24"/>
              </w:rPr>
              <w:t xml:space="preserve">19  </w:t>
            </w:r>
            <w:r>
              <w:rPr>
                <w:spacing w:val="-4"/>
                <w:sz w:val="24"/>
                <w:szCs w:val="24"/>
              </w:rPr>
              <w:t>日，国家市场监督管理总局、国</w:t>
            </w:r>
            <w:r>
              <w:rPr>
                <w:sz w:val="24"/>
                <w:szCs w:val="24"/>
              </w:rPr>
              <w:t xml:space="preserve"> 家标准化管理委员会发布《化工园区开发建设导则》（</w:t>
            </w:r>
            <w:r>
              <w:rPr>
                <w:rFonts w:ascii="Times New Roman" w:hAnsi="Times New Roman" w:eastAsia="Times New Roman" w:cs="Times New Roman"/>
                <w:spacing w:val="-1"/>
                <w:sz w:val="24"/>
                <w:szCs w:val="24"/>
              </w:rPr>
              <w:t>GB/T 42078-2022</w:t>
            </w:r>
            <w:r>
              <w:rPr>
                <w:spacing w:val="-24"/>
                <w:sz w:val="24"/>
                <w:szCs w:val="24"/>
              </w:rPr>
              <w:t>），</w:t>
            </w:r>
            <w:r>
              <w:rPr>
                <w:sz w:val="24"/>
                <w:szCs w:val="24"/>
              </w:rPr>
              <w:t xml:space="preserve"> </w:t>
            </w:r>
            <w:r>
              <w:rPr>
                <w:spacing w:val="1"/>
                <w:sz w:val="24"/>
                <w:szCs w:val="24"/>
              </w:rPr>
              <w:t>规定了化工园区开发建设总体要求、选址、规划</w:t>
            </w:r>
            <w:r>
              <w:rPr>
                <w:sz w:val="24"/>
                <w:szCs w:val="24"/>
              </w:rPr>
              <w:t xml:space="preserve">、建设、评价与评估，强调 </w:t>
            </w:r>
            <w:r>
              <w:rPr>
                <w:spacing w:val="1"/>
                <w:sz w:val="24"/>
                <w:szCs w:val="24"/>
              </w:rPr>
              <w:t>化工园区要具备完善的安全管理体系和风险防控</w:t>
            </w:r>
            <w:r>
              <w:rPr>
                <w:sz w:val="24"/>
                <w:szCs w:val="24"/>
              </w:rPr>
              <w:t xml:space="preserve">措施。危险化学品运输车辆 </w:t>
            </w:r>
            <w:r>
              <w:rPr>
                <w:spacing w:val="1"/>
                <w:sz w:val="24"/>
                <w:szCs w:val="24"/>
              </w:rPr>
              <w:t>具有特殊性，其停放需要特定的条件和规范。危险化学</w:t>
            </w:r>
            <w:r>
              <w:rPr>
                <w:sz w:val="24"/>
                <w:szCs w:val="24"/>
              </w:rPr>
              <w:t xml:space="preserve">品停车场作为化工园 </w:t>
            </w:r>
            <w:r>
              <w:rPr>
                <w:spacing w:val="1"/>
                <w:sz w:val="24"/>
                <w:szCs w:val="24"/>
              </w:rPr>
              <w:t>区交通和物流环节的重要组成部分，对运输车辆进行集</w:t>
            </w:r>
            <w:r>
              <w:rPr>
                <w:sz w:val="24"/>
                <w:szCs w:val="24"/>
              </w:rPr>
              <w:t xml:space="preserve">中、有序的停放和管 </w:t>
            </w:r>
            <w:r>
              <w:rPr>
                <w:spacing w:val="1"/>
                <w:sz w:val="24"/>
                <w:szCs w:val="24"/>
              </w:rPr>
              <w:t>理，避免车辆随意停放带来的安全隐患，对于保障危险</w:t>
            </w:r>
            <w:r>
              <w:rPr>
                <w:sz w:val="24"/>
                <w:szCs w:val="24"/>
              </w:rPr>
              <w:t xml:space="preserve">化学品的顺利运输和 </w:t>
            </w:r>
            <w:r>
              <w:rPr>
                <w:spacing w:val="1"/>
                <w:sz w:val="24"/>
                <w:szCs w:val="24"/>
              </w:rPr>
              <w:t>存储具有重要意义，有助于实现园区内各环节的协同运</w:t>
            </w:r>
            <w:r>
              <w:rPr>
                <w:sz w:val="24"/>
                <w:szCs w:val="24"/>
              </w:rPr>
              <w:t xml:space="preserve">作，提升园区整体的 </w:t>
            </w:r>
            <w:r>
              <w:rPr>
                <w:spacing w:val="-1"/>
                <w:sz w:val="24"/>
                <w:szCs w:val="24"/>
              </w:rPr>
              <w:t>安全管理水平，符合导则中对化工园区整体功能完善的要求。</w:t>
            </w:r>
          </w:p>
          <w:p w14:paraId="24BCD9CF">
            <w:pPr>
              <w:pStyle w:val="6"/>
              <w:spacing w:before="6" w:line="356" w:lineRule="auto"/>
              <w:ind w:left="110" w:right="45" w:firstLine="484"/>
              <w:jc w:val="both"/>
              <w:rPr>
                <w:sz w:val="24"/>
                <w:szCs w:val="24"/>
              </w:rPr>
            </w:pPr>
            <w:r>
              <w:rPr>
                <w:spacing w:val="1"/>
                <w:sz w:val="24"/>
                <w:szCs w:val="24"/>
              </w:rPr>
              <w:t>为进一步加强园区危化品运输车辆的统一管理</w:t>
            </w:r>
            <w:r>
              <w:rPr>
                <w:sz w:val="24"/>
                <w:szCs w:val="24"/>
              </w:rPr>
              <w:t xml:space="preserve">，规范化工园区道路运输 </w:t>
            </w:r>
            <w:r>
              <w:rPr>
                <w:spacing w:val="-6"/>
                <w:sz w:val="24"/>
                <w:szCs w:val="24"/>
              </w:rPr>
              <w:t>秩序，缓解园区危化车辆停放压力，根据中共中央办</w:t>
            </w:r>
            <w:r>
              <w:rPr>
                <w:spacing w:val="-7"/>
                <w:sz w:val="24"/>
                <w:szCs w:val="24"/>
              </w:rPr>
              <w:t>公厅、国务院办公厅《关</w:t>
            </w:r>
            <w:r>
              <w:rPr>
                <w:sz w:val="24"/>
                <w:szCs w:val="24"/>
              </w:rPr>
              <w:t xml:space="preserve"> </w:t>
            </w:r>
            <w:r>
              <w:rPr>
                <w:spacing w:val="1"/>
                <w:sz w:val="24"/>
                <w:szCs w:val="24"/>
              </w:rPr>
              <w:t>于全面加强危险品安全生产工作的意见》《化工园区安全</w:t>
            </w:r>
            <w:r>
              <w:rPr>
                <w:sz w:val="24"/>
                <w:szCs w:val="24"/>
              </w:rPr>
              <w:t xml:space="preserve">风险智能化管控平 </w:t>
            </w:r>
            <w:r>
              <w:rPr>
                <w:spacing w:val="1"/>
                <w:sz w:val="24"/>
                <w:szCs w:val="24"/>
              </w:rPr>
              <w:t>台建设指南（试行）》《化工园区安全风险排查治理导则</w:t>
            </w:r>
            <w:r>
              <w:rPr>
                <w:sz w:val="24"/>
                <w:szCs w:val="24"/>
              </w:rPr>
              <w:t xml:space="preserve">》等有关要求，内 </w:t>
            </w:r>
            <w:r>
              <w:rPr>
                <w:spacing w:val="1"/>
                <w:sz w:val="24"/>
                <w:szCs w:val="24"/>
              </w:rPr>
              <w:t>蒙古鄂尔多斯鄂托克经济开发区管理委员会拟实施棋西项</w:t>
            </w:r>
            <w:r>
              <w:rPr>
                <w:sz w:val="24"/>
                <w:szCs w:val="24"/>
              </w:rPr>
              <w:t xml:space="preserve">目区危化品专用停 </w:t>
            </w:r>
            <w:r>
              <w:rPr>
                <w:spacing w:val="1"/>
                <w:sz w:val="24"/>
                <w:szCs w:val="24"/>
              </w:rPr>
              <w:t>车场项目，对棋西项目区内危险化学品的使用、产生、转</w:t>
            </w:r>
            <w:r>
              <w:rPr>
                <w:sz w:val="24"/>
                <w:szCs w:val="24"/>
              </w:rPr>
              <w:t xml:space="preserve">移、处置等各环节 </w:t>
            </w:r>
            <w:r>
              <w:rPr>
                <w:spacing w:val="1"/>
                <w:sz w:val="24"/>
                <w:szCs w:val="24"/>
              </w:rPr>
              <w:t>进行全过程监控和严格管理，规范园区危险危险化学品档</w:t>
            </w:r>
            <w:r>
              <w:rPr>
                <w:sz w:val="24"/>
                <w:szCs w:val="24"/>
              </w:rPr>
              <w:t xml:space="preserve">案，提升园区的管 </w:t>
            </w:r>
            <w:r>
              <w:rPr>
                <w:spacing w:val="1"/>
                <w:sz w:val="24"/>
                <w:szCs w:val="24"/>
              </w:rPr>
              <w:t>理水平。另外，本项目属于产业园区公共基础建设</w:t>
            </w:r>
            <w:r>
              <w:rPr>
                <w:sz w:val="24"/>
                <w:szCs w:val="24"/>
              </w:rPr>
              <w:t xml:space="preserve">项目，已被纳入《鄂托克 </w:t>
            </w:r>
            <w:r>
              <w:rPr>
                <w:spacing w:val="-1"/>
                <w:sz w:val="24"/>
                <w:szCs w:val="24"/>
              </w:rPr>
              <w:t>经济开发区国土空间总体规划（</w:t>
            </w:r>
            <w:r>
              <w:rPr>
                <w:rFonts w:ascii="Times New Roman" w:hAnsi="Times New Roman" w:eastAsia="Times New Roman" w:cs="Times New Roman"/>
                <w:spacing w:val="-1"/>
                <w:sz w:val="24"/>
                <w:szCs w:val="24"/>
              </w:rPr>
              <w:t>2021-20</w:t>
            </w:r>
            <w:r>
              <w:rPr>
                <w:rFonts w:ascii="Times New Roman" w:hAnsi="Times New Roman" w:eastAsia="Times New Roman" w:cs="Times New Roman"/>
                <w:spacing w:val="-2"/>
                <w:sz w:val="24"/>
                <w:szCs w:val="24"/>
              </w:rPr>
              <w:t>35</w:t>
            </w:r>
            <w:r>
              <w:rPr>
                <w:spacing w:val="-2"/>
                <w:sz w:val="24"/>
                <w:szCs w:val="24"/>
              </w:rPr>
              <w:t>）》鄂托克经济开发区棋盘井产业</w:t>
            </w:r>
            <w:r>
              <w:rPr>
                <w:sz w:val="24"/>
                <w:szCs w:val="24"/>
              </w:rPr>
              <w:t xml:space="preserve"> 园“十四五</w:t>
            </w:r>
            <w:r>
              <w:rPr>
                <w:spacing w:val="-88"/>
                <w:sz w:val="24"/>
                <w:szCs w:val="24"/>
              </w:rPr>
              <w:t xml:space="preserve"> </w:t>
            </w:r>
            <w:r>
              <w:rPr>
                <w:sz w:val="24"/>
                <w:szCs w:val="24"/>
              </w:rPr>
              <w:t>”拟建项目。项目建成后，可为危险化学品车辆</w:t>
            </w:r>
            <w:r>
              <w:rPr>
                <w:spacing w:val="-1"/>
                <w:sz w:val="24"/>
                <w:szCs w:val="24"/>
              </w:rPr>
              <w:t>提供安全、规范</w:t>
            </w:r>
            <w:r>
              <w:rPr>
                <w:sz w:val="24"/>
                <w:szCs w:val="24"/>
              </w:rPr>
              <w:t xml:space="preserve"> </w:t>
            </w:r>
            <w:r>
              <w:rPr>
                <w:spacing w:val="1"/>
                <w:sz w:val="24"/>
                <w:szCs w:val="24"/>
              </w:rPr>
              <w:t>的停放场所，一方面可以降低园区危险化学品运输安全风</w:t>
            </w:r>
            <w:r>
              <w:rPr>
                <w:sz w:val="24"/>
                <w:szCs w:val="24"/>
              </w:rPr>
              <w:t xml:space="preserve">险，在较大程度上 </w:t>
            </w:r>
            <w:r>
              <w:rPr>
                <w:spacing w:val="-5"/>
                <w:sz w:val="24"/>
                <w:szCs w:val="24"/>
              </w:rPr>
              <w:t>避免突发事故造成环境污染；另一方面有助于规范危险化学品运输行业秩序，</w:t>
            </w:r>
          </w:p>
        </w:tc>
      </w:tr>
    </w:tbl>
    <w:p w14:paraId="368B4CC8">
      <w:pPr>
        <w:pStyle w:val="2"/>
      </w:pPr>
    </w:p>
    <w:p w14:paraId="6AC218FD">
      <w:pPr>
        <w:sectPr>
          <w:footerReference r:id="rId31" w:type="default"/>
          <w:pgSz w:w="11906" w:h="16839"/>
          <w:pgMar w:top="400" w:right="1588" w:bottom="1259" w:left="1687" w:header="0" w:footer="1097" w:gutter="0"/>
          <w:cols w:space="720" w:num="1"/>
        </w:sectPr>
      </w:pPr>
    </w:p>
    <w:p w14:paraId="5609694D">
      <w:pPr>
        <w:spacing w:before="19"/>
      </w:pPr>
    </w:p>
    <w:p w14:paraId="0C3590BF">
      <w:pPr>
        <w:spacing w:before="19"/>
      </w:pPr>
    </w:p>
    <w:p w14:paraId="679694DA">
      <w:pPr>
        <w:spacing w:before="18"/>
      </w:pPr>
    </w:p>
    <w:p w14:paraId="577F5FD6">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1FC9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2237E1A6">
            <w:pPr>
              <w:rPr>
                <w:rFonts w:ascii="Arial"/>
                <w:sz w:val="21"/>
              </w:rPr>
            </w:pPr>
          </w:p>
        </w:tc>
        <w:tc>
          <w:tcPr>
            <w:tcW w:w="8169" w:type="dxa"/>
            <w:vAlign w:val="top"/>
          </w:tcPr>
          <w:p w14:paraId="6FDD9452">
            <w:pPr>
              <w:pStyle w:val="6"/>
              <w:spacing w:before="42" w:line="358" w:lineRule="auto"/>
              <w:ind w:left="112" w:right="107"/>
              <w:rPr>
                <w:sz w:val="24"/>
                <w:szCs w:val="24"/>
              </w:rPr>
            </w:pPr>
            <w:r>
              <w:rPr>
                <w:spacing w:val="1"/>
                <w:sz w:val="24"/>
                <w:szCs w:val="24"/>
              </w:rPr>
              <w:t>提高园区物流行业整体安全水平，引导运输企业加</w:t>
            </w:r>
            <w:r>
              <w:rPr>
                <w:sz w:val="24"/>
                <w:szCs w:val="24"/>
              </w:rPr>
              <w:t xml:space="preserve">强安全管理，提升服务质 </w:t>
            </w:r>
            <w:r>
              <w:rPr>
                <w:spacing w:val="-1"/>
                <w:sz w:val="24"/>
                <w:szCs w:val="24"/>
              </w:rPr>
              <w:t>量。因此，本项目建设是十分必要的。</w:t>
            </w:r>
          </w:p>
          <w:p w14:paraId="2079CE03">
            <w:pPr>
              <w:pStyle w:val="6"/>
              <w:spacing w:before="1" w:line="217"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）建设项目环境影响评价</w:t>
            </w:r>
          </w:p>
          <w:p w14:paraId="75F5789A">
            <w:pPr>
              <w:pStyle w:val="6"/>
              <w:spacing w:before="186" w:line="359" w:lineRule="auto"/>
              <w:ind w:left="112" w:right="107" w:firstLine="480"/>
              <w:rPr>
                <w:sz w:val="24"/>
                <w:szCs w:val="24"/>
              </w:rPr>
            </w:pPr>
            <w:r>
              <w:rPr>
                <w:spacing w:val="1"/>
                <w:sz w:val="24"/>
                <w:szCs w:val="24"/>
              </w:rPr>
              <w:t>根据《中华人民共和国环境保护法》、《中华人民共</w:t>
            </w:r>
            <w:r>
              <w:rPr>
                <w:sz w:val="24"/>
                <w:szCs w:val="24"/>
              </w:rPr>
              <w:t xml:space="preserve">和国环境影响评价 </w:t>
            </w:r>
            <w:r>
              <w:rPr>
                <w:spacing w:val="1"/>
                <w:sz w:val="24"/>
                <w:szCs w:val="24"/>
              </w:rPr>
              <w:t>法》、《建设项目环境保护管理条例》等相关要求，</w:t>
            </w:r>
            <w:r>
              <w:rPr>
                <w:sz w:val="24"/>
                <w:szCs w:val="24"/>
              </w:rPr>
              <w:t xml:space="preserve">建设项目应当依法开展 </w:t>
            </w:r>
            <w:r>
              <w:rPr>
                <w:spacing w:val="-2"/>
                <w:sz w:val="24"/>
                <w:szCs w:val="24"/>
              </w:rPr>
              <w:t>环境影响评价工作。</w:t>
            </w:r>
          </w:p>
          <w:p w14:paraId="15DB2E25">
            <w:pPr>
              <w:pStyle w:val="6"/>
              <w:spacing w:before="11" w:line="358" w:lineRule="auto"/>
              <w:ind w:left="112" w:right="27" w:firstLine="481"/>
              <w:jc w:val="both"/>
              <w:rPr>
                <w:sz w:val="24"/>
                <w:szCs w:val="24"/>
              </w:rPr>
            </w:pPr>
            <w:r>
              <w:rPr>
                <w:spacing w:val="1"/>
                <w:sz w:val="24"/>
                <w:szCs w:val="24"/>
              </w:rPr>
              <w:t>依据《鄂托克经济开发区棋盘井产业园危险化学</w:t>
            </w:r>
            <w:r>
              <w:rPr>
                <w:sz w:val="24"/>
                <w:szCs w:val="24"/>
              </w:rPr>
              <w:t xml:space="preserve">品车辆专用停车场建设 </w:t>
            </w:r>
            <w:r>
              <w:rPr>
                <w:spacing w:val="1"/>
                <w:sz w:val="24"/>
                <w:szCs w:val="24"/>
              </w:rPr>
              <w:t>项目可行性研究报告》及《鄂托克旗发展和改革委员</w:t>
            </w:r>
            <w:r>
              <w:rPr>
                <w:sz w:val="24"/>
                <w:szCs w:val="24"/>
              </w:rPr>
              <w:t xml:space="preserve">会关于鄂托克经济开发 </w:t>
            </w:r>
            <w:r>
              <w:rPr>
                <w:spacing w:val="8"/>
                <w:sz w:val="24"/>
                <w:szCs w:val="24"/>
              </w:rPr>
              <w:t>区棋盘井产业园危险化学品车辆专用停车场建设项目可行性研究报告的批</w:t>
            </w:r>
            <w:r>
              <w:rPr>
                <w:spacing w:val="7"/>
                <w:sz w:val="24"/>
                <w:szCs w:val="24"/>
              </w:rPr>
              <w:t xml:space="preserve"> </w:t>
            </w:r>
            <w:r>
              <w:rPr>
                <w:spacing w:val="-3"/>
                <w:sz w:val="24"/>
                <w:szCs w:val="24"/>
              </w:rPr>
              <w:t>复》（鄂旗发改审批发〔</w:t>
            </w:r>
            <w:r>
              <w:rPr>
                <w:rFonts w:ascii="Times New Roman" w:hAnsi="Times New Roman" w:eastAsia="Times New Roman" w:cs="Times New Roman"/>
                <w:spacing w:val="-3"/>
                <w:sz w:val="24"/>
                <w:szCs w:val="24"/>
              </w:rPr>
              <w:t>2024</w:t>
            </w:r>
            <w:r>
              <w:rPr>
                <w:spacing w:val="-3"/>
                <w:sz w:val="24"/>
                <w:szCs w:val="24"/>
              </w:rPr>
              <w:t>〕</w:t>
            </w:r>
            <w:r>
              <w:rPr>
                <w:rFonts w:ascii="Times New Roman" w:hAnsi="Times New Roman" w:eastAsia="Times New Roman" w:cs="Times New Roman"/>
                <w:spacing w:val="-3"/>
                <w:sz w:val="24"/>
                <w:szCs w:val="24"/>
              </w:rPr>
              <w:t>88</w:t>
            </w:r>
            <w:r>
              <w:rPr>
                <w:rFonts w:ascii="Times New Roman" w:hAnsi="Times New Roman" w:eastAsia="Times New Roman" w:cs="Times New Roman"/>
                <w:spacing w:val="16"/>
                <w:w w:val="101"/>
                <w:sz w:val="24"/>
                <w:szCs w:val="24"/>
              </w:rPr>
              <w:t xml:space="preserve"> </w:t>
            </w:r>
            <w:r>
              <w:rPr>
                <w:spacing w:val="-3"/>
                <w:sz w:val="24"/>
                <w:szCs w:val="24"/>
              </w:rPr>
              <w:t>号</w:t>
            </w:r>
            <w:r>
              <w:rPr>
                <w:spacing w:val="-9"/>
                <w:sz w:val="24"/>
                <w:szCs w:val="24"/>
              </w:rPr>
              <w:t>），</w:t>
            </w:r>
            <w:r>
              <w:rPr>
                <w:spacing w:val="-3"/>
                <w:sz w:val="24"/>
                <w:szCs w:val="24"/>
              </w:rPr>
              <w:t>本项目建设内容主要包括停车位</w:t>
            </w:r>
            <w:r>
              <w:rPr>
                <w:spacing w:val="-51"/>
                <w:sz w:val="24"/>
                <w:szCs w:val="24"/>
              </w:rPr>
              <w:t xml:space="preserve"> </w:t>
            </w:r>
            <w:r>
              <w:rPr>
                <w:rFonts w:ascii="Times New Roman" w:hAnsi="Times New Roman" w:eastAsia="Times New Roman" w:cs="Times New Roman"/>
                <w:spacing w:val="-3"/>
                <w:sz w:val="24"/>
                <w:szCs w:val="24"/>
              </w:rPr>
              <w:t>92</w:t>
            </w:r>
            <w:r>
              <w:rPr>
                <w:rFonts w:ascii="Times New Roman" w:hAnsi="Times New Roman" w:eastAsia="Times New Roman" w:cs="Times New Roman"/>
                <w:sz w:val="24"/>
                <w:szCs w:val="24"/>
              </w:rPr>
              <w:t xml:space="preserve">  </w:t>
            </w:r>
            <w:r>
              <w:rPr>
                <w:spacing w:val="-1"/>
                <w:sz w:val="24"/>
                <w:szCs w:val="24"/>
              </w:rPr>
              <w:t>个（空载车位</w:t>
            </w:r>
            <w:r>
              <w:rPr>
                <w:spacing w:val="-43"/>
                <w:sz w:val="24"/>
                <w:szCs w:val="24"/>
              </w:rPr>
              <w:t xml:space="preserve"> </w:t>
            </w:r>
            <w:r>
              <w:rPr>
                <w:rFonts w:ascii="Times New Roman" w:hAnsi="Times New Roman" w:eastAsia="Times New Roman" w:cs="Times New Roman"/>
                <w:spacing w:val="-1"/>
                <w:sz w:val="24"/>
                <w:szCs w:val="24"/>
              </w:rPr>
              <w:t xml:space="preserve">82 </w:t>
            </w:r>
            <w:r>
              <w:rPr>
                <w:spacing w:val="-1"/>
                <w:sz w:val="24"/>
                <w:szCs w:val="24"/>
              </w:rPr>
              <w:t>个、重在车位</w:t>
            </w:r>
            <w:r>
              <w:rPr>
                <w:spacing w:val="-29"/>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w:t>
            </w:r>
            <w:r>
              <w:rPr>
                <w:spacing w:val="7"/>
                <w:sz w:val="24"/>
                <w:szCs w:val="24"/>
              </w:rPr>
              <w:t>），</w:t>
            </w:r>
            <w:r>
              <w:rPr>
                <w:spacing w:val="-1"/>
                <w:sz w:val="24"/>
                <w:szCs w:val="24"/>
              </w:rPr>
              <w:t>配套综合管理用房、餐</w:t>
            </w:r>
            <w:r>
              <w:rPr>
                <w:spacing w:val="-2"/>
                <w:sz w:val="24"/>
                <w:szCs w:val="24"/>
              </w:rPr>
              <w:t>厅、污水处</w:t>
            </w:r>
            <w:r>
              <w:rPr>
                <w:sz w:val="24"/>
                <w:szCs w:val="24"/>
              </w:rPr>
              <w:t xml:space="preserve"> </w:t>
            </w:r>
            <w:r>
              <w:rPr>
                <w:spacing w:val="-4"/>
                <w:sz w:val="24"/>
                <w:szCs w:val="24"/>
              </w:rPr>
              <w:t>理间、危废暂存间、消防水泵房、汽车维修间、洗车间（仅清洗空车外壁）、</w:t>
            </w:r>
            <w:r>
              <w:rPr>
                <w:sz w:val="24"/>
                <w:szCs w:val="24"/>
              </w:rPr>
              <w:t xml:space="preserve"> </w:t>
            </w:r>
            <w:r>
              <w:rPr>
                <w:spacing w:val="1"/>
                <w:sz w:val="24"/>
                <w:szCs w:val="24"/>
              </w:rPr>
              <w:t>门卫、消防水池、初期雨水池、事故应急池等附属设</w:t>
            </w:r>
            <w:r>
              <w:rPr>
                <w:sz w:val="24"/>
                <w:szCs w:val="24"/>
              </w:rPr>
              <w:t xml:space="preserve">施，对照《建设项目环 </w:t>
            </w:r>
            <w:r>
              <w:rPr>
                <w:spacing w:val="1"/>
                <w:sz w:val="24"/>
                <w:szCs w:val="24"/>
              </w:rPr>
              <w:t>境影响评价分类管理名录》（</w:t>
            </w:r>
            <w:r>
              <w:rPr>
                <w:rFonts w:ascii="Times New Roman" w:hAnsi="Times New Roman" w:eastAsia="Times New Roman" w:cs="Times New Roman"/>
                <w:spacing w:val="1"/>
                <w:sz w:val="24"/>
                <w:szCs w:val="24"/>
              </w:rPr>
              <w:t>2021</w:t>
            </w:r>
            <w:r>
              <w:rPr>
                <w:spacing w:val="1"/>
                <w:sz w:val="24"/>
                <w:szCs w:val="24"/>
              </w:rPr>
              <w:t>年版</w:t>
            </w:r>
            <w:r>
              <w:rPr>
                <w:sz w:val="24"/>
                <w:szCs w:val="24"/>
              </w:rPr>
              <w:t>），</w:t>
            </w:r>
            <w:r>
              <w:rPr>
                <w:spacing w:val="1"/>
                <w:sz w:val="24"/>
                <w:szCs w:val="24"/>
              </w:rPr>
              <w:t>本项目</w:t>
            </w:r>
            <w:r>
              <w:rPr>
                <w:sz w:val="24"/>
                <w:szCs w:val="24"/>
              </w:rPr>
              <w:t>属于“五十、社会事业与</w:t>
            </w:r>
            <w:r>
              <w:rPr>
                <w:spacing w:val="1"/>
                <w:sz w:val="24"/>
                <w:szCs w:val="24"/>
              </w:rPr>
              <w:t xml:space="preserve"> </w:t>
            </w:r>
            <w:r>
              <w:rPr>
                <w:spacing w:val="-6"/>
                <w:sz w:val="24"/>
                <w:szCs w:val="24"/>
              </w:rPr>
              <w:t>服务业</w:t>
            </w:r>
            <w:r>
              <w:rPr>
                <w:spacing w:val="-32"/>
                <w:sz w:val="24"/>
                <w:szCs w:val="24"/>
              </w:rPr>
              <w:t xml:space="preserve"> </w:t>
            </w:r>
            <w:r>
              <w:rPr>
                <w:rFonts w:ascii="Times New Roman" w:hAnsi="Times New Roman" w:eastAsia="Times New Roman" w:cs="Times New Roman"/>
                <w:spacing w:val="-6"/>
                <w:sz w:val="24"/>
                <w:szCs w:val="24"/>
              </w:rPr>
              <w:t>120</w:t>
            </w:r>
            <w:r>
              <w:rPr>
                <w:spacing w:val="-6"/>
                <w:sz w:val="24"/>
                <w:szCs w:val="24"/>
              </w:rPr>
              <w:t>、洗车场</w:t>
            </w:r>
            <w:r>
              <w:rPr>
                <w:rFonts w:ascii="Times New Roman" w:hAnsi="Times New Roman" w:eastAsia="Times New Roman" w:cs="Times New Roman"/>
                <w:spacing w:val="-6"/>
                <w:sz w:val="24"/>
                <w:szCs w:val="24"/>
              </w:rPr>
              <w:t>-</w:t>
            </w:r>
            <w:r>
              <w:rPr>
                <w:spacing w:val="-6"/>
                <w:sz w:val="24"/>
                <w:szCs w:val="24"/>
              </w:rPr>
              <w:t>危险化学品运输车辆洗车场</w:t>
            </w:r>
            <w:r>
              <w:rPr>
                <w:spacing w:val="-89"/>
                <w:sz w:val="24"/>
                <w:szCs w:val="24"/>
              </w:rPr>
              <w:t xml:space="preserve"> </w:t>
            </w:r>
            <w:r>
              <w:rPr>
                <w:spacing w:val="-6"/>
                <w:sz w:val="24"/>
                <w:szCs w:val="24"/>
              </w:rPr>
              <w:t>”，应编制环境影响报告表。</w:t>
            </w:r>
          </w:p>
          <w:p w14:paraId="644E4C6C">
            <w:pPr>
              <w:pStyle w:val="6"/>
              <w:spacing w:before="1" w:line="359" w:lineRule="auto"/>
              <w:ind w:left="113" w:right="107" w:firstLine="481"/>
              <w:jc w:val="both"/>
              <w:rPr>
                <w:sz w:val="24"/>
                <w:szCs w:val="24"/>
              </w:rPr>
            </w:pPr>
            <w:r>
              <w:rPr>
                <w:spacing w:val="1"/>
                <w:sz w:val="24"/>
                <w:szCs w:val="24"/>
              </w:rPr>
              <w:t>为此，内蒙古鄂尔多斯鄂托克经济开发区管理</w:t>
            </w:r>
            <w:r>
              <w:rPr>
                <w:sz w:val="24"/>
                <w:szCs w:val="24"/>
              </w:rPr>
              <w:t xml:space="preserve">委员会委托我公司承担该 </w:t>
            </w:r>
            <w:r>
              <w:rPr>
                <w:spacing w:val="1"/>
                <w:sz w:val="24"/>
                <w:szCs w:val="24"/>
              </w:rPr>
              <w:t>项目的环境影响评价工作。接受委托后，我公司成</w:t>
            </w:r>
            <w:r>
              <w:rPr>
                <w:sz w:val="24"/>
                <w:szCs w:val="24"/>
              </w:rPr>
              <w:t xml:space="preserve">立评价技术小组，评价组 </w:t>
            </w:r>
            <w:r>
              <w:rPr>
                <w:spacing w:val="1"/>
                <w:sz w:val="24"/>
                <w:szCs w:val="24"/>
              </w:rPr>
              <w:t>成员根据项目特点、性质，认真分析了项目主要内</w:t>
            </w:r>
            <w:r>
              <w:rPr>
                <w:sz w:val="24"/>
                <w:szCs w:val="24"/>
              </w:rPr>
              <w:t xml:space="preserve">容、性质及建设方案，进 </w:t>
            </w:r>
            <w:r>
              <w:rPr>
                <w:spacing w:val="1"/>
                <w:sz w:val="24"/>
                <w:szCs w:val="24"/>
              </w:rPr>
              <w:t>行了现场调查，收集了与项目有关的社会、经济和</w:t>
            </w:r>
            <w:r>
              <w:rPr>
                <w:sz w:val="24"/>
                <w:szCs w:val="24"/>
              </w:rPr>
              <w:t xml:space="preserve">环境现状资料，结合各环 </w:t>
            </w:r>
            <w:r>
              <w:rPr>
                <w:spacing w:val="-1"/>
                <w:sz w:val="24"/>
                <w:szCs w:val="24"/>
              </w:rPr>
              <w:t>境要素影响评价技术导则，编制完成环境影响报告表。</w:t>
            </w:r>
          </w:p>
          <w:p w14:paraId="006919CE">
            <w:pPr>
              <w:pStyle w:val="6"/>
              <w:spacing w:line="219" w:lineRule="auto"/>
              <w:ind w:left="108"/>
              <w:outlineLvl w:val="1"/>
              <w:rPr>
                <w:sz w:val="24"/>
                <w:szCs w:val="24"/>
              </w:rPr>
            </w:pPr>
            <w:r>
              <w:rPr>
                <w:rFonts w:ascii="Times New Roman" w:hAnsi="Times New Roman" w:eastAsia="Times New Roman" w:cs="Times New Roman"/>
                <w:b/>
                <w:bCs/>
                <w:spacing w:val="-7"/>
                <w:sz w:val="24"/>
                <w:szCs w:val="24"/>
              </w:rPr>
              <w:t>2</w:t>
            </w:r>
            <w:r>
              <w:rPr>
                <w:rFonts w:ascii="Times New Roman" w:hAnsi="Times New Roman" w:eastAsia="Times New Roman" w:cs="Times New Roman"/>
                <w:b/>
                <w:bCs/>
                <w:spacing w:val="-33"/>
                <w:sz w:val="24"/>
                <w:szCs w:val="24"/>
              </w:rPr>
              <w:t xml:space="preserve"> </w:t>
            </w:r>
            <w:r>
              <w:rPr>
                <w:b/>
                <w:bCs/>
                <w:spacing w:val="-7"/>
                <w:sz w:val="24"/>
                <w:szCs w:val="24"/>
              </w:rPr>
              <w:t>、项目概况</w:t>
            </w:r>
          </w:p>
          <w:p w14:paraId="377A10DA">
            <w:pPr>
              <w:pStyle w:val="6"/>
              <w:spacing w:before="182" w:line="289" w:lineRule="auto"/>
              <w:ind w:left="114" w:right="107" w:firstLine="489"/>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）项目名称：鄂托克经济开发区棋盘井</w:t>
            </w:r>
            <w:r>
              <w:rPr>
                <w:spacing w:val="-4"/>
                <w:sz w:val="24"/>
                <w:szCs w:val="24"/>
              </w:rPr>
              <w:t>产业园危险化学品车辆专用停</w:t>
            </w:r>
            <w:r>
              <w:rPr>
                <w:sz w:val="24"/>
                <w:szCs w:val="24"/>
              </w:rPr>
              <w:t xml:space="preserve"> </w:t>
            </w:r>
            <w:r>
              <w:rPr>
                <w:spacing w:val="-2"/>
                <w:sz w:val="24"/>
                <w:szCs w:val="24"/>
              </w:rPr>
              <w:t>车场建设项目；</w:t>
            </w:r>
          </w:p>
          <w:p w14:paraId="40F205B3">
            <w:pPr>
              <w:pStyle w:val="6"/>
              <w:spacing w:before="182"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）建设单位：内蒙古鄂尔多斯鄂托克经济开发区管理委员会；</w:t>
            </w:r>
          </w:p>
          <w:p w14:paraId="3E654AA6">
            <w:pPr>
              <w:pStyle w:val="6"/>
              <w:spacing w:before="182" w:line="219" w:lineRule="auto"/>
              <w:ind w:right="21"/>
              <w:jc w:val="right"/>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）建设地点：棋盘井镇二号路东，工业街南，金海路西，南环路北；</w:t>
            </w:r>
          </w:p>
          <w:p w14:paraId="66A98DA2">
            <w:pPr>
              <w:pStyle w:val="6"/>
              <w:spacing w:before="181"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）建设性质：新建；</w:t>
            </w:r>
          </w:p>
          <w:p w14:paraId="0F32DDC1">
            <w:pPr>
              <w:pStyle w:val="6"/>
              <w:spacing w:before="182" w:line="220" w:lineRule="auto"/>
              <w:ind w:left="603"/>
              <w:rPr>
                <w:sz w:val="24"/>
                <w:szCs w:val="24"/>
              </w:rPr>
            </w:pPr>
            <w:r>
              <w:rPr>
                <w:spacing w:val="-5"/>
                <w:sz w:val="24"/>
                <w:szCs w:val="24"/>
              </w:rPr>
              <w:t>（</w:t>
            </w:r>
            <w:r>
              <w:rPr>
                <w:rFonts w:ascii="Times New Roman" w:hAnsi="Times New Roman" w:eastAsia="Times New Roman" w:cs="Times New Roman"/>
                <w:spacing w:val="-5"/>
                <w:sz w:val="24"/>
                <w:szCs w:val="24"/>
              </w:rPr>
              <w:t>5</w:t>
            </w:r>
            <w:r>
              <w:rPr>
                <w:spacing w:val="-5"/>
                <w:sz w:val="24"/>
                <w:szCs w:val="24"/>
              </w:rPr>
              <w:t>）</w:t>
            </w:r>
            <w:r>
              <w:rPr>
                <w:spacing w:val="-59"/>
                <w:sz w:val="24"/>
                <w:szCs w:val="24"/>
              </w:rPr>
              <w:t xml:space="preserve"> </w:t>
            </w:r>
            <w:r>
              <w:rPr>
                <w:spacing w:val="-5"/>
                <w:sz w:val="24"/>
                <w:szCs w:val="24"/>
              </w:rPr>
              <w:t>占地面积：</w:t>
            </w:r>
            <w:r>
              <w:rPr>
                <w:rFonts w:ascii="Times New Roman" w:hAnsi="Times New Roman" w:eastAsia="Times New Roman" w:cs="Times New Roman"/>
                <w:spacing w:val="-5"/>
                <w:sz w:val="24"/>
                <w:szCs w:val="24"/>
              </w:rPr>
              <w:t>35000m</w:t>
            </w:r>
            <w:r>
              <w:rPr>
                <w:rFonts w:ascii="Times New Roman" w:hAnsi="Times New Roman" w:eastAsia="Times New Roman" w:cs="Times New Roman"/>
                <w:spacing w:val="-5"/>
                <w:position w:val="8"/>
                <w:sz w:val="15"/>
                <w:szCs w:val="15"/>
              </w:rPr>
              <w:t>2</w:t>
            </w:r>
            <w:r>
              <w:rPr>
                <w:spacing w:val="-5"/>
                <w:sz w:val="24"/>
                <w:szCs w:val="24"/>
              </w:rPr>
              <w:t>；</w:t>
            </w:r>
          </w:p>
          <w:p w14:paraId="488BE11E">
            <w:pPr>
              <w:pStyle w:val="6"/>
              <w:spacing w:before="182" w:line="289" w:lineRule="auto"/>
              <w:ind w:left="112" w:right="45" w:firstLine="491"/>
              <w:rPr>
                <w:sz w:val="24"/>
                <w:szCs w:val="24"/>
              </w:rPr>
            </w:pPr>
            <w:r>
              <w:rPr>
                <w:spacing w:val="-8"/>
                <w:sz w:val="24"/>
                <w:szCs w:val="24"/>
              </w:rPr>
              <w:t>（</w:t>
            </w:r>
            <w:r>
              <w:rPr>
                <w:rFonts w:ascii="Times New Roman" w:hAnsi="Times New Roman" w:eastAsia="Times New Roman" w:cs="Times New Roman"/>
                <w:spacing w:val="-8"/>
                <w:sz w:val="24"/>
                <w:szCs w:val="24"/>
              </w:rPr>
              <w:t>6</w:t>
            </w:r>
            <w:r>
              <w:rPr>
                <w:spacing w:val="-8"/>
                <w:sz w:val="24"/>
                <w:szCs w:val="24"/>
              </w:rPr>
              <w:t>）总投资与环保投资：总投资</w:t>
            </w:r>
            <w:r>
              <w:rPr>
                <w:spacing w:val="-50"/>
                <w:sz w:val="24"/>
                <w:szCs w:val="24"/>
              </w:rPr>
              <w:t xml:space="preserve"> </w:t>
            </w:r>
            <w:r>
              <w:rPr>
                <w:rFonts w:ascii="Times New Roman" w:hAnsi="Times New Roman" w:eastAsia="Times New Roman" w:cs="Times New Roman"/>
                <w:spacing w:val="-8"/>
                <w:sz w:val="24"/>
                <w:szCs w:val="24"/>
              </w:rPr>
              <w:t>2364.55</w:t>
            </w:r>
            <w:r>
              <w:rPr>
                <w:rFonts w:ascii="Times New Roman" w:hAnsi="Times New Roman" w:eastAsia="Times New Roman" w:cs="Times New Roman"/>
                <w:spacing w:val="16"/>
                <w:sz w:val="24"/>
                <w:szCs w:val="24"/>
              </w:rPr>
              <w:t xml:space="preserve"> </w:t>
            </w:r>
            <w:r>
              <w:rPr>
                <w:spacing w:val="-8"/>
                <w:sz w:val="24"/>
                <w:szCs w:val="24"/>
              </w:rPr>
              <w:t>万元，其中环保投资</w:t>
            </w:r>
            <w:r>
              <w:rPr>
                <w:spacing w:val="-32"/>
                <w:sz w:val="24"/>
                <w:szCs w:val="24"/>
              </w:rPr>
              <w:t xml:space="preserve"> </w:t>
            </w:r>
            <w:r>
              <w:rPr>
                <w:rFonts w:ascii="Times New Roman" w:hAnsi="Times New Roman" w:eastAsia="Times New Roman" w:cs="Times New Roman"/>
                <w:spacing w:val="-8"/>
                <w:sz w:val="24"/>
                <w:szCs w:val="24"/>
              </w:rPr>
              <w:t>160</w:t>
            </w:r>
            <w:r>
              <w:rPr>
                <w:rFonts w:ascii="Times New Roman" w:hAnsi="Times New Roman" w:eastAsia="Times New Roman" w:cs="Times New Roman"/>
                <w:spacing w:val="15"/>
                <w:sz w:val="24"/>
                <w:szCs w:val="24"/>
              </w:rPr>
              <w:t xml:space="preserve"> </w:t>
            </w:r>
            <w:r>
              <w:rPr>
                <w:spacing w:val="-8"/>
                <w:sz w:val="24"/>
                <w:szCs w:val="24"/>
              </w:rPr>
              <w:t>万元，</w:t>
            </w:r>
            <w:r>
              <w:rPr>
                <w:sz w:val="24"/>
                <w:szCs w:val="24"/>
              </w:rPr>
              <w:t xml:space="preserve"> </w:t>
            </w:r>
            <w:r>
              <w:rPr>
                <w:spacing w:val="-2"/>
                <w:sz w:val="24"/>
                <w:szCs w:val="24"/>
              </w:rPr>
              <w:t>环保投资占总投资的</w:t>
            </w:r>
            <w:r>
              <w:rPr>
                <w:spacing w:val="-41"/>
                <w:sz w:val="24"/>
                <w:szCs w:val="24"/>
              </w:rPr>
              <w:t xml:space="preserve"> </w:t>
            </w:r>
            <w:r>
              <w:rPr>
                <w:rFonts w:ascii="Times New Roman" w:hAnsi="Times New Roman" w:eastAsia="Times New Roman" w:cs="Times New Roman"/>
                <w:spacing w:val="-2"/>
                <w:sz w:val="24"/>
                <w:szCs w:val="24"/>
              </w:rPr>
              <w:t>6.77%</w:t>
            </w:r>
            <w:r>
              <w:rPr>
                <w:spacing w:val="-2"/>
                <w:sz w:val="24"/>
                <w:szCs w:val="24"/>
              </w:rPr>
              <w:t>。</w:t>
            </w:r>
          </w:p>
        </w:tc>
      </w:tr>
    </w:tbl>
    <w:p w14:paraId="1A57896F">
      <w:pPr>
        <w:pStyle w:val="2"/>
      </w:pPr>
    </w:p>
    <w:p w14:paraId="68D66D58">
      <w:pPr>
        <w:sectPr>
          <w:footerReference r:id="rId32" w:type="default"/>
          <w:pgSz w:w="11906" w:h="16839"/>
          <w:pgMar w:top="400" w:right="1588" w:bottom="1259" w:left="1687" w:header="0" w:footer="1097" w:gutter="0"/>
          <w:cols w:space="720" w:num="1"/>
        </w:sectPr>
      </w:pPr>
    </w:p>
    <w:p w14:paraId="2FCBADD2">
      <w:pPr>
        <w:spacing w:before="19"/>
      </w:pPr>
    </w:p>
    <w:p w14:paraId="5A5FC461">
      <w:pPr>
        <w:spacing w:before="19"/>
      </w:pPr>
    </w:p>
    <w:p w14:paraId="1C3A9BE2">
      <w:pPr>
        <w:spacing w:before="18"/>
      </w:pPr>
    </w:p>
    <w:p w14:paraId="2F00539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9C0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1" w:hRule="atLeast"/>
        </w:trPr>
        <w:tc>
          <w:tcPr>
            <w:tcW w:w="456" w:type="dxa"/>
            <w:vAlign w:val="top"/>
          </w:tcPr>
          <w:p w14:paraId="190EC996">
            <w:pPr>
              <w:rPr>
                <w:rFonts w:ascii="Arial"/>
                <w:sz w:val="21"/>
              </w:rPr>
            </w:pPr>
          </w:p>
        </w:tc>
        <w:tc>
          <w:tcPr>
            <w:tcW w:w="8169" w:type="dxa"/>
            <w:vAlign w:val="top"/>
          </w:tcPr>
          <w:p w14:paraId="2CF12699">
            <w:pPr>
              <w:pStyle w:val="6"/>
              <w:spacing w:before="41" w:line="220" w:lineRule="auto"/>
              <w:ind w:left="106"/>
              <w:outlineLvl w:val="1"/>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b/>
                <w:bCs/>
                <w:spacing w:val="-5"/>
                <w:sz w:val="24"/>
                <w:szCs w:val="24"/>
              </w:rPr>
              <w:t>、项目位置与四邻关系</w:t>
            </w:r>
          </w:p>
          <w:p w14:paraId="21C707F7">
            <w:pPr>
              <w:pStyle w:val="6"/>
              <w:spacing w:before="179" w:line="220" w:lineRule="auto"/>
              <w:ind w:left="60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）项目位置与用地情况</w:t>
            </w:r>
          </w:p>
          <w:p w14:paraId="49BAB8F4">
            <w:pPr>
              <w:pStyle w:val="6"/>
              <w:spacing w:before="177" w:line="359" w:lineRule="auto"/>
              <w:ind w:left="112" w:right="45" w:firstLine="480"/>
              <w:rPr>
                <w:sz w:val="24"/>
                <w:szCs w:val="24"/>
              </w:rPr>
            </w:pPr>
            <w:r>
              <w:rPr>
                <w:spacing w:val="1"/>
                <w:sz w:val="24"/>
                <w:szCs w:val="24"/>
              </w:rPr>
              <w:t>本项目位于鄂托克经济开发区棋盘井产业园棋西项</w:t>
            </w:r>
            <w:r>
              <w:rPr>
                <w:sz w:val="24"/>
                <w:szCs w:val="24"/>
              </w:rPr>
              <w:t xml:space="preserve">目区，具体位置为棋 </w:t>
            </w:r>
            <w:r>
              <w:rPr>
                <w:spacing w:val="-1"/>
                <w:sz w:val="24"/>
                <w:szCs w:val="24"/>
              </w:rPr>
              <w:t>盘井镇二号路东，工业街南，金海路西，南环路北，</w:t>
            </w:r>
            <w:r>
              <w:rPr>
                <w:spacing w:val="-69"/>
                <w:sz w:val="24"/>
                <w:szCs w:val="24"/>
              </w:rPr>
              <w:t xml:space="preserve"> </w:t>
            </w:r>
            <w:r>
              <w:rPr>
                <w:spacing w:val="-1"/>
                <w:sz w:val="24"/>
                <w:szCs w:val="24"/>
              </w:rPr>
              <w:t>占地面积</w:t>
            </w:r>
            <w:r>
              <w:rPr>
                <w:spacing w:val="-47"/>
                <w:sz w:val="24"/>
                <w:szCs w:val="24"/>
              </w:rPr>
              <w:t xml:space="preserve"> </w:t>
            </w:r>
            <w:r>
              <w:rPr>
                <w:rFonts w:ascii="Times New Roman" w:hAnsi="Times New Roman" w:eastAsia="Times New Roman" w:cs="Times New Roman"/>
                <w:spacing w:val="-1"/>
                <w:sz w:val="24"/>
                <w:szCs w:val="24"/>
              </w:rPr>
              <w:t>35000m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2"/>
                <w:position w:val="8"/>
                <w:sz w:val="15"/>
                <w:szCs w:val="15"/>
              </w:rPr>
              <w:t xml:space="preserve"> </w:t>
            </w:r>
            <w:r>
              <w:rPr>
                <w:spacing w:val="-2"/>
                <w:sz w:val="24"/>
                <w:szCs w:val="24"/>
              </w:rPr>
              <w:t>。拟</w:t>
            </w:r>
            <w:r>
              <w:rPr>
                <w:sz w:val="24"/>
                <w:szCs w:val="24"/>
              </w:rPr>
              <w:t xml:space="preserve"> </w:t>
            </w:r>
            <w:r>
              <w:rPr>
                <w:spacing w:val="-3"/>
                <w:sz w:val="24"/>
                <w:szCs w:val="24"/>
              </w:rPr>
              <w:t>建场址中心坐标为</w:t>
            </w:r>
            <w:r>
              <w:rPr>
                <w:spacing w:val="-54"/>
                <w:sz w:val="24"/>
                <w:szCs w:val="24"/>
              </w:rPr>
              <w:t xml:space="preserve"> </w:t>
            </w:r>
            <w:r>
              <w:rPr>
                <w:rFonts w:ascii="Times New Roman" w:hAnsi="Times New Roman" w:eastAsia="Times New Roman" w:cs="Times New Roman"/>
                <w:spacing w:val="-3"/>
                <w:sz w:val="24"/>
                <w:szCs w:val="24"/>
              </w:rPr>
              <w:t>E107°0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3"/>
                <w:sz w:val="24"/>
                <w:szCs w:val="24"/>
              </w:rPr>
              <w:t>′52.116″</w:t>
            </w:r>
            <w:r>
              <w:rPr>
                <w:spacing w:val="-3"/>
                <w:sz w:val="24"/>
                <w:szCs w:val="24"/>
              </w:rPr>
              <w:t>、</w:t>
            </w:r>
            <w:r>
              <w:rPr>
                <w:rFonts w:ascii="Times New Roman" w:hAnsi="Times New Roman" w:eastAsia="Times New Roman" w:cs="Times New Roman"/>
                <w:spacing w:val="-3"/>
                <w:sz w:val="24"/>
                <w:szCs w:val="24"/>
              </w:rPr>
              <w:t>N39°21′42.032″</w:t>
            </w:r>
            <w:r>
              <w:rPr>
                <w:rFonts w:ascii="Times New Roman" w:hAnsi="Times New Roman" w:eastAsia="Times New Roman" w:cs="Times New Roman"/>
                <w:spacing w:val="-30"/>
                <w:sz w:val="24"/>
                <w:szCs w:val="24"/>
              </w:rPr>
              <w:t xml:space="preserve"> </w:t>
            </w:r>
            <w:r>
              <w:rPr>
                <w:spacing w:val="-3"/>
                <w:sz w:val="24"/>
                <w:szCs w:val="24"/>
              </w:rPr>
              <w:t>，场界拐点坐标见表</w:t>
            </w:r>
            <w:r>
              <w:rPr>
                <w:spacing w:val="-54"/>
                <w:sz w:val="24"/>
                <w:szCs w:val="24"/>
              </w:rPr>
              <w:t xml:space="preserve"> </w:t>
            </w:r>
            <w:r>
              <w:rPr>
                <w:rFonts w:ascii="Times New Roman" w:hAnsi="Times New Roman" w:eastAsia="Times New Roman" w:cs="Times New Roman"/>
                <w:spacing w:val="-3"/>
                <w:sz w:val="24"/>
                <w:szCs w:val="24"/>
              </w:rPr>
              <w:t>2-1</w:t>
            </w:r>
            <w:r>
              <w:rPr>
                <w:spacing w:val="-3"/>
                <w:sz w:val="24"/>
                <w:szCs w:val="24"/>
              </w:rPr>
              <w:t>，</w:t>
            </w:r>
            <w:r>
              <w:rPr>
                <w:sz w:val="24"/>
                <w:szCs w:val="24"/>
              </w:rPr>
              <w:t xml:space="preserve"> </w:t>
            </w:r>
            <w:r>
              <w:rPr>
                <w:spacing w:val="-1"/>
                <w:sz w:val="24"/>
                <w:szCs w:val="24"/>
              </w:rPr>
              <w:t>用地预审文件见附件。</w:t>
            </w:r>
          </w:p>
          <w:p w14:paraId="38E260E8">
            <w:pPr>
              <w:pStyle w:val="6"/>
              <w:spacing w:before="1" w:line="220" w:lineRule="auto"/>
              <w:ind w:left="1507"/>
              <w:outlineLvl w:val="1"/>
            </w:pPr>
            <w:r>
              <w:rPr>
                <w:b/>
                <w:bCs/>
                <w:spacing w:val="3"/>
                <w:sz w:val="20"/>
                <w:szCs w:val="20"/>
              </w:rPr>
              <w:t>表</w:t>
            </w:r>
            <w:r>
              <w:rPr>
                <w:spacing w:val="-28"/>
                <w:sz w:val="20"/>
                <w:szCs w:val="20"/>
              </w:rPr>
              <w:t xml:space="preserve"> </w:t>
            </w:r>
            <w:r>
              <w:rPr>
                <w:rFonts w:ascii="Times New Roman" w:hAnsi="Times New Roman" w:eastAsia="Times New Roman" w:cs="Times New Roman"/>
                <w:b/>
                <w:bCs/>
                <w:spacing w:val="3"/>
                <w:sz w:val="20"/>
                <w:szCs w:val="20"/>
              </w:rPr>
              <w:t xml:space="preserve">2-1    </w:t>
            </w:r>
            <w:r>
              <w:rPr>
                <w:b/>
                <w:bCs/>
                <w:spacing w:val="3"/>
                <w:sz w:val="20"/>
                <w:szCs w:val="20"/>
              </w:rPr>
              <w:t>本项目场界拐点坐标一览表</w:t>
            </w:r>
            <w:r>
              <w:rPr>
                <w:b/>
                <w:bCs/>
                <w:spacing w:val="3"/>
              </w:rPr>
              <w:t>（国家</w:t>
            </w:r>
            <w:r>
              <w:rPr>
                <w:spacing w:val="-50"/>
              </w:rPr>
              <w:t xml:space="preserve"> </w:t>
            </w:r>
            <w:r>
              <w:rPr>
                <w:rFonts w:ascii="Times New Roman" w:hAnsi="Times New Roman" w:eastAsia="Times New Roman" w:cs="Times New Roman"/>
                <w:b/>
                <w:bCs/>
                <w:spacing w:val="3"/>
              </w:rPr>
              <w:t xml:space="preserve">2000 </w:t>
            </w:r>
            <w:r>
              <w:rPr>
                <w:b/>
                <w:bCs/>
                <w:spacing w:val="3"/>
              </w:rPr>
              <w:t>坐标）</w:t>
            </w:r>
          </w:p>
          <w:p w14:paraId="7995B72A">
            <w:pPr>
              <w:spacing w:line="133" w:lineRule="exact"/>
            </w:pPr>
          </w:p>
          <w:tbl>
            <w:tblPr>
              <w:tblStyle w:val="5"/>
              <w:tblW w:w="794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9"/>
              <w:gridCol w:w="2658"/>
              <w:gridCol w:w="2415"/>
              <w:gridCol w:w="1632"/>
            </w:tblGrid>
            <w:tr w14:paraId="0F58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39" w:type="dxa"/>
                  <w:vAlign w:val="top"/>
                </w:tcPr>
                <w:p w14:paraId="06210F05">
                  <w:pPr>
                    <w:pStyle w:val="6"/>
                    <w:spacing w:before="35" w:line="218" w:lineRule="auto"/>
                    <w:ind w:left="204"/>
                    <w:rPr>
                      <w:sz w:val="20"/>
                      <w:szCs w:val="20"/>
                    </w:rPr>
                  </w:pPr>
                  <w:r>
                    <w:rPr>
                      <w:spacing w:val="7"/>
                      <w:sz w:val="20"/>
                      <w:szCs w:val="20"/>
                    </w:rPr>
                    <w:t>拐点序号</w:t>
                  </w:r>
                </w:p>
              </w:tc>
              <w:tc>
                <w:tcPr>
                  <w:tcW w:w="2658" w:type="dxa"/>
                  <w:vAlign w:val="top"/>
                </w:tcPr>
                <w:p w14:paraId="6813C335">
                  <w:pPr>
                    <w:spacing w:before="74" w:line="192" w:lineRule="auto"/>
                    <w:ind w:left="125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2415" w:type="dxa"/>
                  <w:vAlign w:val="top"/>
                </w:tcPr>
                <w:p w14:paraId="25F91141">
                  <w:pPr>
                    <w:spacing w:before="74" w:line="192" w:lineRule="auto"/>
                    <w:ind w:left="1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632" w:type="dxa"/>
                  <w:vAlign w:val="top"/>
                </w:tcPr>
                <w:p w14:paraId="73120097">
                  <w:pPr>
                    <w:pStyle w:val="6"/>
                    <w:spacing w:before="35" w:line="218" w:lineRule="auto"/>
                    <w:ind w:left="612"/>
                    <w:rPr>
                      <w:sz w:val="20"/>
                      <w:szCs w:val="20"/>
                    </w:rPr>
                  </w:pPr>
                  <w:r>
                    <w:rPr>
                      <w:spacing w:val="4"/>
                      <w:sz w:val="20"/>
                      <w:szCs w:val="20"/>
                    </w:rPr>
                    <w:t>长度</w:t>
                  </w:r>
                </w:p>
              </w:tc>
            </w:tr>
            <w:tr w14:paraId="4E5D3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239" w:type="dxa"/>
                  <w:vMerge w:val="restart"/>
                  <w:tcBorders>
                    <w:bottom w:val="nil"/>
                  </w:tcBorders>
                  <w:vAlign w:val="top"/>
                </w:tcPr>
                <w:p w14:paraId="0F7049D9">
                  <w:pPr>
                    <w:spacing w:before="212" w:line="195"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58" w:type="dxa"/>
                  <w:vMerge w:val="restart"/>
                  <w:tcBorders>
                    <w:bottom w:val="nil"/>
                  </w:tcBorders>
                  <w:vAlign w:val="top"/>
                </w:tcPr>
                <w:p w14:paraId="41DBA5F6">
                  <w:pPr>
                    <w:spacing w:before="21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4359153.8760</w:t>
                  </w:r>
                </w:p>
              </w:tc>
              <w:tc>
                <w:tcPr>
                  <w:tcW w:w="2415" w:type="dxa"/>
                  <w:vMerge w:val="restart"/>
                  <w:tcBorders>
                    <w:bottom w:val="nil"/>
                  </w:tcBorders>
                  <w:vAlign w:val="top"/>
                </w:tcPr>
                <w:p w14:paraId="6B107EA5">
                  <w:pPr>
                    <w:spacing w:before="21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36414931.2525</w:t>
                  </w:r>
                </w:p>
              </w:tc>
              <w:tc>
                <w:tcPr>
                  <w:tcW w:w="1632" w:type="dxa"/>
                  <w:vAlign w:val="top"/>
                </w:tcPr>
                <w:p w14:paraId="4DFF7F46">
                  <w:pPr>
                    <w:spacing w:before="47" w:line="197"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C3D0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continue"/>
                  <w:tcBorders>
                    <w:top w:val="nil"/>
                  </w:tcBorders>
                  <w:vAlign w:val="top"/>
                </w:tcPr>
                <w:p w14:paraId="11BCBECB">
                  <w:pPr>
                    <w:rPr>
                      <w:rFonts w:ascii="Arial"/>
                      <w:sz w:val="21"/>
                    </w:rPr>
                  </w:pPr>
                </w:p>
              </w:tc>
              <w:tc>
                <w:tcPr>
                  <w:tcW w:w="2658" w:type="dxa"/>
                  <w:vMerge w:val="continue"/>
                  <w:tcBorders>
                    <w:top w:val="nil"/>
                  </w:tcBorders>
                  <w:vAlign w:val="top"/>
                </w:tcPr>
                <w:p w14:paraId="5607B4DA">
                  <w:pPr>
                    <w:rPr>
                      <w:rFonts w:ascii="Arial"/>
                      <w:sz w:val="21"/>
                    </w:rPr>
                  </w:pPr>
                </w:p>
              </w:tc>
              <w:tc>
                <w:tcPr>
                  <w:tcW w:w="2415" w:type="dxa"/>
                  <w:vMerge w:val="continue"/>
                  <w:tcBorders>
                    <w:top w:val="nil"/>
                  </w:tcBorders>
                  <w:vAlign w:val="top"/>
                </w:tcPr>
                <w:p w14:paraId="0D46F5F7">
                  <w:pPr>
                    <w:rPr>
                      <w:rFonts w:ascii="Arial"/>
                      <w:sz w:val="21"/>
                    </w:rPr>
                  </w:pPr>
                </w:p>
              </w:tc>
              <w:tc>
                <w:tcPr>
                  <w:tcW w:w="1632" w:type="dxa"/>
                  <w:vMerge w:val="restart"/>
                  <w:tcBorders>
                    <w:bottom w:val="nil"/>
                  </w:tcBorders>
                  <w:vAlign w:val="top"/>
                </w:tcPr>
                <w:p w14:paraId="01FBE7B8">
                  <w:pPr>
                    <w:spacing w:before="24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z w:val="20"/>
                      <w:szCs w:val="20"/>
                    </w:rPr>
                    <w:t>183.55</w:t>
                  </w:r>
                </w:p>
              </w:tc>
            </w:tr>
            <w:tr w14:paraId="449A6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restart"/>
                  <w:tcBorders>
                    <w:bottom w:val="nil"/>
                  </w:tcBorders>
                  <w:vAlign w:val="top"/>
                </w:tcPr>
                <w:p w14:paraId="60205C09">
                  <w:pPr>
                    <w:spacing w:before="249"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58" w:type="dxa"/>
                  <w:vMerge w:val="restart"/>
                  <w:tcBorders>
                    <w:bottom w:val="nil"/>
                  </w:tcBorders>
                  <w:vAlign w:val="top"/>
                </w:tcPr>
                <w:p w14:paraId="26E10181">
                  <w:pPr>
                    <w:spacing w:before="24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4359237.1524</w:t>
                  </w:r>
                </w:p>
              </w:tc>
              <w:tc>
                <w:tcPr>
                  <w:tcW w:w="2415" w:type="dxa"/>
                  <w:vMerge w:val="restart"/>
                  <w:tcBorders>
                    <w:bottom w:val="nil"/>
                  </w:tcBorders>
                  <w:vAlign w:val="top"/>
                </w:tcPr>
                <w:p w14:paraId="218CD715">
                  <w:pPr>
                    <w:spacing w:before="24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36415094.8227</w:t>
                  </w:r>
                </w:p>
              </w:tc>
              <w:tc>
                <w:tcPr>
                  <w:tcW w:w="1632" w:type="dxa"/>
                  <w:vMerge w:val="continue"/>
                  <w:tcBorders>
                    <w:top w:val="nil"/>
                  </w:tcBorders>
                  <w:vAlign w:val="top"/>
                </w:tcPr>
                <w:p w14:paraId="233570AD">
                  <w:pPr>
                    <w:rPr>
                      <w:rFonts w:ascii="Arial"/>
                      <w:sz w:val="21"/>
                    </w:rPr>
                  </w:pPr>
                </w:p>
              </w:tc>
            </w:tr>
            <w:tr w14:paraId="76140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4FED4307">
                  <w:pPr>
                    <w:rPr>
                      <w:rFonts w:ascii="Arial"/>
                      <w:sz w:val="21"/>
                    </w:rPr>
                  </w:pPr>
                </w:p>
              </w:tc>
              <w:tc>
                <w:tcPr>
                  <w:tcW w:w="2658" w:type="dxa"/>
                  <w:vMerge w:val="continue"/>
                  <w:tcBorders>
                    <w:top w:val="nil"/>
                  </w:tcBorders>
                  <w:vAlign w:val="top"/>
                </w:tcPr>
                <w:p w14:paraId="005EFC2F">
                  <w:pPr>
                    <w:rPr>
                      <w:rFonts w:ascii="Arial"/>
                      <w:sz w:val="21"/>
                    </w:rPr>
                  </w:pPr>
                </w:p>
              </w:tc>
              <w:tc>
                <w:tcPr>
                  <w:tcW w:w="2415" w:type="dxa"/>
                  <w:vMerge w:val="continue"/>
                  <w:tcBorders>
                    <w:top w:val="nil"/>
                  </w:tcBorders>
                  <w:vAlign w:val="top"/>
                </w:tcPr>
                <w:p w14:paraId="4D39E84A">
                  <w:pPr>
                    <w:rPr>
                      <w:rFonts w:ascii="Arial"/>
                      <w:sz w:val="21"/>
                    </w:rPr>
                  </w:pPr>
                </w:p>
              </w:tc>
              <w:tc>
                <w:tcPr>
                  <w:tcW w:w="1632" w:type="dxa"/>
                  <w:vMerge w:val="restart"/>
                  <w:tcBorders>
                    <w:bottom w:val="nil"/>
                  </w:tcBorders>
                  <w:vAlign w:val="top"/>
                </w:tcPr>
                <w:p w14:paraId="0E2C5793">
                  <w:pPr>
                    <w:spacing w:before="250"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76.28</w:t>
                  </w:r>
                </w:p>
              </w:tc>
            </w:tr>
            <w:tr w14:paraId="2381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3C586E5F">
                  <w:pPr>
                    <w:spacing w:before="252" w:line="195"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58" w:type="dxa"/>
                  <w:vMerge w:val="restart"/>
                  <w:tcBorders>
                    <w:bottom w:val="nil"/>
                  </w:tcBorders>
                  <w:vAlign w:val="top"/>
                </w:tcPr>
                <w:p w14:paraId="372AC94B">
                  <w:pPr>
                    <w:spacing w:before="252"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4359180.5174</w:t>
                  </w:r>
                </w:p>
              </w:tc>
              <w:tc>
                <w:tcPr>
                  <w:tcW w:w="2415" w:type="dxa"/>
                  <w:vMerge w:val="restart"/>
                  <w:tcBorders>
                    <w:bottom w:val="nil"/>
                  </w:tcBorders>
                  <w:vAlign w:val="top"/>
                </w:tcPr>
                <w:p w14:paraId="5A9741D5">
                  <w:pPr>
                    <w:spacing w:before="25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36415145.9209</w:t>
                  </w:r>
                </w:p>
              </w:tc>
              <w:tc>
                <w:tcPr>
                  <w:tcW w:w="1632" w:type="dxa"/>
                  <w:vMerge w:val="continue"/>
                  <w:tcBorders>
                    <w:top w:val="nil"/>
                  </w:tcBorders>
                  <w:vAlign w:val="top"/>
                </w:tcPr>
                <w:p w14:paraId="40FBD8BD">
                  <w:pPr>
                    <w:rPr>
                      <w:rFonts w:ascii="Arial"/>
                      <w:sz w:val="21"/>
                    </w:rPr>
                  </w:pPr>
                </w:p>
              </w:tc>
            </w:tr>
            <w:tr w14:paraId="75324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continue"/>
                  <w:tcBorders>
                    <w:top w:val="nil"/>
                  </w:tcBorders>
                  <w:vAlign w:val="top"/>
                </w:tcPr>
                <w:p w14:paraId="6EB1B88B">
                  <w:pPr>
                    <w:rPr>
                      <w:rFonts w:ascii="Arial"/>
                      <w:sz w:val="21"/>
                    </w:rPr>
                  </w:pPr>
                </w:p>
              </w:tc>
              <w:tc>
                <w:tcPr>
                  <w:tcW w:w="2658" w:type="dxa"/>
                  <w:vMerge w:val="continue"/>
                  <w:tcBorders>
                    <w:top w:val="nil"/>
                  </w:tcBorders>
                  <w:vAlign w:val="top"/>
                </w:tcPr>
                <w:p w14:paraId="058DC482">
                  <w:pPr>
                    <w:rPr>
                      <w:rFonts w:ascii="Arial"/>
                      <w:sz w:val="21"/>
                    </w:rPr>
                  </w:pPr>
                </w:p>
              </w:tc>
              <w:tc>
                <w:tcPr>
                  <w:tcW w:w="2415" w:type="dxa"/>
                  <w:vMerge w:val="continue"/>
                  <w:tcBorders>
                    <w:top w:val="nil"/>
                  </w:tcBorders>
                  <w:vAlign w:val="top"/>
                </w:tcPr>
                <w:p w14:paraId="58796DFA">
                  <w:pPr>
                    <w:rPr>
                      <w:rFonts w:ascii="Arial"/>
                      <w:sz w:val="21"/>
                    </w:rPr>
                  </w:pPr>
                </w:p>
              </w:tc>
              <w:tc>
                <w:tcPr>
                  <w:tcW w:w="1632" w:type="dxa"/>
                  <w:vMerge w:val="restart"/>
                  <w:tcBorders>
                    <w:bottom w:val="nil"/>
                  </w:tcBorders>
                  <w:vAlign w:val="top"/>
                </w:tcPr>
                <w:p w14:paraId="0571FB90">
                  <w:pPr>
                    <w:spacing w:before="251"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14:paraId="0D9A5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584D6FF1">
                  <w:pPr>
                    <w:spacing w:before="252" w:line="195" w:lineRule="auto"/>
                    <w:ind w:left="5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58" w:type="dxa"/>
                  <w:vMerge w:val="restart"/>
                  <w:tcBorders>
                    <w:bottom w:val="nil"/>
                  </w:tcBorders>
                  <w:vAlign w:val="top"/>
                </w:tcPr>
                <w:p w14:paraId="496B09F2">
                  <w:pPr>
                    <w:spacing w:before="252"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4359128.5447</w:t>
                  </w:r>
                </w:p>
              </w:tc>
              <w:tc>
                <w:tcPr>
                  <w:tcW w:w="2415" w:type="dxa"/>
                  <w:vMerge w:val="restart"/>
                  <w:tcBorders>
                    <w:bottom w:val="nil"/>
                  </w:tcBorders>
                  <w:vAlign w:val="top"/>
                </w:tcPr>
                <w:p w14:paraId="6CDCA4F2">
                  <w:pPr>
                    <w:spacing w:before="252"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36415192.8127</w:t>
                  </w:r>
                </w:p>
              </w:tc>
              <w:tc>
                <w:tcPr>
                  <w:tcW w:w="1632" w:type="dxa"/>
                  <w:vMerge w:val="continue"/>
                  <w:tcBorders>
                    <w:top w:val="nil"/>
                  </w:tcBorders>
                  <w:vAlign w:val="top"/>
                </w:tcPr>
                <w:p w14:paraId="6EA5E118">
                  <w:pPr>
                    <w:rPr>
                      <w:rFonts w:ascii="Arial"/>
                      <w:sz w:val="21"/>
                    </w:rPr>
                  </w:pPr>
                </w:p>
              </w:tc>
            </w:tr>
            <w:tr w14:paraId="323AF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2C8BC50B">
                  <w:pPr>
                    <w:rPr>
                      <w:rFonts w:ascii="Arial"/>
                      <w:sz w:val="21"/>
                    </w:rPr>
                  </w:pPr>
                </w:p>
              </w:tc>
              <w:tc>
                <w:tcPr>
                  <w:tcW w:w="2658" w:type="dxa"/>
                  <w:vMerge w:val="continue"/>
                  <w:tcBorders>
                    <w:top w:val="nil"/>
                  </w:tcBorders>
                  <w:vAlign w:val="top"/>
                </w:tcPr>
                <w:p w14:paraId="51868674">
                  <w:pPr>
                    <w:rPr>
                      <w:rFonts w:ascii="Arial"/>
                      <w:sz w:val="21"/>
                    </w:rPr>
                  </w:pPr>
                </w:p>
              </w:tc>
              <w:tc>
                <w:tcPr>
                  <w:tcW w:w="2415" w:type="dxa"/>
                  <w:vMerge w:val="continue"/>
                  <w:tcBorders>
                    <w:top w:val="nil"/>
                  </w:tcBorders>
                  <w:vAlign w:val="top"/>
                </w:tcPr>
                <w:p w14:paraId="34C11A9D">
                  <w:pPr>
                    <w:rPr>
                      <w:rFonts w:ascii="Arial"/>
                      <w:sz w:val="21"/>
                    </w:rPr>
                  </w:pPr>
                </w:p>
              </w:tc>
              <w:tc>
                <w:tcPr>
                  <w:tcW w:w="1632" w:type="dxa"/>
                  <w:vMerge w:val="restart"/>
                  <w:tcBorders>
                    <w:bottom w:val="nil"/>
                  </w:tcBorders>
                  <w:vAlign w:val="top"/>
                </w:tcPr>
                <w:p w14:paraId="5A3B380D">
                  <w:pPr>
                    <w:spacing w:before="25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204.38</w:t>
                  </w:r>
                </w:p>
              </w:tc>
            </w:tr>
            <w:tr w14:paraId="05DCB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4162C5F6">
                  <w:pPr>
                    <w:spacing w:before="254" w:line="192" w:lineRule="auto"/>
                    <w:ind w:left="5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58" w:type="dxa"/>
                  <w:vMerge w:val="restart"/>
                  <w:tcBorders>
                    <w:bottom w:val="nil"/>
                  </w:tcBorders>
                  <w:vAlign w:val="top"/>
                </w:tcPr>
                <w:p w14:paraId="1DA811F3">
                  <w:pPr>
                    <w:spacing w:before="25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4358991.6315</w:t>
                  </w:r>
                </w:p>
              </w:tc>
              <w:tc>
                <w:tcPr>
                  <w:tcW w:w="2415" w:type="dxa"/>
                  <w:vMerge w:val="restart"/>
                  <w:tcBorders>
                    <w:bottom w:val="nil"/>
                  </w:tcBorders>
                  <w:vAlign w:val="top"/>
                </w:tcPr>
                <w:p w14:paraId="28B01760">
                  <w:pPr>
                    <w:spacing w:before="25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36415041.0642</w:t>
                  </w:r>
                </w:p>
              </w:tc>
              <w:tc>
                <w:tcPr>
                  <w:tcW w:w="1632" w:type="dxa"/>
                  <w:vMerge w:val="continue"/>
                  <w:tcBorders>
                    <w:top w:val="nil"/>
                  </w:tcBorders>
                  <w:vAlign w:val="top"/>
                </w:tcPr>
                <w:p w14:paraId="63672E63">
                  <w:pPr>
                    <w:rPr>
                      <w:rFonts w:ascii="Arial"/>
                      <w:sz w:val="21"/>
                    </w:rPr>
                  </w:pPr>
                </w:p>
              </w:tc>
            </w:tr>
            <w:tr w14:paraId="330D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1FDBBB04">
                  <w:pPr>
                    <w:rPr>
                      <w:rFonts w:ascii="Arial"/>
                      <w:sz w:val="21"/>
                    </w:rPr>
                  </w:pPr>
                </w:p>
              </w:tc>
              <w:tc>
                <w:tcPr>
                  <w:tcW w:w="2658" w:type="dxa"/>
                  <w:vMerge w:val="continue"/>
                  <w:tcBorders>
                    <w:top w:val="nil"/>
                  </w:tcBorders>
                  <w:vAlign w:val="top"/>
                </w:tcPr>
                <w:p w14:paraId="76D34529">
                  <w:pPr>
                    <w:rPr>
                      <w:rFonts w:ascii="Arial"/>
                      <w:sz w:val="21"/>
                    </w:rPr>
                  </w:pPr>
                </w:p>
              </w:tc>
              <w:tc>
                <w:tcPr>
                  <w:tcW w:w="2415" w:type="dxa"/>
                  <w:vMerge w:val="continue"/>
                  <w:tcBorders>
                    <w:top w:val="nil"/>
                  </w:tcBorders>
                  <w:vAlign w:val="top"/>
                </w:tcPr>
                <w:p w14:paraId="68085037">
                  <w:pPr>
                    <w:rPr>
                      <w:rFonts w:ascii="Arial"/>
                      <w:sz w:val="21"/>
                    </w:rPr>
                  </w:pPr>
                </w:p>
              </w:tc>
              <w:tc>
                <w:tcPr>
                  <w:tcW w:w="1632" w:type="dxa"/>
                  <w:vMerge w:val="restart"/>
                  <w:tcBorders>
                    <w:bottom w:val="nil"/>
                  </w:tcBorders>
                  <w:vAlign w:val="top"/>
                </w:tcPr>
                <w:p w14:paraId="12CCF99C">
                  <w:pPr>
                    <w:spacing w:before="251"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27.65</w:t>
                  </w:r>
                </w:p>
              </w:tc>
            </w:tr>
            <w:tr w14:paraId="47DCC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39" w:type="dxa"/>
                  <w:vMerge w:val="restart"/>
                  <w:tcBorders>
                    <w:bottom w:val="nil"/>
                  </w:tcBorders>
                  <w:vAlign w:val="top"/>
                </w:tcPr>
                <w:p w14:paraId="4440BF7B">
                  <w:pPr>
                    <w:spacing w:before="2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58" w:type="dxa"/>
                  <w:vMerge w:val="restart"/>
                  <w:tcBorders>
                    <w:bottom w:val="nil"/>
                  </w:tcBorders>
                  <w:vAlign w:val="top"/>
                </w:tcPr>
                <w:p w14:paraId="273AA1B6">
                  <w:pPr>
                    <w:spacing w:before="253"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4358992.2201</w:t>
                  </w:r>
                </w:p>
              </w:tc>
              <w:tc>
                <w:tcPr>
                  <w:tcW w:w="2415" w:type="dxa"/>
                  <w:vMerge w:val="restart"/>
                  <w:tcBorders>
                    <w:bottom w:val="nil"/>
                  </w:tcBorders>
                  <w:vAlign w:val="top"/>
                </w:tcPr>
                <w:p w14:paraId="1D9B1CFF">
                  <w:pPr>
                    <w:spacing w:before="253"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36415013.4247</w:t>
                  </w:r>
                </w:p>
              </w:tc>
              <w:tc>
                <w:tcPr>
                  <w:tcW w:w="1632" w:type="dxa"/>
                  <w:vMerge w:val="continue"/>
                  <w:tcBorders>
                    <w:top w:val="nil"/>
                  </w:tcBorders>
                  <w:vAlign w:val="top"/>
                </w:tcPr>
                <w:p w14:paraId="6901C146">
                  <w:pPr>
                    <w:rPr>
                      <w:rFonts w:ascii="Arial"/>
                      <w:sz w:val="21"/>
                    </w:rPr>
                  </w:pPr>
                </w:p>
              </w:tc>
            </w:tr>
            <w:tr w14:paraId="57959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continue"/>
                  <w:tcBorders>
                    <w:top w:val="nil"/>
                  </w:tcBorders>
                  <w:vAlign w:val="top"/>
                </w:tcPr>
                <w:p w14:paraId="3E55DD99">
                  <w:pPr>
                    <w:rPr>
                      <w:rFonts w:ascii="Arial"/>
                      <w:sz w:val="21"/>
                    </w:rPr>
                  </w:pPr>
                </w:p>
              </w:tc>
              <w:tc>
                <w:tcPr>
                  <w:tcW w:w="2658" w:type="dxa"/>
                  <w:vMerge w:val="continue"/>
                  <w:tcBorders>
                    <w:top w:val="nil"/>
                  </w:tcBorders>
                  <w:vAlign w:val="top"/>
                </w:tcPr>
                <w:p w14:paraId="507FE720">
                  <w:pPr>
                    <w:rPr>
                      <w:rFonts w:ascii="Arial"/>
                      <w:sz w:val="21"/>
                    </w:rPr>
                  </w:pPr>
                </w:p>
              </w:tc>
              <w:tc>
                <w:tcPr>
                  <w:tcW w:w="2415" w:type="dxa"/>
                  <w:vMerge w:val="continue"/>
                  <w:tcBorders>
                    <w:top w:val="nil"/>
                  </w:tcBorders>
                  <w:vAlign w:val="top"/>
                </w:tcPr>
                <w:p w14:paraId="3375336A">
                  <w:pPr>
                    <w:rPr>
                      <w:rFonts w:ascii="Arial"/>
                      <w:sz w:val="21"/>
                    </w:rPr>
                  </w:pPr>
                </w:p>
              </w:tc>
              <w:tc>
                <w:tcPr>
                  <w:tcW w:w="1632" w:type="dxa"/>
                  <w:vMerge w:val="restart"/>
                  <w:tcBorders>
                    <w:bottom w:val="nil"/>
                  </w:tcBorders>
                  <w:vAlign w:val="top"/>
                </w:tcPr>
                <w:p w14:paraId="2D7ED5EE">
                  <w:pPr>
                    <w:spacing w:before="253" w:line="195" w:lineRule="auto"/>
                    <w:ind w:left="548"/>
                    <w:rPr>
                      <w:rFonts w:ascii="Times New Roman" w:hAnsi="Times New Roman" w:eastAsia="Times New Roman" w:cs="Times New Roman"/>
                      <w:sz w:val="20"/>
                      <w:szCs w:val="20"/>
                    </w:rPr>
                  </w:pPr>
                  <w:r>
                    <w:rPr>
                      <w:rFonts w:ascii="Times New Roman" w:hAnsi="Times New Roman" w:eastAsia="Times New Roman" w:cs="Times New Roman"/>
                      <w:sz w:val="20"/>
                      <w:szCs w:val="20"/>
                    </w:rPr>
                    <w:t>181.34</w:t>
                  </w:r>
                </w:p>
              </w:tc>
            </w:tr>
            <w:tr w14:paraId="0593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39" w:type="dxa"/>
                  <w:vMerge w:val="restart"/>
                  <w:tcBorders>
                    <w:bottom w:val="nil"/>
                  </w:tcBorders>
                  <w:vAlign w:val="top"/>
                </w:tcPr>
                <w:p w14:paraId="0BC6AAAB">
                  <w:pPr>
                    <w:spacing w:before="220" w:line="192"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58" w:type="dxa"/>
                  <w:vMerge w:val="restart"/>
                  <w:tcBorders>
                    <w:bottom w:val="nil"/>
                  </w:tcBorders>
                  <w:vAlign w:val="top"/>
                </w:tcPr>
                <w:p w14:paraId="3ACA91EE">
                  <w:pPr>
                    <w:spacing w:before="21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4359153.8760</w:t>
                  </w:r>
                </w:p>
              </w:tc>
              <w:tc>
                <w:tcPr>
                  <w:tcW w:w="2415" w:type="dxa"/>
                  <w:vMerge w:val="restart"/>
                  <w:tcBorders>
                    <w:bottom w:val="nil"/>
                  </w:tcBorders>
                  <w:vAlign w:val="top"/>
                </w:tcPr>
                <w:p w14:paraId="15DF51F9">
                  <w:pPr>
                    <w:spacing w:before="217"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36414931.2525</w:t>
                  </w:r>
                </w:p>
              </w:tc>
              <w:tc>
                <w:tcPr>
                  <w:tcW w:w="1632" w:type="dxa"/>
                  <w:vMerge w:val="continue"/>
                  <w:tcBorders>
                    <w:top w:val="nil"/>
                  </w:tcBorders>
                  <w:vAlign w:val="top"/>
                </w:tcPr>
                <w:p w14:paraId="4DD0EE97">
                  <w:pPr>
                    <w:rPr>
                      <w:rFonts w:ascii="Arial"/>
                      <w:sz w:val="21"/>
                    </w:rPr>
                  </w:pPr>
                </w:p>
              </w:tc>
            </w:tr>
            <w:tr w14:paraId="45E39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239" w:type="dxa"/>
                  <w:vMerge w:val="continue"/>
                  <w:tcBorders>
                    <w:top w:val="nil"/>
                  </w:tcBorders>
                  <w:vAlign w:val="top"/>
                </w:tcPr>
                <w:p w14:paraId="67B475F3">
                  <w:pPr>
                    <w:rPr>
                      <w:rFonts w:ascii="Arial"/>
                      <w:sz w:val="21"/>
                    </w:rPr>
                  </w:pPr>
                </w:p>
              </w:tc>
              <w:tc>
                <w:tcPr>
                  <w:tcW w:w="2658" w:type="dxa"/>
                  <w:vMerge w:val="continue"/>
                  <w:tcBorders>
                    <w:top w:val="nil"/>
                  </w:tcBorders>
                  <w:vAlign w:val="top"/>
                </w:tcPr>
                <w:p w14:paraId="4371992B">
                  <w:pPr>
                    <w:rPr>
                      <w:rFonts w:ascii="Arial"/>
                      <w:sz w:val="21"/>
                    </w:rPr>
                  </w:pPr>
                </w:p>
              </w:tc>
              <w:tc>
                <w:tcPr>
                  <w:tcW w:w="2415" w:type="dxa"/>
                  <w:vMerge w:val="continue"/>
                  <w:tcBorders>
                    <w:top w:val="nil"/>
                  </w:tcBorders>
                  <w:vAlign w:val="top"/>
                </w:tcPr>
                <w:p w14:paraId="17FE81C9">
                  <w:pPr>
                    <w:rPr>
                      <w:rFonts w:ascii="Arial"/>
                      <w:sz w:val="21"/>
                    </w:rPr>
                  </w:pPr>
                </w:p>
              </w:tc>
              <w:tc>
                <w:tcPr>
                  <w:tcW w:w="1632" w:type="dxa"/>
                  <w:vAlign w:val="top"/>
                </w:tcPr>
                <w:p w14:paraId="37FB6378">
                  <w:pPr>
                    <w:spacing w:before="53" w:line="192"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F732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44" w:type="dxa"/>
                  <w:gridSpan w:val="4"/>
                  <w:vAlign w:val="top"/>
                </w:tcPr>
                <w:p w14:paraId="3D829E27">
                  <w:pPr>
                    <w:spacing w:line="240" w:lineRule="exact"/>
                    <w:ind w:left="11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S=35000m</w:t>
                  </w:r>
                  <w:r>
                    <w:rPr>
                      <w:rFonts w:ascii="Times New Roman" w:hAnsi="Times New Roman" w:eastAsia="Times New Roman" w:cs="Times New Roman"/>
                      <w:spacing w:val="3"/>
                      <w:position w:val="6"/>
                      <w:sz w:val="13"/>
                      <w:szCs w:val="13"/>
                    </w:rPr>
                    <w:t>2</w:t>
                  </w:r>
                </w:p>
              </w:tc>
            </w:tr>
          </w:tbl>
          <w:p w14:paraId="3E8ADE25">
            <w:pPr>
              <w:pStyle w:val="6"/>
              <w:spacing w:before="192"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）场址现状与四邻关系</w:t>
            </w:r>
          </w:p>
          <w:p w14:paraId="5E020CB5">
            <w:pPr>
              <w:pStyle w:val="6"/>
              <w:spacing w:before="182" w:line="361" w:lineRule="auto"/>
              <w:ind w:left="113" w:right="27" w:firstLine="480"/>
              <w:rPr>
                <w:sz w:val="24"/>
                <w:szCs w:val="24"/>
              </w:rPr>
            </w:pPr>
            <w:r>
              <w:rPr>
                <w:spacing w:val="1"/>
                <w:sz w:val="24"/>
                <w:szCs w:val="24"/>
              </w:rPr>
              <w:t>本项目拟建场址现状为空地，东侧为空地、金海路</w:t>
            </w:r>
            <w:r>
              <w:rPr>
                <w:sz w:val="24"/>
                <w:szCs w:val="24"/>
              </w:rPr>
              <w:t xml:space="preserve">，西侧有棋盘井泰发 </w:t>
            </w:r>
            <w:r>
              <w:rPr>
                <w:spacing w:val="-6"/>
                <w:sz w:val="24"/>
                <w:szCs w:val="24"/>
              </w:rPr>
              <w:t>祥汽车城，西南侧有一加油站（距离本项目停车区约</w:t>
            </w:r>
            <w:r>
              <w:rPr>
                <w:spacing w:val="-31"/>
                <w:sz w:val="24"/>
                <w:szCs w:val="24"/>
              </w:rPr>
              <w:t xml:space="preserve"> </w:t>
            </w:r>
            <w:r>
              <w:rPr>
                <w:rFonts w:ascii="Times New Roman" w:hAnsi="Times New Roman" w:eastAsia="Times New Roman" w:cs="Times New Roman"/>
                <w:spacing w:val="-6"/>
                <w:sz w:val="24"/>
                <w:szCs w:val="24"/>
              </w:rPr>
              <w:t>170m</w:t>
            </w:r>
            <w:r>
              <w:rPr>
                <w:spacing w:val="-45"/>
                <w:sz w:val="24"/>
                <w:szCs w:val="24"/>
              </w:rPr>
              <w:t>），</w:t>
            </w:r>
            <w:r>
              <w:rPr>
                <w:spacing w:val="-6"/>
                <w:sz w:val="24"/>
                <w:szCs w:val="24"/>
              </w:rPr>
              <w:t>南侧为南环路、</w:t>
            </w:r>
            <w:r>
              <w:rPr>
                <w:sz w:val="24"/>
                <w:szCs w:val="24"/>
              </w:rPr>
              <w:t xml:space="preserve"> </w:t>
            </w:r>
            <w:r>
              <w:rPr>
                <w:spacing w:val="-1"/>
                <w:sz w:val="24"/>
                <w:szCs w:val="24"/>
              </w:rPr>
              <w:t>京拉线，北侧为空地和工业街，四邻情况详见图</w:t>
            </w:r>
            <w:r>
              <w:rPr>
                <w:spacing w:val="-48"/>
                <w:sz w:val="24"/>
                <w:szCs w:val="24"/>
              </w:rPr>
              <w:t xml:space="preserve"> </w:t>
            </w:r>
            <w:r>
              <w:rPr>
                <w:rFonts w:ascii="Times New Roman" w:hAnsi="Times New Roman" w:eastAsia="Times New Roman" w:cs="Times New Roman"/>
                <w:spacing w:val="-1"/>
                <w:sz w:val="24"/>
                <w:szCs w:val="24"/>
              </w:rPr>
              <w:t>2-1</w:t>
            </w:r>
            <w:r>
              <w:rPr>
                <w:spacing w:val="-1"/>
                <w:sz w:val="24"/>
                <w:szCs w:val="24"/>
              </w:rPr>
              <w:t>。</w:t>
            </w:r>
          </w:p>
        </w:tc>
      </w:tr>
    </w:tbl>
    <w:p w14:paraId="1BEFB48F">
      <w:pPr>
        <w:pStyle w:val="2"/>
      </w:pPr>
    </w:p>
    <w:p w14:paraId="67FCC31A">
      <w:pPr>
        <w:sectPr>
          <w:footerReference r:id="rId33" w:type="default"/>
          <w:pgSz w:w="11906" w:h="16839"/>
          <w:pgMar w:top="400" w:right="1588" w:bottom="1259" w:left="1687" w:header="0" w:footer="1097" w:gutter="0"/>
          <w:cols w:space="720" w:num="1"/>
        </w:sectPr>
      </w:pPr>
    </w:p>
    <w:p w14:paraId="4F2B9445">
      <w:pPr>
        <w:spacing w:before="19"/>
      </w:pPr>
    </w:p>
    <w:p w14:paraId="4A65FEE1">
      <w:pPr>
        <w:spacing w:before="19"/>
      </w:pPr>
    </w:p>
    <w:p w14:paraId="0331ACAE">
      <w:pPr>
        <w:spacing w:before="18"/>
      </w:pPr>
    </w:p>
    <w:p w14:paraId="60DF243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0A405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0" w:hRule="atLeast"/>
        </w:trPr>
        <w:tc>
          <w:tcPr>
            <w:tcW w:w="456" w:type="dxa"/>
            <w:vMerge w:val="restart"/>
            <w:tcBorders>
              <w:bottom w:val="nil"/>
            </w:tcBorders>
            <w:vAlign w:val="top"/>
          </w:tcPr>
          <w:p w14:paraId="29756B46">
            <w:pPr>
              <w:rPr>
                <w:rFonts w:ascii="Arial"/>
                <w:sz w:val="21"/>
              </w:rPr>
            </w:pPr>
          </w:p>
        </w:tc>
        <w:tc>
          <w:tcPr>
            <w:tcW w:w="8169" w:type="dxa"/>
            <w:gridSpan w:val="5"/>
            <w:tcBorders>
              <w:bottom w:val="nil"/>
            </w:tcBorders>
            <w:vAlign w:val="top"/>
          </w:tcPr>
          <w:p w14:paraId="04D835D2">
            <w:pPr>
              <w:spacing w:before="4" w:line="5635" w:lineRule="exact"/>
              <w:ind w:firstLine="102"/>
            </w:pPr>
            <w:r>
              <w:rPr>
                <w:position w:val="-112"/>
              </w:rPr>
              <w:drawing>
                <wp:inline distT="0" distB="0" distL="0" distR="0">
                  <wp:extent cx="5056505" cy="35782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0"/>
                          <a:stretch>
                            <a:fillRect/>
                          </a:stretch>
                        </pic:blipFill>
                        <pic:spPr>
                          <a:xfrm>
                            <a:off x="0" y="0"/>
                            <a:ext cx="5056632" cy="3578479"/>
                          </a:xfrm>
                          <a:prstGeom prst="rect">
                            <a:avLst/>
                          </a:prstGeom>
                        </pic:spPr>
                      </pic:pic>
                    </a:graphicData>
                  </a:graphic>
                </wp:inline>
              </w:drawing>
            </w:r>
          </w:p>
        </w:tc>
      </w:tr>
      <w:tr w14:paraId="26CCB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456" w:type="dxa"/>
            <w:vMerge w:val="continue"/>
            <w:tcBorders>
              <w:top w:val="nil"/>
              <w:bottom w:val="nil"/>
            </w:tcBorders>
            <w:vAlign w:val="top"/>
          </w:tcPr>
          <w:p w14:paraId="129D087B">
            <w:pPr>
              <w:rPr>
                <w:rFonts w:ascii="Arial"/>
                <w:sz w:val="21"/>
              </w:rPr>
            </w:pPr>
          </w:p>
        </w:tc>
        <w:tc>
          <w:tcPr>
            <w:tcW w:w="8169" w:type="dxa"/>
            <w:gridSpan w:val="5"/>
            <w:tcBorders>
              <w:top w:val="nil"/>
            </w:tcBorders>
            <w:vAlign w:val="top"/>
          </w:tcPr>
          <w:p w14:paraId="40DCED66">
            <w:pPr>
              <w:pStyle w:val="6"/>
              <w:spacing w:before="168" w:line="227" w:lineRule="auto"/>
              <w:ind w:left="2783"/>
              <w:outlineLvl w:val="1"/>
              <w:rPr>
                <w:sz w:val="20"/>
                <w:szCs w:val="20"/>
              </w:rPr>
            </w:pPr>
            <w:r>
              <w:rPr>
                <w:b/>
                <w:bCs/>
                <w:spacing w:val="4"/>
                <w:sz w:val="20"/>
                <w:szCs w:val="20"/>
              </w:rPr>
              <w:t>图</w:t>
            </w:r>
            <w:r>
              <w:rPr>
                <w:spacing w:val="-36"/>
                <w:sz w:val="20"/>
                <w:szCs w:val="20"/>
              </w:rPr>
              <w:t xml:space="preserve"> </w:t>
            </w:r>
            <w:r>
              <w:rPr>
                <w:rFonts w:ascii="Times New Roman" w:hAnsi="Times New Roman" w:eastAsia="Times New Roman" w:cs="Times New Roman"/>
                <w:b/>
                <w:bCs/>
                <w:spacing w:val="4"/>
                <w:sz w:val="20"/>
                <w:szCs w:val="20"/>
              </w:rPr>
              <w:t xml:space="preserve">2-1    </w:t>
            </w:r>
            <w:r>
              <w:rPr>
                <w:b/>
                <w:bCs/>
                <w:spacing w:val="4"/>
                <w:sz w:val="20"/>
                <w:szCs w:val="20"/>
              </w:rPr>
              <w:t>拟建场址四邻关系图</w:t>
            </w:r>
          </w:p>
          <w:p w14:paraId="4487075C">
            <w:pPr>
              <w:pStyle w:val="6"/>
              <w:spacing w:before="169" w:line="219" w:lineRule="auto"/>
              <w:ind w:left="108"/>
              <w:outlineLvl w:val="1"/>
              <w:rPr>
                <w:sz w:val="24"/>
                <w:szCs w:val="24"/>
              </w:rPr>
            </w:pPr>
            <w:r>
              <w:rPr>
                <w:rFonts w:ascii="Times New Roman" w:hAnsi="Times New Roman" w:eastAsia="Times New Roman" w:cs="Times New Roman"/>
                <w:b/>
                <w:bCs/>
                <w:spacing w:val="-6"/>
                <w:sz w:val="24"/>
                <w:szCs w:val="24"/>
              </w:rPr>
              <w:t>4</w:t>
            </w:r>
            <w:r>
              <w:rPr>
                <w:rFonts w:ascii="Times New Roman" w:hAnsi="Times New Roman" w:eastAsia="Times New Roman" w:cs="Times New Roman"/>
                <w:b/>
                <w:bCs/>
                <w:spacing w:val="-26"/>
                <w:sz w:val="24"/>
                <w:szCs w:val="24"/>
              </w:rPr>
              <w:t xml:space="preserve"> </w:t>
            </w:r>
            <w:r>
              <w:rPr>
                <w:b/>
                <w:bCs/>
                <w:spacing w:val="-6"/>
                <w:sz w:val="24"/>
                <w:szCs w:val="24"/>
              </w:rPr>
              <w:t>、建设内容与规模</w:t>
            </w:r>
          </w:p>
          <w:p w14:paraId="627F0B4A">
            <w:pPr>
              <w:pStyle w:val="6"/>
              <w:spacing w:before="177" w:line="359" w:lineRule="auto"/>
              <w:ind w:left="112"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2"/>
                <w:sz w:val="24"/>
                <w:szCs w:val="24"/>
              </w:rPr>
              <w:t>设项目，建设内容主要为停车位</w:t>
            </w:r>
            <w:r>
              <w:rPr>
                <w:spacing w:val="-50"/>
                <w:sz w:val="24"/>
                <w:szCs w:val="24"/>
              </w:rPr>
              <w:t xml:space="preserve"> </w:t>
            </w:r>
            <w:r>
              <w:rPr>
                <w:rFonts w:ascii="Times New Roman" w:hAnsi="Times New Roman" w:eastAsia="Times New Roman" w:cs="Times New Roman"/>
                <w:spacing w:val="-2"/>
                <w:sz w:val="24"/>
                <w:szCs w:val="24"/>
              </w:rPr>
              <w:t xml:space="preserve">92 </w:t>
            </w:r>
            <w:r>
              <w:rPr>
                <w:spacing w:val="-2"/>
                <w:sz w:val="24"/>
                <w:szCs w:val="24"/>
              </w:rPr>
              <w:t>个（空载车位</w:t>
            </w:r>
            <w:r>
              <w:rPr>
                <w:spacing w:val="-45"/>
                <w:sz w:val="24"/>
                <w:szCs w:val="24"/>
              </w:rPr>
              <w:t xml:space="preserve"> </w:t>
            </w:r>
            <w:r>
              <w:rPr>
                <w:rFonts w:ascii="Times New Roman" w:hAnsi="Times New Roman" w:eastAsia="Times New Roman" w:cs="Times New Roman"/>
                <w:spacing w:val="-2"/>
                <w:sz w:val="24"/>
                <w:szCs w:val="24"/>
              </w:rPr>
              <w:t xml:space="preserve">82 </w:t>
            </w:r>
            <w:r>
              <w:rPr>
                <w:spacing w:val="-2"/>
                <w:sz w:val="24"/>
                <w:szCs w:val="24"/>
              </w:rPr>
              <w:t>个、重在车位</w:t>
            </w:r>
            <w:r>
              <w:rPr>
                <w:spacing w:val="-32"/>
                <w:sz w:val="24"/>
                <w:szCs w:val="24"/>
              </w:rPr>
              <w:t xml:space="preserve"> </w:t>
            </w:r>
            <w:r>
              <w:rPr>
                <w:rFonts w:ascii="Times New Roman" w:hAnsi="Times New Roman" w:eastAsia="Times New Roman" w:cs="Times New Roman"/>
                <w:spacing w:val="-2"/>
                <w:sz w:val="24"/>
                <w:szCs w:val="24"/>
              </w:rPr>
              <w:t xml:space="preserve">10 </w:t>
            </w:r>
            <w:r>
              <w:rPr>
                <w:spacing w:val="-2"/>
                <w:sz w:val="24"/>
                <w:szCs w:val="24"/>
              </w:rPr>
              <w:t>个</w:t>
            </w:r>
            <w:r>
              <w:rPr>
                <w:spacing w:val="1"/>
                <w:sz w:val="24"/>
                <w:szCs w:val="24"/>
              </w:rPr>
              <w:t>），</w:t>
            </w:r>
            <w:r>
              <w:rPr>
                <w:sz w:val="24"/>
                <w:szCs w:val="24"/>
              </w:rPr>
              <w:t xml:space="preserve"> </w:t>
            </w:r>
            <w:r>
              <w:rPr>
                <w:spacing w:val="1"/>
                <w:sz w:val="24"/>
                <w:szCs w:val="24"/>
              </w:rPr>
              <w:t>配套综合管理用房、餐厅、污水处理间、危废暂存间</w:t>
            </w:r>
            <w:r>
              <w:rPr>
                <w:sz w:val="24"/>
                <w:szCs w:val="24"/>
              </w:rPr>
              <w:t xml:space="preserve">、消防水泵房、汽车维 </w:t>
            </w:r>
            <w:r>
              <w:rPr>
                <w:spacing w:val="-2"/>
                <w:sz w:val="24"/>
                <w:szCs w:val="24"/>
              </w:rPr>
              <w:t>修间、洗车间（仅清洗空车外壁）、门卫（</w:t>
            </w:r>
            <w:r>
              <w:rPr>
                <w:rFonts w:ascii="Times New Roman" w:hAnsi="Times New Roman" w:eastAsia="Times New Roman" w:cs="Times New Roman"/>
                <w:spacing w:val="-2"/>
                <w:sz w:val="24"/>
                <w:szCs w:val="24"/>
              </w:rPr>
              <w:t xml:space="preserve">2 </w:t>
            </w:r>
            <w:r>
              <w:rPr>
                <w:spacing w:val="-2"/>
                <w:sz w:val="24"/>
                <w:szCs w:val="24"/>
              </w:rPr>
              <w:t>座）、消防水池</w:t>
            </w:r>
            <w:r>
              <w:rPr>
                <w:spacing w:val="-3"/>
                <w:sz w:val="24"/>
                <w:szCs w:val="24"/>
              </w:rPr>
              <w:t>、初期雨水池、</w:t>
            </w:r>
            <w:r>
              <w:rPr>
                <w:sz w:val="24"/>
                <w:szCs w:val="24"/>
              </w:rPr>
              <w:t xml:space="preserve"> </w:t>
            </w:r>
            <w:r>
              <w:rPr>
                <w:spacing w:val="-1"/>
                <w:sz w:val="24"/>
                <w:szCs w:val="24"/>
              </w:rPr>
              <w:t>事故应急池等附属设施，建设内容与规模详见表</w:t>
            </w:r>
            <w:r>
              <w:rPr>
                <w:spacing w:val="-47"/>
                <w:sz w:val="24"/>
                <w:szCs w:val="24"/>
              </w:rPr>
              <w:t xml:space="preserve"> </w:t>
            </w:r>
            <w:r>
              <w:rPr>
                <w:rFonts w:ascii="Times New Roman" w:hAnsi="Times New Roman" w:eastAsia="Times New Roman" w:cs="Times New Roman"/>
                <w:spacing w:val="-1"/>
                <w:sz w:val="24"/>
                <w:szCs w:val="24"/>
              </w:rPr>
              <w:t>2-2</w:t>
            </w:r>
            <w:r>
              <w:rPr>
                <w:spacing w:val="-1"/>
                <w:sz w:val="24"/>
                <w:szCs w:val="24"/>
              </w:rPr>
              <w:t>。</w:t>
            </w:r>
          </w:p>
          <w:p w14:paraId="23E3624C">
            <w:pPr>
              <w:pStyle w:val="6"/>
              <w:spacing w:line="228" w:lineRule="auto"/>
              <w:ind w:left="2973"/>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项目组成一览表</w:t>
            </w:r>
          </w:p>
        </w:tc>
      </w:tr>
      <w:tr w14:paraId="3931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54FF88A1">
            <w:pPr>
              <w:rPr>
                <w:rFonts w:ascii="Arial"/>
                <w:sz w:val="21"/>
              </w:rPr>
            </w:pPr>
          </w:p>
        </w:tc>
        <w:tc>
          <w:tcPr>
            <w:tcW w:w="113" w:type="dxa"/>
            <w:tcBorders>
              <w:top w:val="nil"/>
              <w:bottom w:val="nil"/>
            </w:tcBorders>
            <w:vAlign w:val="top"/>
          </w:tcPr>
          <w:p w14:paraId="16A92BD8">
            <w:pPr>
              <w:rPr>
                <w:rFonts w:ascii="Arial"/>
                <w:sz w:val="21"/>
              </w:rPr>
            </w:pPr>
          </w:p>
        </w:tc>
        <w:tc>
          <w:tcPr>
            <w:tcW w:w="1102" w:type="dxa"/>
            <w:vAlign w:val="top"/>
          </w:tcPr>
          <w:p w14:paraId="410A03E3">
            <w:pPr>
              <w:pStyle w:val="6"/>
              <w:spacing w:before="33" w:line="216" w:lineRule="auto"/>
              <w:ind w:left="137"/>
              <w:rPr>
                <w:sz w:val="20"/>
                <w:szCs w:val="20"/>
              </w:rPr>
            </w:pPr>
            <w:r>
              <w:rPr>
                <w:spacing w:val="6"/>
                <w:sz w:val="20"/>
                <w:szCs w:val="20"/>
              </w:rPr>
              <w:t>工程类型</w:t>
            </w:r>
          </w:p>
        </w:tc>
        <w:tc>
          <w:tcPr>
            <w:tcW w:w="1502" w:type="dxa"/>
            <w:vAlign w:val="top"/>
          </w:tcPr>
          <w:p w14:paraId="0C4B19E5">
            <w:pPr>
              <w:pStyle w:val="6"/>
              <w:spacing w:before="33" w:line="216" w:lineRule="auto"/>
              <w:ind w:left="338"/>
              <w:rPr>
                <w:sz w:val="20"/>
                <w:szCs w:val="20"/>
              </w:rPr>
            </w:pPr>
            <w:r>
              <w:rPr>
                <w:spacing w:val="6"/>
                <w:sz w:val="20"/>
                <w:szCs w:val="20"/>
              </w:rPr>
              <w:t>建设内容</w:t>
            </w:r>
          </w:p>
        </w:tc>
        <w:tc>
          <w:tcPr>
            <w:tcW w:w="5334" w:type="dxa"/>
            <w:vAlign w:val="top"/>
          </w:tcPr>
          <w:p w14:paraId="0573177C">
            <w:pPr>
              <w:pStyle w:val="6"/>
              <w:spacing w:before="33" w:line="216" w:lineRule="auto"/>
              <w:ind w:left="2047"/>
              <w:rPr>
                <w:sz w:val="20"/>
                <w:szCs w:val="20"/>
              </w:rPr>
            </w:pPr>
            <w:r>
              <w:rPr>
                <w:spacing w:val="7"/>
                <w:sz w:val="20"/>
                <w:szCs w:val="20"/>
              </w:rPr>
              <w:t>具体建设情况</w:t>
            </w:r>
          </w:p>
        </w:tc>
        <w:tc>
          <w:tcPr>
            <w:tcW w:w="118" w:type="dxa"/>
            <w:tcBorders>
              <w:top w:val="nil"/>
              <w:bottom w:val="nil"/>
            </w:tcBorders>
            <w:vAlign w:val="top"/>
          </w:tcPr>
          <w:p w14:paraId="4CB63C2E">
            <w:pPr>
              <w:rPr>
                <w:rFonts w:ascii="Arial"/>
                <w:sz w:val="21"/>
              </w:rPr>
            </w:pPr>
          </w:p>
        </w:tc>
      </w:tr>
      <w:tr w14:paraId="262FE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56" w:type="dxa"/>
            <w:vMerge w:val="continue"/>
            <w:tcBorders>
              <w:top w:val="nil"/>
              <w:bottom w:val="nil"/>
            </w:tcBorders>
            <w:vAlign w:val="top"/>
          </w:tcPr>
          <w:p w14:paraId="23503A7F">
            <w:pPr>
              <w:rPr>
                <w:rFonts w:ascii="Arial"/>
                <w:sz w:val="21"/>
              </w:rPr>
            </w:pPr>
          </w:p>
        </w:tc>
        <w:tc>
          <w:tcPr>
            <w:tcW w:w="113" w:type="dxa"/>
            <w:tcBorders>
              <w:top w:val="nil"/>
              <w:bottom w:val="nil"/>
            </w:tcBorders>
            <w:vAlign w:val="top"/>
          </w:tcPr>
          <w:p w14:paraId="78668C05">
            <w:pPr>
              <w:rPr>
                <w:rFonts w:ascii="Arial"/>
                <w:sz w:val="21"/>
              </w:rPr>
            </w:pPr>
          </w:p>
        </w:tc>
        <w:tc>
          <w:tcPr>
            <w:tcW w:w="1102" w:type="dxa"/>
            <w:vAlign w:val="top"/>
          </w:tcPr>
          <w:p w14:paraId="3E2BE67F">
            <w:pPr>
              <w:spacing w:line="260" w:lineRule="auto"/>
              <w:rPr>
                <w:rFonts w:ascii="Arial"/>
                <w:sz w:val="21"/>
              </w:rPr>
            </w:pPr>
          </w:p>
          <w:p w14:paraId="6C9B300E">
            <w:pPr>
              <w:spacing w:line="260" w:lineRule="auto"/>
              <w:rPr>
                <w:rFonts w:ascii="Arial"/>
                <w:sz w:val="21"/>
              </w:rPr>
            </w:pPr>
          </w:p>
          <w:p w14:paraId="6C82792C">
            <w:pPr>
              <w:spacing w:line="260" w:lineRule="auto"/>
              <w:rPr>
                <w:rFonts w:ascii="Arial"/>
                <w:sz w:val="21"/>
              </w:rPr>
            </w:pPr>
          </w:p>
          <w:p w14:paraId="168D2688">
            <w:pPr>
              <w:pStyle w:val="6"/>
              <w:spacing w:before="65" w:line="228" w:lineRule="auto"/>
              <w:ind w:left="136"/>
              <w:rPr>
                <w:sz w:val="20"/>
                <w:szCs w:val="20"/>
              </w:rPr>
            </w:pPr>
            <w:r>
              <w:rPr>
                <w:spacing w:val="6"/>
                <w:sz w:val="20"/>
                <w:szCs w:val="20"/>
              </w:rPr>
              <w:t>主体工程</w:t>
            </w:r>
          </w:p>
        </w:tc>
        <w:tc>
          <w:tcPr>
            <w:tcW w:w="1502" w:type="dxa"/>
            <w:vAlign w:val="top"/>
          </w:tcPr>
          <w:p w14:paraId="4A33A870">
            <w:pPr>
              <w:spacing w:line="259" w:lineRule="auto"/>
              <w:rPr>
                <w:rFonts w:ascii="Arial"/>
                <w:sz w:val="21"/>
              </w:rPr>
            </w:pPr>
          </w:p>
          <w:p w14:paraId="6BDE098E">
            <w:pPr>
              <w:spacing w:line="260" w:lineRule="auto"/>
              <w:rPr>
                <w:rFonts w:ascii="Arial"/>
                <w:sz w:val="21"/>
              </w:rPr>
            </w:pPr>
          </w:p>
          <w:p w14:paraId="754A1887">
            <w:pPr>
              <w:spacing w:line="260" w:lineRule="auto"/>
              <w:rPr>
                <w:rFonts w:ascii="Arial"/>
                <w:sz w:val="21"/>
              </w:rPr>
            </w:pPr>
          </w:p>
          <w:p w14:paraId="3E3077E0">
            <w:pPr>
              <w:pStyle w:val="6"/>
              <w:spacing w:before="65" w:line="228" w:lineRule="auto"/>
              <w:ind w:left="442"/>
              <w:rPr>
                <w:sz w:val="20"/>
                <w:szCs w:val="20"/>
              </w:rPr>
            </w:pPr>
            <w:r>
              <w:rPr>
                <w:spacing w:val="6"/>
                <w:sz w:val="20"/>
                <w:szCs w:val="20"/>
              </w:rPr>
              <w:t>停车位</w:t>
            </w:r>
          </w:p>
        </w:tc>
        <w:tc>
          <w:tcPr>
            <w:tcW w:w="5334" w:type="dxa"/>
            <w:vAlign w:val="top"/>
          </w:tcPr>
          <w:p w14:paraId="14689C83">
            <w:pPr>
              <w:pStyle w:val="6"/>
              <w:spacing w:before="33" w:line="228" w:lineRule="auto"/>
              <w:ind w:left="176"/>
              <w:rPr>
                <w:sz w:val="20"/>
                <w:szCs w:val="20"/>
              </w:rPr>
            </w:pPr>
            <w:r>
              <w:rPr>
                <w:spacing w:val="6"/>
                <w:sz w:val="20"/>
                <w:szCs w:val="20"/>
              </w:rPr>
              <w:t>总面积</w:t>
            </w:r>
            <w:r>
              <w:rPr>
                <w:spacing w:val="-35"/>
                <w:sz w:val="20"/>
                <w:szCs w:val="20"/>
              </w:rPr>
              <w:t xml:space="preserve"> </w:t>
            </w:r>
            <w:r>
              <w:rPr>
                <w:rFonts w:ascii="Times New Roman" w:hAnsi="Times New Roman" w:eastAsia="Times New Roman" w:cs="Times New Roman"/>
                <w:spacing w:val="6"/>
                <w:sz w:val="20"/>
                <w:szCs w:val="20"/>
              </w:rPr>
              <w:t>5796m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spacing w:val="6"/>
                <w:sz w:val="20"/>
                <w:szCs w:val="20"/>
              </w:rPr>
              <w:t>，停车位共</w:t>
            </w:r>
            <w:r>
              <w:rPr>
                <w:spacing w:val="-37"/>
                <w:sz w:val="20"/>
                <w:szCs w:val="20"/>
              </w:rPr>
              <w:t xml:space="preserve"> </w:t>
            </w:r>
            <w:r>
              <w:rPr>
                <w:rFonts w:ascii="Times New Roman" w:hAnsi="Times New Roman" w:eastAsia="Times New Roman" w:cs="Times New Roman"/>
                <w:spacing w:val="6"/>
                <w:sz w:val="20"/>
                <w:szCs w:val="20"/>
              </w:rPr>
              <w:t xml:space="preserve">92 </w:t>
            </w:r>
            <w:r>
              <w:rPr>
                <w:spacing w:val="6"/>
                <w:sz w:val="20"/>
                <w:szCs w:val="20"/>
              </w:rPr>
              <w:t>个，其中重载车辆停车位</w:t>
            </w:r>
          </w:p>
          <w:p w14:paraId="182477A1">
            <w:pPr>
              <w:pStyle w:val="6"/>
              <w:spacing w:before="24" w:line="228" w:lineRule="auto"/>
              <w:ind w:left="129"/>
              <w:rPr>
                <w:sz w:val="20"/>
                <w:szCs w:val="20"/>
              </w:rPr>
            </w:pPr>
            <w:r>
              <w:rPr>
                <w:rFonts w:ascii="Times New Roman" w:hAnsi="Times New Roman" w:eastAsia="Times New Roman" w:cs="Times New Roman"/>
                <w:spacing w:val="4"/>
                <w:sz w:val="20"/>
                <w:szCs w:val="20"/>
              </w:rPr>
              <w:t xml:space="preserve">10 </w:t>
            </w:r>
            <w:r>
              <w:rPr>
                <w:spacing w:val="4"/>
                <w:sz w:val="20"/>
                <w:szCs w:val="20"/>
              </w:rPr>
              <w:t>个，空车停车位</w:t>
            </w:r>
            <w:r>
              <w:rPr>
                <w:spacing w:val="-19"/>
                <w:sz w:val="20"/>
                <w:szCs w:val="20"/>
              </w:rPr>
              <w:t xml:space="preserve"> </w:t>
            </w:r>
            <w:r>
              <w:rPr>
                <w:rFonts w:ascii="Times New Roman" w:hAnsi="Times New Roman" w:eastAsia="Times New Roman" w:cs="Times New Roman"/>
                <w:spacing w:val="4"/>
                <w:sz w:val="20"/>
                <w:szCs w:val="20"/>
              </w:rPr>
              <w:t xml:space="preserve">82 </w:t>
            </w:r>
            <w:r>
              <w:rPr>
                <w:spacing w:val="4"/>
                <w:sz w:val="20"/>
                <w:szCs w:val="20"/>
              </w:rPr>
              <w:t>个。车辆分区停放，其中易燃可燃</w:t>
            </w:r>
          </w:p>
          <w:p w14:paraId="6722E42E">
            <w:pPr>
              <w:pStyle w:val="6"/>
              <w:spacing w:before="24" w:line="228" w:lineRule="auto"/>
              <w:ind w:left="115"/>
              <w:rPr>
                <w:sz w:val="20"/>
                <w:szCs w:val="20"/>
              </w:rPr>
            </w:pPr>
            <w:r>
              <w:rPr>
                <w:spacing w:val="7"/>
                <w:sz w:val="20"/>
                <w:szCs w:val="20"/>
              </w:rPr>
              <w:t>液体、可燃固体区空车位</w:t>
            </w:r>
            <w:r>
              <w:rPr>
                <w:spacing w:val="-24"/>
                <w:sz w:val="20"/>
                <w:szCs w:val="20"/>
              </w:rPr>
              <w:t xml:space="preserve"> </w:t>
            </w:r>
            <w:r>
              <w:rPr>
                <w:rFonts w:ascii="Times New Roman" w:hAnsi="Times New Roman" w:eastAsia="Times New Roman" w:cs="Times New Roman"/>
                <w:spacing w:val="7"/>
                <w:sz w:val="20"/>
                <w:szCs w:val="20"/>
              </w:rPr>
              <w:t xml:space="preserve">28 </w:t>
            </w:r>
            <w:r>
              <w:rPr>
                <w:spacing w:val="7"/>
                <w:sz w:val="20"/>
                <w:szCs w:val="20"/>
              </w:rPr>
              <w:t>个；不燃气体、酸类、一般</w:t>
            </w:r>
          </w:p>
          <w:p w14:paraId="50071B2F">
            <w:pPr>
              <w:pStyle w:val="6"/>
              <w:spacing w:before="26" w:line="228" w:lineRule="auto"/>
              <w:ind w:left="154"/>
              <w:rPr>
                <w:sz w:val="20"/>
                <w:szCs w:val="20"/>
              </w:rPr>
            </w:pPr>
            <w:r>
              <w:rPr>
                <w:spacing w:val="7"/>
                <w:sz w:val="20"/>
                <w:szCs w:val="20"/>
              </w:rPr>
              <w:t>化学品空车位</w:t>
            </w:r>
            <w:r>
              <w:rPr>
                <w:spacing w:val="-36"/>
                <w:sz w:val="20"/>
                <w:szCs w:val="20"/>
              </w:rPr>
              <w:t xml:space="preserve"> </w:t>
            </w:r>
            <w:r>
              <w:rPr>
                <w:rFonts w:ascii="Times New Roman" w:hAnsi="Times New Roman" w:eastAsia="Times New Roman" w:cs="Times New Roman"/>
                <w:spacing w:val="7"/>
                <w:sz w:val="20"/>
                <w:szCs w:val="20"/>
              </w:rPr>
              <w:t xml:space="preserve">30 </w:t>
            </w:r>
            <w:r>
              <w:rPr>
                <w:spacing w:val="7"/>
                <w:sz w:val="20"/>
                <w:szCs w:val="20"/>
              </w:rPr>
              <w:t>个；可燃气体、碱类空车位</w:t>
            </w:r>
            <w:r>
              <w:rPr>
                <w:spacing w:val="-21"/>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 xml:space="preserve">2 </w:t>
            </w:r>
            <w:r>
              <w:rPr>
                <w:spacing w:val="6"/>
                <w:sz w:val="20"/>
                <w:szCs w:val="20"/>
              </w:rPr>
              <w:t>个；遇</w:t>
            </w:r>
          </w:p>
          <w:p w14:paraId="536C3DB8">
            <w:pPr>
              <w:pStyle w:val="6"/>
              <w:spacing w:before="26" w:line="228" w:lineRule="auto"/>
              <w:ind w:left="115"/>
              <w:rPr>
                <w:sz w:val="20"/>
                <w:szCs w:val="20"/>
              </w:rPr>
            </w:pPr>
            <w:r>
              <w:rPr>
                <w:spacing w:val="6"/>
                <w:sz w:val="20"/>
                <w:szCs w:val="20"/>
              </w:rPr>
              <w:t>水剧烈反应物质空车位</w:t>
            </w:r>
            <w:r>
              <w:rPr>
                <w:spacing w:val="-14"/>
                <w:sz w:val="20"/>
                <w:szCs w:val="20"/>
              </w:rPr>
              <w:t xml:space="preserve"> </w:t>
            </w:r>
            <w:r>
              <w:rPr>
                <w:rFonts w:ascii="Times New Roman" w:hAnsi="Times New Roman" w:eastAsia="Times New Roman" w:cs="Times New Roman"/>
                <w:spacing w:val="6"/>
                <w:sz w:val="20"/>
                <w:szCs w:val="20"/>
              </w:rPr>
              <w:t xml:space="preserve">12 </w:t>
            </w:r>
            <w:r>
              <w:rPr>
                <w:spacing w:val="6"/>
                <w:sz w:val="20"/>
                <w:szCs w:val="20"/>
              </w:rPr>
              <w:t>个、重车位</w:t>
            </w:r>
            <w:r>
              <w:rPr>
                <w:spacing w:val="-41"/>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个；易燃可燃液</w:t>
            </w:r>
          </w:p>
          <w:p w14:paraId="745D1265">
            <w:pPr>
              <w:pStyle w:val="6"/>
              <w:spacing w:before="24" w:line="228" w:lineRule="auto"/>
              <w:ind w:right="10"/>
              <w:jc w:val="right"/>
              <w:rPr>
                <w:sz w:val="20"/>
                <w:szCs w:val="20"/>
              </w:rPr>
            </w:pPr>
            <w:r>
              <w:rPr>
                <w:spacing w:val="8"/>
                <w:sz w:val="20"/>
                <w:szCs w:val="20"/>
              </w:rPr>
              <w:t>体、可燃固体、不燃气体酸类、一般化学品、可燃气体、</w:t>
            </w:r>
          </w:p>
          <w:p w14:paraId="6792B42B">
            <w:pPr>
              <w:pStyle w:val="6"/>
              <w:spacing w:before="27" w:line="214" w:lineRule="auto"/>
              <w:ind w:left="1832"/>
              <w:rPr>
                <w:sz w:val="20"/>
                <w:szCs w:val="20"/>
              </w:rPr>
            </w:pPr>
            <w:r>
              <w:rPr>
                <w:spacing w:val="5"/>
                <w:sz w:val="20"/>
                <w:szCs w:val="20"/>
              </w:rPr>
              <w:t>碱类重车位</w:t>
            </w:r>
            <w:r>
              <w:rPr>
                <w:spacing w:val="-34"/>
                <w:sz w:val="20"/>
                <w:szCs w:val="20"/>
              </w:rPr>
              <w:t xml:space="preserve"> </w:t>
            </w:r>
            <w:r>
              <w:rPr>
                <w:rFonts w:ascii="Times New Roman" w:hAnsi="Times New Roman" w:eastAsia="Times New Roman" w:cs="Times New Roman"/>
                <w:spacing w:val="5"/>
                <w:sz w:val="20"/>
                <w:szCs w:val="20"/>
              </w:rPr>
              <w:t xml:space="preserve">8 </w:t>
            </w:r>
            <w:r>
              <w:rPr>
                <w:spacing w:val="5"/>
                <w:sz w:val="20"/>
                <w:szCs w:val="20"/>
              </w:rPr>
              <w:t>个。</w:t>
            </w:r>
          </w:p>
        </w:tc>
        <w:tc>
          <w:tcPr>
            <w:tcW w:w="118" w:type="dxa"/>
            <w:tcBorders>
              <w:top w:val="nil"/>
              <w:bottom w:val="nil"/>
            </w:tcBorders>
            <w:vAlign w:val="top"/>
          </w:tcPr>
          <w:p w14:paraId="7B0069D5">
            <w:pPr>
              <w:rPr>
                <w:rFonts w:ascii="Arial"/>
                <w:sz w:val="21"/>
              </w:rPr>
            </w:pPr>
          </w:p>
        </w:tc>
      </w:tr>
      <w:tr w14:paraId="18FCB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456" w:type="dxa"/>
            <w:vMerge w:val="continue"/>
            <w:tcBorders>
              <w:top w:val="nil"/>
              <w:bottom w:val="nil"/>
            </w:tcBorders>
            <w:vAlign w:val="top"/>
          </w:tcPr>
          <w:p w14:paraId="77AECAFB">
            <w:pPr>
              <w:rPr>
                <w:rFonts w:ascii="Arial"/>
                <w:sz w:val="21"/>
              </w:rPr>
            </w:pPr>
          </w:p>
        </w:tc>
        <w:tc>
          <w:tcPr>
            <w:tcW w:w="113" w:type="dxa"/>
            <w:tcBorders>
              <w:top w:val="nil"/>
              <w:bottom w:val="nil"/>
            </w:tcBorders>
            <w:vAlign w:val="top"/>
          </w:tcPr>
          <w:p w14:paraId="29D23736">
            <w:pPr>
              <w:rPr>
                <w:rFonts w:ascii="Arial"/>
                <w:sz w:val="21"/>
              </w:rPr>
            </w:pPr>
          </w:p>
        </w:tc>
        <w:tc>
          <w:tcPr>
            <w:tcW w:w="1102" w:type="dxa"/>
            <w:vMerge w:val="restart"/>
            <w:tcBorders>
              <w:bottom w:val="nil"/>
            </w:tcBorders>
            <w:vAlign w:val="top"/>
          </w:tcPr>
          <w:p w14:paraId="0726D3B9">
            <w:pPr>
              <w:spacing w:line="307" w:lineRule="auto"/>
              <w:rPr>
                <w:rFonts w:ascii="Arial"/>
                <w:sz w:val="21"/>
              </w:rPr>
            </w:pPr>
          </w:p>
          <w:p w14:paraId="7452FBAB">
            <w:pPr>
              <w:spacing w:line="307" w:lineRule="auto"/>
              <w:rPr>
                <w:rFonts w:ascii="Arial"/>
                <w:sz w:val="21"/>
              </w:rPr>
            </w:pPr>
          </w:p>
          <w:p w14:paraId="260CCA35">
            <w:pPr>
              <w:spacing w:line="307" w:lineRule="auto"/>
              <w:rPr>
                <w:rFonts w:ascii="Arial"/>
                <w:sz w:val="21"/>
              </w:rPr>
            </w:pPr>
          </w:p>
          <w:p w14:paraId="77456224">
            <w:pPr>
              <w:pStyle w:val="6"/>
              <w:spacing w:before="65" w:line="228" w:lineRule="auto"/>
              <w:ind w:left="136"/>
              <w:rPr>
                <w:sz w:val="20"/>
                <w:szCs w:val="20"/>
              </w:rPr>
            </w:pPr>
            <w:r>
              <w:rPr>
                <w:spacing w:val="6"/>
                <w:sz w:val="20"/>
                <w:szCs w:val="20"/>
              </w:rPr>
              <w:t>辅助工程</w:t>
            </w:r>
          </w:p>
        </w:tc>
        <w:tc>
          <w:tcPr>
            <w:tcW w:w="1502" w:type="dxa"/>
            <w:vAlign w:val="top"/>
          </w:tcPr>
          <w:p w14:paraId="7B2B85A0">
            <w:pPr>
              <w:pStyle w:val="6"/>
              <w:spacing w:before="170" w:line="228" w:lineRule="auto"/>
              <w:ind w:left="127"/>
              <w:rPr>
                <w:sz w:val="20"/>
                <w:szCs w:val="20"/>
              </w:rPr>
            </w:pPr>
            <w:r>
              <w:rPr>
                <w:spacing w:val="7"/>
                <w:sz w:val="20"/>
                <w:szCs w:val="20"/>
              </w:rPr>
              <w:t>综合管理用房</w:t>
            </w:r>
          </w:p>
          <w:p w14:paraId="36E7409B">
            <w:pPr>
              <w:pStyle w:val="6"/>
              <w:spacing w:before="26" w:line="228" w:lineRule="auto"/>
              <w:ind w:left="445"/>
              <w:rPr>
                <w:sz w:val="20"/>
                <w:szCs w:val="20"/>
              </w:rPr>
            </w:pPr>
            <w:r>
              <w:rPr>
                <w:spacing w:val="4"/>
                <w:sz w:val="20"/>
                <w:szCs w:val="20"/>
              </w:rPr>
              <w:t>与餐厅</w:t>
            </w:r>
          </w:p>
        </w:tc>
        <w:tc>
          <w:tcPr>
            <w:tcW w:w="5334" w:type="dxa"/>
            <w:vAlign w:val="top"/>
          </w:tcPr>
          <w:p w14:paraId="3E721249">
            <w:pPr>
              <w:pStyle w:val="6"/>
              <w:spacing w:before="36" w:line="228" w:lineRule="auto"/>
              <w:ind w:left="156"/>
              <w:rPr>
                <w:sz w:val="20"/>
                <w:szCs w:val="20"/>
              </w:rPr>
            </w:pPr>
            <w:r>
              <w:rPr>
                <w:spacing w:val="9"/>
                <w:sz w:val="20"/>
                <w:szCs w:val="20"/>
              </w:rPr>
              <w:t>综合管理用房餐厅联通，二层钢筋混凝土框架结构，主</w:t>
            </w:r>
          </w:p>
          <w:p w14:paraId="456E7234">
            <w:pPr>
              <w:pStyle w:val="6"/>
              <w:spacing w:before="24" w:line="227" w:lineRule="auto"/>
              <w:ind w:left="154"/>
              <w:rPr>
                <w:sz w:val="20"/>
                <w:szCs w:val="20"/>
              </w:rPr>
            </w:pPr>
            <w:r>
              <w:rPr>
                <w:spacing w:val="9"/>
                <w:sz w:val="20"/>
                <w:szCs w:val="20"/>
              </w:rPr>
              <w:t>要功能为办公室、卫生间、值班室、消防器材室、消防</w:t>
            </w:r>
          </w:p>
          <w:p w14:paraId="4FA691FC">
            <w:pPr>
              <w:pStyle w:val="6"/>
              <w:spacing w:before="25" w:line="191" w:lineRule="auto"/>
              <w:ind w:left="376"/>
              <w:rPr>
                <w:sz w:val="20"/>
                <w:szCs w:val="20"/>
              </w:rPr>
            </w:pPr>
            <w:r>
              <w:rPr>
                <w:spacing w:val="5"/>
                <w:sz w:val="20"/>
                <w:szCs w:val="20"/>
              </w:rPr>
              <w:t>控制室和餐厅，建筑面积</w:t>
            </w:r>
            <w:r>
              <w:rPr>
                <w:spacing w:val="-23"/>
                <w:sz w:val="20"/>
                <w:szCs w:val="20"/>
              </w:rPr>
              <w:t xml:space="preserve"> </w:t>
            </w:r>
            <w:r>
              <w:rPr>
                <w:rFonts w:ascii="Times New Roman" w:hAnsi="Times New Roman" w:eastAsia="Times New Roman" w:cs="Times New Roman"/>
                <w:spacing w:val="5"/>
                <w:sz w:val="20"/>
                <w:szCs w:val="20"/>
              </w:rPr>
              <w:t>1412.9m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sz w:val="20"/>
                <w:szCs w:val="20"/>
              </w:rPr>
              <w:t>，层高</w:t>
            </w:r>
            <w:r>
              <w:rPr>
                <w:spacing w:val="-39"/>
                <w:sz w:val="20"/>
                <w:szCs w:val="20"/>
              </w:rPr>
              <w:t xml:space="preserve"> </w:t>
            </w:r>
            <w:r>
              <w:rPr>
                <w:rFonts w:ascii="Times New Roman" w:hAnsi="Times New Roman" w:eastAsia="Times New Roman" w:cs="Times New Roman"/>
                <w:spacing w:val="5"/>
                <w:sz w:val="20"/>
                <w:szCs w:val="20"/>
              </w:rPr>
              <w:t>9.6</w:t>
            </w:r>
            <w:r>
              <w:rPr>
                <w:rFonts w:ascii="Times New Roman" w:hAnsi="Times New Roman" w:eastAsia="Times New Roman" w:cs="Times New Roman"/>
                <w:spacing w:val="4"/>
                <w:sz w:val="20"/>
                <w:szCs w:val="20"/>
              </w:rPr>
              <w:t>5m</w:t>
            </w:r>
            <w:r>
              <w:rPr>
                <w:spacing w:val="4"/>
                <w:sz w:val="20"/>
                <w:szCs w:val="20"/>
              </w:rPr>
              <w:t>。</w:t>
            </w:r>
          </w:p>
        </w:tc>
        <w:tc>
          <w:tcPr>
            <w:tcW w:w="118" w:type="dxa"/>
            <w:tcBorders>
              <w:top w:val="nil"/>
              <w:bottom w:val="nil"/>
            </w:tcBorders>
            <w:vAlign w:val="top"/>
          </w:tcPr>
          <w:p w14:paraId="6C41D7D7">
            <w:pPr>
              <w:rPr>
                <w:rFonts w:ascii="Arial"/>
                <w:sz w:val="21"/>
              </w:rPr>
            </w:pPr>
          </w:p>
        </w:tc>
      </w:tr>
      <w:tr w14:paraId="2FD4E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456" w:type="dxa"/>
            <w:vMerge w:val="continue"/>
            <w:tcBorders>
              <w:top w:val="nil"/>
            </w:tcBorders>
            <w:vAlign w:val="top"/>
          </w:tcPr>
          <w:p w14:paraId="3E137AFF">
            <w:pPr>
              <w:rPr>
                <w:rFonts w:ascii="Arial"/>
                <w:sz w:val="21"/>
              </w:rPr>
            </w:pPr>
          </w:p>
        </w:tc>
        <w:tc>
          <w:tcPr>
            <w:tcW w:w="113" w:type="dxa"/>
            <w:tcBorders>
              <w:top w:val="nil"/>
            </w:tcBorders>
            <w:vAlign w:val="top"/>
          </w:tcPr>
          <w:p w14:paraId="249BC243">
            <w:pPr>
              <w:rPr>
                <w:rFonts w:ascii="Arial"/>
                <w:sz w:val="21"/>
              </w:rPr>
            </w:pPr>
          </w:p>
        </w:tc>
        <w:tc>
          <w:tcPr>
            <w:tcW w:w="1102" w:type="dxa"/>
            <w:vMerge w:val="continue"/>
            <w:tcBorders>
              <w:top w:val="nil"/>
            </w:tcBorders>
            <w:vAlign w:val="top"/>
          </w:tcPr>
          <w:p w14:paraId="0D1CACED">
            <w:pPr>
              <w:rPr>
                <w:rFonts w:ascii="Arial"/>
                <w:sz w:val="21"/>
              </w:rPr>
            </w:pPr>
          </w:p>
        </w:tc>
        <w:tc>
          <w:tcPr>
            <w:tcW w:w="1502" w:type="dxa"/>
            <w:vAlign w:val="top"/>
          </w:tcPr>
          <w:p w14:paraId="7B368017">
            <w:pPr>
              <w:spacing w:line="401" w:lineRule="auto"/>
              <w:rPr>
                <w:rFonts w:ascii="Arial"/>
                <w:sz w:val="21"/>
              </w:rPr>
            </w:pPr>
          </w:p>
          <w:p w14:paraId="5DE8C5D5">
            <w:pPr>
              <w:pStyle w:val="6"/>
              <w:spacing w:before="65" w:line="252" w:lineRule="auto"/>
              <w:ind w:left="232" w:right="122" w:hanging="106"/>
              <w:rPr>
                <w:sz w:val="20"/>
                <w:szCs w:val="20"/>
              </w:rPr>
            </w:pPr>
            <w:r>
              <w:rPr>
                <w:spacing w:val="7"/>
                <w:sz w:val="20"/>
                <w:szCs w:val="20"/>
              </w:rPr>
              <w:t>污水处理间与</w:t>
            </w:r>
            <w:r>
              <w:rPr>
                <w:spacing w:val="4"/>
                <w:sz w:val="20"/>
                <w:szCs w:val="20"/>
              </w:rPr>
              <w:t xml:space="preserve"> </w:t>
            </w:r>
            <w:r>
              <w:rPr>
                <w:spacing w:val="7"/>
                <w:sz w:val="20"/>
                <w:szCs w:val="20"/>
              </w:rPr>
              <w:t>危废暂存间</w:t>
            </w:r>
          </w:p>
        </w:tc>
        <w:tc>
          <w:tcPr>
            <w:tcW w:w="5334" w:type="dxa"/>
            <w:vAlign w:val="top"/>
          </w:tcPr>
          <w:p w14:paraId="71F4EA2E">
            <w:pPr>
              <w:pStyle w:val="6"/>
              <w:spacing w:before="62" w:line="244" w:lineRule="auto"/>
              <w:ind w:left="115" w:right="33"/>
              <w:jc w:val="both"/>
              <w:rPr>
                <w:sz w:val="20"/>
                <w:szCs w:val="20"/>
              </w:rPr>
            </w:pPr>
            <w:r>
              <w:rPr>
                <w:spacing w:val="7"/>
                <w:sz w:val="20"/>
                <w:szCs w:val="20"/>
              </w:rPr>
              <w:t>污水处理间、危废暂存间为一体式建筑，中间设实体墙，</w:t>
            </w:r>
            <w:r>
              <w:rPr>
                <w:spacing w:val="4"/>
                <w:sz w:val="20"/>
                <w:szCs w:val="20"/>
              </w:rPr>
              <w:t xml:space="preserve"> </w:t>
            </w:r>
            <w:r>
              <w:rPr>
                <w:spacing w:val="1"/>
                <w:sz w:val="20"/>
                <w:szCs w:val="20"/>
              </w:rPr>
              <w:t>单层钢筋混凝土框架结构，建筑面积</w:t>
            </w:r>
            <w:r>
              <w:rPr>
                <w:spacing w:val="-41"/>
                <w:sz w:val="20"/>
                <w:szCs w:val="20"/>
              </w:rPr>
              <w:t xml:space="preserve"> </w:t>
            </w:r>
            <w:r>
              <w:rPr>
                <w:rFonts w:ascii="Times New Roman" w:hAnsi="Times New Roman" w:eastAsia="Times New Roman" w:cs="Times New Roman"/>
                <w:spacing w:val="1"/>
                <w:sz w:val="20"/>
                <w:szCs w:val="20"/>
              </w:rPr>
              <w:t>424.28m</w:t>
            </w:r>
            <w:r>
              <w:rPr>
                <w:rFonts w:ascii="Times New Roman" w:hAnsi="Times New Roman" w:eastAsia="Times New Roman" w:cs="Times New Roman"/>
                <w:spacing w:val="1"/>
                <w:position w:val="6"/>
                <w:sz w:val="13"/>
                <w:szCs w:val="13"/>
              </w:rPr>
              <w:t>2</w:t>
            </w:r>
            <w:r>
              <w:rPr>
                <w:spacing w:val="1"/>
                <w:sz w:val="20"/>
                <w:szCs w:val="20"/>
              </w:rPr>
              <w:t>，层高</w:t>
            </w:r>
            <w:r>
              <w:rPr>
                <w:spacing w:val="-36"/>
                <w:sz w:val="20"/>
                <w:szCs w:val="20"/>
              </w:rPr>
              <w:t xml:space="preserve"> </w:t>
            </w:r>
            <w:r>
              <w:rPr>
                <w:rFonts w:ascii="Times New Roman" w:hAnsi="Times New Roman" w:eastAsia="Times New Roman" w:cs="Times New Roman"/>
                <w:spacing w:val="1"/>
                <w:sz w:val="20"/>
                <w:szCs w:val="20"/>
              </w:rPr>
              <w:t>6m</w:t>
            </w:r>
            <w:r>
              <w:rPr>
                <w:spacing w:val="1"/>
                <w:sz w:val="20"/>
                <w:szCs w:val="20"/>
              </w:rPr>
              <w:t>。</w:t>
            </w:r>
            <w:r>
              <w:rPr>
                <w:sz w:val="20"/>
                <w:szCs w:val="20"/>
              </w:rPr>
              <w:t xml:space="preserve"> </w:t>
            </w:r>
            <w:r>
              <w:rPr>
                <w:spacing w:val="7"/>
                <w:sz w:val="20"/>
                <w:szCs w:val="20"/>
              </w:rPr>
              <w:t>污水处理间主要负责处理洗车污水、地面冲洗水等污水，</w:t>
            </w:r>
            <w:r>
              <w:rPr>
                <w:spacing w:val="4"/>
                <w:sz w:val="20"/>
                <w:szCs w:val="20"/>
              </w:rPr>
              <w:t xml:space="preserve"> </w:t>
            </w:r>
            <w:r>
              <w:rPr>
                <w:spacing w:val="8"/>
                <w:sz w:val="20"/>
                <w:szCs w:val="20"/>
              </w:rPr>
              <w:t>设有污水收集池</w:t>
            </w:r>
            <w:r>
              <w:rPr>
                <w:spacing w:val="-18"/>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座、隔油池</w:t>
            </w:r>
            <w:r>
              <w:rPr>
                <w:spacing w:val="-23"/>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座。污水收集池为地下</w:t>
            </w:r>
            <w:r>
              <w:rPr>
                <w:sz w:val="20"/>
                <w:szCs w:val="20"/>
              </w:rPr>
              <w:t xml:space="preserve">  </w:t>
            </w:r>
            <w:r>
              <w:rPr>
                <w:spacing w:val="9"/>
                <w:sz w:val="20"/>
                <w:szCs w:val="20"/>
              </w:rPr>
              <w:t>式，钢筋混凝土矩形水池，建筑面积</w:t>
            </w:r>
            <w:r>
              <w:rPr>
                <w:spacing w:val="-28"/>
                <w:sz w:val="20"/>
                <w:szCs w:val="20"/>
              </w:rPr>
              <w:t xml:space="preserve"> </w:t>
            </w:r>
            <w:r>
              <w:rPr>
                <w:rFonts w:ascii="Times New Roman" w:hAnsi="Times New Roman" w:eastAsia="Times New Roman" w:cs="Times New Roman"/>
                <w:spacing w:val="9"/>
                <w:sz w:val="20"/>
                <w:szCs w:val="20"/>
              </w:rPr>
              <w:t>200m</w:t>
            </w:r>
            <w:r>
              <w:rPr>
                <w:rFonts w:ascii="Times New Roman" w:hAnsi="Times New Roman" w:eastAsia="Times New Roman" w:cs="Times New Roman"/>
                <w:spacing w:val="9"/>
                <w:position w:val="6"/>
                <w:sz w:val="13"/>
                <w:szCs w:val="13"/>
              </w:rPr>
              <w:t>2</w:t>
            </w:r>
            <w:r>
              <w:rPr>
                <w:rFonts w:ascii="Times New Roman" w:hAnsi="Times New Roman" w:eastAsia="Times New Roman" w:cs="Times New Roman"/>
                <w:spacing w:val="-6"/>
                <w:position w:val="6"/>
                <w:sz w:val="13"/>
                <w:szCs w:val="13"/>
              </w:rPr>
              <w:t xml:space="preserve"> </w:t>
            </w:r>
            <w:r>
              <w:rPr>
                <w:spacing w:val="9"/>
                <w:sz w:val="20"/>
                <w:szCs w:val="20"/>
              </w:rPr>
              <w:t>，池体高度</w:t>
            </w:r>
          </w:p>
        </w:tc>
        <w:tc>
          <w:tcPr>
            <w:tcW w:w="118" w:type="dxa"/>
            <w:tcBorders>
              <w:top w:val="nil"/>
            </w:tcBorders>
            <w:vAlign w:val="top"/>
          </w:tcPr>
          <w:p w14:paraId="7517711E">
            <w:pPr>
              <w:rPr>
                <w:rFonts w:ascii="Arial"/>
                <w:sz w:val="21"/>
              </w:rPr>
            </w:pPr>
          </w:p>
        </w:tc>
      </w:tr>
    </w:tbl>
    <w:p w14:paraId="618E7781">
      <w:pPr>
        <w:pStyle w:val="2"/>
      </w:pPr>
    </w:p>
    <w:p w14:paraId="628BFFB3">
      <w:pPr>
        <w:sectPr>
          <w:footerReference r:id="rId34" w:type="default"/>
          <w:pgSz w:w="11906" w:h="16839"/>
          <w:pgMar w:top="400" w:right="1588" w:bottom="1259" w:left="1687" w:header="0" w:footer="1097" w:gutter="0"/>
          <w:cols w:space="720" w:num="1"/>
        </w:sectPr>
      </w:pPr>
    </w:p>
    <w:p w14:paraId="072ABFF0">
      <w:pPr>
        <w:spacing w:before="19"/>
      </w:pPr>
    </w:p>
    <w:p w14:paraId="14616CE7">
      <w:pPr>
        <w:spacing w:before="19"/>
      </w:pPr>
    </w:p>
    <w:p w14:paraId="0412FAA9">
      <w:pPr>
        <w:spacing w:before="18"/>
      </w:pPr>
    </w:p>
    <w:p w14:paraId="6CEA46E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69D9D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56" w:type="dxa"/>
            <w:vMerge w:val="restart"/>
            <w:tcBorders>
              <w:bottom w:val="nil"/>
            </w:tcBorders>
            <w:vAlign w:val="top"/>
          </w:tcPr>
          <w:p w14:paraId="31A768FA">
            <w:pPr>
              <w:rPr>
                <w:rFonts w:ascii="Arial"/>
                <w:sz w:val="21"/>
              </w:rPr>
            </w:pPr>
          </w:p>
        </w:tc>
        <w:tc>
          <w:tcPr>
            <w:tcW w:w="113" w:type="dxa"/>
            <w:tcBorders>
              <w:bottom w:val="nil"/>
            </w:tcBorders>
            <w:vAlign w:val="top"/>
          </w:tcPr>
          <w:p w14:paraId="56C90DA5">
            <w:pPr>
              <w:rPr>
                <w:rFonts w:ascii="Arial"/>
                <w:sz w:val="21"/>
              </w:rPr>
            </w:pPr>
          </w:p>
        </w:tc>
        <w:tc>
          <w:tcPr>
            <w:tcW w:w="1102" w:type="dxa"/>
            <w:vMerge w:val="restart"/>
            <w:tcBorders>
              <w:bottom w:val="nil"/>
            </w:tcBorders>
            <w:vAlign w:val="top"/>
          </w:tcPr>
          <w:p w14:paraId="737E7860">
            <w:pPr>
              <w:rPr>
                <w:rFonts w:ascii="Arial"/>
                <w:sz w:val="21"/>
              </w:rPr>
            </w:pPr>
          </w:p>
        </w:tc>
        <w:tc>
          <w:tcPr>
            <w:tcW w:w="1502" w:type="dxa"/>
            <w:vAlign w:val="top"/>
          </w:tcPr>
          <w:p w14:paraId="70BE7DAA">
            <w:pPr>
              <w:rPr>
                <w:rFonts w:ascii="Arial"/>
                <w:sz w:val="21"/>
              </w:rPr>
            </w:pPr>
          </w:p>
        </w:tc>
        <w:tc>
          <w:tcPr>
            <w:tcW w:w="5334" w:type="dxa"/>
            <w:vAlign w:val="top"/>
          </w:tcPr>
          <w:p w14:paraId="01E5A1E2">
            <w:pPr>
              <w:pStyle w:val="6"/>
              <w:spacing w:before="46" w:line="227"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2.5m</w:t>
            </w:r>
            <w:r>
              <w:rPr>
                <w:rFonts w:ascii="Times New Roman" w:hAnsi="Times New Roman" w:eastAsia="Times New Roman" w:cs="Times New Roman"/>
                <w:spacing w:val="-26"/>
                <w:sz w:val="20"/>
                <w:szCs w:val="20"/>
              </w:rPr>
              <w:t xml:space="preserve"> </w:t>
            </w:r>
            <w:r>
              <w:rPr>
                <w:spacing w:val="6"/>
                <w:sz w:val="20"/>
                <w:szCs w:val="20"/>
              </w:rPr>
              <w:t>，容积</w:t>
            </w:r>
            <w:r>
              <w:rPr>
                <w:spacing w:val="-35"/>
                <w:sz w:val="20"/>
                <w:szCs w:val="20"/>
              </w:rPr>
              <w:t xml:space="preserve"> </w:t>
            </w:r>
            <w:r>
              <w:rPr>
                <w:rFonts w:ascii="Times New Roman" w:hAnsi="Times New Roman" w:eastAsia="Times New Roman" w:cs="Times New Roman"/>
                <w:spacing w:val="6"/>
                <w:sz w:val="20"/>
                <w:szCs w:val="20"/>
              </w:rPr>
              <w:t>500m</w:t>
            </w:r>
            <w:r>
              <w:rPr>
                <w:spacing w:val="6"/>
                <w:sz w:val="20"/>
                <w:szCs w:val="20"/>
              </w:rPr>
              <w:t>³</w:t>
            </w:r>
            <w:r>
              <w:rPr>
                <w:spacing w:val="-73"/>
                <w:sz w:val="20"/>
                <w:szCs w:val="20"/>
              </w:rPr>
              <w:t xml:space="preserve"> </w:t>
            </w:r>
            <w:r>
              <w:rPr>
                <w:spacing w:val="6"/>
                <w:sz w:val="20"/>
                <w:szCs w:val="20"/>
              </w:rPr>
              <w:t>；隔油池为地下式，玻璃钢材</w:t>
            </w:r>
            <w:r>
              <w:rPr>
                <w:spacing w:val="5"/>
                <w:sz w:val="20"/>
                <w:szCs w:val="20"/>
              </w:rPr>
              <w:t>质，</w:t>
            </w:r>
            <w:r>
              <w:rPr>
                <w:rFonts w:ascii="Times New Roman" w:hAnsi="Times New Roman" w:eastAsia="Times New Roman" w:cs="Times New Roman"/>
                <w:spacing w:val="5"/>
                <w:sz w:val="20"/>
                <w:szCs w:val="20"/>
              </w:rPr>
              <w:t>3m</w:t>
            </w:r>
          </w:p>
          <w:p w14:paraId="291A6EE4">
            <w:pPr>
              <w:pStyle w:val="6"/>
              <w:spacing w:before="24" w:line="208" w:lineRule="auto"/>
              <w:ind w:left="488"/>
              <w:rPr>
                <w:sz w:val="20"/>
                <w:szCs w:val="20"/>
              </w:rPr>
            </w:pPr>
            <w:r>
              <w:rPr>
                <w:spacing w:val="4"/>
                <w:sz w:val="20"/>
                <w:szCs w:val="20"/>
              </w:rPr>
              <w:t>×</w:t>
            </w:r>
            <w:r>
              <w:rPr>
                <w:rFonts w:ascii="Times New Roman" w:hAnsi="Times New Roman" w:eastAsia="Times New Roman" w:cs="Times New Roman"/>
                <w:spacing w:val="4"/>
                <w:sz w:val="20"/>
                <w:szCs w:val="20"/>
              </w:rPr>
              <w:t xml:space="preserve">5m </w:t>
            </w:r>
            <w:r>
              <w:rPr>
                <w:spacing w:val="4"/>
                <w:sz w:val="20"/>
                <w:szCs w:val="20"/>
              </w:rPr>
              <w:t>矩形结构，池体高度</w:t>
            </w:r>
            <w:r>
              <w:rPr>
                <w:spacing w:val="-31"/>
                <w:sz w:val="20"/>
                <w:szCs w:val="20"/>
              </w:rPr>
              <w:t xml:space="preserve"> </w:t>
            </w:r>
            <w:r>
              <w:rPr>
                <w:rFonts w:ascii="Times New Roman" w:hAnsi="Times New Roman" w:eastAsia="Times New Roman" w:cs="Times New Roman"/>
                <w:spacing w:val="4"/>
                <w:sz w:val="20"/>
                <w:szCs w:val="20"/>
              </w:rPr>
              <w:t>2.5m</w:t>
            </w:r>
            <w:r>
              <w:rPr>
                <w:rFonts w:ascii="Times New Roman" w:hAnsi="Times New Roman" w:eastAsia="Times New Roman" w:cs="Times New Roman"/>
                <w:spacing w:val="-26"/>
                <w:sz w:val="20"/>
                <w:szCs w:val="20"/>
              </w:rPr>
              <w:t xml:space="preserve"> </w:t>
            </w:r>
            <w:r>
              <w:rPr>
                <w:spacing w:val="4"/>
                <w:sz w:val="20"/>
                <w:szCs w:val="20"/>
              </w:rPr>
              <w:t>，容积</w:t>
            </w:r>
            <w:r>
              <w:rPr>
                <w:spacing w:val="-39"/>
                <w:sz w:val="20"/>
                <w:szCs w:val="20"/>
              </w:rPr>
              <w:t xml:space="preserve"> </w:t>
            </w:r>
            <w:r>
              <w:rPr>
                <w:rFonts w:ascii="Times New Roman" w:hAnsi="Times New Roman" w:eastAsia="Times New Roman" w:cs="Times New Roman"/>
                <w:spacing w:val="4"/>
                <w:sz w:val="20"/>
                <w:szCs w:val="20"/>
              </w:rPr>
              <w:t>37.5m</w:t>
            </w:r>
            <w:r>
              <w:rPr>
                <w:spacing w:val="4"/>
                <w:sz w:val="20"/>
                <w:szCs w:val="20"/>
              </w:rPr>
              <w:t>³。</w:t>
            </w:r>
          </w:p>
        </w:tc>
        <w:tc>
          <w:tcPr>
            <w:tcW w:w="118" w:type="dxa"/>
            <w:tcBorders>
              <w:bottom w:val="nil"/>
            </w:tcBorders>
            <w:vAlign w:val="top"/>
          </w:tcPr>
          <w:p w14:paraId="5CF74B83">
            <w:pPr>
              <w:rPr>
                <w:rFonts w:ascii="Arial"/>
                <w:sz w:val="21"/>
              </w:rPr>
            </w:pPr>
          </w:p>
        </w:tc>
      </w:tr>
      <w:tr w14:paraId="50627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11381975">
            <w:pPr>
              <w:rPr>
                <w:rFonts w:ascii="Arial"/>
                <w:sz w:val="21"/>
              </w:rPr>
            </w:pPr>
          </w:p>
        </w:tc>
        <w:tc>
          <w:tcPr>
            <w:tcW w:w="113" w:type="dxa"/>
            <w:tcBorders>
              <w:top w:val="nil"/>
              <w:bottom w:val="nil"/>
            </w:tcBorders>
            <w:vAlign w:val="top"/>
          </w:tcPr>
          <w:p w14:paraId="7093DBDE">
            <w:pPr>
              <w:rPr>
                <w:rFonts w:ascii="Arial"/>
                <w:sz w:val="21"/>
              </w:rPr>
            </w:pPr>
          </w:p>
        </w:tc>
        <w:tc>
          <w:tcPr>
            <w:tcW w:w="1102" w:type="dxa"/>
            <w:vMerge w:val="continue"/>
            <w:tcBorders>
              <w:top w:val="nil"/>
              <w:bottom w:val="nil"/>
            </w:tcBorders>
            <w:vAlign w:val="top"/>
          </w:tcPr>
          <w:p w14:paraId="7C7807E9">
            <w:pPr>
              <w:rPr>
                <w:rFonts w:ascii="Arial"/>
                <w:sz w:val="21"/>
              </w:rPr>
            </w:pPr>
          </w:p>
        </w:tc>
        <w:tc>
          <w:tcPr>
            <w:tcW w:w="1502" w:type="dxa"/>
            <w:vAlign w:val="top"/>
          </w:tcPr>
          <w:p w14:paraId="18ECE7DF">
            <w:pPr>
              <w:pStyle w:val="6"/>
              <w:spacing w:before="42" w:line="228" w:lineRule="auto"/>
              <w:ind w:left="129"/>
              <w:rPr>
                <w:sz w:val="20"/>
                <w:szCs w:val="20"/>
              </w:rPr>
            </w:pPr>
            <w:r>
              <w:rPr>
                <w:spacing w:val="7"/>
                <w:sz w:val="20"/>
                <w:szCs w:val="20"/>
              </w:rPr>
              <w:t>消防水泵房与</w:t>
            </w:r>
          </w:p>
          <w:p w14:paraId="211966AF">
            <w:pPr>
              <w:pStyle w:val="6"/>
              <w:spacing w:before="24" w:line="200" w:lineRule="auto"/>
              <w:ind w:left="340"/>
              <w:rPr>
                <w:sz w:val="20"/>
                <w:szCs w:val="20"/>
              </w:rPr>
            </w:pPr>
            <w:r>
              <w:rPr>
                <w:spacing w:val="6"/>
                <w:sz w:val="20"/>
                <w:szCs w:val="20"/>
              </w:rPr>
              <w:t>消防水池</w:t>
            </w:r>
          </w:p>
        </w:tc>
        <w:tc>
          <w:tcPr>
            <w:tcW w:w="5334" w:type="dxa"/>
            <w:vAlign w:val="top"/>
          </w:tcPr>
          <w:p w14:paraId="07BB81D0">
            <w:pPr>
              <w:pStyle w:val="6"/>
              <w:spacing w:before="42" w:line="228" w:lineRule="auto"/>
              <w:ind w:left="154"/>
              <w:rPr>
                <w:sz w:val="20"/>
                <w:szCs w:val="20"/>
              </w:rPr>
            </w:pPr>
            <w:r>
              <w:rPr>
                <w:spacing w:val="9"/>
                <w:sz w:val="20"/>
                <w:szCs w:val="20"/>
              </w:rPr>
              <w:t>地上为泵房，地下设水池，混凝土框架结构，建筑面积</w:t>
            </w:r>
          </w:p>
          <w:p w14:paraId="7B3F921C">
            <w:pPr>
              <w:pStyle w:val="6"/>
              <w:spacing w:before="24" w:line="200" w:lineRule="auto"/>
              <w:ind w:left="1574"/>
              <w:rPr>
                <w:sz w:val="20"/>
                <w:szCs w:val="20"/>
              </w:rPr>
            </w:pPr>
            <w:r>
              <w:rPr>
                <w:rFonts w:ascii="Times New Roman" w:hAnsi="Times New Roman" w:eastAsia="Times New Roman" w:cs="Times New Roman"/>
                <w:spacing w:val="1"/>
                <w:sz w:val="20"/>
                <w:szCs w:val="20"/>
              </w:rPr>
              <w:t>1220.47m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6"/>
                <w:position w:val="6"/>
                <w:sz w:val="13"/>
                <w:szCs w:val="13"/>
              </w:rPr>
              <w:t xml:space="preserve"> </w:t>
            </w:r>
            <w:r>
              <w:rPr>
                <w:spacing w:val="1"/>
                <w:sz w:val="20"/>
                <w:szCs w:val="20"/>
              </w:rPr>
              <w:t>，层高</w:t>
            </w:r>
            <w:r>
              <w:rPr>
                <w:spacing w:val="-35"/>
                <w:sz w:val="20"/>
                <w:szCs w:val="20"/>
              </w:rPr>
              <w:t xml:space="preserve"> </w:t>
            </w:r>
            <w:r>
              <w:rPr>
                <w:rFonts w:ascii="Times New Roman" w:hAnsi="Times New Roman" w:eastAsia="Times New Roman" w:cs="Times New Roman"/>
                <w:spacing w:val="1"/>
                <w:sz w:val="20"/>
                <w:szCs w:val="20"/>
              </w:rPr>
              <w:t>5.3m</w:t>
            </w:r>
            <w:r>
              <w:rPr>
                <w:spacing w:val="1"/>
                <w:sz w:val="20"/>
                <w:szCs w:val="20"/>
              </w:rPr>
              <w:t>。</w:t>
            </w:r>
          </w:p>
        </w:tc>
        <w:tc>
          <w:tcPr>
            <w:tcW w:w="118" w:type="dxa"/>
            <w:tcBorders>
              <w:top w:val="nil"/>
              <w:bottom w:val="nil"/>
            </w:tcBorders>
            <w:vAlign w:val="top"/>
          </w:tcPr>
          <w:p w14:paraId="77608183">
            <w:pPr>
              <w:rPr>
                <w:rFonts w:ascii="Arial"/>
                <w:sz w:val="21"/>
              </w:rPr>
            </w:pPr>
          </w:p>
        </w:tc>
      </w:tr>
      <w:tr w14:paraId="6D91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456" w:type="dxa"/>
            <w:vMerge w:val="continue"/>
            <w:tcBorders>
              <w:top w:val="nil"/>
              <w:bottom w:val="nil"/>
            </w:tcBorders>
            <w:vAlign w:val="top"/>
          </w:tcPr>
          <w:p w14:paraId="34EFF709">
            <w:pPr>
              <w:rPr>
                <w:rFonts w:ascii="Arial"/>
                <w:sz w:val="21"/>
              </w:rPr>
            </w:pPr>
          </w:p>
        </w:tc>
        <w:tc>
          <w:tcPr>
            <w:tcW w:w="113" w:type="dxa"/>
            <w:tcBorders>
              <w:top w:val="nil"/>
              <w:bottom w:val="nil"/>
            </w:tcBorders>
            <w:vAlign w:val="top"/>
          </w:tcPr>
          <w:p w14:paraId="716A3904">
            <w:pPr>
              <w:rPr>
                <w:rFonts w:ascii="Arial"/>
                <w:sz w:val="21"/>
              </w:rPr>
            </w:pPr>
          </w:p>
        </w:tc>
        <w:tc>
          <w:tcPr>
            <w:tcW w:w="1102" w:type="dxa"/>
            <w:vMerge w:val="continue"/>
            <w:tcBorders>
              <w:top w:val="nil"/>
              <w:bottom w:val="nil"/>
            </w:tcBorders>
            <w:vAlign w:val="top"/>
          </w:tcPr>
          <w:p w14:paraId="18DE8719">
            <w:pPr>
              <w:rPr>
                <w:rFonts w:ascii="Arial"/>
                <w:sz w:val="21"/>
              </w:rPr>
            </w:pPr>
          </w:p>
        </w:tc>
        <w:tc>
          <w:tcPr>
            <w:tcW w:w="1502" w:type="dxa"/>
            <w:vAlign w:val="top"/>
          </w:tcPr>
          <w:p w14:paraId="6FCF1928">
            <w:pPr>
              <w:spacing w:line="255" w:lineRule="auto"/>
              <w:rPr>
                <w:rFonts w:ascii="Arial"/>
                <w:sz w:val="21"/>
              </w:rPr>
            </w:pPr>
          </w:p>
          <w:p w14:paraId="2D6BF6DD">
            <w:pPr>
              <w:pStyle w:val="6"/>
              <w:spacing w:before="65" w:line="228" w:lineRule="auto"/>
              <w:ind w:left="230"/>
              <w:rPr>
                <w:sz w:val="20"/>
                <w:szCs w:val="20"/>
              </w:rPr>
            </w:pPr>
            <w:r>
              <w:rPr>
                <w:spacing w:val="8"/>
                <w:sz w:val="20"/>
                <w:szCs w:val="20"/>
              </w:rPr>
              <w:t>汽车维修间</w:t>
            </w:r>
          </w:p>
        </w:tc>
        <w:tc>
          <w:tcPr>
            <w:tcW w:w="5334" w:type="dxa"/>
            <w:vAlign w:val="top"/>
          </w:tcPr>
          <w:p w14:paraId="641909D4">
            <w:pPr>
              <w:pStyle w:val="6"/>
              <w:spacing w:before="51" w:line="228" w:lineRule="auto"/>
              <w:ind w:left="249"/>
              <w:rPr>
                <w:sz w:val="20"/>
                <w:szCs w:val="20"/>
              </w:rPr>
            </w:pPr>
            <w:r>
              <w:rPr>
                <w:spacing w:val="7"/>
                <w:sz w:val="20"/>
                <w:szCs w:val="20"/>
              </w:rPr>
              <w:t>单层钢筋混凝土框架结构，建筑面积</w:t>
            </w:r>
            <w:r>
              <w:rPr>
                <w:spacing w:val="-36"/>
                <w:sz w:val="20"/>
                <w:szCs w:val="20"/>
              </w:rPr>
              <w:t xml:space="preserve"> </w:t>
            </w:r>
            <w:r>
              <w:rPr>
                <w:rFonts w:ascii="Times New Roman" w:hAnsi="Times New Roman" w:eastAsia="Times New Roman" w:cs="Times New Roman"/>
                <w:spacing w:val="7"/>
                <w:sz w:val="20"/>
                <w:szCs w:val="20"/>
              </w:rPr>
              <w:t>383</w:t>
            </w:r>
            <w:r>
              <w:rPr>
                <w:rFonts w:ascii="Times New Roman" w:hAnsi="Times New Roman" w:eastAsia="Times New Roman" w:cs="Times New Roman"/>
                <w:spacing w:val="6"/>
                <w:sz w:val="20"/>
                <w:szCs w:val="20"/>
              </w:rPr>
              <w:t>.94m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sz w:val="20"/>
                <w:szCs w:val="20"/>
              </w:rPr>
              <w:t>，层高</w:t>
            </w:r>
          </w:p>
          <w:p w14:paraId="33F07BEA">
            <w:pPr>
              <w:pStyle w:val="6"/>
              <w:spacing w:before="24" w:line="227" w:lineRule="auto"/>
              <w:ind w:left="152"/>
              <w:rPr>
                <w:sz w:val="20"/>
                <w:szCs w:val="20"/>
              </w:rPr>
            </w:pPr>
            <w:r>
              <w:rPr>
                <w:rFonts w:ascii="Times New Roman" w:hAnsi="Times New Roman" w:eastAsia="Times New Roman" w:cs="Times New Roman"/>
                <w:spacing w:val="8"/>
                <w:sz w:val="20"/>
                <w:szCs w:val="20"/>
              </w:rPr>
              <w:t>6.9m</w:t>
            </w:r>
            <w:r>
              <w:rPr>
                <w:rFonts w:ascii="Times New Roman" w:hAnsi="Times New Roman" w:eastAsia="Times New Roman" w:cs="Times New Roman"/>
                <w:spacing w:val="-27"/>
                <w:sz w:val="20"/>
                <w:szCs w:val="20"/>
              </w:rPr>
              <w:t xml:space="preserve"> </w:t>
            </w:r>
            <w:r>
              <w:rPr>
                <w:spacing w:val="8"/>
                <w:sz w:val="20"/>
                <w:szCs w:val="20"/>
              </w:rPr>
              <w:t>，配套千斤顶、四柱举升机、套筒扳手</w:t>
            </w:r>
            <w:r>
              <w:rPr>
                <w:spacing w:val="7"/>
                <w:sz w:val="20"/>
                <w:szCs w:val="20"/>
              </w:rPr>
              <w:t>组、气动扳</w:t>
            </w:r>
          </w:p>
          <w:p w14:paraId="66C4CEDA">
            <w:pPr>
              <w:pStyle w:val="6"/>
              <w:spacing w:before="27" w:line="201" w:lineRule="auto"/>
              <w:ind w:left="679"/>
              <w:rPr>
                <w:sz w:val="20"/>
                <w:szCs w:val="20"/>
              </w:rPr>
            </w:pPr>
            <w:r>
              <w:rPr>
                <w:spacing w:val="8"/>
                <w:sz w:val="20"/>
                <w:szCs w:val="20"/>
              </w:rPr>
              <w:t>手、黄油枪、压力表、万用表等维修设备。</w:t>
            </w:r>
          </w:p>
        </w:tc>
        <w:tc>
          <w:tcPr>
            <w:tcW w:w="118" w:type="dxa"/>
            <w:tcBorders>
              <w:top w:val="nil"/>
              <w:bottom w:val="nil"/>
            </w:tcBorders>
            <w:vAlign w:val="top"/>
          </w:tcPr>
          <w:p w14:paraId="42AB4442">
            <w:pPr>
              <w:rPr>
                <w:rFonts w:ascii="Arial"/>
                <w:sz w:val="21"/>
              </w:rPr>
            </w:pPr>
          </w:p>
        </w:tc>
      </w:tr>
      <w:tr w14:paraId="661C7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76F4138C">
            <w:pPr>
              <w:rPr>
                <w:rFonts w:ascii="Arial"/>
                <w:sz w:val="21"/>
              </w:rPr>
            </w:pPr>
          </w:p>
        </w:tc>
        <w:tc>
          <w:tcPr>
            <w:tcW w:w="113" w:type="dxa"/>
            <w:tcBorders>
              <w:top w:val="nil"/>
              <w:bottom w:val="nil"/>
            </w:tcBorders>
            <w:vAlign w:val="top"/>
          </w:tcPr>
          <w:p w14:paraId="441408F9">
            <w:pPr>
              <w:rPr>
                <w:rFonts w:ascii="Arial"/>
                <w:sz w:val="21"/>
              </w:rPr>
            </w:pPr>
          </w:p>
        </w:tc>
        <w:tc>
          <w:tcPr>
            <w:tcW w:w="1102" w:type="dxa"/>
            <w:vMerge w:val="continue"/>
            <w:tcBorders>
              <w:top w:val="nil"/>
              <w:bottom w:val="nil"/>
            </w:tcBorders>
            <w:vAlign w:val="top"/>
          </w:tcPr>
          <w:p w14:paraId="3D82CE4F">
            <w:pPr>
              <w:rPr>
                <w:rFonts w:ascii="Arial"/>
                <w:sz w:val="21"/>
              </w:rPr>
            </w:pPr>
          </w:p>
        </w:tc>
        <w:tc>
          <w:tcPr>
            <w:tcW w:w="1502" w:type="dxa"/>
            <w:vAlign w:val="top"/>
          </w:tcPr>
          <w:p w14:paraId="55889389">
            <w:pPr>
              <w:pStyle w:val="6"/>
              <w:spacing w:before="184" w:line="228" w:lineRule="auto"/>
              <w:ind w:left="440"/>
              <w:rPr>
                <w:sz w:val="20"/>
                <w:szCs w:val="20"/>
              </w:rPr>
            </w:pPr>
            <w:r>
              <w:rPr>
                <w:spacing w:val="7"/>
                <w:sz w:val="20"/>
                <w:szCs w:val="20"/>
              </w:rPr>
              <w:t>洗车间</w:t>
            </w:r>
          </w:p>
        </w:tc>
        <w:tc>
          <w:tcPr>
            <w:tcW w:w="5334" w:type="dxa"/>
            <w:vAlign w:val="top"/>
          </w:tcPr>
          <w:p w14:paraId="214E812F">
            <w:pPr>
              <w:pStyle w:val="6"/>
              <w:spacing w:before="47" w:line="228" w:lineRule="auto"/>
              <w:ind w:left="249"/>
              <w:rPr>
                <w:sz w:val="20"/>
                <w:szCs w:val="20"/>
              </w:rPr>
            </w:pPr>
            <w:r>
              <w:rPr>
                <w:spacing w:val="7"/>
                <w:sz w:val="20"/>
                <w:szCs w:val="20"/>
              </w:rPr>
              <w:t>单层钢筋混凝土框架结构，建筑面积</w:t>
            </w:r>
            <w:r>
              <w:rPr>
                <w:spacing w:val="-40"/>
                <w:sz w:val="20"/>
                <w:szCs w:val="20"/>
              </w:rPr>
              <w:t xml:space="preserve"> </w:t>
            </w:r>
            <w:r>
              <w:rPr>
                <w:rFonts w:ascii="Times New Roman" w:hAnsi="Times New Roman" w:eastAsia="Times New Roman" w:cs="Times New Roman"/>
                <w:spacing w:val="7"/>
                <w:sz w:val="20"/>
                <w:szCs w:val="20"/>
              </w:rPr>
              <w:t>260.22m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sz w:val="20"/>
                <w:szCs w:val="20"/>
              </w:rPr>
              <w:t>，层高</w:t>
            </w:r>
          </w:p>
          <w:p w14:paraId="22EE1BDB">
            <w:pPr>
              <w:pStyle w:val="6"/>
              <w:spacing w:before="27" w:line="193" w:lineRule="auto"/>
              <w:ind w:left="1515"/>
              <w:rPr>
                <w:sz w:val="20"/>
                <w:szCs w:val="20"/>
              </w:rPr>
            </w:pPr>
            <w:r>
              <w:rPr>
                <w:rFonts w:ascii="Times New Roman" w:hAnsi="Times New Roman" w:eastAsia="Times New Roman" w:cs="Times New Roman"/>
                <w:spacing w:val="4"/>
                <w:sz w:val="20"/>
                <w:szCs w:val="20"/>
              </w:rPr>
              <w:t>6.9m</w:t>
            </w:r>
            <w:r>
              <w:rPr>
                <w:rFonts w:ascii="Times New Roman" w:hAnsi="Times New Roman" w:eastAsia="Times New Roman" w:cs="Times New Roman"/>
                <w:spacing w:val="-26"/>
                <w:sz w:val="20"/>
                <w:szCs w:val="20"/>
              </w:rPr>
              <w:t xml:space="preserve"> </w:t>
            </w:r>
            <w:r>
              <w:rPr>
                <w:spacing w:val="4"/>
                <w:sz w:val="20"/>
                <w:szCs w:val="20"/>
              </w:rPr>
              <w:t>，有洗车车位</w:t>
            </w:r>
            <w:r>
              <w:rPr>
                <w:spacing w:val="-41"/>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个。</w:t>
            </w:r>
          </w:p>
        </w:tc>
        <w:tc>
          <w:tcPr>
            <w:tcW w:w="118" w:type="dxa"/>
            <w:tcBorders>
              <w:top w:val="nil"/>
              <w:bottom w:val="nil"/>
            </w:tcBorders>
            <w:vAlign w:val="top"/>
          </w:tcPr>
          <w:p w14:paraId="70BEE693">
            <w:pPr>
              <w:rPr>
                <w:rFonts w:ascii="Arial"/>
                <w:sz w:val="21"/>
              </w:rPr>
            </w:pPr>
          </w:p>
        </w:tc>
      </w:tr>
      <w:tr w14:paraId="327E3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456" w:type="dxa"/>
            <w:vMerge w:val="continue"/>
            <w:tcBorders>
              <w:top w:val="nil"/>
              <w:bottom w:val="nil"/>
            </w:tcBorders>
            <w:vAlign w:val="top"/>
          </w:tcPr>
          <w:p w14:paraId="185EA125">
            <w:pPr>
              <w:rPr>
                <w:rFonts w:ascii="Arial"/>
                <w:sz w:val="21"/>
              </w:rPr>
            </w:pPr>
          </w:p>
        </w:tc>
        <w:tc>
          <w:tcPr>
            <w:tcW w:w="113" w:type="dxa"/>
            <w:tcBorders>
              <w:top w:val="nil"/>
              <w:bottom w:val="nil"/>
            </w:tcBorders>
            <w:vAlign w:val="top"/>
          </w:tcPr>
          <w:p w14:paraId="74649D02">
            <w:pPr>
              <w:rPr>
                <w:rFonts w:ascii="Arial"/>
                <w:sz w:val="21"/>
              </w:rPr>
            </w:pPr>
          </w:p>
        </w:tc>
        <w:tc>
          <w:tcPr>
            <w:tcW w:w="1102" w:type="dxa"/>
            <w:vMerge w:val="continue"/>
            <w:tcBorders>
              <w:top w:val="nil"/>
              <w:bottom w:val="nil"/>
            </w:tcBorders>
            <w:vAlign w:val="top"/>
          </w:tcPr>
          <w:p w14:paraId="2BA4D0D4">
            <w:pPr>
              <w:rPr>
                <w:rFonts w:ascii="Arial"/>
                <w:sz w:val="21"/>
              </w:rPr>
            </w:pPr>
          </w:p>
        </w:tc>
        <w:tc>
          <w:tcPr>
            <w:tcW w:w="1502" w:type="dxa"/>
            <w:vAlign w:val="top"/>
          </w:tcPr>
          <w:p w14:paraId="5458C1FF">
            <w:pPr>
              <w:pStyle w:val="6"/>
              <w:spacing w:before="193" w:line="231" w:lineRule="auto"/>
              <w:ind w:left="568"/>
              <w:rPr>
                <w:sz w:val="20"/>
                <w:szCs w:val="20"/>
              </w:rPr>
            </w:pPr>
            <w:r>
              <w:rPr>
                <w:spacing w:val="-7"/>
                <w:sz w:val="20"/>
                <w:szCs w:val="20"/>
              </w:rPr>
              <w:t>门卫</w:t>
            </w:r>
          </w:p>
        </w:tc>
        <w:tc>
          <w:tcPr>
            <w:tcW w:w="5334" w:type="dxa"/>
            <w:vAlign w:val="top"/>
          </w:tcPr>
          <w:p w14:paraId="5F1E475D">
            <w:pPr>
              <w:pStyle w:val="6"/>
              <w:spacing w:before="58" w:line="228" w:lineRule="auto"/>
              <w:ind w:left="156"/>
              <w:rPr>
                <w:sz w:val="20"/>
                <w:szCs w:val="20"/>
              </w:rPr>
            </w:pPr>
            <w:r>
              <w:rPr>
                <w:spacing w:val="9"/>
                <w:sz w:val="20"/>
                <w:szCs w:val="20"/>
              </w:rPr>
              <w:t>建设门卫两栋，单层钢筋混凝土框架结构，每栋建筑面</w:t>
            </w:r>
          </w:p>
          <w:p w14:paraId="77CBCA60">
            <w:pPr>
              <w:pStyle w:val="6"/>
              <w:spacing w:before="24" w:line="210" w:lineRule="auto"/>
              <w:ind w:left="1531"/>
              <w:rPr>
                <w:sz w:val="20"/>
                <w:szCs w:val="20"/>
              </w:rPr>
            </w:pPr>
            <w:r>
              <w:rPr>
                <w:spacing w:val="2"/>
                <w:sz w:val="20"/>
                <w:szCs w:val="20"/>
              </w:rPr>
              <w:t>积</w:t>
            </w:r>
            <w:r>
              <w:rPr>
                <w:spacing w:val="-30"/>
                <w:sz w:val="20"/>
                <w:szCs w:val="20"/>
              </w:rPr>
              <w:t xml:space="preserve"> </w:t>
            </w:r>
            <w:r>
              <w:rPr>
                <w:rFonts w:ascii="Times New Roman" w:hAnsi="Times New Roman" w:eastAsia="Times New Roman" w:cs="Times New Roman"/>
                <w:spacing w:val="2"/>
                <w:sz w:val="20"/>
                <w:szCs w:val="20"/>
              </w:rPr>
              <w:t>60.22m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6"/>
                <w:position w:val="6"/>
                <w:sz w:val="13"/>
                <w:szCs w:val="13"/>
              </w:rPr>
              <w:t xml:space="preserve"> </w:t>
            </w:r>
            <w:r>
              <w:rPr>
                <w:spacing w:val="2"/>
                <w:sz w:val="20"/>
                <w:szCs w:val="20"/>
              </w:rPr>
              <w:t>，层高</w:t>
            </w:r>
            <w:r>
              <w:rPr>
                <w:spacing w:val="-39"/>
                <w:sz w:val="20"/>
                <w:szCs w:val="20"/>
              </w:rPr>
              <w:t xml:space="preserve"> </w:t>
            </w:r>
            <w:r>
              <w:rPr>
                <w:rFonts w:ascii="Times New Roman" w:hAnsi="Times New Roman" w:eastAsia="Times New Roman" w:cs="Times New Roman"/>
                <w:spacing w:val="2"/>
                <w:sz w:val="20"/>
                <w:szCs w:val="20"/>
              </w:rPr>
              <w:t>3.9m</w:t>
            </w:r>
            <w:r>
              <w:rPr>
                <w:spacing w:val="2"/>
                <w:sz w:val="20"/>
                <w:szCs w:val="20"/>
              </w:rPr>
              <w:t>。</w:t>
            </w:r>
          </w:p>
        </w:tc>
        <w:tc>
          <w:tcPr>
            <w:tcW w:w="118" w:type="dxa"/>
            <w:tcBorders>
              <w:top w:val="nil"/>
              <w:bottom w:val="nil"/>
            </w:tcBorders>
            <w:vAlign w:val="top"/>
          </w:tcPr>
          <w:p w14:paraId="3DFE3DE8">
            <w:pPr>
              <w:rPr>
                <w:rFonts w:ascii="Arial"/>
                <w:sz w:val="21"/>
              </w:rPr>
            </w:pPr>
          </w:p>
        </w:tc>
      </w:tr>
      <w:tr w14:paraId="6B58C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6" w:type="dxa"/>
            <w:vMerge w:val="continue"/>
            <w:tcBorders>
              <w:top w:val="nil"/>
              <w:bottom w:val="nil"/>
            </w:tcBorders>
            <w:vAlign w:val="top"/>
          </w:tcPr>
          <w:p w14:paraId="66E8F46D">
            <w:pPr>
              <w:rPr>
                <w:rFonts w:ascii="Arial"/>
                <w:sz w:val="21"/>
              </w:rPr>
            </w:pPr>
          </w:p>
        </w:tc>
        <w:tc>
          <w:tcPr>
            <w:tcW w:w="113" w:type="dxa"/>
            <w:tcBorders>
              <w:top w:val="nil"/>
              <w:bottom w:val="nil"/>
            </w:tcBorders>
            <w:vAlign w:val="top"/>
          </w:tcPr>
          <w:p w14:paraId="501B3F0F">
            <w:pPr>
              <w:rPr>
                <w:rFonts w:ascii="Arial"/>
                <w:sz w:val="21"/>
              </w:rPr>
            </w:pPr>
          </w:p>
        </w:tc>
        <w:tc>
          <w:tcPr>
            <w:tcW w:w="1102" w:type="dxa"/>
            <w:vMerge w:val="continue"/>
            <w:tcBorders>
              <w:top w:val="nil"/>
              <w:bottom w:val="nil"/>
            </w:tcBorders>
            <w:vAlign w:val="top"/>
          </w:tcPr>
          <w:p w14:paraId="1A7DDE8E">
            <w:pPr>
              <w:rPr>
                <w:rFonts w:ascii="Arial"/>
                <w:sz w:val="21"/>
              </w:rPr>
            </w:pPr>
          </w:p>
        </w:tc>
        <w:tc>
          <w:tcPr>
            <w:tcW w:w="1502" w:type="dxa"/>
            <w:vAlign w:val="top"/>
          </w:tcPr>
          <w:p w14:paraId="0AF93174">
            <w:pPr>
              <w:pStyle w:val="6"/>
              <w:spacing w:before="174" w:line="228" w:lineRule="auto"/>
              <w:ind w:left="229"/>
              <w:rPr>
                <w:sz w:val="20"/>
                <w:szCs w:val="20"/>
              </w:rPr>
            </w:pPr>
            <w:r>
              <w:rPr>
                <w:spacing w:val="8"/>
                <w:sz w:val="20"/>
                <w:szCs w:val="20"/>
              </w:rPr>
              <w:t>初期雨水池</w:t>
            </w:r>
          </w:p>
        </w:tc>
        <w:tc>
          <w:tcPr>
            <w:tcW w:w="5334" w:type="dxa"/>
            <w:vAlign w:val="top"/>
          </w:tcPr>
          <w:p w14:paraId="57157079">
            <w:pPr>
              <w:pStyle w:val="6"/>
              <w:spacing w:before="40" w:line="228" w:lineRule="auto"/>
              <w:ind w:left="468"/>
              <w:rPr>
                <w:sz w:val="20"/>
                <w:szCs w:val="20"/>
              </w:rPr>
            </w:pPr>
            <w:r>
              <w:rPr>
                <w:spacing w:val="9"/>
                <w:sz w:val="20"/>
                <w:szCs w:val="20"/>
              </w:rPr>
              <w:t>地下式收集池，钢筋混凝土矩形水池，建筑面积</w:t>
            </w:r>
          </w:p>
          <w:p w14:paraId="2CFE8BB7">
            <w:pPr>
              <w:pStyle w:val="6"/>
              <w:spacing w:before="25" w:line="202" w:lineRule="auto"/>
              <w:ind w:left="768"/>
              <w:rPr>
                <w:sz w:val="20"/>
                <w:szCs w:val="20"/>
              </w:rPr>
            </w:pPr>
            <w:r>
              <w:rPr>
                <w:rFonts w:ascii="Times New Roman" w:hAnsi="Times New Roman" w:eastAsia="Times New Roman" w:cs="Times New Roman"/>
                <w:spacing w:val="3"/>
                <w:sz w:val="20"/>
                <w:szCs w:val="20"/>
              </w:rPr>
              <w:t>387.66m</w:t>
            </w:r>
            <w:r>
              <w:rPr>
                <w:rFonts w:ascii="Times New Roman" w:hAnsi="Times New Roman" w:eastAsia="Times New Roman" w:cs="Times New Roman"/>
                <w:spacing w:val="3"/>
                <w:position w:val="6"/>
                <w:sz w:val="13"/>
                <w:szCs w:val="13"/>
              </w:rPr>
              <w:t xml:space="preserve">2 </w:t>
            </w:r>
            <w:r>
              <w:rPr>
                <w:spacing w:val="3"/>
                <w:sz w:val="20"/>
                <w:szCs w:val="20"/>
              </w:rPr>
              <w:t>，池体高度</w:t>
            </w:r>
            <w:r>
              <w:rPr>
                <w:spacing w:val="-41"/>
                <w:sz w:val="20"/>
                <w:szCs w:val="20"/>
              </w:rPr>
              <w:t xml:space="preserve"> </w:t>
            </w:r>
            <w:r>
              <w:rPr>
                <w:rFonts w:ascii="Times New Roman" w:hAnsi="Times New Roman" w:eastAsia="Times New Roman" w:cs="Times New Roman"/>
                <w:spacing w:val="3"/>
                <w:sz w:val="20"/>
                <w:szCs w:val="20"/>
              </w:rPr>
              <w:t>2.5m</w:t>
            </w:r>
            <w:r>
              <w:rPr>
                <w:rFonts w:ascii="Times New Roman" w:hAnsi="Times New Roman" w:eastAsia="Times New Roman" w:cs="Times New Roman"/>
                <w:spacing w:val="-26"/>
                <w:sz w:val="20"/>
                <w:szCs w:val="20"/>
              </w:rPr>
              <w:t xml:space="preserve"> </w:t>
            </w:r>
            <w:r>
              <w:rPr>
                <w:spacing w:val="3"/>
                <w:sz w:val="20"/>
                <w:szCs w:val="20"/>
              </w:rPr>
              <w:t>，容积</w:t>
            </w:r>
            <w:r>
              <w:rPr>
                <w:spacing w:val="-37"/>
                <w:sz w:val="20"/>
                <w:szCs w:val="20"/>
              </w:rPr>
              <w:t xml:space="preserve"> </w:t>
            </w:r>
            <w:r>
              <w:rPr>
                <w:rFonts w:ascii="Times New Roman" w:hAnsi="Times New Roman" w:eastAsia="Times New Roman" w:cs="Times New Roman"/>
                <w:spacing w:val="3"/>
                <w:sz w:val="20"/>
                <w:szCs w:val="20"/>
              </w:rPr>
              <w:t>970m</w:t>
            </w:r>
            <w:r>
              <w:rPr>
                <w:spacing w:val="3"/>
                <w:sz w:val="20"/>
                <w:szCs w:val="20"/>
              </w:rPr>
              <w:t>³。</w:t>
            </w:r>
          </w:p>
        </w:tc>
        <w:tc>
          <w:tcPr>
            <w:tcW w:w="118" w:type="dxa"/>
            <w:tcBorders>
              <w:top w:val="nil"/>
              <w:bottom w:val="nil"/>
            </w:tcBorders>
            <w:vAlign w:val="top"/>
          </w:tcPr>
          <w:p w14:paraId="6D5CDE94">
            <w:pPr>
              <w:rPr>
                <w:rFonts w:ascii="Arial"/>
                <w:sz w:val="21"/>
              </w:rPr>
            </w:pPr>
          </w:p>
        </w:tc>
      </w:tr>
      <w:tr w14:paraId="66931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56" w:type="dxa"/>
            <w:vMerge w:val="continue"/>
            <w:tcBorders>
              <w:top w:val="nil"/>
              <w:bottom w:val="nil"/>
            </w:tcBorders>
            <w:vAlign w:val="top"/>
          </w:tcPr>
          <w:p w14:paraId="58BBA7DB">
            <w:pPr>
              <w:rPr>
                <w:rFonts w:ascii="Arial"/>
                <w:sz w:val="21"/>
              </w:rPr>
            </w:pPr>
          </w:p>
        </w:tc>
        <w:tc>
          <w:tcPr>
            <w:tcW w:w="113" w:type="dxa"/>
            <w:tcBorders>
              <w:top w:val="nil"/>
              <w:bottom w:val="nil"/>
            </w:tcBorders>
            <w:vAlign w:val="top"/>
          </w:tcPr>
          <w:p w14:paraId="0F36F75A">
            <w:pPr>
              <w:rPr>
                <w:rFonts w:ascii="Arial"/>
                <w:sz w:val="21"/>
              </w:rPr>
            </w:pPr>
          </w:p>
        </w:tc>
        <w:tc>
          <w:tcPr>
            <w:tcW w:w="1102" w:type="dxa"/>
            <w:vMerge w:val="continue"/>
            <w:tcBorders>
              <w:top w:val="nil"/>
            </w:tcBorders>
            <w:vAlign w:val="top"/>
          </w:tcPr>
          <w:p w14:paraId="3A3577B7">
            <w:pPr>
              <w:rPr>
                <w:rFonts w:ascii="Arial"/>
                <w:sz w:val="21"/>
              </w:rPr>
            </w:pPr>
          </w:p>
        </w:tc>
        <w:tc>
          <w:tcPr>
            <w:tcW w:w="1502" w:type="dxa"/>
            <w:vAlign w:val="top"/>
          </w:tcPr>
          <w:p w14:paraId="1AE1CDAE">
            <w:pPr>
              <w:pStyle w:val="6"/>
              <w:spacing w:before="183" w:line="228" w:lineRule="auto"/>
              <w:ind w:left="230"/>
              <w:rPr>
                <w:sz w:val="20"/>
                <w:szCs w:val="20"/>
              </w:rPr>
            </w:pPr>
            <w:r>
              <w:rPr>
                <w:spacing w:val="8"/>
                <w:sz w:val="20"/>
                <w:szCs w:val="20"/>
              </w:rPr>
              <w:t>事故应急池</w:t>
            </w:r>
          </w:p>
        </w:tc>
        <w:tc>
          <w:tcPr>
            <w:tcW w:w="5334" w:type="dxa"/>
            <w:vAlign w:val="top"/>
          </w:tcPr>
          <w:p w14:paraId="683A5FB3">
            <w:pPr>
              <w:pStyle w:val="6"/>
              <w:spacing w:before="48" w:line="228" w:lineRule="auto"/>
              <w:ind w:left="468"/>
              <w:rPr>
                <w:sz w:val="20"/>
                <w:szCs w:val="20"/>
              </w:rPr>
            </w:pPr>
            <w:r>
              <w:rPr>
                <w:spacing w:val="9"/>
                <w:sz w:val="20"/>
                <w:szCs w:val="20"/>
              </w:rPr>
              <w:t>地下式收集池，钢筋混凝土矩形水池，建筑面积</w:t>
            </w:r>
          </w:p>
          <w:p w14:paraId="152FB61D">
            <w:pPr>
              <w:pStyle w:val="6"/>
              <w:spacing w:before="24" w:line="217" w:lineRule="auto"/>
              <w:ind w:left="717"/>
              <w:rPr>
                <w:sz w:val="20"/>
                <w:szCs w:val="20"/>
              </w:rPr>
            </w:pPr>
            <w:r>
              <w:rPr>
                <w:rFonts w:ascii="Times New Roman" w:hAnsi="Times New Roman" w:eastAsia="Times New Roman" w:cs="Times New Roman"/>
                <w:spacing w:val="3"/>
                <w:sz w:val="20"/>
                <w:szCs w:val="20"/>
              </w:rPr>
              <w:t>501.83m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8"/>
                <w:position w:val="6"/>
                <w:sz w:val="13"/>
                <w:szCs w:val="13"/>
              </w:rPr>
              <w:t xml:space="preserve"> </w:t>
            </w:r>
            <w:r>
              <w:rPr>
                <w:spacing w:val="3"/>
                <w:sz w:val="20"/>
                <w:szCs w:val="20"/>
              </w:rPr>
              <w:t>，池体高度</w:t>
            </w:r>
            <w:r>
              <w:rPr>
                <w:spacing w:val="-41"/>
                <w:sz w:val="20"/>
                <w:szCs w:val="20"/>
              </w:rPr>
              <w:t xml:space="preserve"> </w:t>
            </w:r>
            <w:r>
              <w:rPr>
                <w:rFonts w:ascii="Times New Roman" w:hAnsi="Times New Roman" w:eastAsia="Times New Roman" w:cs="Times New Roman"/>
                <w:spacing w:val="3"/>
                <w:sz w:val="20"/>
                <w:szCs w:val="20"/>
              </w:rPr>
              <w:t>2.5m</w:t>
            </w:r>
            <w:r>
              <w:rPr>
                <w:rFonts w:ascii="Times New Roman" w:hAnsi="Times New Roman" w:eastAsia="Times New Roman" w:cs="Times New Roman"/>
                <w:spacing w:val="-26"/>
                <w:sz w:val="20"/>
                <w:szCs w:val="20"/>
              </w:rPr>
              <w:t xml:space="preserve"> </w:t>
            </w:r>
            <w:r>
              <w:rPr>
                <w:spacing w:val="3"/>
                <w:sz w:val="20"/>
                <w:szCs w:val="20"/>
              </w:rPr>
              <w:t>，容积</w:t>
            </w:r>
            <w:r>
              <w:rPr>
                <w:spacing w:val="-21"/>
                <w:sz w:val="20"/>
                <w:szCs w:val="20"/>
              </w:rPr>
              <w:t xml:space="preserve"> </w:t>
            </w:r>
            <w:r>
              <w:rPr>
                <w:rFonts w:ascii="Times New Roman" w:hAnsi="Times New Roman" w:eastAsia="Times New Roman" w:cs="Times New Roman"/>
                <w:spacing w:val="3"/>
                <w:sz w:val="20"/>
                <w:szCs w:val="20"/>
              </w:rPr>
              <w:t>125</w:t>
            </w:r>
            <w:r>
              <w:rPr>
                <w:rFonts w:ascii="Times New Roman" w:hAnsi="Times New Roman" w:eastAsia="Times New Roman" w:cs="Times New Roman"/>
                <w:spacing w:val="2"/>
                <w:sz w:val="20"/>
                <w:szCs w:val="20"/>
              </w:rPr>
              <w:t>5m</w:t>
            </w:r>
            <w:r>
              <w:rPr>
                <w:spacing w:val="2"/>
                <w:sz w:val="20"/>
                <w:szCs w:val="20"/>
              </w:rPr>
              <w:t>³。</w:t>
            </w:r>
          </w:p>
        </w:tc>
        <w:tc>
          <w:tcPr>
            <w:tcW w:w="118" w:type="dxa"/>
            <w:tcBorders>
              <w:top w:val="nil"/>
              <w:bottom w:val="nil"/>
            </w:tcBorders>
            <w:vAlign w:val="top"/>
          </w:tcPr>
          <w:p w14:paraId="3CD4C5B8">
            <w:pPr>
              <w:rPr>
                <w:rFonts w:ascii="Arial"/>
                <w:sz w:val="21"/>
              </w:rPr>
            </w:pPr>
          </w:p>
        </w:tc>
      </w:tr>
      <w:tr w14:paraId="645E0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56" w:type="dxa"/>
            <w:vMerge w:val="continue"/>
            <w:tcBorders>
              <w:top w:val="nil"/>
              <w:bottom w:val="nil"/>
            </w:tcBorders>
            <w:vAlign w:val="top"/>
          </w:tcPr>
          <w:p w14:paraId="4C307F70">
            <w:pPr>
              <w:rPr>
                <w:rFonts w:ascii="Arial"/>
                <w:sz w:val="21"/>
              </w:rPr>
            </w:pPr>
          </w:p>
        </w:tc>
        <w:tc>
          <w:tcPr>
            <w:tcW w:w="113" w:type="dxa"/>
            <w:tcBorders>
              <w:top w:val="nil"/>
              <w:bottom w:val="nil"/>
            </w:tcBorders>
            <w:vAlign w:val="top"/>
          </w:tcPr>
          <w:p w14:paraId="4A96AD8F">
            <w:pPr>
              <w:rPr>
                <w:rFonts w:ascii="Arial"/>
                <w:sz w:val="21"/>
              </w:rPr>
            </w:pPr>
          </w:p>
        </w:tc>
        <w:tc>
          <w:tcPr>
            <w:tcW w:w="1102" w:type="dxa"/>
            <w:vMerge w:val="restart"/>
            <w:tcBorders>
              <w:bottom w:val="nil"/>
            </w:tcBorders>
            <w:vAlign w:val="top"/>
          </w:tcPr>
          <w:p w14:paraId="13FC55BF">
            <w:pPr>
              <w:spacing w:line="258" w:lineRule="auto"/>
              <w:rPr>
                <w:rFonts w:ascii="Arial"/>
                <w:sz w:val="21"/>
              </w:rPr>
            </w:pPr>
          </w:p>
          <w:p w14:paraId="5101DBE2">
            <w:pPr>
              <w:spacing w:line="258" w:lineRule="auto"/>
              <w:rPr>
                <w:rFonts w:ascii="Arial"/>
                <w:sz w:val="21"/>
              </w:rPr>
            </w:pPr>
          </w:p>
          <w:p w14:paraId="6B7D4E83">
            <w:pPr>
              <w:spacing w:line="258" w:lineRule="auto"/>
              <w:rPr>
                <w:rFonts w:ascii="Arial"/>
                <w:sz w:val="21"/>
              </w:rPr>
            </w:pPr>
          </w:p>
          <w:p w14:paraId="68E9AD61">
            <w:pPr>
              <w:spacing w:line="258" w:lineRule="auto"/>
              <w:rPr>
                <w:rFonts w:ascii="Arial"/>
                <w:sz w:val="21"/>
              </w:rPr>
            </w:pPr>
          </w:p>
          <w:p w14:paraId="5B0B7FEE">
            <w:pPr>
              <w:spacing w:line="258" w:lineRule="auto"/>
              <w:rPr>
                <w:rFonts w:ascii="Arial"/>
                <w:sz w:val="21"/>
              </w:rPr>
            </w:pPr>
          </w:p>
          <w:p w14:paraId="64C03626">
            <w:pPr>
              <w:spacing w:line="258" w:lineRule="auto"/>
              <w:rPr>
                <w:rFonts w:ascii="Arial"/>
                <w:sz w:val="21"/>
              </w:rPr>
            </w:pPr>
          </w:p>
          <w:p w14:paraId="22F8852A">
            <w:pPr>
              <w:spacing w:line="258" w:lineRule="auto"/>
              <w:rPr>
                <w:rFonts w:ascii="Arial"/>
                <w:sz w:val="21"/>
              </w:rPr>
            </w:pPr>
          </w:p>
          <w:p w14:paraId="50C0E8DB">
            <w:pPr>
              <w:spacing w:line="258" w:lineRule="auto"/>
              <w:rPr>
                <w:rFonts w:ascii="Arial"/>
                <w:sz w:val="21"/>
              </w:rPr>
            </w:pPr>
          </w:p>
          <w:p w14:paraId="31BA82BB">
            <w:pPr>
              <w:spacing w:line="259" w:lineRule="auto"/>
              <w:rPr>
                <w:rFonts w:ascii="Arial"/>
                <w:sz w:val="21"/>
              </w:rPr>
            </w:pPr>
          </w:p>
          <w:p w14:paraId="3C5AB392">
            <w:pPr>
              <w:spacing w:line="259" w:lineRule="auto"/>
              <w:rPr>
                <w:rFonts w:ascii="Arial"/>
                <w:sz w:val="21"/>
              </w:rPr>
            </w:pPr>
          </w:p>
          <w:p w14:paraId="2493E8E5">
            <w:pPr>
              <w:spacing w:line="259" w:lineRule="auto"/>
              <w:rPr>
                <w:rFonts w:ascii="Arial"/>
                <w:sz w:val="21"/>
              </w:rPr>
            </w:pPr>
          </w:p>
          <w:p w14:paraId="7C36F831">
            <w:pPr>
              <w:spacing w:line="259" w:lineRule="auto"/>
              <w:rPr>
                <w:rFonts w:ascii="Arial"/>
                <w:sz w:val="21"/>
              </w:rPr>
            </w:pPr>
          </w:p>
          <w:p w14:paraId="65A3EF96">
            <w:pPr>
              <w:pStyle w:val="6"/>
              <w:spacing w:before="65" w:line="228" w:lineRule="auto"/>
              <w:ind w:left="141"/>
              <w:rPr>
                <w:sz w:val="20"/>
                <w:szCs w:val="20"/>
              </w:rPr>
            </w:pPr>
            <w:r>
              <w:rPr>
                <w:spacing w:val="5"/>
                <w:sz w:val="20"/>
                <w:szCs w:val="20"/>
              </w:rPr>
              <w:t>公用工程</w:t>
            </w:r>
          </w:p>
        </w:tc>
        <w:tc>
          <w:tcPr>
            <w:tcW w:w="1502" w:type="dxa"/>
            <w:vAlign w:val="top"/>
          </w:tcPr>
          <w:p w14:paraId="0A633A40">
            <w:pPr>
              <w:spacing w:line="373" w:lineRule="auto"/>
              <w:rPr>
                <w:rFonts w:ascii="Arial"/>
                <w:sz w:val="21"/>
              </w:rPr>
            </w:pPr>
          </w:p>
          <w:p w14:paraId="7CF39695">
            <w:pPr>
              <w:pStyle w:val="6"/>
              <w:spacing w:before="65" w:line="228" w:lineRule="auto"/>
              <w:ind w:left="545"/>
              <w:rPr>
                <w:sz w:val="20"/>
                <w:szCs w:val="20"/>
              </w:rPr>
            </w:pPr>
            <w:r>
              <w:rPr>
                <w:spacing w:val="4"/>
                <w:sz w:val="20"/>
                <w:szCs w:val="20"/>
              </w:rPr>
              <w:t>给水</w:t>
            </w:r>
          </w:p>
        </w:tc>
        <w:tc>
          <w:tcPr>
            <w:tcW w:w="5334" w:type="dxa"/>
            <w:vAlign w:val="top"/>
          </w:tcPr>
          <w:p w14:paraId="3EF47431">
            <w:pPr>
              <w:pStyle w:val="6"/>
              <w:spacing w:before="33" w:line="227" w:lineRule="auto"/>
              <w:ind w:left="154"/>
              <w:rPr>
                <w:sz w:val="20"/>
                <w:szCs w:val="20"/>
              </w:rPr>
            </w:pPr>
            <w:r>
              <w:rPr>
                <w:spacing w:val="9"/>
                <w:sz w:val="20"/>
                <w:szCs w:val="20"/>
              </w:rPr>
              <w:t>本项目给水分生活给水系统和消防给水系统，生活给水</w:t>
            </w:r>
          </w:p>
          <w:p w14:paraId="7441881D">
            <w:pPr>
              <w:pStyle w:val="6"/>
              <w:spacing w:before="25" w:line="227" w:lineRule="auto"/>
              <w:ind w:left="158"/>
              <w:rPr>
                <w:sz w:val="20"/>
                <w:szCs w:val="20"/>
              </w:rPr>
            </w:pPr>
            <w:r>
              <w:rPr>
                <w:spacing w:val="9"/>
                <w:sz w:val="20"/>
                <w:szCs w:val="20"/>
              </w:rPr>
              <w:t>系统由园区配套供水厂供水，负责供给生活用水、洗车</w:t>
            </w:r>
          </w:p>
          <w:p w14:paraId="5D29166E">
            <w:pPr>
              <w:pStyle w:val="6"/>
              <w:spacing w:before="27" w:line="228" w:lineRule="auto"/>
              <w:ind w:left="155"/>
              <w:rPr>
                <w:sz w:val="20"/>
                <w:szCs w:val="20"/>
              </w:rPr>
            </w:pPr>
            <w:r>
              <w:rPr>
                <w:spacing w:val="9"/>
                <w:sz w:val="20"/>
                <w:szCs w:val="20"/>
              </w:rPr>
              <w:t>用水、地面冲洗用水和绿化用水；消防水由园区消防管</w:t>
            </w:r>
          </w:p>
          <w:p w14:paraId="339E63E2">
            <w:pPr>
              <w:pStyle w:val="6"/>
              <w:spacing w:before="24" w:line="207" w:lineRule="auto"/>
              <w:ind w:left="2270"/>
              <w:rPr>
                <w:sz w:val="20"/>
                <w:szCs w:val="20"/>
              </w:rPr>
            </w:pPr>
            <w:r>
              <w:rPr>
                <w:spacing w:val="1"/>
                <w:sz w:val="20"/>
                <w:szCs w:val="20"/>
              </w:rPr>
              <w:t>网补水。</w:t>
            </w:r>
          </w:p>
        </w:tc>
        <w:tc>
          <w:tcPr>
            <w:tcW w:w="118" w:type="dxa"/>
            <w:tcBorders>
              <w:top w:val="nil"/>
              <w:bottom w:val="nil"/>
            </w:tcBorders>
            <w:vAlign w:val="top"/>
          </w:tcPr>
          <w:p w14:paraId="29FFE980">
            <w:pPr>
              <w:rPr>
                <w:rFonts w:ascii="Arial"/>
                <w:sz w:val="21"/>
              </w:rPr>
            </w:pPr>
          </w:p>
        </w:tc>
      </w:tr>
      <w:tr w14:paraId="4BDD6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1" w:hRule="atLeast"/>
        </w:trPr>
        <w:tc>
          <w:tcPr>
            <w:tcW w:w="456" w:type="dxa"/>
            <w:vMerge w:val="continue"/>
            <w:tcBorders>
              <w:top w:val="nil"/>
              <w:bottom w:val="nil"/>
            </w:tcBorders>
            <w:vAlign w:val="top"/>
          </w:tcPr>
          <w:p w14:paraId="45DBAAC6">
            <w:pPr>
              <w:rPr>
                <w:rFonts w:ascii="Arial"/>
                <w:sz w:val="21"/>
              </w:rPr>
            </w:pPr>
          </w:p>
        </w:tc>
        <w:tc>
          <w:tcPr>
            <w:tcW w:w="113" w:type="dxa"/>
            <w:tcBorders>
              <w:top w:val="nil"/>
              <w:bottom w:val="nil"/>
            </w:tcBorders>
            <w:vAlign w:val="top"/>
          </w:tcPr>
          <w:p w14:paraId="7940EFCA">
            <w:pPr>
              <w:rPr>
                <w:rFonts w:ascii="Arial"/>
                <w:sz w:val="21"/>
              </w:rPr>
            </w:pPr>
          </w:p>
        </w:tc>
        <w:tc>
          <w:tcPr>
            <w:tcW w:w="1102" w:type="dxa"/>
            <w:vMerge w:val="continue"/>
            <w:tcBorders>
              <w:top w:val="nil"/>
              <w:bottom w:val="nil"/>
            </w:tcBorders>
            <w:vAlign w:val="top"/>
          </w:tcPr>
          <w:p w14:paraId="2EBFF863">
            <w:pPr>
              <w:rPr>
                <w:rFonts w:ascii="Arial"/>
                <w:sz w:val="21"/>
              </w:rPr>
            </w:pPr>
          </w:p>
        </w:tc>
        <w:tc>
          <w:tcPr>
            <w:tcW w:w="1502" w:type="dxa"/>
            <w:vAlign w:val="top"/>
          </w:tcPr>
          <w:p w14:paraId="4AC6BC74">
            <w:pPr>
              <w:spacing w:line="265" w:lineRule="auto"/>
              <w:rPr>
                <w:rFonts w:ascii="Arial"/>
                <w:sz w:val="21"/>
              </w:rPr>
            </w:pPr>
          </w:p>
          <w:p w14:paraId="5A49B1C3">
            <w:pPr>
              <w:spacing w:line="265" w:lineRule="auto"/>
              <w:rPr>
                <w:rFonts w:ascii="Arial"/>
                <w:sz w:val="21"/>
              </w:rPr>
            </w:pPr>
          </w:p>
          <w:p w14:paraId="005D2600">
            <w:pPr>
              <w:spacing w:line="266" w:lineRule="auto"/>
              <w:rPr>
                <w:rFonts w:ascii="Arial"/>
                <w:sz w:val="21"/>
              </w:rPr>
            </w:pPr>
          </w:p>
          <w:p w14:paraId="382C1C34">
            <w:pPr>
              <w:spacing w:line="266" w:lineRule="auto"/>
              <w:rPr>
                <w:rFonts w:ascii="Arial"/>
                <w:sz w:val="21"/>
              </w:rPr>
            </w:pPr>
          </w:p>
          <w:p w14:paraId="6C5ED1A0">
            <w:pPr>
              <w:pStyle w:val="6"/>
              <w:spacing w:before="65" w:line="228" w:lineRule="auto"/>
              <w:ind w:left="544"/>
              <w:rPr>
                <w:sz w:val="20"/>
                <w:szCs w:val="20"/>
              </w:rPr>
            </w:pPr>
            <w:r>
              <w:rPr>
                <w:spacing w:val="4"/>
                <w:sz w:val="20"/>
                <w:szCs w:val="20"/>
              </w:rPr>
              <w:t>排水</w:t>
            </w:r>
          </w:p>
        </w:tc>
        <w:tc>
          <w:tcPr>
            <w:tcW w:w="5334" w:type="dxa"/>
            <w:vAlign w:val="top"/>
          </w:tcPr>
          <w:p w14:paraId="71F611CF">
            <w:pPr>
              <w:pStyle w:val="6"/>
              <w:spacing w:before="44" w:line="227" w:lineRule="auto"/>
              <w:ind w:left="154"/>
              <w:rPr>
                <w:sz w:val="20"/>
                <w:szCs w:val="20"/>
              </w:rPr>
            </w:pPr>
            <w:r>
              <w:rPr>
                <w:spacing w:val="8"/>
                <w:sz w:val="20"/>
                <w:szCs w:val="20"/>
              </w:rPr>
              <w:t>本项目场区实行“清污分流、雨污分流</w:t>
            </w:r>
            <w:r>
              <w:rPr>
                <w:spacing w:val="-65"/>
                <w:sz w:val="20"/>
                <w:szCs w:val="20"/>
              </w:rPr>
              <w:t xml:space="preserve"> </w:t>
            </w:r>
            <w:r>
              <w:rPr>
                <w:spacing w:val="8"/>
                <w:sz w:val="20"/>
                <w:szCs w:val="20"/>
              </w:rPr>
              <w:t>”，通过初期雨</w:t>
            </w:r>
          </w:p>
          <w:p w14:paraId="47BC9C1D">
            <w:pPr>
              <w:pStyle w:val="6"/>
              <w:spacing w:before="24" w:line="228" w:lineRule="auto"/>
              <w:ind w:left="156"/>
              <w:rPr>
                <w:sz w:val="20"/>
                <w:szCs w:val="20"/>
              </w:rPr>
            </w:pPr>
            <w:r>
              <w:rPr>
                <w:spacing w:val="9"/>
                <w:sz w:val="20"/>
                <w:szCs w:val="20"/>
              </w:rPr>
              <w:t>水收集池收集，排入园区市政雨水管网。运营期产生的</w:t>
            </w:r>
          </w:p>
          <w:p w14:paraId="6A550040">
            <w:pPr>
              <w:pStyle w:val="6"/>
              <w:spacing w:before="26" w:line="228" w:lineRule="auto"/>
              <w:ind w:left="153"/>
              <w:rPr>
                <w:sz w:val="20"/>
                <w:szCs w:val="20"/>
              </w:rPr>
            </w:pPr>
            <w:r>
              <w:rPr>
                <w:spacing w:val="9"/>
                <w:sz w:val="20"/>
                <w:szCs w:val="20"/>
              </w:rPr>
              <w:t>废水主要有生活污水、洗车废水、地面冲洗废水和消防</w:t>
            </w:r>
          </w:p>
          <w:p w14:paraId="7D53A737">
            <w:pPr>
              <w:pStyle w:val="6"/>
              <w:spacing w:before="24" w:line="228" w:lineRule="auto"/>
              <w:ind w:right="10"/>
              <w:jc w:val="right"/>
              <w:rPr>
                <w:sz w:val="20"/>
                <w:szCs w:val="20"/>
              </w:rPr>
            </w:pPr>
            <w:r>
              <w:rPr>
                <w:spacing w:val="8"/>
                <w:sz w:val="20"/>
                <w:szCs w:val="20"/>
              </w:rPr>
              <w:t>废水。生活污水经隔油池、化粪池收集停留一段时间后，</w:t>
            </w:r>
          </w:p>
          <w:p w14:paraId="06674B74">
            <w:pPr>
              <w:pStyle w:val="6"/>
              <w:spacing w:before="26" w:line="228" w:lineRule="auto"/>
              <w:ind w:right="10"/>
              <w:jc w:val="right"/>
              <w:rPr>
                <w:sz w:val="20"/>
                <w:szCs w:val="20"/>
              </w:rPr>
            </w:pPr>
            <w:r>
              <w:rPr>
                <w:spacing w:val="8"/>
                <w:sz w:val="20"/>
                <w:szCs w:val="20"/>
              </w:rPr>
              <w:t>排入园区污水管网；洗车废水、地面冲洗废水经沉淀池、</w:t>
            </w:r>
          </w:p>
          <w:p w14:paraId="6CA55802">
            <w:pPr>
              <w:pStyle w:val="6"/>
              <w:spacing w:before="24" w:line="228" w:lineRule="auto"/>
              <w:ind w:left="166"/>
              <w:rPr>
                <w:sz w:val="20"/>
                <w:szCs w:val="20"/>
              </w:rPr>
            </w:pPr>
            <w:r>
              <w:rPr>
                <w:spacing w:val="9"/>
                <w:sz w:val="20"/>
                <w:szCs w:val="20"/>
              </w:rPr>
              <w:t>隔油池收集停留后，排入园区污水管网；消防废水产生</w:t>
            </w:r>
          </w:p>
          <w:p w14:paraId="78BCB1D5">
            <w:pPr>
              <w:pStyle w:val="6"/>
              <w:spacing w:before="27" w:line="228" w:lineRule="auto"/>
              <w:ind w:left="155"/>
              <w:rPr>
                <w:sz w:val="20"/>
                <w:szCs w:val="20"/>
              </w:rPr>
            </w:pPr>
            <w:r>
              <w:rPr>
                <w:spacing w:val="9"/>
                <w:sz w:val="20"/>
                <w:szCs w:val="20"/>
              </w:rPr>
              <w:t>后，收集至事故应急池，由罐车定期拉运至棋西项目区</w:t>
            </w:r>
          </w:p>
          <w:p w14:paraId="077985FB">
            <w:pPr>
              <w:pStyle w:val="6"/>
              <w:spacing w:before="24" w:line="228" w:lineRule="auto"/>
              <w:ind w:left="156"/>
              <w:rPr>
                <w:sz w:val="20"/>
                <w:szCs w:val="20"/>
              </w:rPr>
            </w:pPr>
            <w:r>
              <w:rPr>
                <w:spacing w:val="9"/>
                <w:sz w:val="20"/>
                <w:szCs w:val="20"/>
              </w:rPr>
              <w:t>工业污水处理厂处理，不外排。生活污水与其他废水预</w:t>
            </w:r>
          </w:p>
          <w:p w14:paraId="311F7D70">
            <w:pPr>
              <w:pStyle w:val="6"/>
              <w:spacing w:before="24" w:line="194" w:lineRule="auto"/>
              <w:ind w:left="1103"/>
              <w:rPr>
                <w:sz w:val="20"/>
                <w:szCs w:val="20"/>
              </w:rPr>
            </w:pPr>
            <w:r>
              <w:rPr>
                <w:spacing w:val="8"/>
                <w:sz w:val="20"/>
                <w:szCs w:val="20"/>
              </w:rPr>
              <w:t>处理设施为独立的设施，不混用。</w:t>
            </w:r>
          </w:p>
        </w:tc>
        <w:tc>
          <w:tcPr>
            <w:tcW w:w="118" w:type="dxa"/>
            <w:tcBorders>
              <w:top w:val="nil"/>
              <w:bottom w:val="nil"/>
            </w:tcBorders>
            <w:vAlign w:val="top"/>
          </w:tcPr>
          <w:p w14:paraId="2CDD228D">
            <w:pPr>
              <w:rPr>
                <w:rFonts w:ascii="Arial"/>
                <w:sz w:val="21"/>
              </w:rPr>
            </w:pPr>
          </w:p>
        </w:tc>
      </w:tr>
      <w:tr w14:paraId="0891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56" w:type="dxa"/>
            <w:vMerge w:val="continue"/>
            <w:tcBorders>
              <w:top w:val="nil"/>
              <w:bottom w:val="nil"/>
            </w:tcBorders>
            <w:vAlign w:val="top"/>
          </w:tcPr>
          <w:p w14:paraId="6EC64CE0">
            <w:pPr>
              <w:rPr>
                <w:rFonts w:ascii="Arial"/>
                <w:sz w:val="21"/>
              </w:rPr>
            </w:pPr>
          </w:p>
        </w:tc>
        <w:tc>
          <w:tcPr>
            <w:tcW w:w="113" w:type="dxa"/>
            <w:tcBorders>
              <w:top w:val="nil"/>
              <w:bottom w:val="nil"/>
            </w:tcBorders>
            <w:vAlign w:val="top"/>
          </w:tcPr>
          <w:p w14:paraId="298EA8BF">
            <w:pPr>
              <w:rPr>
                <w:rFonts w:ascii="Arial"/>
                <w:sz w:val="21"/>
              </w:rPr>
            </w:pPr>
          </w:p>
        </w:tc>
        <w:tc>
          <w:tcPr>
            <w:tcW w:w="1102" w:type="dxa"/>
            <w:vMerge w:val="continue"/>
            <w:tcBorders>
              <w:top w:val="nil"/>
              <w:bottom w:val="nil"/>
            </w:tcBorders>
            <w:vAlign w:val="top"/>
          </w:tcPr>
          <w:p w14:paraId="72DAA404">
            <w:pPr>
              <w:rPr>
                <w:rFonts w:ascii="Arial"/>
                <w:sz w:val="21"/>
              </w:rPr>
            </w:pPr>
          </w:p>
        </w:tc>
        <w:tc>
          <w:tcPr>
            <w:tcW w:w="1502" w:type="dxa"/>
            <w:vAlign w:val="top"/>
          </w:tcPr>
          <w:p w14:paraId="1805302D">
            <w:pPr>
              <w:pStyle w:val="6"/>
              <w:spacing w:before="195" w:line="227" w:lineRule="auto"/>
              <w:ind w:left="544"/>
              <w:rPr>
                <w:sz w:val="20"/>
                <w:szCs w:val="20"/>
              </w:rPr>
            </w:pPr>
            <w:r>
              <w:rPr>
                <w:spacing w:val="4"/>
                <w:sz w:val="20"/>
                <w:szCs w:val="20"/>
              </w:rPr>
              <w:t>供电</w:t>
            </w:r>
          </w:p>
        </w:tc>
        <w:tc>
          <w:tcPr>
            <w:tcW w:w="5334" w:type="dxa"/>
            <w:vAlign w:val="top"/>
          </w:tcPr>
          <w:p w14:paraId="51B120FB">
            <w:pPr>
              <w:pStyle w:val="6"/>
              <w:spacing w:before="58" w:line="230" w:lineRule="auto"/>
              <w:ind w:left="214" w:right="145" w:hanging="45"/>
              <w:rPr>
                <w:sz w:val="20"/>
                <w:szCs w:val="20"/>
              </w:rPr>
            </w:pPr>
            <w:r>
              <w:rPr>
                <w:spacing w:val="7"/>
                <w:sz w:val="20"/>
                <w:szCs w:val="20"/>
              </w:rPr>
              <w:t>引</w:t>
            </w:r>
            <w:r>
              <w:rPr>
                <w:spacing w:val="-55"/>
                <w:sz w:val="20"/>
                <w:szCs w:val="20"/>
              </w:rPr>
              <w:t xml:space="preserve"> </w:t>
            </w:r>
            <w:r>
              <w:rPr>
                <w:spacing w:val="7"/>
                <w:sz w:val="20"/>
                <w:szCs w:val="20"/>
              </w:rPr>
              <w:t>自就近市政低压电源至消防泵房配电室，另在站区设</w:t>
            </w:r>
            <w:r>
              <w:rPr>
                <w:sz w:val="20"/>
                <w:szCs w:val="20"/>
              </w:rPr>
              <w:t xml:space="preserve"> </w:t>
            </w:r>
            <w:r>
              <w:rPr>
                <w:spacing w:val="7"/>
                <w:sz w:val="20"/>
                <w:szCs w:val="20"/>
              </w:rPr>
              <w:t>一台</w:t>
            </w:r>
            <w:r>
              <w:rPr>
                <w:spacing w:val="-29"/>
                <w:sz w:val="20"/>
                <w:szCs w:val="20"/>
              </w:rPr>
              <w:t xml:space="preserve"> </w:t>
            </w:r>
            <w:r>
              <w:rPr>
                <w:rFonts w:ascii="Times New Roman" w:hAnsi="Times New Roman" w:eastAsia="Times New Roman" w:cs="Times New Roman"/>
                <w:spacing w:val="7"/>
                <w:sz w:val="20"/>
                <w:szCs w:val="20"/>
              </w:rPr>
              <w:t>200</w:t>
            </w:r>
            <w:r>
              <w:rPr>
                <w:rFonts w:ascii="Times New Roman" w:hAnsi="Times New Roman" w:eastAsia="Times New Roman" w:cs="Times New Roman"/>
                <w:sz w:val="20"/>
                <w:szCs w:val="20"/>
              </w:rPr>
              <w:t>kW</w:t>
            </w:r>
            <w:r>
              <w:rPr>
                <w:rFonts w:ascii="Times New Roman" w:hAnsi="Times New Roman" w:eastAsia="Times New Roman" w:cs="Times New Roman"/>
                <w:spacing w:val="30"/>
                <w:sz w:val="20"/>
                <w:szCs w:val="20"/>
              </w:rPr>
              <w:t xml:space="preserve"> </w:t>
            </w:r>
            <w:r>
              <w:rPr>
                <w:spacing w:val="7"/>
                <w:sz w:val="20"/>
                <w:szCs w:val="20"/>
              </w:rPr>
              <w:t>的柴油发电机，作为二级负荷备用电源。</w:t>
            </w:r>
          </w:p>
        </w:tc>
        <w:tc>
          <w:tcPr>
            <w:tcW w:w="118" w:type="dxa"/>
            <w:tcBorders>
              <w:top w:val="nil"/>
              <w:bottom w:val="nil"/>
            </w:tcBorders>
            <w:vAlign w:val="top"/>
          </w:tcPr>
          <w:p w14:paraId="4DC51D50">
            <w:pPr>
              <w:rPr>
                <w:rFonts w:ascii="Arial"/>
                <w:sz w:val="21"/>
              </w:rPr>
            </w:pPr>
          </w:p>
        </w:tc>
      </w:tr>
      <w:tr w14:paraId="6BA9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56" w:type="dxa"/>
            <w:vMerge w:val="continue"/>
            <w:tcBorders>
              <w:top w:val="nil"/>
              <w:bottom w:val="nil"/>
            </w:tcBorders>
            <w:vAlign w:val="top"/>
          </w:tcPr>
          <w:p w14:paraId="2A885003">
            <w:pPr>
              <w:rPr>
                <w:rFonts w:ascii="Arial"/>
                <w:sz w:val="21"/>
              </w:rPr>
            </w:pPr>
          </w:p>
        </w:tc>
        <w:tc>
          <w:tcPr>
            <w:tcW w:w="113" w:type="dxa"/>
            <w:tcBorders>
              <w:top w:val="nil"/>
              <w:bottom w:val="nil"/>
            </w:tcBorders>
            <w:vAlign w:val="top"/>
          </w:tcPr>
          <w:p w14:paraId="7E78450A">
            <w:pPr>
              <w:rPr>
                <w:rFonts w:ascii="Arial"/>
                <w:sz w:val="21"/>
              </w:rPr>
            </w:pPr>
          </w:p>
        </w:tc>
        <w:tc>
          <w:tcPr>
            <w:tcW w:w="1102" w:type="dxa"/>
            <w:vMerge w:val="continue"/>
            <w:tcBorders>
              <w:top w:val="nil"/>
              <w:bottom w:val="nil"/>
            </w:tcBorders>
            <w:vAlign w:val="top"/>
          </w:tcPr>
          <w:p w14:paraId="7FD5CB25">
            <w:pPr>
              <w:rPr>
                <w:rFonts w:ascii="Arial"/>
                <w:sz w:val="21"/>
              </w:rPr>
            </w:pPr>
          </w:p>
        </w:tc>
        <w:tc>
          <w:tcPr>
            <w:tcW w:w="1502" w:type="dxa"/>
            <w:vAlign w:val="top"/>
          </w:tcPr>
          <w:p w14:paraId="71037B9E">
            <w:pPr>
              <w:pStyle w:val="6"/>
              <w:spacing w:before="43" w:line="190" w:lineRule="auto"/>
              <w:ind w:left="544"/>
              <w:rPr>
                <w:sz w:val="20"/>
                <w:szCs w:val="20"/>
              </w:rPr>
            </w:pPr>
            <w:r>
              <w:rPr>
                <w:spacing w:val="4"/>
                <w:sz w:val="20"/>
                <w:szCs w:val="20"/>
              </w:rPr>
              <w:t>供暖</w:t>
            </w:r>
          </w:p>
        </w:tc>
        <w:tc>
          <w:tcPr>
            <w:tcW w:w="5334" w:type="dxa"/>
            <w:vAlign w:val="top"/>
          </w:tcPr>
          <w:p w14:paraId="71CB63BB">
            <w:pPr>
              <w:pStyle w:val="6"/>
              <w:spacing w:before="43" w:line="190" w:lineRule="auto"/>
              <w:ind w:left="438"/>
              <w:rPr>
                <w:sz w:val="20"/>
                <w:szCs w:val="20"/>
              </w:rPr>
            </w:pPr>
            <w:r>
              <w:rPr>
                <w:spacing w:val="7"/>
                <w:sz w:val="20"/>
                <w:szCs w:val="20"/>
              </w:rPr>
              <w:t>由园区供暖管网接入，管网供回水温度为</w:t>
            </w:r>
            <w:r>
              <w:rPr>
                <w:spacing w:val="-36"/>
                <w:sz w:val="20"/>
                <w:szCs w:val="20"/>
              </w:rPr>
              <w:t xml:space="preserve"> </w:t>
            </w:r>
            <w:r>
              <w:rPr>
                <w:rFonts w:ascii="Times New Roman" w:hAnsi="Times New Roman" w:eastAsia="Times New Roman" w:cs="Times New Roman"/>
                <w:spacing w:val="7"/>
                <w:sz w:val="20"/>
                <w:szCs w:val="20"/>
              </w:rPr>
              <w:t>60/</w:t>
            </w:r>
            <w:r>
              <w:rPr>
                <w:rFonts w:ascii="Times New Roman" w:hAnsi="Times New Roman" w:eastAsia="Times New Roman" w:cs="Times New Roman"/>
                <w:spacing w:val="6"/>
                <w:sz w:val="20"/>
                <w:szCs w:val="20"/>
              </w:rPr>
              <w:t>40</w:t>
            </w:r>
            <w:r>
              <w:rPr>
                <w:spacing w:val="6"/>
                <w:sz w:val="20"/>
                <w:szCs w:val="20"/>
              </w:rPr>
              <w:t>℃</w:t>
            </w:r>
          </w:p>
        </w:tc>
        <w:tc>
          <w:tcPr>
            <w:tcW w:w="118" w:type="dxa"/>
            <w:tcBorders>
              <w:top w:val="nil"/>
              <w:bottom w:val="nil"/>
            </w:tcBorders>
            <w:vAlign w:val="top"/>
          </w:tcPr>
          <w:p w14:paraId="6CA9FAA8">
            <w:pPr>
              <w:rPr>
                <w:rFonts w:ascii="Arial"/>
                <w:sz w:val="21"/>
              </w:rPr>
            </w:pPr>
          </w:p>
        </w:tc>
      </w:tr>
      <w:tr w14:paraId="12E70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456" w:type="dxa"/>
            <w:vMerge w:val="continue"/>
            <w:tcBorders>
              <w:top w:val="nil"/>
              <w:bottom w:val="nil"/>
            </w:tcBorders>
            <w:vAlign w:val="top"/>
          </w:tcPr>
          <w:p w14:paraId="716430DB">
            <w:pPr>
              <w:rPr>
                <w:rFonts w:ascii="Arial"/>
                <w:sz w:val="21"/>
              </w:rPr>
            </w:pPr>
          </w:p>
        </w:tc>
        <w:tc>
          <w:tcPr>
            <w:tcW w:w="113" w:type="dxa"/>
            <w:tcBorders>
              <w:top w:val="nil"/>
              <w:bottom w:val="nil"/>
            </w:tcBorders>
            <w:vAlign w:val="top"/>
          </w:tcPr>
          <w:p w14:paraId="46E54CD7">
            <w:pPr>
              <w:rPr>
                <w:rFonts w:ascii="Arial"/>
                <w:sz w:val="21"/>
              </w:rPr>
            </w:pPr>
          </w:p>
        </w:tc>
        <w:tc>
          <w:tcPr>
            <w:tcW w:w="1102" w:type="dxa"/>
            <w:vMerge w:val="continue"/>
            <w:tcBorders>
              <w:top w:val="nil"/>
            </w:tcBorders>
            <w:vAlign w:val="top"/>
          </w:tcPr>
          <w:p w14:paraId="704D59E3">
            <w:pPr>
              <w:rPr>
                <w:rFonts w:ascii="Arial"/>
                <w:sz w:val="21"/>
              </w:rPr>
            </w:pPr>
          </w:p>
        </w:tc>
        <w:tc>
          <w:tcPr>
            <w:tcW w:w="1502" w:type="dxa"/>
            <w:vAlign w:val="top"/>
          </w:tcPr>
          <w:p w14:paraId="53CFAA75">
            <w:pPr>
              <w:spacing w:line="314" w:lineRule="auto"/>
              <w:rPr>
                <w:rFonts w:ascii="Arial"/>
                <w:sz w:val="21"/>
              </w:rPr>
            </w:pPr>
          </w:p>
          <w:p w14:paraId="5876F601">
            <w:pPr>
              <w:spacing w:line="314" w:lineRule="auto"/>
              <w:rPr>
                <w:rFonts w:ascii="Arial"/>
                <w:sz w:val="21"/>
              </w:rPr>
            </w:pPr>
          </w:p>
          <w:p w14:paraId="67B83C03">
            <w:pPr>
              <w:spacing w:line="314" w:lineRule="auto"/>
              <w:rPr>
                <w:rFonts w:ascii="Arial"/>
                <w:sz w:val="21"/>
              </w:rPr>
            </w:pPr>
          </w:p>
          <w:p w14:paraId="1F17900B">
            <w:pPr>
              <w:pStyle w:val="6"/>
              <w:spacing w:before="65" w:line="228" w:lineRule="auto"/>
              <w:ind w:left="549"/>
              <w:rPr>
                <w:sz w:val="20"/>
                <w:szCs w:val="20"/>
              </w:rPr>
            </w:pPr>
            <w:r>
              <w:rPr>
                <w:spacing w:val="2"/>
                <w:sz w:val="20"/>
                <w:szCs w:val="20"/>
              </w:rPr>
              <w:t>消防</w:t>
            </w:r>
          </w:p>
        </w:tc>
        <w:tc>
          <w:tcPr>
            <w:tcW w:w="5334" w:type="dxa"/>
            <w:vAlign w:val="top"/>
          </w:tcPr>
          <w:p w14:paraId="44C3D580">
            <w:pPr>
              <w:pStyle w:val="6"/>
              <w:spacing w:before="59" w:line="228" w:lineRule="auto"/>
              <w:ind w:left="154"/>
              <w:rPr>
                <w:sz w:val="20"/>
                <w:szCs w:val="20"/>
              </w:rPr>
            </w:pPr>
            <w:r>
              <w:rPr>
                <w:spacing w:val="9"/>
                <w:sz w:val="20"/>
                <w:szCs w:val="20"/>
              </w:rPr>
              <w:t>根据车位类型和所停放的危险废物种类配备相应数量和</w:t>
            </w:r>
          </w:p>
          <w:p w14:paraId="329F028C">
            <w:pPr>
              <w:pStyle w:val="6"/>
              <w:spacing w:before="24" w:line="227" w:lineRule="auto"/>
              <w:ind w:left="160"/>
              <w:rPr>
                <w:sz w:val="20"/>
                <w:szCs w:val="20"/>
              </w:rPr>
            </w:pPr>
            <w:r>
              <w:rPr>
                <w:spacing w:val="9"/>
                <w:sz w:val="20"/>
                <w:szCs w:val="20"/>
              </w:rPr>
              <w:t>型号的灭火器。设置消防水泵房与消防水池，场区布设</w:t>
            </w:r>
          </w:p>
          <w:p w14:paraId="25601D7A">
            <w:pPr>
              <w:pStyle w:val="6"/>
              <w:spacing w:before="27" w:line="227" w:lineRule="auto"/>
              <w:ind w:left="113"/>
              <w:rPr>
                <w:sz w:val="20"/>
                <w:szCs w:val="20"/>
              </w:rPr>
            </w:pPr>
            <w:r>
              <w:rPr>
                <w:spacing w:val="8"/>
                <w:sz w:val="20"/>
                <w:szCs w:val="20"/>
              </w:rPr>
              <w:t>环状消防管网，与消防水泵房送出两条</w:t>
            </w:r>
            <w:r>
              <w:rPr>
                <w:spacing w:val="-37"/>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8"/>
                <w:sz w:val="20"/>
                <w:szCs w:val="20"/>
              </w:rPr>
              <w:t>200</w:t>
            </w:r>
            <w:r>
              <w:rPr>
                <w:rFonts w:ascii="Times New Roman" w:hAnsi="Times New Roman" w:eastAsia="Times New Roman" w:cs="Times New Roman"/>
                <w:spacing w:val="16"/>
                <w:sz w:val="20"/>
                <w:szCs w:val="20"/>
              </w:rPr>
              <w:t xml:space="preserve"> </w:t>
            </w:r>
            <w:r>
              <w:rPr>
                <w:spacing w:val="8"/>
                <w:sz w:val="20"/>
                <w:szCs w:val="20"/>
              </w:rPr>
              <w:t>消防供水</w:t>
            </w:r>
          </w:p>
          <w:p w14:paraId="2C2B26CA">
            <w:pPr>
              <w:pStyle w:val="6"/>
              <w:spacing w:before="27" w:line="227" w:lineRule="auto"/>
              <w:ind w:right="10"/>
              <w:jc w:val="right"/>
              <w:rPr>
                <w:sz w:val="20"/>
                <w:szCs w:val="20"/>
              </w:rPr>
            </w:pPr>
            <w:r>
              <w:rPr>
                <w:spacing w:val="4"/>
                <w:sz w:val="20"/>
                <w:szCs w:val="20"/>
              </w:rPr>
              <w:t>管相接，消防给水由园区给水管网提供两路</w:t>
            </w:r>
            <w:r>
              <w:rPr>
                <w:spacing w:val="-44"/>
                <w:sz w:val="20"/>
                <w:szCs w:val="20"/>
              </w:rPr>
              <w:t xml:space="preserve"> </w:t>
            </w:r>
            <w:r>
              <w:rPr>
                <w:rFonts w:ascii="Times New Roman" w:hAnsi="Times New Roman" w:eastAsia="Times New Roman" w:cs="Times New Roman"/>
                <w:sz w:val="20"/>
                <w:szCs w:val="20"/>
              </w:rPr>
              <w:t>DN</w:t>
            </w:r>
            <w:r>
              <w:rPr>
                <w:rFonts w:ascii="Times New Roman" w:hAnsi="Times New Roman" w:eastAsia="Times New Roman" w:cs="Times New Roman"/>
                <w:spacing w:val="4"/>
                <w:sz w:val="20"/>
                <w:szCs w:val="20"/>
              </w:rPr>
              <w:t xml:space="preserve">150 </w:t>
            </w:r>
            <w:r>
              <w:rPr>
                <w:spacing w:val="4"/>
                <w:sz w:val="20"/>
                <w:szCs w:val="20"/>
              </w:rPr>
              <w:t>供水。</w:t>
            </w:r>
          </w:p>
          <w:p w14:paraId="431179BF">
            <w:pPr>
              <w:pStyle w:val="6"/>
              <w:spacing w:before="25" w:line="228" w:lineRule="auto"/>
              <w:ind w:left="157"/>
              <w:rPr>
                <w:sz w:val="20"/>
                <w:szCs w:val="20"/>
              </w:rPr>
            </w:pPr>
            <w:r>
              <w:rPr>
                <w:spacing w:val="9"/>
                <w:sz w:val="20"/>
                <w:szCs w:val="20"/>
              </w:rPr>
              <w:t>设置消火栓稳压装置一套、遥控移动消防炮稳压装置一</w:t>
            </w:r>
          </w:p>
          <w:p w14:paraId="4137F308">
            <w:pPr>
              <w:pStyle w:val="6"/>
              <w:spacing w:before="25" w:line="227" w:lineRule="auto"/>
              <w:ind w:left="154"/>
              <w:rPr>
                <w:sz w:val="20"/>
                <w:szCs w:val="20"/>
              </w:rPr>
            </w:pPr>
            <w:r>
              <w:rPr>
                <w:spacing w:val="9"/>
                <w:sz w:val="20"/>
                <w:szCs w:val="20"/>
              </w:rPr>
              <w:t>套，全场范围内沿停车场周边布置室外地下式减压稳压</w:t>
            </w:r>
          </w:p>
          <w:p w14:paraId="37385B00">
            <w:pPr>
              <w:pStyle w:val="6"/>
              <w:spacing w:before="27" w:line="228" w:lineRule="auto"/>
              <w:ind w:left="119"/>
              <w:rPr>
                <w:sz w:val="20"/>
                <w:szCs w:val="20"/>
              </w:rPr>
            </w:pPr>
            <w:r>
              <w:rPr>
                <w:spacing w:val="5"/>
                <w:sz w:val="20"/>
                <w:szCs w:val="20"/>
              </w:rPr>
              <w:t>型消火栓，消火栓间距不超过</w:t>
            </w:r>
            <w:r>
              <w:rPr>
                <w:spacing w:val="-9"/>
                <w:sz w:val="20"/>
                <w:szCs w:val="20"/>
              </w:rPr>
              <w:t xml:space="preserve"> </w:t>
            </w:r>
            <w:r>
              <w:rPr>
                <w:rFonts w:ascii="Times New Roman" w:hAnsi="Times New Roman" w:eastAsia="Times New Roman" w:cs="Times New Roman"/>
                <w:spacing w:val="5"/>
                <w:sz w:val="20"/>
                <w:szCs w:val="20"/>
              </w:rPr>
              <w:t>120m</w:t>
            </w:r>
            <w:r>
              <w:rPr>
                <w:rFonts w:ascii="Times New Roman" w:hAnsi="Times New Roman" w:eastAsia="Times New Roman" w:cs="Times New Roman"/>
                <w:spacing w:val="-23"/>
                <w:sz w:val="20"/>
                <w:szCs w:val="20"/>
              </w:rPr>
              <w:t xml:space="preserve"> </w:t>
            </w:r>
            <w:r>
              <w:rPr>
                <w:spacing w:val="5"/>
                <w:sz w:val="20"/>
                <w:szCs w:val="20"/>
              </w:rPr>
              <w:t>。环状管网敷设，距</w:t>
            </w:r>
          </w:p>
          <w:p w14:paraId="7562AC9D">
            <w:pPr>
              <w:pStyle w:val="6"/>
              <w:spacing w:before="25" w:line="214" w:lineRule="auto"/>
              <w:ind w:left="360"/>
              <w:rPr>
                <w:sz w:val="20"/>
                <w:szCs w:val="20"/>
              </w:rPr>
            </w:pPr>
            <w:r>
              <w:rPr>
                <w:spacing w:val="6"/>
                <w:sz w:val="20"/>
                <w:szCs w:val="20"/>
              </w:rPr>
              <w:t>最近一排汽车边缘不小于</w:t>
            </w:r>
            <w:r>
              <w:rPr>
                <w:spacing w:val="-24"/>
                <w:sz w:val="20"/>
                <w:szCs w:val="20"/>
              </w:rPr>
              <w:t xml:space="preserve"> </w:t>
            </w:r>
            <w:r>
              <w:rPr>
                <w:rFonts w:ascii="Times New Roman" w:hAnsi="Times New Roman" w:eastAsia="Times New Roman" w:cs="Times New Roman"/>
                <w:spacing w:val="6"/>
                <w:sz w:val="20"/>
                <w:szCs w:val="20"/>
              </w:rPr>
              <w:t>7m</w:t>
            </w:r>
            <w:r>
              <w:rPr>
                <w:rFonts w:ascii="Times New Roman" w:hAnsi="Times New Roman" w:eastAsia="Times New Roman" w:cs="Times New Roman"/>
                <w:spacing w:val="-24"/>
                <w:sz w:val="20"/>
                <w:szCs w:val="20"/>
              </w:rPr>
              <w:t xml:space="preserve"> </w:t>
            </w:r>
            <w:r>
              <w:rPr>
                <w:spacing w:val="6"/>
                <w:sz w:val="20"/>
                <w:szCs w:val="20"/>
              </w:rPr>
              <w:t>，距路边不大于</w:t>
            </w:r>
            <w:r>
              <w:rPr>
                <w:spacing w:val="-43"/>
                <w:sz w:val="20"/>
                <w:szCs w:val="20"/>
              </w:rPr>
              <w:t xml:space="preserve"> </w:t>
            </w:r>
            <w:r>
              <w:rPr>
                <w:rFonts w:ascii="Times New Roman" w:hAnsi="Times New Roman" w:eastAsia="Times New Roman" w:cs="Times New Roman"/>
                <w:spacing w:val="6"/>
                <w:sz w:val="20"/>
                <w:szCs w:val="20"/>
              </w:rPr>
              <w:t>2m</w:t>
            </w:r>
            <w:r>
              <w:rPr>
                <w:spacing w:val="6"/>
                <w:sz w:val="20"/>
                <w:szCs w:val="20"/>
              </w:rPr>
              <w:t>。</w:t>
            </w:r>
          </w:p>
        </w:tc>
        <w:tc>
          <w:tcPr>
            <w:tcW w:w="118" w:type="dxa"/>
            <w:tcBorders>
              <w:top w:val="nil"/>
              <w:bottom w:val="nil"/>
            </w:tcBorders>
            <w:vAlign w:val="top"/>
          </w:tcPr>
          <w:p w14:paraId="7F984952">
            <w:pPr>
              <w:rPr>
                <w:rFonts w:ascii="Arial"/>
                <w:sz w:val="21"/>
              </w:rPr>
            </w:pPr>
          </w:p>
        </w:tc>
      </w:tr>
      <w:tr w14:paraId="089F7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56" w:type="dxa"/>
            <w:vMerge w:val="continue"/>
            <w:tcBorders>
              <w:top w:val="nil"/>
              <w:bottom w:val="nil"/>
            </w:tcBorders>
            <w:vAlign w:val="top"/>
          </w:tcPr>
          <w:p w14:paraId="08F6EC2B">
            <w:pPr>
              <w:rPr>
                <w:rFonts w:ascii="Arial"/>
                <w:sz w:val="21"/>
              </w:rPr>
            </w:pPr>
          </w:p>
        </w:tc>
        <w:tc>
          <w:tcPr>
            <w:tcW w:w="113" w:type="dxa"/>
            <w:tcBorders>
              <w:top w:val="nil"/>
              <w:bottom w:val="nil"/>
            </w:tcBorders>
            <w:vAlign w:val="top"/>
          </w:tcPr>
          <w:p w14:paraId="4CA3CBFD">
            <w:pPr>
              <w:rPr>
                <w:rFonts w:ascii="Arial"/>
                <w:sz w:val="21"/>
              </w:rPr>
            </w:pPr>
          </w:p>
        </w:tc>
        <w:tc>
          <w:tcPr>
            <w:tcW w:w="1102" w:type="dxa"/>
            <w:vMerge w:val="restart"/>
            <w:tcBorders>
              <w:bottom w:val="nil"/>
            </w:tcBorders>
            <w:vAlign w:val="top"/>
          </w:tcPr>
          <w:p w14:paraId="7ACDB87B">
            <w:pPr>
              <w:spacing w:line="265" w:lineRule="auto"/>
              <w:rPr>
                <w:rFonts w:ascii="Arial"/>
                <w:sz w:val="21"/>
              </w:rPr>
            </w:pPr>
          </w:p>
          <w:p w14:paraId="59BFF29E">
            <w:pPr>
              <w:spacing w:line="265" w:lineRule="auto"/>
              <w:rPr>
                <w:rFonts w:ascii="Arial"/>
                <w:sz w:val="21"/>
              </w:rPr>
            </w:pPr>
          </w:p>
          <w:p w14:paraId="4BB14195">
            <w:pPr>
              <w:spacing w:line="266" w:lineRule="auto"/>
              <w:rPr>
                <w:rFonts w:ascii="Arial"/>
                <w:sz w:val="21"/>
              </w:rPr>
            </w:pPr>
          </w:p>
          <w:p w14:paraId="1A07D41E">
            <w:pPr>
              <w:spacing w:line="266" w:lineRule="auto"/>
              <w:rPr>
                <w:rFonts w:ascii="Arial"/>
                <w:sz w:val="21"/>
              </w:rPr>
            </w:pPr>
          </w:p>
          <w:p w14:paraId="46F6EC5B">
            <w:pPr>
              <w:spacing w:line="266" w:lineRule="auto"/>
              <w:rPr>
                <w:rFonts w:ascii="Arial"/>
                <w:sz w:val="21"/>
              </w:rPr>
            </w:pPr>
          </w:p>
          <w:p w14:paraId="72821F3B">
            <w:pPr>
              <w:pStyle w:val="6"/>
              <w:spacing w:before="65" w:line="228" w:lineRule="auto"/>
              <w:ind w:left="134"/>
              <w:rPr>
                <w:sz w:val="20"/>
                <w:szCs w:val="20"/>
              </w:rPr>
            </w:pPr>
            <w:r>
              <w:rPr>
                <w:spacing w:val="7"/>
                <w:sz w:val="20"/>
                <w:szCs w:val="20"/>
              </w:rPr>
              <w:t>环保工程</w:t>
            </w:r>
          </w:p>
        </w:tc>
        <w:tc>
          <w:tcPr>
            <w:tcW w:w="1502" w:type="dxa"/>
            <w:vAlign w:val="top"/>
          </w:tcPr>
          <w:p w14:paraId="146B5796">
            <w:pPr>
              <w:spacing w:line="376" w:lineRule="auto"/>
              <w:rPr>
                <w:rFonts w:ascii="Arial"/>
                <w:sz w:val="21"/>
              </w:rPr>
            </w:pPr>
          </w:p>
          <w:p w14:paraId="78F2A130">
            <w:pPr>
              <w:pStyle w:val="6"/>
              <w:spacing w:before="65" w:line="228" w:lineRule="auto"/>
              <w:ind w:left="544"/>
              <w:rPr>
                <w:sz w:val="20"/>
                <w:szCs w:val="20"/>
              </w:rPr>
            </w:pPr>
            <w:r>
              <w:rPr>
                <w:spacing w:val="5"/>
                <w:sz w:val="20"/>
                <w:szCs w:val="20"/>
              </w:rPr>
              <w:t>废气</w:t>
            </w:r>
          </w:p>
        </w:tc>
        <w:tc>
          <w:tcPr>
            <w:tcW w:w="5334" w:type="dxa"/>
            <w:vAlign w:val="top"/>
          </w:tcPr>
          <w:p w14:paraId="0626CFFC">
            <w:pPr>
              <w:pStyle w:val="6"/>
              <w:spacing w:before="35" w:line="228" w:lineRule="auto"/>
              <w:ind w:left="468"/>
              <w:rPr>
                <w:sz w:val="20"/>
                <w:szCs w:val="20"/>
              </w:rPr>
            </w:pPr>
            <w:r>
              <w:rPr>
                <w:spacing w:val="9"/>
                <w:sz w:val="20"/>
                <w:szCs w:val="20"/>
              </w:rPr>
              <w:t>运营期废气主要是汽车尾气和槽罐车顶呼吸废气</w:t>
            </w:r>
          </w:p>
          <w:p w14:paraId="0A664580">
            <w:pPr>
              <w:pStyle w:val="6"/>
              <w:spacing w:before="26" w:line="228" w:lineRule="auto"/>
              <w:ind w:left="123"/>
              <w:rPr>
                <w:sz w:val="20"/>
                <w:szCs w:val="20"/>
              </w:rPr>
            </w:pPr>
            <w:r>
              <w:rPr>
                <w:spacing w:val="9"/>
                <w:sz w:val="20"/>
                <w:szCs w:val="20"/>
              </w:rPr>
              <w:t>（</w:t>
            </w:r>
            <w:r>
              <w:rPr>
                <w:rFonts w:ascii="Times New Roman" w:hAnsi="Times New Roman" w:eastAsia="Times New Roman" w:cs="Times New Roman"/>
                <w:sz w:val="20"/>
                <w:szCs w:val="20"/>
              </w:rPr>
              <w:t>VOCs</w:t>
            </w:r>
            <w:r>
              <w:rPr>
                <w:spacing w:val="9"/>
                <w:sz w:val="20"/>
                <w:szCs w:val="20"/>
              </w:rPr>
              <w:t>）。重载车辆在场站停留时间较短，另外项目区</w:t>
            </w:r>
          </w:p>
          <w:p w14:paraId="369240D0">
            <w:pPr>
              <w:pStyle w:val="6"/>
              <w:spacing w:before="24" w:line="228" w:lineRule="auto"/>
              <w:ind w:left="153"/>
              <w:rPr>
                <w:sz w:val="20"/>
                <w:szCs w:val="20"/>
              </w:rPr>
            </w:pPr>
            <w:r>
              <w:rPr>
                <w:spacing w:val="9"/>
                <w:sz w:val="20"/>
                <w:szCs w:val="20"/>
              </w:rPr>
              <w:t>场地开阔，场区做基础硬化，配套绿化，有利于废气稀</w:t>
            </w:r>
          </w:p>
          <w:p w14:paraId="7CE5B00E">
            <w:pPr>
              <w:pStyle w:val="6"/>
              <w:spacing w:before="26" w:line="202" w:lineRule="auto"/>
              <w:ind w:left="2253"/>
              <w:rPr>
                <w:sz w:val="20"/>
                <w:szCs w:val="20"/>
              </w:rPr>
            </w:pPr>
            <w:r>
              <w:rPr>
                <w:spacing w:val="5"/>
                <w:sz w:val="20"/>
                <w:szCs w:val="20"/>
              </w:rPr>
              <w:t>释扩散。</w:t>
            </w:r>
          </w:p>
        </w:tc>
        <w:tc>
          <w:tcPr>
            <w:tcW w:w="118" w:type="dxa"/>
            <w:tcBorders>
              <w:top w:val="nil"/>
              <w:bottom w:val="nil"/>
            </w:tcBorders>
            <w:vAlign w:val="top"/>
          </w:tcPr>
          <w:p w14:paraId="12522873">
            <w:pPr>
              <w:rPr>
                <w:rFonts w:ascii="Arial"/>
                <w:sz w:val="21"/>
              </w:rPr>
            </w:pPr>
          </w:p>
        </w:tc>
      </w:tr>
      <w:tr w14:paraId="212A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456" w:type="dxa"/>
            <w:vMerge w:val="continue"/>
            <w:tcBorders>
              <w:top w:val="nil"/>
            </w:tcBorders>
            <w:vAlign w:val="top"/>
          </w:tcPr>
          <w:p w14:paraId="37E3CB69">
            <w:pPr>
              <w:rPr>
                <w:rFonts w:ascii="Arial"/>
                <w:sz w:val="21"/>
              </w:rPr>
            </w:pPr>
          </w:p>
        </w:tc>
        <w:tc>
          <w:tcPr>
            <w:tcW w:w="113" w:type="dxa"/>
            <w:tcBorders>
              <w:top w:val="nil"/>
            </w:tcBorders>
            <w:vAlign w:val="top"/>
          </w:tcPr>
          <w:p w14:paraId="22B516FE">
            <w:pPr>
              <w:rPr>
                <w:rFonts w:ascii="Arial"/>
                <w:sz w:val="21"/>
              </w:rPr>
            </w:pPr>
          </w:p>
        </w:tc>
        <w:tc>
          <w:tcPr>
            <w:tcW w:w="1102" w:type="dxa"/>
            <w:vMerge w:val="continue"/>
            <w:tcBorders>
              <w:top w:val="nil"/>
            </w:tcBorders>
            <w:vAlign w:val="top"/>
          </w:tcPr>
          <w:p w14:paraId="7E330915">
            <w:pPr>
              <w:rPr>
                <w:rFonts w:ascii="Arial"/>
                <w:sz w:val="21"/>
              </w:rPr>
            </w:pPr>
          </w:p>
        </w:tc>
        <w:tc>
          <w:tcPr>
            <w:tcW w:w="1502" w:type="dxa"/>
            <w:vAlign w:val="top"/>
          </w:tcPr>
          <w:p w14:paraId="44D66862">
            <w:pPr>
              <w:spacing w:line="264" w:lineRule="auto"/>
              <w:rPr>
                <w:rFonts w:ascii="Arial"/>
                <w:sz w:val="21"/>
              </w:rPr>
            </w:pPr>
          </w:p>
          <w:p w14:paraId="1DBFFB06">
            <w:pPr>
              <w:spacing w:line="264" w:lineRule="auto"/>
              <w:rPr>
                <w:rFonts w:ascii="Arial"/>
                <w:sz w:val="21"/>
              </w:rPr>
            </w:pPr>
          </w:p>
          <w:p w14:paraId="2D041A53">
            <w:pPr>
              <w:spacing w:line="264" w:lineRule="auto"/>
              <w:rPr>
                <w:rFonts w:ascii="Arial"/>
                <w:sz w:val="21"/>
              </w:rPr>
            </w:pPr>
          </w:p>
          <w:p w14:paraId="718E8A56">
            <w:pPr>
              <w:pStyle w:val="6"/>
              <w:spacing w:before="65" w:line="228" w:lineRule="auto"/>
              <w:ind w:left="544"/>
              <w:rPr>
                <w:sz w:val="20"/>
                <w:szCs w:val="20"/>
              </w:rPr>
            </w:pPr>
            <w:r>
              <w:rPr>
                <w:spacing w:val="5"/>
                <w:sz w:val="20"/>
                <w:szCs w:val="20"/>
              </w:rPr>
              <w:t>废水</w:t>
            </w:r>
          </w:p>
        </w:tc>
        <w:tc>
          <w:tcPr>
            <w:tcW w:w="5334" w:type="dxa"/>
            <w:vAlign w:val="top"/>
          </w:tcPr>
          <w:p w14:paraId="74084189">
            <w:pPr>
              <w:pStyle w:val="6"/>
              <w:spacing w:before="46" w:line="228" w:lineRule="auto"/>
              <w:ind w:left="154"/>
              <w:rPr>
                <w:sz w:val="20"/>
                <w:szCs w:val="20"/>
              </w:rPr>
            </w:pPr>
            <w:r>
              <w:rPr>
                <w:spacing w:val="9"/>
                <w:sz w:val="20"/>
                <w:szCs w:val="20"/>
              </w:rPr>
              <w:t>运营期产生的废水主要有生活污水、洗车废水、地面冲</w:t>
            </w:r>
          </w:p>
          <w:p w14:paraId="35A5F755">
            <w:pPr>
              <w:pStyle w:val="6"/>
              <w:spacing w:before="24" w:line="228" w:lineRule="auto"/>
              <w:ind w:left="153"/>
              <w:rPr>
                <w:sz w:val="20"/>
                <w:szCs w:val="20"/>
              </w:rPr>
            </w:pPr>
            <w:r>
              <w:rPr>
                <w:spacing w:val="9"/>
                <w:sz w:val="20"/>
                <w:szCs w:val="20"/>
              </w:rPr>
              <w:t>洗废水和消防废水。生活污水经隔油池、化粪池收集停</w:t>
            </w:r>
          </w:p>
          <w:p w14:paraId="51FFF80A">
            <w:pPr>
              <w:pStyle w:val="6"/>
              <w:spacing w:before="26" w:line="228" w:lineRule="auto"/>
              <w:ind w:left="169"/>
              <w:rPr>
                <w:sz w:val="20"/>
                <w:szCs w:val="20"/>
              </w:rPr>
            </w:pPr>
            <w:r>
              <w:rPr>
                <w:spacing w:val="9"/>
                <w:sz w:val="20"/>
                <w:szCs w:val="20"/>
              </w:rPr>
              <w:t>留一段时间后，排入园区污水管网；洗车废水、</w:t>
            </w:r>
            <w:r>
              <w:rPr>
                <w:spacing w:val="8"/>
                <w:sz w:val="20"/>
                <w:szCs w:val="20"/>
              </w:rPr>
              <w:t>地面冲</w:t>
            </w:r>
          </w:p>
          <w:p w14:paraId="15E6C7E1">
            <w:pPr>
              <w:pStyle w:val="6"/>
              <w:spacing w:before="26" w:line="228" w:lineRule="auto"/>
              <w:ind w:left="153"/>
              <w:rPr>
                <w:sz w:val="20"/>
                <w:szCs w:val="20"/>
              </w:rPr>
            </w:pPr>
            <w:r>
              <w:rPr>
                <w:spacing w:val="9"/>
                <w:sz w:val="20"/>
                <w:szCs w:val="20"/>
              </w:rPr>
              <w:t>洗废水经沉淀池、隔油池收集停留后，排入园区污水管</w:t>
            </w:r>
          </w:p>
          <w:p w14:paraId="6C5C405D">
            <w:pPr>
              <w:pStyle w:val="6"/>
              <w:spacing w:before="24" w:line="228" w:lineRule="auto"/>
              <w:ind w:left="170"/>
              <w:rPr>
                <w:sz w:val="20"/>
                <w:szCs w:val="20"/>
              </w:rPr>
            </w:pPr>
            <w:r>
              <w:rPr>
                <w:spacing w:val="9"/>
                <w:sz w:val="20"/>
                <w:szCs w:val="20"/>
              </w:rPr>
              <w:t>网；消防废水产生后，收集至事故应急池，由</w:t>
            </w:r>
            <w:r>
              <w:rPr>
                <w:spacing w:val="8"/>
                <w:sz w:val="20"/>
                <w:szCs w:val="20"/>
              </w:rPr>
              <w:t>罐车定期</w:t>
            </w:r>
          </w:p>
          <w:p w14:paraId="775813E4">
            <w:pPr>
              <w:pStyle w:val="6"/>
              <w:spacing w:before="24" w:line="228" w:lineRule="auto"/>
              <w:ind w:left="155"/>
              <w:rPr>
                <w:sz w:val="20"/>
                <w:szCs w:val="20"/>
              </w:rPr>
            </w:pPr>
            <w:r>
              <w:rPr>
                <w:spacing w:val="9"/>
                <w:sz w:val="20"/>
                <w:szCs w:val="20"/>
              </w:rPr>
              <w:t>拉运至棋西项目区工业污水处理厂处理，不外排。生活</w:t>
            </w:r>
          </w:p>
          <w:p w14:paraId="2804F3CE">
            <w:pPr>
              <w:pStyle w:val="6"/>
              <w:spacing w:before="27" w:line="216" w:lineRule="auto"/>
              <w:ind w:left="261"/>
              <w:rPr>
                <w:sz w:val="20"/>
                <w:szCs w:val="20"/>
              </w:rPr>
            </w:pPr>
            <w:r>
              <w:rPr>
                <w:spacing w:val="9"/>
                <w:sz w:val="20"/>
                <w:szCs w:val="20"/>
              </w:rPr>
              <w:t>污水与其他废水预处理设施为独立的设施，不混用。</w:t>
            </w:r>
          </w:p>
        </w:tc>
        <w:tc>
          <w:tcPr>
            <w:tcW w:w="118" w:type="dxa"/>
            <w:tcBorders>
              <w:top w:val="nil"/>
            </w:tcBorders>
            <w:vAlign w:val="top"/>
          </w:tcPr>
          <w:p w14:paraId="348BB4CD">
            <w:pPr>
              <w:rPr>
                <w:rFonts w:ascii="Arial"/>
                <w:sz w:val="21"/>
              </w:rPr>
            </w:pPr>
          </w:p>
        </w:tc>
      </w:tr>
    </w:tbl>
    <w:p w14:paraId="1A25076A">
      <w:pPr>
        <w:pStyle w:val="2"/>
      </w:pPr>
    </w:p>
    <w:p w14:paraId="35951FDB">
      <w:pPr>
        <w:sectPr>
          <w:footerReference r:id="rId35" w:type="default"/>
          <w:pgSz w:w="11906" w:h="16839"/>
          <w:pgMar w:top="400" w:right="1588" w:bottom="1259" w:left="1687" w:header="0" w:footer="1097" w:gutter="0"/>
          <w:cols w:space="720" w:num="1"/>
        </w:sectPr>
      </w:pPr>
    </w:p>
    <w:p w14:paraId="1006B458">
      <w:pPr>
        <w:spacing w:before="19"/>
      </w:pPr>
    </w:p>
    <w:p w14:paraId="46533DBF">
      <w:pPr>
        <w:spacing w:before="19"/>
      </w:pPr>
    </w:p>
    <w:p w14:paraId="1F28835F">
      <w:pPr>
        <w:spacing w:before="18"/>
      </w:pPr>
    </w:p>
    <w:p w14:paraId="4C2B834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502"/>
        <w:gridCol w:w="5334"/>
        <w:gridCol w:w="118"/>
      </w:tblGrid>
      <w:tr w14:paraId="510A0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56" w:type="dxa"/>
            <w:vMerge w:val="restart"/>
            <w:tcBorders>
              <w:bottom w:val="nil"/>
            </w:tcBorders>
            <w:vAlign w:val="top"/>
          </w:tcPr>
          <w:p w14:paraId="1965B334">
            <w:pPr>
              <w:rPr>
                <w:rFonts w:ascii="Arial"/>
                <w:sz w:val="21"/>
              </w:rPr>
            </w:pPr>
          </w:p>
        </w:tc>
        <w:tc>
          <w:tcPr>
            <w:tcW w:w="113" w:type="dxa"/>
            <w:tcBorders>
              <w:bottom w:val="nil"/>
            </w:tcBorders>
            <w:vAlign w:val="top"/>
          </w:tcPr>
          <w:p w14:paraId="6BD16121">
            <w:pPr>
              <w:rPr>
                <w:rFonts w:ascii="Arial"/>
                <w:sz w:val="21"/>
              </w:rPr>
            </w:pPr>
          </w:p>
        </w:tc>
        <w:tc>
          <w:tcPr>
            <w:tcW w:w="1102" w:type="dxa"/>
            <w:vMerge w:val="restart"/>
            <w:tcBorders>
              <w:bottom w:val="nil"/>
            </w:tcBorders>
            <w:vAlign w:val="top"/>
          </w:tcPr>
          <w:p w14:paraId="7D8C6352">
            <w:pPr>
              <w:rPr>
                <w:rFonts w:ascii="Arial"/>
                <w:sz w:val="21"/>
              </w:rPr>
            </w:pPr>
          </w:p>
        </w:tc>
        <w:tc>
          <w:tcPr>
            <w:tcW w:w="1502" w:type="dxa"/>
            <w:vAlign w:val="top"/>
          </w:tcPr>
          <w:p w14:paraId="1522E145">
            <w:pPr>
              <w:spacing w:line="251" w:lineRule="auto"/>
              <w:rPr>
                <w:rFonts w:ascii="Arial"/>
                <w:sz w:val="21"/>
              </w:rPr>
            </w:pPr>
          </w:p>
          <w:p w14:paraId="515DC48C">
            <w:pPr>
              <w:pStyle w:val="6"/>
              <w:spacing w:before="65" w:line="228" w:lineRule="auto"/>
              <w:ind w:left="554"/>
              <w:rPr>
                <w:sz w:val="20"/>
                <w:szCs w:val="20"/>
              </w:rPr>
            </w:pPr>
            <w:r>
              <w:rPr>
                <w:spacing w:val="-1"/>
                <w:sz w:val="20"/>
                <w:szCs w:val="20"/>
              </w:rPr>
              <w:t>噪声</w:t>
            </w:r>
          </w:p>
        </w:tc>
        <w:tc>
          <w:tcPr>
            <w:tcW w:w="5334" w:type="dxa"/>
            <w:vAlign w:val="top"/>
          </w:tcPr>
          <w:p w14:paraId="2CD4D86B">
            <w:pPr>
              <w:pStyle w:val="6"/>
              <w:spacing w:before="46" w:line="228" w:lineRule="auto"/>
              <w:ind w:left="163"/>
              <w:rPr>
                <w:sz w:val="20"/>
                <w:szCs w:val="20"/>
              </w:rPr>
            </w:pPr>
            <w:r>
              <w:rPr>
                <w:spacing w:val="9"/>
                <w:sz w:val="20"/>
                <w:szCs w:val="20"/>
              </w:rPr>
              <w:t>噪声主要为车辆行驶噪声和设备噪声，可通过选用低噪</w:t>
            </w:r>
          </w:p>
          <w:p w14:paraId="163D7FBC">
            <w:pPr>
              <w:pStyle w:val="6"/>
              <w:spacing w:before="24" w:line="227" w:lineRule="auto"/>
              <w:ind w:left="158"/>
              <w:rPr>
                <w:sz w:val="20"/>
                <w:szCs w:val="20"/>
              </w:rPr>
            </w:pPr>
            <w:r>
              <w:rPr>
                <w:spacing w:val="9"/>
                <w:sz w:val="20"/>
                <w:szCs w:val="20"/>
              </w:rPr>
              <w:t>声设备、合理布局高噪声设备并采取隔音、减震措施，</w:t>
            </w:r>
          </w:p>
          <w:p w14:paraId="14C63E18">
            <w:pPr>
              <w:pStyle w:val="6"/>
              <w:spacing w:before="24" w:line="218" w:lineRule="auto"/>
              <w:ind w:left="1728"/>
              <w:rPr>
                <w:sz w:val="20"/>
                <w:szCs w:val="20"/>
              </w:rPr>
            </w:pPr>
            <w:r>
              <w:rPr>
                <w:spacing w:val="7"/>
                <w:sz w:val="20"/>
                <w:szCs w:val="20"/>
              </w:rPr>
              <w:t>确保噪声达标排放。</w:t>
            </w:r>
          </w:p>
        </w:tc>
        <w:tc>
          <w:tcPr>
            <w:tcW w:w="118" w:type="dxa"/>
            <w:tcBorders>
              <w:bottom w:val="nil"/>
            </w:tcBorders>
            <w:vAlign w:val="top"/>
          </w:tcPr>
          <w:p w14:paraId="60B3F1E5">
            <w:pPr>
              <w:rPr>
                <w:rFonts w:ascii="Arial"/>
                <w:sz w:val="21"/>
              </w:rPr>
            </w:pPr>
          </w:p>
        </w:tc>
      </w:tr>
      <w:tr w14:paraId="3D7ED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4" w:hRule="atLeast"/>
        </w:trPr>
        <w:tc>
          <w:tcPr>
            <w:tcW w:w="456" w:type="dxa"/>
            <w:vMerge w:val="continue"/>
            <w:tcBorders>
              <w:top w:val="nil"/>
              <w:bottom w:val="nil"/>
            </w:tcBorders>
            <w:vAlign w:val="top"/>
          </w:tcPr>
          <w:p w14:paraId="2E15C6FB">
            <w:pPr>
              <w:rPr>
                <w:rFonts w:ascii="Arial"/>
                <w:sz w:val="21"/>
              </w:rPr>
            </w:pPr>
          </w:p>
        </w:tc>
        <w:tc>
          <w:tcPr>
            <w:tcW w:w="113" w:type="dxa"/>
            <w:tcBorders>
              <w:top w:val="nil"/>
              <w:bottom w:val="nil"/>
            </w:tcBorders>
            <w:vAlign w:val="top"/>
          </w:tcPr>
          <w:p w14:paraId="67CE2A2E">
            <w:pPr>
              <w:rPr>
                <w:rFonts w:ascii="Arial"/>
                <w:sz w:val="21"/>
              </w:rPr>
            </w:pPr>
          </w:p>
        </w:tc>
        <w:tc>
          <w:tcPr>
            <w:tcW w:w="1102" w:type="dxa"/>
            <w:vMerge w:val="continue"/>
            <w:tcBorders>
              <w:top w:val="nil"/>
              <w:bottom w:val="nil"/>
            </w:tcBorders>
            <w:vAlign w:val="top"/>
          </w:tcPr>
          <w:p w14:paraId="31B9ED27">
            <w:pPr>
              <w:rPr>
                <w:rFonts w:ascii="Arial"/>
                <w:sz w:val="21"/>
              </w:rPr>
            </w:pPr>
          </w:p>
        </w:tc>
        <w:tc>
          <w:tcPr>
            <w:tcW w:w="1502" w:type="dxa"/>
            <w:vAlign w:val="top"/>
          </w:tcPr>
          <w:p w14:paraId="7BC93DB1">
            <w:pPr>
              <w:spacing w:line="253" w:lineRule="auto"/>
              <w:rPr>
                <w:rFonts w:ascii="Arial"/>
                <w:sz w:val="21"/>
              </w:rPr>
            </w:pPr>
          </w:p>
          <w:p w14:paraId="706A5738">
            <w:pPr>
              <w:spacing w:line="254" w:lineRule="auto"/>
              <w:rPr>
                <w:rFonts w:ascii="Arial"/>
                <w:sz w:val="21"/>
              </w:rPr>
            </w:pPr>
          </w:p>
          <w:p w14:paraId="348F87F2">
            <w:pPr>
              <w:spacing w:line="254" w:lineRule="auto"/>
              <w:rPr>
                <w:rFonts w:ascii="Arial"/>
                <w:sz w:val="21"/>
              </w:rPr>
            </w:pPr>
          </w:p>
          <w:p w14:paraId="5F45CD86">
            <w:pPr>
              <w:spacing w:line="254" w:lineRule="auto"/>
              <w:rPr>
                <w:rFonts w:ascii="Arial"/>
                <w:sz w:val="21"/>
              </w:rPr>
            </w:pPr>
          </w:p>
          <w:p w14:paraId="4D3D42B6">
            <w:pPr>
              <w:spacing w:line="254" w:lineRule="auto"/>
              <w:rPr>
                <w:rFonts w:ascii="Arial"/>
                <w:sz w:val="21"/>
              </w:rPr>
            </w:pPr>
          </w:p>
          <w:p w14:paraId="1F48EDA2">
            <w:pPr>
              <w:spacing w:line="254" w:lineRule="auto"/>
              <w:rPr>
                <w:rFonts w:ascii="Arial"/>
                <w:sz w:val="21"/>
              </w:rPr>
            </w:pPr>
          </w:p>
          <w:p w14:paraId="200EEF2E">
            <w:pPr>
              <w:spacing w:line="254" w:lineRule="auto"/>
              <w:rPr>
                <w:rFonts w:ascii="Arial"/>
                <w:sz w:val="21"/>
              </w:rPr>
            </w:pPr>
          </w:p>
          <w:p w14:paraId="258AC463">
            <w:pPr>
              <w:spacing w:line="254" w:lineRule="auto"/>
              <w:rPr>
                <w:rFonts w:ascii="Arial"/>
                <w:sz w:val="21"/>
              </w:rPr>
            </w:pPr>
          </w:p>
          <w:p w14:paraId="27C89532">
            <w:pPr>
              <w:spacing w:line="254" w:lineRule="auto"/>
              <w:rPr>
                <w:rFonts w:ascii="Arial"/>
                <w:sz w:val="21"/>
              </w:rPr>
            </w:pPr>
          </w:p>
          <w:p w14:paraId="2E39A343">
            <w:pPr>
              <w:spacing w:line="254" w:lineRule="auto"/>
              <w:rPr>
                <w:rFonts w:ascii="Arial"/>
                <w:sz w:val="21"/>
              </w:rPr>
            </w:pPr>
          </w:p>
          <w:p w14:paraId="37D1313B">
            <w:pPr>
              <w:pStyle w:val="6"/>
              <w:spacing w:before="65" w:line="228" w:lineRule="auto"/>
              <w:ind w:left="562"/>
              <w:rPr>
                <w:sz w:val="20"/>
                <w:szCs w:val="20"/>
              </w:rPr>
            </w:pPr>
            <w:r>
              <w:rPr>
                <w:spacing w:val="-5"/>
                <w:sz w:val="20"/>
                <w:szCs w:val="20"/>
              </w:rPr>
              <w:t>固废</w:t>
            </w:r>
          </w:p>
        </w:tc>
        <w:tc>
          <w:tcPr>
            <w:tcW w:w="5334" w:type="dxa"/>
            <w:vAlign w:val="top"/>
          </w:tcPr>
          <w:p w14:paraId="11AAB98E">
            <w:pPr>
              <w:pStyle w:val="6"/>
              <w:spacing w:before="32" w:line="227" w:lineRule="auto"/>
              <w:ind w:left="172"/>
              <w:rPr>
                <w:sz w:val="20"/>
                <w:szCs w:val="20"/>
              </w:rPr>
            </w:pPr>
            <w:r>
              <w:rPr>
                <w:spacing w:val="8"/>
                <w:sz w:val="20"/>
                <w:szCs w:val="20"/>
              </w:rPr>
              <w:t>固体废物主要有生活垃圾、维修废弃零件、废机油、废</w:t>
            </w:r>
          </w:p>
          <w:p w14:paraId="6405B777">
            <w:pPr>
              <w:pStyle w:val="6"/>
              <w:spacing w:before="27" w:line="227" w:lineRule="auto"/>
              <w:ind w:left="157"/>
              <w:rPr>
                <w:sz w:val="20"/>
                <w:szCs w:val="20"/>
              </w:rPr>
            </w:pPr>
            <w:r>
              <w:rPr>
                <w:spacing w:val="9"/>
                <w:sz w:val="20"/>
                <w:szCs w:val="20"/>
              </w:rPr>
              <w:t>油桶、废手套、含油废抹布、污泥、浮渣和沉渣等。生</w:t>
            </w:r>
          </w:p>
          <w:p w14:paraId="3C395DB3">
            <w:pPr>
              <w:pStyle w:val="6"/>
              <w:spacing w:before="24" w:line="228" w:lineRule="auto"/>
              <w:ind w:left="157"/>
              <w:rPr>
                <w:sz w:val="20"/>
                <w:szCs w:val="20"/>
              </w:rPr>
            </w:pPr>
            <w:r>
              <w:rPr>
                <w:spacing w:val="9"/>
                <w:sz w:val="20"/>
                <w:szCs w:val="20"/>
              </w:rPr>
              <w:t>活垃圾由环卫部门统一收集并处置；车辆废弃零件经收</w:t>
            </w:r>
          </w:p>
          <w:p w14:paraId="71F18B70">
            <w:pPr>
              <w:pStyle w:val="6"/>
              <w:spacing w:before="26" w:line="227" w:lineRule="auto"/>
              <w:ind w:left="154"/>
              <w:rPr>
                <w:sz w:val="20"/>
                <w:szCs w:val="20"/>
              </w:rPr>
            </w:pPr>
            <w:r>
              <w:rPr>
                <w:spacing w:val="9"/>
                <w:sz w:val="20"/>
                <w:szCs w:val="20"/>
              </w:rPr>
              <w:t>集后外售综合利用；维修产生的废机油属于《国家危险</w:t>
            </w:r>
          </w:p>
          <w:p w14:paraId="08EA0333">
            <w:pPr>
              <w:pStyle w:val="6"/>
              <w:spacing w:before="25" w:line="228" w:lineRule="auto"/>
              <w:ind w:left="112"/>
              <w:rPr>
                <w:sz w:val="20"/>
                <w:szCs w:val="20"/>
              </w:rPr>
            </w:pPr>
            <w:r>
              <w:rPr>
                <w:spacing w:val="8"/>
                <w:sz w:val="20"/>
                <w:szCs w:val="20"/>
              </w:rPr>
              <w:t>废物名录（</w:t>
            </w:r>
            <w:r>
              <w:rPr>
                <w:rFonts w:ascii="Times New Roman" w:hAnsi="Times New Roman" w:eastAsia="Times New Roman" w:cs="Times New Roman"/>
                <w:spacing w:val="8"/>
                <w:sz w:val="20"/>
                <w:szCs w:val="20"/>
              </w:rPr>
              <w:t xml:space="preserve">2025 </w:t>
            </w:r>
            <w:r>
              <w:rPr>
                <w:spacing w:val="8"/>
                <w:sz w:val="20"/>
                <w:szCs w:val="20"/>
              </w:rPr>
              <w:t>年版）》“</w:t>
            </w:r>
            <w:r>
              <w:rPr>
                <w:rFonts w:ascii="Times New Roman" w:hAnsi="Times New Roman" w:eastAsia="Times New Roman" w:cs="Times New Roman"/>
                <w:sz w:val="20"/>
                <w:szCs w:val="20"/>
              </w:rPr>
              <w:t>HW</w:t>
            </w:r>
            <w:r>
              <w:rPr>
                <w:rFonts w:ascii="Times New Roman" w:hAnsi="Times New Roman" w:eastAsia="Times New Roman" w:cs="Times New Roman"/>
                <w:spacing w:val="8"/>
                <w:sz w:val="20"/>
                <w:szCs w:val="20"/>
              </w:rPr>
              <w:t xml:space="preserve">08  </w:t>
            </w:r>
            <w:r>
              <w:rPr>
                <w:spacing w:val="8"/>
                <w:sz w:val="20"/>
                <w:szCs w:val="20"/>
              </w:rPr>
              <w:t>废矿物油与含矿物油</w:t>
            </w:r>
          </w:p>
          <w:p w14:paraId="7C933F8A">
            <w:pPr>
              <w:pStyle w:val="6"/>
              <w:spacing w:before="25" w:line="227" w:lineRule="auto"/>
              <w:ind w:left="112"/>
              <w:rPr>
                <w:sz w:val="20"/>
                <w:szCs w:val="20"/>
              </w:rPr>
            </w:pPr>
            <w:r>
              <w:rPr>
                <w:spacing w:val="7"/>
                <w:sz w:val="20"/>
                <w:szCs w:val="20"/>
              </w:rPr>
              <w:t>废物</w:t>
            </w:r>
            <w:r>
              <w:rPr>
                <w:rFonts w:ascii="Times New Roman" w:hAnsi="Times New Roman" w:eastAsia="Times New Roman" w:cs="Times New Roman"/>
                <w:spacing w:val="7"/>
                <w:sz w:val="20"/>
                <w:szCs w:val="20"/>
              </w:rPr>
              <w:t>--</w:t>
            </w:r>
            <w:r>
              <w:rPr>
                <w:spacing w:val="7"/>
                <w:sz w:val="20"/>
                <w:szCs w:val="20"/>
              </w:rPr>
              <w:t>车辆、轮船及其它机械维修过程中产生</w:t>
            </w:r>
            <w:r>
              <w:rPr>
                <w:spacing w:val="6"/>
                <w:sz w:val="20"/>
                <w:szCs w:val="20"/>
              </w:rPr>
              <w:t>的废发动机</w:t>
            </w:r>
          </w:p>
          <w:p w14:paraId="14937E7C">
            <w:pPr>
              <w:pStyle w:val="6"/>
              <w:spacing w:before="27" w:line="228" w:lineRule="auto"/>
              <w:ind w:left="157"/>
              <w:rPr>
                <w:sz w:val="20"/>
                <w:szCs w:val="20"/>
              </w:rPr>
            </w:pPr>
            <w:r>
              <w:rPr>
                <w:spacing w:val="7"/>
                <w:sz w:val="20"/>
                <w:szCs w:val="20"/>
              </w:rPr>
              <w:t>油、制动器油、</w:t>
            </w:r>
            <w:r>
              <w:rPr>
                <w:spacing w:val="-52"/>
                <w:sz w:val="20"/>
                <w:szCs w:val="20"/>
              </w:rPr>
              <w:t xml:space="preserve"> </w:t>
            </w:r>
            <w:r>
              <w:rPr>
                <w:spacing w:val="7"/>
                <w:sz w:val="20"/>
                <w:szCs w:val="20"/>
              </w:rPr>
              <w:t>自动变速器油、齿轮油等废</w:t>
            </w:r>
            <w:r>
              <w:rPr>
                <w:spacing w:val="6"/>
                <w:sz w:val="20"/>
                <w:szCs w:val="20"/>
              </w:rPr>
              <w:t>润滑油</w:t>
            </w:r>
            <w:r>
              <w:rPr>
                <w:spacing w:val="-70"/>
                <w:sz w:val="20"/>
                <w:szCs w:val="20"/>
              </w:rPr>
              <w:t xml:space="preserve"> </w:t>
            </w:r>
            <w:r>
              <w:rPr>
                <w:spacing w:val="6"/>
                <w:sz w:val="20"/>
                <w:szCs w:val="20"/>
              </w:rPr>
              <w:t>”，</w:t>
            </w:r>
          </w:p>
          <w:p w14:paraId="16A6610C">
            <w:pPr>
              <w:pStyle w:val="6"/>
              <w:spacing w:before="27" w:line="228" w:lineRule="auto"/>
              <w:ind w:left="166"/>
              <w:rPr>
                <w:sz w:val="20"/>
                <w:szCs w:val="20"/>
              </w:rPr>
            </w:pPr>
            <w:r>
              <w:rPr>
                <w:spacing w:val="6"/>
                <w:sz w:val="20"/>
                <w:szCs w:val="20"/>
              </w:rPr>
              <w:t>危险废物代码</w:t>
            </w:r>
            <w:r>
              <w:rPr>
                <w:spacing w:val="-27"/>
                <w:sz w:val="20"/>
                <w:szCs w:val="20"/>
              </w:rPr>
              <w:t xml:space="preserve"> </w:t>
            </w:r>
            <w:r>
              <w:rPr>
                <w:rFonts w:ascii="Times New Roman" w:hAnsi="Times New Roman" w:eastAsia="Times New Roman" w:cs="Times New Roman"/>
                <w:spacing w:val="6"/>
                <w:sz w:val="20"/>
                <w:szCs w:val="20"/>
              </w:rPr>
              <w:t>900-214-08</w:t>
            </w:r>
            <w:r>
              <w:rPr>
                <w:rFonts w:ascii="Times New Roman" w:hAnsi="Times New Roman" w:eastAsia="Times New Roman" w:cs="Times New Roman"/>
                <w:spacing w:val="-21"/>
                <w:sz w:val="20"/>
                <w:szCs w:val="20"/>
              </w:rPr>
              <w:t xml:space="preserve"> </w:t>
            </w:r>
            <w:r>
              <w:rPr>
                <w:spacing w:val="6"/>
                <w:sz w:val="20"/>
                <w:szCs w:val="20"/>
              </w:rPr>
              <w:t>，需经专门的收集桶收集后放</w:t>
            </w:r>
          </w:p>
          <w:p w14:paraId="57DEB8E4">
            <w:pPr>
              <w:pStyle w:val="6"/>
              <w:spacing w:before="24" w:line="228" w:lineRule="auto"/>
              <w:ind w:left="152"/>
              <w:rPr>
                <w:sz w:val="20"/>
                <w:szCs w:val="20"/>
              </w:rPr>
            </w:pPr>
            <w:r>
              <w:rPr>
                <w:spacing w:val="9"/>
                <w:sz w:val="20"/>
                <w:szCs w:val="20"/>
              </w:rPr>
              <w:t>置在危废暂存间中暂存，按危险废物管理有关规定送至</w:t>
            </w:r>
          </w:p>
          <w:p w14:paraId="0B755859">
            <w:pPr>
              <w:pStyle w:val="6"/>
              <w:spacing w:before="27" w:line="227" w:lineRule="auto"/>
              <w:ind w:left="154"/>
              <w:rPr>
                <w:sz w:val="20"/>
                <w:szCs w:val="20"/>
              </w:rPr>
            </w:pPr>
            <w:r>
              <w:rPr>
                <w:spacing w:val="9"/>
                <w:sz w:val="20"/>
                <w:szCs w:val="20"/>
              </w:rPr>
              <w:t>有资质的单位进行处理；废手套、含油废抹布属于《国</w:t>
            </w:r>
          </w:p>
          <w:p w14:paraId="0849E439">
            <w:pPr>
              <w:pStyle w:val="6"/>
              <w:spacing w:before="25" w:line="228" w:lineRule="auto"/>
              <w:ind w:left="129"/>
              <w:rPr>
                <w:sz w:val="20"/>
                <w:szCs w:val="20"/>
              </w:rPr>
            </w:pPr>
            <w:r>
              <w:rPr>
                <w:spacing w:val="8"/>
                <w:sz w:val="20"/>
                <w:szCs w:val="20"/>
              </w:rPr>
              <w:t>家危险废物名录（</w:t>
            </w:r>
            <w:r>
              <w:rPr>
                <w:rFonts w:ascii="Times New Roman" w:hAnsi="Times New Roman" w:eastAsia="Times New Roman" w:cs="Times New Roman"/>
                <w:spacing w:val="8"/>
                <w:sz w:val="20"/>
                <w:szCs w:val="20"/>
              </w:rPr>
              <w:t xml:space="preserve">2025 </w:t>
            </w:r>
            <w:r>
              <w:rPr>
                <w:spacing w:val="8"/>
                <w:sz w:val="20"/>
                <w:szCs w:val="20"/>
              </w:rPr>
              <w:t>年版）》“危险废物豁免管理清</w:t>
            </w:r>
          </w:p>
          <w:p w14:paraId="659ADF09">
            <w:pPr>
              <w:pStyle w:val="6"/>
              <w:spacing w:before="24" w:line="227" w:lineRule="auto"/>
              <w:ind w:left="208"/>
              <w:rPr>
                <w:sz w:val="20"/>
                <w:szCs w:val="20"/>
              </w:rPr>
            </w:pPr>
            <w:r>
              <w:rPr>
                <w:spacing w:val="6"/>
                <w:sz w:val="20"/>
                <w:szCs w:val="20"/>
              </w:rPr>
              <w:t>单</w:t>
            </w:r>
            <w:r>
              <w:rPr>
                <w:spacing w:val="-63"/>
                <w:sz w:val="20"/>
                <w:szCs w:val="20"/>
              </w:rPr>
              <w:t xml:space="preserve"> </w:t>
            </w:r>
            <w:r>
              <w:rPr>
                <w:spacing w:val="6"/>
                <w:sz w:val="20"/>
                <w:szCs w:val="20"/>
              </w:rPr>
              <w:t>”中“</w:t>
            </w:r>
            <w:r>
              <w:rPr>
                <w:rFonts w:ascii="Times New Roman" w:hAnsi="Times New Roman" w:eastAsia="Times New Roman" w:cs="Times New Roman"/>
                <w:spacing w:val="6"/>
                <w:sz w:val="20"/>
                <w:szCs w:val="20"/>
              </w:rPr>
              <w:t xml:space="preserve">23  </w:t>
            </w:r>
            <w:r>
              <w:rPr>
                <w:spacing w:val="6"/>
                <w:sz w:val="20"/>
                <w:szCs w:val="20"/>
              </w:rPr>
              <w:t>废弃的含油抹布、劳保用品</w:t>
            </w:r>
            <w:r>
              <w:rPr>
                <w:spacing w:val="-70"/>
                <w:sz w:val="20"/>
                <w:szCs w:val="20"/>
              </w:rPr>
              <w:t xml:space="preserve"> </w:t>
            </w:r>
            <w:r>
              <w:rPr>
                <w:spacing w:val="6"/>
                <w:sz w:val="20"/>
                <w:szCs w:val="20"/>
              </w:rPr>
              <w:t>”，废物代码</w:t>
            </w:r>
          </w:p>
          <w:p w14:paraId="302A19D4">
            <w:pPr>
              <w:pStyle w:val="6"/>
              <w:spacing w:before="28" w:line="228" w:lineRule="auto"/>
              <w:ind w:left="113"/>
              <w:rPr>
                <w:sz w:val="20"/>
                <w:szCs w:val="20"/>
              </w:rPr>
            </w:pPr>
            <w:r>
              <w:rPr>
                <w:rFonts w:ascii="Times New Roman" w:hAnsi="Times New Roman" w:eastAsia="Times New Roman" w:cs="Times New Roman"/>
                <w:spacing w:val="6"/>
                <w:sz w:val="20"/>
                <w:szCs w:val="20"/>
              </w:rPr>
              <w:t>900-041-49</w:t>
            </w:r>
            <w:r>
              <w:rPr>
                <w:spacing w:val="6"/>
                <w:sz w:val="20"/>
                <w:szCs w:val="20"/>
              </w:rPr>
              <w:t>，单独收集后放置在危废暂存间中暂</w:t>
            </w:r>
            <w:r>
              <w:rPr>
                <w:spacing w:val="5"/>
                <w:sz w:val="20"/>
                <w:szCs w:val="20"/>
              </w:rPr>
              <w:t>存，与其</w:t>
            </w:r>
          </w:p>
          <w:p w14:paraId="1AD4C310">
            <w:pPr>
              <w:pStyle w:val="6"/>
              <w:spacing w:before="25" w:line="228" w:lineRule="auto"/>
              <w:ind w:left="154"/>
              <w:rPr>
                <w:sz w:val="20"/>
                <w:szCs w:val="20"/>
              </w:rPr>
            </w:pPr>
            <w:r>
              <w:rPr>
                <w:spacing w:val="9"/>
                <w:sz w:val="20"/>
                <w:szCs w:val="20"/>
              </w:rPr>
              <w:t>他危险废物一同送至有资质的单位进行处理；污泥、浮</w:t>
            </w:r>
          </w:p>
          <w:p w14:paraId="1864E921">
            <w:pPr>
              <w:pStyle w:val="6"/>
              <w:spacing w:before="26" w:line="228" w:lineRule="auto"/>
              <w:ind w:left="113"/>
              <w:rPr>
                <w:rFonts w:ascii="Times New Roman" w:hAnsi="Times New Roman" w:eastAsia="Times New Roman" w:cs="Times New Roman"/>
                <w:sz w:val="20"/>
                <w:szCs w:val="20"/>
              </w:rPr>
            </w:pPr>
            <w:r>
              <w:rPr>
                <w:spacing w:val="-3"/>
                <w:sz w:val="20"/>
                <w:szCs w:val="20"/>
              </w:rPr>
              <w:t>渣和沉渣属于《国家危险废物名录（</w:t>
            </w:r>
            <w:r>
              <w:rPr>
                <w:rFonts w:ascii="Times New Roman" w:hAnsi="Times New Roman" w:eastAsia="Times New Roman" w:cs="Times New Roman"/>
                <w:spacing w:val="-3"/>
                <w:sz w:val="20"/>
                <w:szCs w:val="20"/>
              </w:rPr>
              <w:t xml:space="preserve">2025 </w:t>
            </w:r>
            <w:r>
              <w:rPr>
                <w:spacing w:val="-3"/>
                <w:sz w:val="20"/>
                <w:szCs w:val="20"/>
              </w:rPr>
              <w:t>年版）》“</w:t>
            </w:r>
            <w:r>
              <w:rPr>
                <w:rFonts w:ascii="Times New Roman" w:hAnsi="Times New Roman" w:eastAsia="Times New Roman" w:cs="Times New Roman"/>
                <w:spacing w:val="-3"/>
                <w:sz w:val="20"/>
                <w:szCs w:val="20"/>
              </w:rPr>
              <w:t>HW08</w:t>
            </w:r>
          </w:p>
          <w:p w14:paraId="160D97DF">
            <w:pPr>
              <w:pStyle w:val="6"/>
              <w:spacing w:before="24" w:line="228" w:lineRule="auto"/>
              <w:ind w:left="112"/>
              <w:rPr>
                <w:sz w:val="20"/>
                <w:szCs w:val="20"/>
              </w:rPr>
            </w:pPr>
            <w:r>
              <w:rPr>
                <w:spacing w:val="8"/>
                <w:sz w:val="20"/>
                <w:szCs w:val="20"/>
              </w:rPr>
              <w:t>废矿物油与含矿物油废物</w:t>
            </w:r>
            <w:r>
              <w:rPr>
                <w:rFonts w:ascii="Times New Roman" w:hAnsi="Times New Roman" w:eastAsia="Times New Roman" w:cs="Times New Roman"/>
                <w:spacing w:val="8"/>
                <w:sz w:val="20"/>
                <w:szCs w:val="20"/>
              </w:rPr>
              <w:t>--</w:t>
            </w:r>
            <w:r>
              <w:rPr>
                <w:spacing w:val="8"/>
                <w:sz w:val="20"/>
                <w:szCs w:val="20"/>
              </w:rPr>
              <w:t>含油废水处理中隔油、气浮、</w:t>
            </w:r>
          </w:p>
          <w:p w14:paraId="7BBC20FD">
            <w:pPr>
              <w:pStyle w:val="6"/>
              <w:spacing w:before="26" w:line="228" w:lineRule="auto"/>
              <w:ind w:left="154"/>
              <w:rPr>
                <w:sz w:val="20"/>
                <w:szCs w:val="20"/>
              </w:rPr>
            </w:pPr>
            <w:r>
              <w:rPr>
                <w:spacing w:val="9"/>
                <w:sz w:val="20"/>
                <w:szCs w:val="20"/>
              </w:rPr>
              <w:t>沉淀等处理过程中产生的浮油、浮渣和污泥（不包括废</w:t>
            </w:r>
          </w:p>
          <w:p w14:paraId="7E0E797C">
            <w:pPr>
              <w:pStyle w:val="6"/>
              <w:spacing w:before="25" w:line="225" w:lineRule="auto"/>
              <w:ind w:left="166"/>
              <w:rPr>
                <w:sz w:val="20"/>
                <w:szCs w:val="20"/>
              </w:rPr>
            </w:pPr>
            <w:r>
              <w:rPr>
                <w:spacing w:val="3"/>
                <w:sz w:val="20"/>
                <w:szCs w:val="20"/>
              </w:rPr>
              <w:t>水生化处理污泥）</w:t>
            </w:r>
            <w:r>
              <w:rPr>
                <w:spacing w:val="-61"/>
                <w:sz w:val="20"/>
                <w:szCs w:val="20"/>
              </w:rPr>
              <w:t xml:space="preserve"> </w:t>
            </w:r>
            <w:r>
              <w:rPr>
                <w:spacing w:val="3"/>
                <w:sz w:val="20"/>
                <w:szCs w:val="20"/>
              </w:rPr>
              <w:t>”,</w:t>
            </w:r>
            <w:r>
              <w:rPr>
                <w:spacing w:val="62"/>
                <w:sz w:val="20"/>
                <w:szCs w:val="20"/>
              </w:rPr>
              <w:t xml:space="preserve"> </w:t>
            </w:r>
            <w:r>
              <w:rPr>
                <w:spacing w:val="3"/>
                <w:sz w:val="20"/>
                <w:szCs w:val="20"/>
              </w:rPr>
              <w:t>危险废物代码</w:t>
            </w:r>
            <w:r>
              <w:rPr>
                <w:spacing w:val="-39"/>
                <w:sz w:val="20"/>
                <w:szCs w:val="20"/>
              </w:rPr>
              <w:t xml:space="preserve"> </w:t>
            </w:r>
            <w:r>
              <w:rPr>
                <w:rFonts w:ascii="Times New Roman" w:hAnsi="Times New Roman" w:eastAsia="Times New Roman" w:cs="Times New Roman"/>
                <w:spacing w:val="3"/>
                <w:sz w:val="20"/>
                <w:szCs w:val="20"/>
              </w:rPr>
              <w:t>900-210-08</w:t>
            </w:r>
            <w:r>
              <w:rPr>
                <w:rFonts w:ascii="Times New Roman" w:hAnsi="Times New Roman" w:eastAsia="Times New Roman" w:cs="Times New Roman"/>
                <w:spacing w:val="-21"/>
                <w:sz w:val="20"/>
                <w:szCs w:val="20"/>
              </w:rPr>
              <w:t xml:space="preserve"> </w:t>
            </w:r>
            <w:r>
              <w:rPr>
                <w:spacing w:val="3"/>
                <w:sz w:val="20"/>
                <w:szCs w:val="20"/>
              </w:rPr>
              <w:t>，</w:t>
            </w:r>
            <w:r>
              <w:rPr>
                <w:spacing w:val="2"/>
                <w:sz w:val="20"/>
                <w:szCs w:val="20"/>
              </w:rPr>
              <w:t>需经</w:t>
            </w:r>
          </w:p>
          <w:p w14:paraId="55125F92">
            <w:pPr>
              <w:pStyle w:val="6"/>
              <w:spacing w:before="30" w:line="228" w:lineRule="auto"/>
              <w:ind w:left="154"/>
              <w:rPr>
                <w:sz w:val="20"/>
                <w:szCs w:val="20"/>
              </w:rPr>
            </w:pPr>
            <w:r>
              <w:rPr>
                <w:spacing w:val="9"/>
                <w:sz w:val="20"/>
                <w:szCs w:val="20"/>
              </w:rPr>
              <w:t>专门的收集桶收集后放置在危废暂存间中暂存，按危险</w:t>
            </w:r>
          </w:p>
          <w:p w14:paraId="3D7108D0">
            <w:pPr>
              <w:pStyle w:val="6"/>
              <w:spacing w:before="24" w:line="210" w:lineRule="auto"/>
              <w:ind w:left="467"/>
              <w:rPr>
                <w:sz w:val="20"/>
                <w:szCs w:val="20"/>
              </w:rPr>
            </w:pPr>
            <w:r>
              <w:rPr>
                <w:spacing w:val="9"/>
                <w:sz w:val="20"/>
                <w:szCs w:val="20"/>
              </w:rPr>
              <w:t>废物管理有关规定送至有资质的单位进行处理。</w:t>
            </w:r>
          </w:p>
        </w:tc>
        <w:tc>
          <w:tcPr>
            <w:tcW w:w="118" w:type="dxa"/>
            <w:tcBorders>
              <w:top w:val="nil"/>
              <w:bottom w:val="nil"/>
            </w:tcBorders>
            <w:vAlign w:val="top"/>
          </w:tcPr>
          <w:p w14:paraId="65E1699A">
            <w:pPr>
              <w:rPr>
                <w:rFonts w:ascii="Arial"/>
                <w:sz w:val="21"/>
              </w:rPr>
            </w:pPr>
          </w:p>
        </w:tc>
      </w:tr>
      <w:tr w14:paraId="31AE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456" w:type="dxa"/>
            <w:vMerge w:val="continue"/>
            <w:tcBorders>
              <w:top w:val="nil"/>
              <w:bottom w:val="nil"/>
            </w:tcBorders>
            <w:vAlign w:val="top"/>
          </w:tcPr>
          <w:p w14:paraId="446276C5">
            <w:pPr>
              <w:rPr>
                <w:rFonts w:ascii="Arial"/>
                <w:sz w:val="21"/>
              </w:rPr>
            </w:pPr>
          </w:p>
        </w:tc>
        <w:tc>
          <w:tcPr>
            <w:tcW w:w="113" w:type="dxa"/>
            <w:tcBorders>
              <w:top w:val="nil"/>
              <w:bottom w:val="nil"/>
            </w:tcBorders>
            <w:vAlign w:val="top"/>
          </w:tcPr>
          <w:p w14:paraId="6236AAD0">
            <w:pPr>
              <w:rPr>
                <w:rFonts w:ascii="Arial"/>
                <w:sz w:val="21"/>
              </w:rPr>
            </w:pPr>
          </w:p>
        </w:tc>
        <w:tc>
          <w:tcPr>
            <w:tcW w:w="1102" w:type="dxa"/>
            <w:vMerge w:val="continue"/>
            <w:tcBorders>
              <w:top w:val="nil"/>
            </w:tcBorders>
            <w:vAlign w:val="top"/>
          </w:tcPr>
          <w:p w14:paraId="4F25AC4C">
            <w:pPr>
              <w:rPr>
                <w:rFonts w:ascii="Arial"/>
                <w:sz w:val="21"/>
              </w:rPr>
            </w:pPr>
          </w:p>
        </w:tc>
        <w:tc>
          <w:tcPr>
            <w:tcW w:w="1502" w:type="dxa"/>
            <w:vAlign w:val="top"/>
          </w:tcPr>
          <w:p w14:paraId="3974EA25">
            <w:pPr>
              <w:spacing w:line="265" w:lineRule="auto"/>
              <w:rPr>
                <w:rFonts w:ascii="Arial"/>
                <w:sz w:val="21"/>
              </w:rPr>
            </w:pPr>
          </w:p>
          <w:p w14:paraId="7EB209E4">
            <w:pPr>
              <w:spacing w:line="266" w:lineRule="auto"/>
              <w:rPr>
                <w:rFonts w:ascii="Arial"/>
                <w:sz w:val="21"/>
              </w:rPr>
            </w:pPr>
          </w:p>
          <w:p w14:paraId="65C33D11">
            <w:pPr>
              <w:spacing w:line="266" w:lineRule="auto"/>
              <w:rPr>
                <w:rFonts w:ascii="Arial"/>
                <w:sz w:val="21"/>
              </w:rPr>
            </w:pPr>
          </w:p>
          <w:p w14:paraId="43211148">
            <w:pPr>
              <w:spacing w:line="266" w:lineRule="auto"/>
              <w:rPr>
                <w:rFonts w:ascii="Arial"/>
                <w:sz w:val="21"/>
              </w:rPr>
            </w:pPr>
          </w:p>
          <w:p w14:paraId="79C76692">
            <w:pPr>
              <w:spacing w:line="266" w:lineRule="auto"/>
              <w:rPr>
                <w:rFonts w:ascii="Arial"/>
                <w:sz w:val="21"/>
              </w:rPr>
            </w:pPr>
          </w:p>
          <w:p w14:paraId="070400FB">
            <w:pPr>
              <w:pStyle w:val="6"/>
              <w:spacing w:before="65" w:line="228" w:lineRule="auto"/>
              <w:ind w:left="335"/>
              <w:rPr>
                <w:sz w:val="20"/>
                <w:szCs w:val="20"/>
              </w:rPr>
            </w:pPr>
            <w:r>
              <w:rPr>
                <w:spacing w:val="7"/>
                <w:sz w:val="20"/>
                <w:szCs w:val="20"/>
              </w:rPr>
              <w:t>场区防渗</w:t>
            </w:r>
          </w:p>
        </w:tc>
        <w:tc>
          <w:tcPr>
            <w:tcW w:w="5334" w:type="dxa"/>
            <w:vAlign w:val="top"/>
          </w:tcPr>
          <w:p w14:paraId="3FA3E29C">
            <w:pPr>
              <w:pStyle w:val="6"/>
              <w:spacing w:before="41" w:line="226" w:lineRule="auto"/>
              <w:ind w:left="626"/>
              <w:rPr>
                <w:sz w:val="20"/>
                <w:szCs w:val="20"/>
              </w:rPr>
            </w:pPr>
            <w:r>
              <w:rPr>
                <w:spacing w:val="8"/>
                <w:sz w:val="20"/>
                <w:szCs w:val="20"/>
              </w:rPr>
              <w:t>根据《环境影响评价技术导则 地下水环境》</w:t>
            </w:r>
          </w:p>
          <w:p w14:paraId="727BD116">
            <w:pPr>
              <w:pStyle w:val="6"/>
              <w:spacing w:before="25" w:line="228" w:lineRule="auto"/>
              <w:ind w:left="169"/>
              <w:rPr>
                <w:sz w:val="20"/>
                <w:szCs w:val="20"/>
              </w:rPr>
            </w:pPr>
            <w:r>
              <w:rPr>
                <w:spacing w:val="8"/>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610-2016</w:t>
            </w:r>
            <w:r>
              <w:rPr>
                <w:spacing w:val="8"/>
                <w:sz w:val="20"/>
                <w:szCs w:val="20"/>
              </w:rPr>
              <w:t>）相关要求，场区应做分区防渗，将各功</w:t>
            </w:r>
          </w:p>
          <w:p w14:paraId="3DF4EEED">
            <w:pPr>
              <w:pStyle w:val="6"/>
              <w:spacing w:before="24" w:line="228" w:lineRule="auto"/>
              <w:ind w:left="162"/>
              <w:rPr>
                <w:sz w:val="20"/>
                <w:szCs w:val="20"/>
              </w:rPr>
            </w:pPr>
            <w:r>
              <w:rPr>
                <w:spacing w:val="9"/>
                <w:sz w:val="20"/>
                <w:szCs w:val="20"/>
              </w:rPr>
              <w:t>能单元可能产生污染的地区划分为重点防渗区和一般防</w:t>
            </w:r>
          </w:p>
          <w:p w14:paraId="5032CD23">
            <w:pPr>
              <w:pStyle w:val="6"/>
              <w:spacing w:before="26" w:line="228" w:lineRule="auto"/>
              <w:ind w:left="154"/>
              <w:rPr>
                <w:sz w:val="20"/>
                <w:szCs w:val="20"/>
              </w:rPr>
            </w:pPr>
            <w:r>
              <w:rPr>
                <w:spacing w:val="9"/>
                <w:sz w:val="20"/>
                <w:szCs w:val="20"/>
              </w:rPr>
              <w:t>渗区。停车区、候检区、维修车间、洗车车间、污水处</w:t>
            </w:r>
          </w:p>
          <w:p w14:paraId="496DA705">
            <w:pPr>
              <w:pStyle w:val="6"/>
              <w:spacing w:before="24" w:line="228" w:lineRule="auto"/>
              <w:ind w:left="156"/>
              <w:rPr>
                <w:sz w:val="20"/>
                <w:szCs w:val="20"/>
              </w:rPr>
            </w:pPr>
            <w:r>
              <w:rPr>
                <w:spacing w:val="9"/>
                <w:sz w:val="20"/>
                <w:szCs w:val="20"/>
              </w:rPr>
              <w:t>理间、危废暂存间、事故应急池、初期雨水池以及场区</w:t>
            </w:r>
          </w:p>
          <w:p w14:paraId="1A3777CA">
            <w:pPr>
              <w:pStyle w:val="6"/>
              <w:spacing w:before="26" w:line="228" w:lineRule="auto"/>
              <w:ind w:left="678"/>
              <w:rPr>
                <w:sz w:val="20"/>
                <w:szCs w:val="20"/>
              </w:rPr>
            </w:pPr>
            <w:r>
              <w:rPr>
                <w:spacing w:val="8"/>
                <w:sz w:val="20"/>
                <w:szCs w:val="20"/>
              </w:rPr>
              <w:t>道路均按照《危险废物贮存污染控制标准》</w:t>
            </w:r>
          </w:p>
          <w:p w14:paraId="218A2091">
            <w:pPr>
              <w:pStyle w:val="6"/>
              <w:spacing w:before="27" w:line="227" w:lineRule="auto"/>
              <w:ind w:left="140"/>
              <w:rPr>
                <w:sz w:val="20"/>
                <w:szCs w:val="20"/>
              </w:rPr>
            </w:pP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）相关要求进行重点防渗，地面</w:t>
            </w:r>
            <w:r>
              <w:rPr>
                <w:spacing w:val="7"/>
                <w:sz w:val="20"/>
                <w:szCs w:val="20"/>
              </w:rPr>
              <w:t>采用至</w:t>
            </w:r>
          </w:p>
          <w:p w14:paraId="6FE3BAF3">
            <w:pPr>
              <w:pStyle w:val="6"/>
              <w:spacing w:before="25" w:line="227" w:lineRule="auto"/>
              <w:ind w:left="114"/>
              <w:rPr>
                <w:sz w:val="20"/>
                <w:szCs w:val="20"/>
              </w:rPr>
            </w:pPr>
            <w:r>
              <w:rPr>
                <w:spacing w:val="6"/>
                <w:sz w:val="20"/>
                <w:szCs w:val="20"/>
              </w:rPr>
              <w:t>少</w:t>
            </w:r>
            <w:r>
              <w:rPr>
                <w:spacing w:val="-38"/>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6"/>
                <w:sz w:val="20"/>
                <w:szCs w:val="20"/>
              </w:rPr>
              <w:t>厚</w:t>
            </w:r>
            <w:r>
              <w:rPr>
                <w:spacing w:val="-42"/>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16"/>
                <w:sz w:val="20"/>
                <w:szCs w:val="20"/>
              </w:rPr>
              <w:t xml:space="preserve"> </w:t>
            </w:r>
            <w:r>
              <w:rPr>
                <w:spacing w:val="6"/>
                <w:sz w:val="20"/>
                <w:szCs w:val="20"/>
              </w:rPr>
              <w:t>或其他人工材料进行防渗处理，渗透系</w:t>
            </w:r>
          </w:p>
          <w:p w14:paraId="6CA97B17">
            <w:pPr>
              <w:pStyle w:val="6"/>
              <w:spacing w:before="25" w:line="228" w:lineRule="auto"/>
              <w:ind w:left="129"/>
              <w:rPr>
                <w:sz w:val="20"/>
                <w:szCs w:val="20"/>
              </w:rPr>
            </w:pPr>
            <w:r>
              <w:rPr>
                <w:spacing w:val="6"/>
                <w:sz w:val="20"/>
                <w:szCs w:val="20"/>
              </w:rPr>
              <w:t>数不大于</w:t>
            </w:r>
            <w:r>
              <w:rPr>
                <w:spacing w:val="-20"/>
                <w:sz w:val="20"/>
                <w:szCs w:val="20"/>
              </w:rPr>
              <w:t xml:space="preserve"> </w:t>
            </w:r>
            <w:r>
              <w:rPr>
                <w:rFonts w:ascii="Times New Roman" w:hAnsi="Times New Roman" w:eastAsia="Times New Roman" w:cs="Times New Roman"/>
                <w:spacing w:val="6"/>
                <w:sz w:val="20"/>
                <w:szCs w:val="20"/>
              </w:rPr>
              <w:t>1.0</w:t>
            </w:r>
            <w:r>
              <w:rPr>
                <w:spacing w:val="6"/>
                <w:sz w:val="20"/>
                <w:szCs w:val="20"/>
              </w:rPr>
              <w:t>×</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19"/>
                <w:sz w:val="20"/>
                <w:szCs w:val="20"/>
              </w:rPr>
              <w:t xml:space="preserve"> </w:t>
            </w:r>
            <w:r>
              <w:rPr>
                <w:spacing w:val="6"/>
                <w:sz w:val="20"/>
                <w:szCs w:val="20"/>
              </w:rPr>
              <w:t>。消防水池、消</w:t>
            </w:r>
            <w:r>
              <w:rPr>
                <w:spacing w:val="5"/>
                <w:sz w:val="20"/>
                <w:szCs w:val="20"/>
              </w:rPr>
              <w:t>防水泵房、综合</w:t>
            </w:r>
          </w:p>
          <w:p w14:paraId="5C8A3A7D">
            <w:pPr>
              <w:pStyle w:val="6"/>
              <w:spacing w:before="27" w:line="228" w:lineRule="auto"/>
              <w:ind w:left="159"/>
              <w:rPr>
                <w:sz w:val="20"/>
                <w:szCs w:val="20"/>
              </w:rPr>
            </w:pPr>
            <w:r>
              <w:rPr>
                <w:spacing w:val="9"/>
                <w:sz w:val="20"/>
                <w:szCs w:val="20"/>
              </w:rPr>
              <w:t>管理用房和餐厅为一般防渗区，没有特别的防渗要</w:t>
            </w:r>
            <w:r>
              <w:rPr>
                <w:spacing w:val="8"/>
                <w:sz w:val="20"/>
                <w:szCs w:val="20"/>
              </w:rPr>
              <w:t>求，</w:t>
            </w:r>
          </w:p>
          <w:p w14:paraId="0A582FCA">
            <w:pPr>
              <w:pStyle w:val="6"/>
              <w:spacing w:before="25" w:line="216" w:lineRule="auto"/>
              <w:ind w:left="1518"/>
              <w:rPr>
                <w:sz w:val="20"/>
                <w:szCs w:val="20"/>
              </w:rPr>
            </w:pPr>
            <w:r>
              <w:rPr>
                <w:spacing w:val="8"/>
                <w:sz w:val="20"/>
                <w:szCs w:val="20"/>
              </w:rPr>
              <w:t>但应采用水泥硬化地面。</w:t>
            </w:r>
          </w:p>
        </w:tc>
        <w:tc>
          <w:tcPr>
            <w:tcW w:w="118" w:type="dxa"/>
            <w:tcBorders>
              <w:top w:val="nil"/>
              <w:bottom w:val="nil"/>
            </w:tcBorders>
            <w:vAlign w:val="top"/>
          </w:tcPr>
          <w:p w14:paraId="5912281A">
            <w:pPr>
              <w:rPr>
                <w:rFonts w:ascii="Arial"/>
                <w:sz w:val="21"/>
              </w:rPr>
            </w:pPr>
          </w:p>
        </w:tc>
      </w:tr>
      <w:tr w14:paraId="70E1A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456" w:type="dxa"/>
            <w:vMerge w:val="continue"/>
            <w:tcBorders>
              <w:top w:val="nil"/>
              <w:bottom w:val="nil"/>
            </w:tcBorders>
            <w:vAlign w:val="top"/>
          </w:tcPr>
          <w:p w14:paraId="3928A927">
            <w:pPr>
              <w:rPr>
                <w:rFonts w:ascii="Arial"/>
                <w:sz w:val="21"/>
              </w:rPr>
            </w:pPr>
          </w:p>
        </w:tc>
        <w:tc>
          <w:tcPr>
            <w:tcW w:w="113" w:type="dxa"/>
            <w:tcBorders>
              <w:top w:val="nil"/>
              <w:bottom w:val="nil"/>
            </w:tcBorders>
            <w:vAlign w:val="top"/>
          </w:tcPr>
          <w:p w14:paraId="3E42A11B">
            <w:pPr>
              <w:rPr>
                <w:rFonts w:ascii="Arial"/>
                <w:sz w:val="21"/>
              </w:rPr>
            </w:pPr>
          </w:p>
        </w:tc>
        <w:tc>
          <w:tcPr>
            <w:tcW w:w="1102" w:type="dxa"/>
            <w:vMerge w:val="restart"/>
            <w:tcBorders>
              <w:bottom w:val="nil"/>
            </w:tcBorders>
            <w:vAlign w:val="top"/>
          </w:tcPr>
          <w:p w14:paraId="3C96AC26">
            <w:pPr>
              <w:spacing w:line="266" w:lineRule="auto"/>
              <w:rPr>
                <w:rFonts w:ascii="Arial"/>
                <w:sz w:val="21"/>
              </w:rPr>
            </w:pPr>
          </w:p>
          <w:p w14:paraId="637583A6">
            <w:pPr>
              <w:spacing w:line="266" w:lineRule="auto"/>
              <w:rPr>
                <w:rFonts w:ascii="Arial"/>
                <w:sz w:val="21"/>
              </w:rPr>
            </w:pPr>
          </w:p>
          <w:p w14:paraId="75B761A1">
            <w:pPr>
              <w:spacing w:line="266" w:lineRule="auto"/>
              <w:rPr>
                <w:rFonts w:ascii="Arial"/>
                <w:sz w:val="21"/>
              </w:rPr>
            </w:pPr>
          </w:p>
          <w:p w14:paraId="363C77F3">
            <w:pPr>
              <w:spacing w:line="266" w:lineRule="auto"/>
              <w:rPr>
                <w:rFonts w:ascii="Arial"/>
                <w:sz w:val="21"/>
              </w:rPr>
            </w:pPr>
          </w:p>
          <w:p w14:paraId="17615717">
            <w:pPr>
              <w:spacing w:line="267" w:lineRule="auto"/>
              <w:rPr>
                <w:rFonts w:ascii="Arial"/>
                <w:sz w:val="21"/>
              </w:rPr>
            </w:pPr>
          </w:p>
          <w:p w14:paraId="6298E734">
            <w:pPr>
              <w:spacing w:line="267" w:lineRule="auto"/>
              <w:rPr>
                <w:rFonts w:ascii="Arial"/>
                <w:sz w:val="21"/>
              </w:rPr>
            </w:pPr>
          </w:p>
          <w:p w14:paraId="4108F111">
            <w:pPr>
              <w:pStyle w:val="6"/>
              <w:spacing w:before="65" w:line="228" w:lineRule="auto"/>
              <w:ind w:left="134"/>
              <w:rPr>
                <w:sz w:val="20"/>
                <w:szCs w:val="20"/>
              </w:rPr>
            </w:pPr>
            <w:r>
              <w:rPr>
                <w:spacing w:val="7"/>
                <w:sz w:val="20"/>
                <w:szCs w:val="20"/>
              </w:rPr>
              <w:t>储运工程</w:t>
            </w:r>
          </w:p>
        </w:tc>
        <w:tc>
          <w:tcPr>
            <w:tcW w:w="1502" w:type="dxa"/>
            <w:vAlign w:val="top"/>
          </w:tcPr>
          <w:p w14:paraId="04E09E38">
            <w:pPr>
              <w:spacing w:line="296" w:lineRule="auto"/>
              <w:rPr>
                <w:rFonts w:ascii="Arial"/>
                <w:sz w:val="21"/>
              </w:rPr>
            </w:pPr>
          </w:p>
          <w:p w14:paraId="0C2AF224">
            <w:pPr>
              <w:spacing w:line="297" w:lineRule="auto"/>
              <w:rPr>
                <w:rFonts w:ascii="Arial"/>
                <w:sz w:val="21"/>
              </w:rPr>
            </w:pPr>
          </w:p>
          <w:p w14:paraId="72EC9185">
            <w:pPr>
              <w:spacing w:line="297" w:lineRule="auto"/>
              <w:rPr>
                <w:rFonts w:ascii="Arial"/>
                <w:sz w:val="21"/>
              </w:rPr>
            </w:pPr>
          </w:p>
          <w:p w14:paraId="1B0DDC78">
            <w:pPr>
              <w:spacing w:line="297" w:lineRule="auto"/>
              <w:rPr>
                <w:rFonts w:ascii="Arial"/>
                <w:sz w:val="21"/>
              </w:rPr>
            </w:pPr>
          </w:p>
          <w:p w14:paraId="76BFD90A">
            <w:pPr>
              <w:pStyle w:val="6"/>
              <w:spacing w:before="65" w:line="228" w:lineRule="auto"/>
              <w:ind w:left="233"/>
              <w:rPr>
                <w:sz w:val="20"/>
                <w:szCs w:val="20"/>
              </w:rPr>
            </w:pPr>
            <w:r>
              <w:rPr>
                <w:spacing w:val="7"/>
                <w:sz w:val="20"/>
                <w:szCs w:val="20"/>
              </w:rPr>
              <w:t>危废暂存间</w:t>
            </w:r>
          </w:p>
        </w:tc>
        <w:tc>
          <w:tcPr>
            <w:tcW w:w="5334" w:type="dxa"/>
            <w:vAlign w:val="top"/>
          </w:tcPr>
          <w:p w14:paraId="32BC1EF3">
            <w:pPr>
              <w:pStyle w:val="6"/>
              <w:spacing w:before="33" w:line="227" w:lineRule="auto"/>
              <w:ind w:left="156"/>
              <w:rPr>
                <w:sz w:val="20"/>
                <w:szCs w:val="20"/>
              </w:rPr>
            </w:pPr>
            <w:r>
              <w:rPr>
                <w:spacing w:val="9"/>
                <w:sz w:val="20"/>
                <w:szCs w:val="20"/>
              </w:rPr>
              <w:t>危废暂存间用于暂存废机油、废油桶、废手套、含油废</w:t>
            </w:r>
          </w:p>
          <w:p w14:paraId="628F77BD">
            <w:pPr>
              <w:pStyle w:val="6"/>
              <w:spacing w:before="27" w:line="227" w:lineRule="auto"/>
              <w:ind w:left="154"/>
              <w:rPr>
                <w:sz w:val="20"/>
                <w:szCs w:val="20"/>
              </w:rPr>
            </w:pPr>
            <w:r>
              <w:rPr>
                <w:spacing w:val="9"/>
                <w:sz w:val="20"/>
                <w:szCs w:val="20"/>
              </w:rPr>
              <w:t>抹布、污泥、浮渣和沉渣等，应按照《危险废物贮存污</w:t>
            </w:r>
          </w:p>
          <w:p w14:paraId="55ADCCEE">
            <w:pPr>
              <w:pStyle w:val="6"/>
              <w:spacing w:before="24" w:line="228" w:lineRule="auto"/>
              <w:ind w:left="133"/>
              <w:rPr>
                <w:sz w:val="20"/>
                <w:szCs w:val="20"/>
              </w:rPr>
            </w:pPr>
            <w:r>
              <w:rPr>
                <w:spacing w:val="8"/>
                <w:sz w:val="20"/>
                <w:szCs w:val="20"/>
              </w:rPr>
              <w:t>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18597-2023</w:t>
            </w:r>
            <w:r>
              <w:rPr>
                <w:spacing w:val="8"/>
                <w:sz w:val="20"/>
                <w:szCs w:val="20"/>
              </w:rPr>
              <w:t>）要求设置防渗，做到防</w:t>
            </w:r>
          </w:p>
          <w:p w14:paraId="28613014">
            <w:pPr>
              <w:pStyle w:val="6"/>
              <w:spacing w:before="27" w:line="227" w:lineRule="auto"/>
              <w:ind w:right="10"/>
              <w:jc w:val="right"/>
              <w:rPr>
                <w:sz w:val="20"/>
                <w:szCs w:val="20"/>
              </w:rPr>
            </w:pPr>
            <w:r>
              <w:rPr>
                <w:spacing w:val="8"/>
                <w:sz w:val="20"/>
                <w:szCs w:val="20"/>
              </w:rPr>
              <w:t>风、防晒、防雨、防漏、防渗、防腐。地面、墙面裙脚、</w:t>
            </w:r>
          </w:p>
          <w:p w14:paraId="612F7519">
            <w:pPr>
              <w:pStyle w:val="6"/>
              <w:spacing w:before="25" w:line="227" w:lineRule="auto"/>
              <w:ind w:left="154"/>
              <w:rPr>
                <w:sz w:val="20"/>
                <w:szCs w:val="20"/>
              </w:rPr>
            </w:pPr>
            <w:r>
              <w:rPr>
                <w:spacing w:val="9"/>
                <w:sz w:val="20"/>
                <w:szCs w:val="20"/>
              </w:rPr>
              <w:t>堵截泄漏的围堰、接触危险废物的隔板和墙体等应采用</w:t>
            </w:r>
          </w:p>
          <w:p w14:paraId="28FF5BC5">
            <w:pPr>
              <w:pStyle w:val="6"/>
              <w:spacing w:before="25" w:line="227" w:lineRule="auto"/>
              <w:ind w:left="157"/>
              <w:rPr>
                <w:sz w:val="20"/>
                <w:szCs w:val="20"/>
              </w:rPr>
            </w:pPr>
            <w:r>
              <w:rPr>
                <w:spacing w:val="9"/>
                <w:sz w:val="20"/>
                <w:szCs w:val="20"/>
              </w:rPr>
              <w:t>坚固的材料建造，表面无裂缝。地面与裙脚应采取表面</w:t>
            </w:r>
          </w:p>
          <w:p w14:paraId="1595D51C">
            <w:pPr>
              <w:pStyle w:val="6"/>
              <w:spacing w:before="28" w:line="227" w:lineRule="auto"/>
              <w:ind w:left="167"/>
              <w:rPr>
                <w:sz w:val="20"/>
                <w:szCs w:val="20"/>
              </w:rPr>
            </w:pPr>
            <w:r>
              <w:rPr>
                <w:spacing w:val="9"/>
                <w:sz w:val="20"/>
                <w:szCs w:val="20"/>
              </w:rPr>
              <w:t>防渗措施，表面防渗材料采用抗渗混凝土，在废机油存</w:t>
            </w:r>
          </w:p>
          <w:p w14:paraId="2155CFAD">
            <w:pPr>
              <w:pStyle w:val="6"/>
              <w:spacing w:before="25" w:line="228" w:lineRule="auto"/>
              <w:ind w:left="113"/>
              <w:rPr>
                <w:rFonts w:ascii="Times New Roman" w:hAnsi="Times New Roman" w:eastAsia="Times New Roman" w:cs="Times New Roman"/>
                <w:sz w:val="20"/>
                <w:szCs w:val="20"/>
              </w:rPr>
            </w:pPr>
            <w:r>
              <w:rPr>
                <w:spacing w:val="6"/>
                <w:sz w:val="20"/>
                <w:szCs w:val="20"/>
              </w:rPr>
              <w:t>放区设置分区导流槽和收集池，设置通风口，按</w:t>
            </w:r>
            <w:r>
              <w:rPr>
                <w:spacing w:val="-39"/>
                <w:sz w:val="20"/>
                <w:szCs w:val="20"/>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6"/>
                <w:sz w:val="20"/>
                <w:szCs w:val="20"/>
              </w:rPr>
              <w:t>1276</w:t>
            </w:r>
          </w:p>
          <w:p w14:paraId="18D4AA9E">
            <w:pPr>
              <w:pStyle w:val="6"/>
              <w:spacing w:before="27" w:line="228" w:lineRule="auto"/>
              <w:ind w:left="154"/>
              <w:rPr>
                <w:sz w:val="20"/>
                <w:szCs w:val="20"/>
              </w:rPr>
            </w:pPr>
            <w:r>
              <w:rPr>
                <w:spacing w:val="9"/>
                <w:sz w:val="20"/>
                <w:szCs w:val="20"/>
              </w:rPr>
              <w:t>要求设置危险废物贮存设施或场所标志、危险废物贮存</w:t>
            </w:r>
          </w:p>
          <w:p w14:paraId="4683729D">
            <w:pPr>
              <w:pStyle w:val="6"/>
              <w:spacing w:before="25" w:line="210" w:lineRule="auto"/>
              <w:ind w:left="471"/>
              <w:rPr>
                <w:sz w:val="20"/>
                <w:szCs w:val="20"/>
              </w:rPr>
            </w:pPr>
            <w:r>
              <w:rPr>
                <w:spacing w:val="8"/>
                <w:sz w:val="20"/>
                <w:szCs w:val="20"/>
              </w:rPr>
              <w:t>分区标志和危险废物标签等危险废物识别标志。</w:t>
            </w:r>
          </w:p>
        </w:tc>
        <w:tc>
          <w:tcPr>
            <w:tcW w:w="118" w:type="dxa"/>
            <w:tcBorders>
              <w:top w:val="nil"/>
              <w:bottom w:val="nil"/>
            </w:tcBorders>
            <w:vAlign w:val="top"/>
          </w:tcPr>
          <w:p w14:paraId="002854B3">
            <w:pPr>
              <w:rPr>
                <w:rFonts w:ascii="Arial"/>
                <w:sz w:val="21"/>
              </w:rPr>
            </w:pPr>
          </w:p>
        </w:tc>
      </w:tr>
      <w:tr w14:paraId="2E3C1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456" w:type="dxa"/>
            <w:vMerge w:val="continue"/>
            <w:tcBorders>
              <w:top w:val="nil"/>
              <w:bottom w:val="nil"/>
            </w:tcBorders>
            <w:vAlign w:val="top"/>
          </w:tcPr>
          <w:p w14:paraId="0F17B4D9">
            <w:pPr>
              <w:rPr>
                <w:rFonts w:ascii="Arial"/>
                <w:sz w:val="21"/>
              </w:rPr>
            </w:pPr>
          </w:p>
        </w:tc>
        <w:tc>
          <w:tcPr>
            <w:tcW w:w="113" w:type="dxa"/>
            <w:tcBorders>
              <w:top w:val="nil"/>
              <w:bottom w:val="nil"/>
            </w:tcBorders>
            <w:vAlign w:val="top"/>
          </w:tcPr>
          <w:p w14:paraId="5AFA4B59">
            <w:pPr>
              <w:rPr>
                <w:rFonts w:ascii="Arial"/>
                <w:sz w:val="21"/>
              </w:rPr>
            </w:pPr>
          </w:p>
        </w:tc>
        <w:tc>
          <w:tcPr>
            <w:tcW w:w="1102" w:type="dxa"/>
            <w:vMerge w:val="continue"/>
            <w:tcBorders>
              <w:top w:val="nil"/>
            </w:tcBorders>
            <w:vAlign w:val="top"/>
          </w:tcPr>
          <w:p w14:paraId="0D8BB2B3">
            <w:pPr>
              <w:rPr>
                <w:rFonts w:ascii="Arial"/>
                <w:sz w:val="21"/>
              </w:rPr>
            </w:pPr>
          </w:p>
        </w:tc>
        <w:tc>
          <w:tcPr>
            <w:tcW w:w="1502" w:type="dxa"/>
            <w:vAlign w:val="top"/>
          </w:tcPr>
          <w:p w14:paraId="06092AE8">
            <w:pPr>
              <w:spacing w:line="247" w:lineRule="auto"/>
              <w:rPr>
                <w:rFonts w:ascii="Arial"/>
                <w:sz w:val="21"/>
              </w:rPr>
            </w:pPr>
          </w:p>
          <w:p w14:paraId="23E42AA5">
            <w:pPr>
              <w:pStyle w:val="6"/>
              <w:spacing w:before="65" w:line="228" w:lineRule="auto"/>
              <w:ind w:left="335"/>
              <w:rPr>
                <w:sz w:val="20"/>
                <w:szCs w:val="20"/>
              </w:rPr>
            </w:pPr>
            <w:r>
              <w:rPr>
                <w:spacing w:val="7"/>
                <w:sz w:val="20"/>
                <w:szCs w:val="20"/>
              </w:rPr>
              <w:t>场区道路</w:t>
            </w:r>
          </w:p>
        </w:tc>
        <w:tc>
          <w:tcPr>
            <w:tcW w:w="5334" w:type="dxa"/>
            <w:vAlign w:val="top"/>
          </w:tcPr>
          <w:p w14:paraId="147B0F39">
            <w:pPr>
              <w:pStyle w:val="6"/>
              <w:spacing w:before="40" w:line="227" w:lineRule="auto"/>
              <w:ind w:left="154"/>
              <w:rPr>
                <w:sz w:val="20"/>
                <w:szCs w:val="20"/>
              </w:rPr>
            </w:pPr>
            <w:r>
              <w:rPr>
                <w:spacing w:val="9"/>
                <w:sz w:val="20"/>
                <w:szCs w:val="20"/>
              </w:rPr>
              <w:t>站区道路围绕各功能分区呈环状布置，并与场外公路相</w:t>
            </w:r>
          </w:p>
          <w:p w14:paraId="11458518">
            <w:pPr>
              <w:pStyle w:val="6"/>
              <w:spacing w:before="27" w:line="227" w:lineRule="auto"/>
              <w:ind w:left="114"/>
              <w:rPr>
                <w:sz w:val="20"/>
                <w:szCs w:val="20"/>
              </w:rPr>
            </w:pPr>
            <w:r>
              <w:rPr>
                <w:spacing w:val="6"/>
                <w:sz w:val="20"/>
                <w:szCs w:val="20"/>
              </w:rPr>
              <w:t>连。路面采用混凝土路面，主要道路宽不小于</w:t>
            </w:r>
            <w:r>
              <w:rPr>
                <w:spacing w:val="-20"/>
                <w:sz w:val="20"/>
                <w:szCs w:val="20"/>
              </w:rPr>
              <w:t xml:space="preserve"> </w:t>
            </w:r>
            <w:r>
              <w:rPr>
                <w:rFonts w:ascii="Times New Roman" w:hAnsi="Times New Roman" w:eastAsia="Times New Roman" w:cs="Times New Roman"/>
                <w:spacing w:val="6"/>
                <w:sz w:val="20"/>
                <w:szCs w:val="20"/>
              </w:rPr>
              <w:t>9m</w:t>
            </w:r>
            <w:r>
              <w:rPr>
                <w:rFonts w:ascii="Times New Roman" w:hAnsi="Times New Roman" w:eastAsia="Times New Roman" w:cs="Times New Roman"/>
                <w:spacing w:val="-27"/>
                <w:sz w:val="20"/>
                <w:szCs w:val="20"/>
              </w:rPr>
              <w:t xml:space="preserve"> </w:t>
            </w:r>
            <w:r>
              <w:rPr>
                <w:spacing w:val="6"/>
                <w:sz w:val="20"/>
                <w:szCs w:val="20"/>
              </w:rPr>
              <w:t>，道路</w:t>
            </w:r>
          </w:p>
          <w:p w14:paraId="5363286E">
            <w:pPr>
              <w:pStyle w:val="6"/>
              <w:spacing w:before="25" w:line="214" w:lineRule="auto"/>
              <w:ind w:left="1515"/>
              <w:rPr>
                <w:sz w:val="20"/>
                <w:szCs w:val="20"/>
              </w:rPr>
            </w:pPr>
            <w:r>
              <w:rPr>
                <w:spacing w:val="5"/>
                <w:sz w:val="20"/>
                <w:szCs w:val="20"/>
              </w:rPr>
              <w:t>转弯半径为不小于</w:t>
            </w:r>
            <w:r>
              <w:rPr>
                <w:spacing w:val="-20"/>
                <w:sz w:val="20"/>
                <w:szCs w:val="20"/>
              </w:rPr>
              <w:t xml:space="preserve"> </w:t>
            </w:r>
            <w:r>
              <w:rPr>
                <w:rFonts w:ascii="Times New Roman" w:hAnsi="Times New Roman" w:eastAsia="Times New Roman" w:cs="Times New Roman"/>
                <w:spacing w:val="5"/>
                <w:sz w:val="20"/>
                <w:szCs w:val="20"/>
              </w:rPr>
              <w:t>18m</w:t>
            </w:r>
            <w:r>
              <w:rPr>
                <w:spacing w:val="5"/>
                <w:sz w:val="20"/>
                <w:szCs w:val="20"/>
              </w:rPr>
              <w:t>。</w:t>
            </w:r>
          </w:p>
        </w:tc>
        <w:tc>
          <w:tcPr>
            <w:tcW w:w="118" w:type="dxa"/>
            <w:tcBorders>
              <w:top w:val="nil"/>
              <w:bottom w:val="nil"/>
            </w:tcBorders>
            <w:vAlign w:val="top"/>
          </w:tcPr>
          <w:p w14:paraId="53B39ECA">
            <w:pPr>
              <w:rPr>
                <w:rFonts w:ascii="Arial"/>
                <w:sz w:val="21"/>
              </w:rPr>
            </w:pPr>
          </w:p>
        </w:tc>
      </w:tr>
      <w:tr w14:paraId="2AC1B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456" w:type="dxa"/>
            <w:vMerge w:val="continue"/>
            <w:tcBorders>
              <w:top w:val="nil"/>
              <w:bottom w:val="nil"/>
            </w:tcBorders>
            <w:vAlign w:val="top"/>
          </w:tcPr>
          <w:p w14:paraId="366EEA9B">
            <w:pPr>
              <w:rPr>
                <w:rFonts w:ascii="Arial"/>
                <w:sz w:val="21"/>
              </w:rPr>
            </w:pPr>
          </w:p>
        </w:tc>
        <w:tc>
          <w:tcPr>
            <w:tcW w:w="113" w:type="dxa"/>
            <w:tcBorders>
              <w:top w:val="nil"/>
              <w:bottom w:val="nil"/>
            </w:tcBorders>
            <w:vAlign w:val="top"/>
          </w:tcPr>
          <w:p w14:paraId="33593DD6">
            <w:pPr>
              <w:rPr>
                <w:rFonts w:ascii="Arial"/>
                <w:sz w:val="21"/>
              </w:rPr>
            </w:pPr>
          </w:p>
        </w:tc>
        <w:tc>
          <w:tcPr>
            <w:tcW w:w="1102" w:type="dxa"/>
            <w:vMerge w:val="restart"/>
            <w:tcBorders>
              <w:bottom w:val="nil"/>
            </w:tcBorders>
            <w:vAlign w:val="top"/>
          </w:tcPr>
          <w:p w14:paraId="03AC5991">
            <w:pPr>
              <w:spacing w:line="245" w:lineRule="auto"/>
              <w:rPr>
                <w:rFonts w:ascii="Arial"/>
                <w:sz w:val="21"/>
              </w:rPr>
            </w:pPr>
          </w:p>
          <w:p w14:paraId="5AE50A00">
            <w:pPr>
              <w:pStyle w:val="6"/>
              <w:spacing w:before="65" w:line="227" w:lineRule="auto"/>
              <w:ind w:left="136"/>
              <w:rPr>
                <w:sz w:val="20"/>
                <w:szCs w:val="20"/>
              </w:rPr>
            </w:pPr>
            <w:r>
              <w:rPr>
                <w:spacing w:val="6"/>
                <w:sz w:val="20"/>
                <w:szCs w:val="20"/>
              </w:rPr>
              <w:t>依托工程</w:t>
            </w:r>
          </w:p>
        </w:tc>
        <w:tc>
          <w:tcPr>
            <w:tcW w:w="1502" w:type="dxa"/>
            <w:vAlign w:val="top"/>
          </w:tcPr>
          <w:p w14:paraId="1097A83E">
            <w:pPr>
              <w:pStyle w:val="6"/>
              <w:spacing w:before="170" w:line="227" w:lineRule="auto"/>
              <w:ind w:left="344"/>
              <w:rPr>
                <w:sz w:val="20"/>
                <w:szCs w:val="20"/>
              </w:rPr>
            </w:pPr>
            <w:r>
              <w:rPr>
                <w:spacing w:val="5"/>
                <w:sz w:val="20"/>
                <w:szCs w:val="20"/>
              </w:rPr>
              <w:t>能源依托</w:t>
            </w:r>
          </w:p>
        </w:tc>
        <w:tc>
          <w:tcPr>
            <w:tcW w:w="5334" w:type="dxa"/>
            <w:vAlign w:val="top"/>
          </w:tcPr>
          <w:p w14:paraId="6E8E1374">
            <w:pPr>
              <w:pStyle w:val="6"/>
              <w:spacing w:before="36" w:line="227" w:lineRule="auto"/>
              <w:ind w:left="157"/>
              <w:rPr>
                <w:sz w:val="20"/>
                <w:szCs w:val="20"/>
              </w:rPr>
            </w:pPr>
            <w:r>
              <w:rPr>
                <w:spacing w:val="7"/>
                <w:sz w:val="20"/>
                <w:szCs w:val="20"/>
              </w:rPr>
              <w:t>项目运营所需水、</w:t>
            </w:r>
            <w:r>
              <w:rPr>
                <w:spacing w:val="-43"/>
                <w:sz w:val="20"/>
                <w:szCs w:val="20"/>
              </w:rPr>
              <w:t xml:space="preserve"> </w:t>
            </w:r>
            <w:r>
              <w:rPr>
                <w:spacing w:val="7"/>
                <w:sz w:val="20"/>
                <w:szCs w:val="20"/>
              </w:rPr>
              <w:t>电、暖资源均可依托园区现有能源供</w:t>
            </w:r>
          </w:p>
          <w:p w14:paraId="5C02780B">
            <w:pPr>
              <w:pStyle w:val="6"/>
              <w:spacing w:before="25" w:line="204" w:lineRule="auto"/>
              <w:ind w:left="2254"/>
              <w:rPr>
                <w:sz w:val="20"/>
                <w:szCs w:val="20"/>
              </w:rPr>
            </w:pPr>
            <w:r>
              <w:rPr>
                <w:spacing w:val="5"/>
                <w:sz w:val="20"/>
                <w:szCs w:val="20"/>
              </w:rPr>
              <w:t>应能力。</w:t>
            </w:r>
          </w:p>
        </w:tc>
        <w:tc>
          <w:tcPr>
            <w:tcW w:w="118" w:type="dxa"/>
            <w:tcBorders>
              <w:top w:val="nil"/>
              <w:bottom w:val="nil"/>
            </w:tcBorders>
            <w:vAlign w:val="top"/>
          </w:tcPr>
          <w:p w14:paraId="3B7A97B9">
            <w:pPr>
              <w:rPr>
                <w:rFonts w:ascii="Arial"/>
                <w:sz w:val="21"/>
              </w:rPr>
            </w:pPr>
          </w:p>
        </w:tc>
      </w:tr>
      <w:tr w14:paraId="794F6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56" w:type="dxa"/>
            <w:vMerge w:val="continue"/>
            <w:tcBorders>
              <w:top w:val="nil"/>
            </w:tcBorders>
            <w:vAlign w:val="top"/>
          </w:tcPr>
          <w:p w14:paraId="4E37386B">
            <w:pPr>
              <w:rPr>
                <w:rFonts w:ascii="Arial"/>
                <w:sz w:val="21"/>
              </w:rPr>
            </w:pPr>
          </w:p>
        </w:tc>
        <w:tc>
          <w:tcPr>
            <w:tcW w:w="113" w:type="dxa"/>
            <w:tcBorders>
              <w:top w:val="nil"/>
            </w:tcBorders>
            <w:vAlign w:val="top"/>
          </w:tcPr>
          <w:p w14:paraId="644C1955">
            <w:pPr>
              <w:rPr>
                <w:rFonts w:ascii="Arial"/>
                <w:sz w:val="21"/>
              </w:rPr>
            </w:pPr>
          </w:p>
        </w:tc>
        <w:tc>
          <w:tcPr>
            <w:tcW w:w="1102" w:type="dxa"/>
            <w:vMerge w:val="continue"/>
            <w:tcBorders>
              <w:top w:val="nil"/>
            </w:tcBorders>
            <w:vAlign w:val="top"/>
          </w:tcPr>
          <w:p w14:paraId="4759881B">
            <w:pPr>
              <w:rPr>
                <w:rFonts w:ascii="Arial"/>
                <w:sz w:val="21"/>
              </w:rPr>
            </w:pPr>
          </w:p>
        </w:tc>
        <w:tc>
          <w:tcPr>
            <w:tcW w:w="1502" w:type="dxa"/>
            <w:vAlign w:val="top"/>
          </w:tcPr>
          <w:p w14:paraId="351F8E94">
            <w:pPr>
              <w:pStyle w:val="6"/>
              <w:spacing w:before="47" w:line="224" w:lineRule="auto"/>
              <w:ind w:left="142"/>
              <w:rPr>
                <w:sz w:val="20"/>
                <w:szCs w:val="20"/>
              </w:rPr>
            </w:pPr>
            <w:r>
              <w:rPr>
                <w:spacing w:val="5"/>
                <w:sz w:val="20"/>
                <w:szCs w:val="20"/>
              </w:rPr>
              <w:t>园区施工与产</w:t>
            </w:r>
          </w:p>
        </w:tc>
        <w:tc>
          <w:tcPr>
            <w:tcW w:w="5334" w:type="dxa"/>
            <w:vAlign w:val="top"/>
          </w:tcPr>
          <w:p w14:paraId="52E1098B">
            <w:pPr>
              <w:pStyle w:val="6"/>
              <w:spacing w:before="47" w:line="224" w:lineRule="auto"/>
              <w:ind w:left="154"/>
              <w:rPr>
                <w:sz w:val="20"/>
                <w:szCs w:val="20"/>
              </w:rPr>
            </w:pPr>
            <w:r>
              <w:rPr>
                <w:spacing w:val="9"/>
                <w:sz w:val="20"/>
                <w:szCs w:val="20"/>
              </w:rPr>
              <w:t>本项目周边园区设施较为完善，交通便捷，地理位置优</w:t>
            </w:r>
          </w:p>
        </w:tc>
        <w:tc>
          <w:tcPr>
            <w:tcW w:w="118" w:type="dxa"/>
            <w:tcBorders>
              <w:top w:val="nil"/>
            </w:tcBorders>
            <w:vAlign w:val="top"/>
          </w:tcPr>
          <w:p w14:paraId="6BB5CE59">
            <w:pPr>
              <w:rPr>
                <w:rFonts w:ascii="Arial"/>
                <w:sz w:val="21"/>
              </w:rPr>
            </w:pPr>
          </w:p>
        </w:tc>
      </w:tr>
    </w:tbl>
    <w:p w14:paraId="186BFB99">
      <w:pPr>
        <w:pStyle w:val="2"/>
      </w:pPr>
    </w:p>
    <w:p w14:paraId="723F4820">
      <w:pPr>
        <w:sectPr>
          <w:footerReference r:id="rId36" w:type="default"/>
          <w:pgSz w:w="11906" w:h="16839"/>
          <w:pgMar w:top="400" w:right="1588" w:bottom="1259" w:left="1687" w:header="0" w:footer="1097" w:gutter="0"/>
          <w:cols w:space="720" w:num="1"/>
        </w:sectPr>
      </w:pPr>
    </w:p>
    <w:p w14:paraId="1E6F04D2">
      <w:pPr>
        <w:spacing w:before="19"/>
      </w:pPr>
    </w:p>
    <w:p w14:paraId="0A985D31">
      <w:pPr>
        <w:spacing w:before="19"/>
      </w:pPr>
    </w:p>
    <w:p w14:paraId="76483279">
      <w:pPr>
        <w:spacing w:before="18"/>
      </w:pPr>
    </w:p>
    <w:p w14:paraId="7BC716F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1102"/>
        <w:gridCol w:w="141"/>
        <w:gridCol w:w="1361"/>
        <w:gridCol w:w="2324"/>
        <w:gridCol w:w="1278"/>
        <w:gridCol w:w="1729"/>
        <w:gridCol w:w="121"/>
      </w:tblGrid>
      <w:tr w14:paraId="4F44C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65D0AF6E">
            <w:pPr>
              <w:rPr>
                <w:rFonts w:ascii="Arial"/>
                <w:sz w:val="21"/>
              </w:rPr>
            </w:pPr>
          </w:p>
        </w:tc>
        <w:tc>
          <w:tcPr>
            <w:tcW w:w="113" w:type="dxa"/>
            <w:tcBorders>
              <w:bottom w:val="nil"/>
            </w:tcBorders>
            <w:vAlign w:val="top"/>
          </w:tcPr>
          <w:p w14:paraId="0A62F44A">
            <w:pPr>
              <w:rPr>
                <w:rFonts w:ascii="Arial"/>
                <w:sz w:val="21"/>
              </w:rPr>
            </w:pPr>
          </w:p>
        </w:tc>
        <w:tc>
          <w:tcPr>
            <w:tcW w:w="1102" w:type="dxa"/>
            <w:vAlign w:val="top"/>
          </w:tcPr>
          <w:p w14:paraId="2046A69F">
            <w:pPr>
              <w:rPr>
                <w:rFonts w:ascii="Arial"/>
                <w:sz w:val="21"/>
              </w:rPr>
            </w:pPr>
          </w:p>
        </w:tc>
        <w:tc>
          <w:tcPr>
            <w:tcW w:w="1502" w:type="dxa"/>
            <w:gridSpan w:val="2"/>
            <w:vAlign w:val="top"/>
          </w:tcPr>
          <w:p w14:paraId="4DC067A1">
            <w:pPr>
              <w:pStyle w:val="6"/>
              <w:spacing w:before="46" w:line="227" w:lineRule="auto"/>
              <w:ind w:left="229"/>
              <w:rPr>
                <w:sz w:val="20"/>
                <w:szCs w:val="20"/>
              </w:rPr>
            </w:pPr>
            <w:r>
              <w:rPr>
                <w:spacing w:val="8"/>
                <w:sz w:val="20"/>
                <w:szCs w:val="20"/>
              </w:rPr>
              <w:t>业条件依托</w:t>
            </w:r>
          </w:p>
        </w:tc>
        <w:tc>
          <w:tcPr>
            <w:tcW w:w="5331" w:type="dxa"/>
            <w:gridSpan w:val="3"/>
            <w:vAlign w:val="top"/>
          </w:tcPr>
          <w:p w14:paraId="0574CBB9">
            <w:pPr>
              <w:pStyle w:val="6"/>
              <w:spacing w:before="46" w:line="227" w:lineRule="auto"/>
              <w:ind w:left="153"/>
              <w:rPr>
                <w:sz w:val="20"/>
                <w:szCs w:val="20"/>
              </w:rPr>
            </w:pPr>
            <w:r>
              <w:rPr>
                <w:spacing w:val="9"/>
                <w:sz w:val="20"/>
                <w:szCs w:val="20"/>
              </w:rPr>
              <w:t>越，区域产业环境较好，可以为项目施工与运行提供可</w:t>
            </w:r>
          </w:p>
          <w:p w14:paraId="06F77622">
            <w:pPr>
              <w:pStyle w:val="6"/>
              <w:spacing w:before="25" w:line="218" w:lineRule="auto"/>
              <w:ind w:left="1414"/>
              <w:rPr>
                <w:sz w:val="20"/>
                <w:szCs w:val="20"/>
              </w:rPr>
            </w:pPr>
            <w:r>
              <w:rPr>
                <w:spacing w:val="8"/>
                <w:sz w:val="20"/>
                <w:szCs w:val="20"/>
              </w:rPr>
              <w:t>靠的材料供应与运营支撑。</w:t>
            </w:r>
          </w:p>
        </w:tc>
        <w:tc>
          <w:tcPr>
            <w:tcW w:w="121" w:type="dxa"/>
            <w:tcBorders>
              <w:bottom w:val="nil"/>
            </w:tcBorders>
            <w:vAlign w:val="top"/>
          </w:tcPr>
          <w:p w14:paraId="149DD6A0">
            <w:pPr>
              <w:rPr>
                <w:rFonts w:ascii="Arial"/>
                <w:sz w:val="21"/>
              </w:rPr>
            </w:pPr>
          </w:p>
        </w:tc>
      </w:tr>
      <w:tr w14:paraId="056A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0" w:hRule="atLeast"/>
        </w:trPr>
        <w:tc>
          <w:tcPr>
            <w:tcW w:w="456" w:type="dxa"/>
            <w:vMerge w:val="continue"/>
            <w:tcBorders>
              <w:top w:val="nil"/>
              <w:bottom w:val="nil"/>
            </w:tcBorders>
            <w:vAlign w:val="top"/>
          </w:tcPr>
          <w:p w14:paraId="21791DEA">
            <w:pPr>
              <w:rPr>
                <w:rFonts w:ascii="Arial"/>
                <w:sz w:val="21"/>
              </w:rPr>
            </w:pPr>
          </w:p>
        </w:tc>
        <w:tc>
          <w:tcPr>
            <w:tcW w:w="8169" w:type="dxa"/>
            <w:gridSpan w:val="8"/>
            <w:vAlign w:val="top"/>
          </w:tcPr>
          <w:p w14:paraId="6CD266E0">
            <w:pPr>
              <w:pStyle w:val="6"/>
              <w:spacing w:before="37" w:line="219" w:lineRule="auto"/>
              <w:ind w:left="111"/>
              <w:outlineLvl w:val="1"/>
              <w:rPr>
                <w:sz w:val="24"/>
                <w:szCs w:val="24"/>
              </w:rPr>
            </w:pP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34"/>
                <w:sz w:val="24"/>
                <w:szCs w:val="24"/>
              </w:rPr>
              <w:t xml:space="preserve"> </w:t>
            </w:r>
            <w:r>
              <w:rPr>
                <w:b/>
                <w:bCs/>
                <w:spacing w:val="-5"/>
                <w:sz w:val="24"/>
                <w:szCs w:val="24"/>
              </w:rPr>
              <w:t>、主要经济技术指标</w:t>
            </w:r>
          </w:p>
          <w:p w14:paraId="4D265700">
            <w:pPr>
              <w:pStyle w:val="6"/>
              <w:spacing w:before="181" w:line="358" w:lineRule="auto"/>
              <w:ind w:left="114" w:right="107" w:firstLine="479"/>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w:t>
            </w:r>
            <w:r>
              <w:rPr>
                <w:sz w:val="24"/>
                <w:szCs w:val="24"/>
              </w:rPr>
              <w:t xml:space="preserve">以及辅助设施，主要经济技 </w:t>
            </w:r>
            <w:r>
              <w:rPr>
                <w:spacing w:val="-2"/>
                <w:sz w:val="24"/>
                <w:szCs w:val="24"/>
              </w:rPr>
              <w:t>术指标详见表</w:t>
            </w:r>
            <w:r>
              <w:rPr>
                <w:spacing w:val="-54"/>
                <w:sz w:val="24"/>
                <w:szCs w:val="24"/>
              </w:rPr>
              <w:t xml:space="preserve"> </w:t>
            </w:r>
            <w:r>
              <w:rPr>
                <w:rFonts w:ascii="Times New Roman" w:hAnsi="Times New Roman" w:eastAsia="Times New Roman" w:cs="Times New Roman"/>
                <w:spacing w:val="-2"/>
                <w:sz w:val="24"/>
                <w:szCs w:val="24"/>
              </w:rPr>
              <w:t>2-3</w:t>
            </w:r>
            <w:r>
              <w:rPr>
                <w:spacing w:val="-2"/>
                <w:sz w:val="24"/>
                <w:szCs w:val="24"/>
              </w:rPr>
              <w:t>。</w:t>
            </w:r>
          </w:p>
          <w:p w14:paraId="4CD21365">
            <w:pPr>
              <w:pStyle w:val="6"/>
              <w:spacing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2-3    </w:t>
            </w:r>
            <w:r>
              <w:rPr>
                <w:b/>
                <w:bCs/>
                <w:spacing w:val="5"/>
                <w:sz w:val="20"/>
                <w:szCs w:val="20"/>
              </w:rPr>
              <w:t>主要经济技术指标一览表</w:t>
            </w:r>
          </w:p>
        </w:tc>
      </w:tr>
      <w:tr w14:paraId="4BC5B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DCBA1BA">
            <w:pPr>
              <w:rPr>
                <w:rFonts w:ascii="Arial"/>
                <w:sz w:val="21"/>
              </w:rPr>
            </w:pPr>
          </w:p>
        </w:tc>
        <w:tc>
          <w:tcPr>
            <w:tcW w:w="113" w:type="dxa"/>
            <w:tcBorders>
              <w:top w:val="nil"/>
              <w:bottom w:val="nil"/>
            </w:tcBorders>
            <w:vAlign w:val="top"/>
          </w:tcPr>
          <w:p w14:paraId="1B0A30CF">
            <w:pPr>
              <w:rPr>
                <w:rFonts w:ascii="Arial"/>
                <w:sz w:val="21"/>
              </w:rPr>
            </w:pPr>
          </w:p>
        </w:tc>
        <w:tc>
          <w:tcPr>
            <w:tcW w:w="1243" w:type="dxa"/>
            <w:gridSpan w:val="2"/>
            <w:vAlign w:val="top"/>
          </w:tcPr>
          <w:p w14:paraId="6CFD2EA5">
            <w:pPr>
              <w:pStyle w:val="6"/>
              <w:spacing w:before="31" w:line="217" w:lineRule="auto"/>
              <w:ind w:left="414"/>
              <w:rPr>
                <w:sz w:val="20"/>
                <w:szCs w:val="20"/>
              </w:rPr>
            </w:pPr>
            <w:r>
              <w:rPr>
                <w:spacing w:val="5"/>
                <w:sz w:val="20"/>
                <w:szCs w:val="20"/>
              </w:rPr>
              <w:t>序号</w:t>
            </w:r>
          </w:p>
        </w:tc>
        <w:tc>
          <w:tcPr>
            <w:tcW w:w="3685" w:type="dxa"/>
            <w:gridSpan w:val="2"/>
            <w:vAlign w:val="top"/>
          </w:tcPr>
          <w:p w14:paraId="4D11FBE9">
            <w:pPr>
              <w:pStyle w:val="6"/>
              <w:spacing w:before="31" w:line="217" w:lineRule="auto"/>
              <w:ind w:left="1431"/>
              <w:rPr>
                <w:sz w:val="20"/>
                <w:szCs w:val="20"/>
              </w:rPr>
            </w:pPr>
            <w:r>
              <w:rPr>
                <w:spacing w:val="6"/>
                <w:sz w:val="20"/>
                <w:szCs w:val="20"/>
              </w:rPr>
              <w:t>工程名称</w:t>
            </w:r>
          </w:p>
        </w:tc>
        <w:tc>
          <w:tcPr>
            <w:tcW w:w="1278" w:type="dxa"/>
            <w:vAlign w:val="top"/>
          </w:tcPr>
          <w:p w14:paraId="1079CCCA">
            <w:pPr>
              <w:pStyle w:val="6"/>
              <w:spacing w:before="31" w:line="217" w:lineRule="auto"/>
              <w:ind w:left="438"/>
              <w:rPr>
                <w:sz w:val="20"/>
                <w:szCs w:val="20"/>
              </w:rPr>
            </w:pPr>
            <w:r>
              <w:rPr>
                <w:spacing w:val="3"/>
                <w:sz w:val="20"/>
                <w:szCs w:val="20"/>
              </w:rPr>
              <w:t>单位</w:t>
            </w:r>
          </w:p>
        </w:tc>
        <w:tc>
          <w:tcPr>
            <w:tcW w:w="1729" w:type="dxa"/>
            <w:vAlign w:val="top"/>
          </w:tcPr>
          <w:p w14:paraId="7F153A79">
            <w:pPr>
              <w:pStyle w:val="6"/>
              <w:spacing w:before="31" w:line="217" w:lineRule="auto"/>
              <w:ind w:left="425"/>
              <w:rPr>
                <w:sz w:val="20"/>
                <w:szCs w:val="20"/>
              </w:rPr>
            </w:pPr>
            <w:r>
              <w:rPr>
                <w:spacing w:val="6"/>
                <w:sz w:val="20"/>
                <w:szCs w:val="20"/>
              </w:rPr>
              <w:t>数量</w:t>
            </w:r>
            <w:r>
              <w:rPr>
                <w:rFonts w:ascii="Times New Roman" w:hAnsi="Times New Roman" w:eastAsia="Times New Roman" w:cs="Times New Roman"/>
                <w:spacing w:val="6"/>
                <w:sz w:val="20"/>
                <w:szCs w:val="20"/>
              </w:rPr>
              <w:t>/</w:t>
            </w:r>
            <w:r>
              <w:rPr>
                <w:spacing w:val="6"/>
                <w:sz w:val="20"/>
                <w:szCs w:val="20"/>
              </w:rPr>
              <w:t>规格</w:t>
            </w:r>
          </w:p>
        </w:tc>
        <w:tc>
          <w:tcPr>
            <w:tcW w:w="121" w:type="dxa"/>
            <w:tcBorders>
              <w:top w:val="nil"/>
              <w:bottom w:val="nil"/>
            </w:tcBorders>
            <w:vAlign w:val="top"/>
          </w:tcPr>
          <w:p w14:paraId="7C8E04BA">
            <w:pPr>
              <w:rPr>
                <w:rFonts w:ascii="Arial"/>
                <w:sz w:val="21"/>
              </w:rPr>
            </w:pPr>
          </w:p>
        </w:tc>
      </w:tr>
      <w:tr w14:paraId="7586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57CAEF72">
            <w:pPr>
              <w:rPr>
                <w:rFonts w:ascii="Arial"/>
                <w:sz w:val="21"/>
              </w:rPr>
            </w:pPr>
          </w:p>
        </w:tc>
        <w:tc>
          <w:tcPr>
            <w:tcW w:w="113" w:type="dxa"/>
            <w:tcBorders>
              <w:top w:val="nil"/>
              <w:bottom w:val="nil"/>
            </w:tcBorders>
            <w:vAlign w:val="top"/>
          </w:tcPr>
          <w:p w14:paraId="44C10C04">
            <w:pPr>
              <w:rPr>
                <w:rFonts w:ascii="Arial"/>
                <w:sz w:val="21"/>
              </w:rPr>
            </w:pPr>
          </w:p>
        </w:tc>
        <w:tc>
          <w:tcPr>
            <w:tcW w:w="1243" w:type="dxa"/>
            <w:gridSpan w:val="2"/>
            <w:vAlign w:val="top"/>
          </w:tcPr>
          <w:p w14:paraId="2D8E3BEE">
            <w:pPr>
              <w:spacing w:before="69"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85" w:type="dxa"/>
            <w:gridSpan w:val="2"/>
            <w:vAlign w:val="top"/>
          </w:tcPr>
          <w:p w14:paraId="6FF5690A">
            <w:pPr>
              <w:pStyle w:val="6"/>
              <w:spacing w:before="32" w:line="216" w:lineRule="auto"/>
              <w:ind w:left="1532"/>
              <w:rPr>
                <w:sz w:val="20"/>
                <w:szCs w:val="20"/>
              </w:rPr>
            </w:pPr>
            <w:r>
              <w:rPr>
                <w:spacing w:val="6"/>
                <w:sz w:val="20"/>
                <w:szCs w:val="20"/>
              </w:rPr>
              <w:t>停车位</w:t>
            </w:r>
          </w:p>
        </w:tc>
        <w:tc>
          <w:tcPr>
            <w:tcW w:w="1278" w:type="dxa"/>
            <w:vAlign w:val="top"/>
          </w:tcPr>
          <w:p w14:paraId="20CE11F4">
            <w:pPr>
              <w:pStyle w:val="6"/>
              <w:spacing w:before="32" w:line="216" w:lineRule="auto"/>
              <w:ind w:left="538"/>
              <w:rPr>
                <w:sz w:val="20"/>
                <w:szCs w:val="20"/>
              </w:rPr>
            </w:pPr>
            <w:r>
              <w:rPr>
                <w:spacing w:val="1"/>
                <w:sz w:val="20"/>
                <w:szCs w:val="20"/>
              </w:rPr>
              <w:t>辆</w:t>
            </w:r>
          </w:p>
        </w:tc>
        <w:tc>
          <w:tcPr>
            <w:tcW w:w="1729" w:type="dxa"/>
            <w:vAlign w:val="top"/>
          </w:tcPr>
          <w:p w14:paraId="082BC3CC">
            <w:pPr>
              <w:spacing w:before="69" w:line="195" w:lineRule="auto"/>
              <w:ind w:left="769"/>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21" w:type="dxa"/>
            <w:tcBorders>
              <w:top w:val="nil"/>
              <w:bottom w:val="nil"/>
            </w:tcBorders>
            <w:vAlign w:val="top"/>
          </w:tcPr>
          <w:p w14:paraId="0E8AC23A">
            <w:pPr>
              <w:rPr>
                <w:rFonts w:ascii="Arial"/>
                <w:sz w:val="21"/>
              </w:rPr>
            </w:pPr>
          </w:p>
        </w:tc>
      </w:tr>
      <w:tr w14:paraId="3D024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3F19566A">
            <w:pPr>
              <w:rPr>
                <w:rFonts w:ascii="Arial"/>
                <w:sz w:val="21"/>
              </w:rPr>
            </w:pPr>
          </w:p>
        </w:tc>
        <w:tc>
          <w:tcPr>
            <w:tcW w:w="113" w:type="dxa"/>
            <w:tcBorders>
              <w:top w:val="nil"/>
              <w:bottom w:val="nil"/>
            </w:tcBorders>
            <w:vAlign w:val="top"/>
          </w:tcPr>
          <w:p w14:paraId="3EE68B30">
            <w:pPr>
              <w:rPr>
                <w:rFonts w:ascii="Arial"/>
                <w:sz w:val="21"/>
              </w:rPr>
            </w:pPr>
          </w:p>
        </w:tc>
        <w:tc>
          <w:tcPr>
            <w:tcW w:w="1243" w:type="dxa"/>
            <w:gridSpan w:val="2"/>
            <w:vAlign w:val="top"/>
          </w:tcPr>
          <w:p w14:paraId="01DC563E">
            <w:pPr>
              <w:spacing w:before="70"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85" w:type="dxa"/>
            <w:gridSpan w:val="2"/>
            <w:vAlign w:val="top"/>
          </w:tcPr>
          <w:p w14:paraId="69565A1D">
            <w:pPr>
              <w:pStyle w:val="6"/>
              <w:spacing w:before="34" w:line="216" w:lineRule="auto"/>
              <w:ind w:left="905"/>
              <w:rPr>
                <w:sz w:val="20"/>
                <w:szCs w:val="20"/>
              </w:rPr>
            </w:pPr>
            <w:r>
              <w:rPr>
                <w:spacing w:val="8"/>
                <w:sz w:val="20"/>
                <w:szCs w:val="20"/>
              </w:rPr>
              <w:t>综合管理用房、餐厅</w:t>
            </w:r>
          </w:p>
        </w:tc>
        <w:tc>
          <w:tcPr>
            <w:tcW w:w="1278" w:type="dxa"/>
            <w:vAlign w:val="top"/>
          </w:tcPr>
          <w:p w14:paraId="64758CC1">
            <w:pPr>
              <w:spacing w:before="50"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6B5978DC">
            <w:pPr>
              <w:spacing w:before="70"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1412.90</w:t>
            </w:r>
          </w:p>
        </w:tc>
        <w:tc>
          <w:tcPr>
            <w:tcW w:w="121" w:type="dxa"/>
            <w:tcBorders>
              <w:top w:val="nil"/>
              <w:bottom w:val="nil"/>
            </w:tcBorders>
            <w:vAlign w:val="top"/>
          </w:tcPr>
          <w:p w14:paraId="3573DFF1">
            <w:pPr>
              <w:rPr>
                <w:rFonts w:ascii="Arial"/>
                <w:sz w:val="21"/>
              </w:rPr>
            </w:pPr>
          </w:p>
        </w:tc>
      </w:tr>
      <w:tr w14:paraId="11FA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17236B02">
            <w:pPr>
              <w:rPr>
                <w:rFonts w:ascii="Arial"/>
                <w:sz w:val="21"/>
              </w:rPr>
            </w:pPr>
          </w:p>
        </w:tc>
        <w:tc>
          <w:tcPr>
            <w:tcW w:w="113" w:type="dxa"/>
            <w:tcBorders>
              <w:top w:val="nil"/>
              <w:bottom w:val="nil"/>
            </w:tcBorders>
            <w:vAlign w:val="top"/>
          </w:tcPr>
          <w:p w14:paraId="6F51885C">
            <w:pPr>
              <w:rPr>
                <w:rFonts w:ascii="Arial"/>
                <w:sz w:val="21"/>
              </w:rPr>
            </w:pPr>
          </w:p>
        </w:tc>
        <w:tc>
          <w:tcPr>
            <w:tcW w:w="1243" w:type="dxa"/>
            <w:gridSpan w:val="2"/>
            <w:vAlign w:val="top"/>
          </w:tcPr>
          <w:p w14:paraId="19AE0144">
            <w:pPr>
              <w:spacing w:before="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85" w:type="dxa"/>
            <w:gridSpan w:val="2"/>
            <w:vAlign w:val="top"/>
          </w:tcPr>
          <w:p w14:paraId="68D2708A">
            <w:pPr>
              <w:pStyle w:val="6"/>
              <w:spacing w:before="31" w:line="217" w:lineRule="auto"/>
              <w:ind w:left="693"/>
              <w:rPr>
                <w:sz w:val="20"/>
                <w:szCs w:val="20"/>
              </w:rPr>
            </w:pPr>
            <w:r>
              <w:rPr>
                <w:spacing w:val="9"/>
                <w:sz w:val="20"/>
                <w:szCs w:val="20"/>
              </w:rPr>
              <w:t>污水处理间、危废暂存间</w:t>
            </w:r>
          </w:p>
        </w:tc>
        <w:tc>
          <w:tcPr>
            <w:tcW w:w="1278" w:type="dxa"/>
            <w:vAlign w:val="top"/>
          </w:tcPr>
          <w:p w14:paraId="3F5B9625">
            <w:pPr>
              <w:spacing w:before="48"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32190830">
            <w:pPr>
              <w:spacing w:before="68"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423.36</w:t>
            </w:r>
          </w:p>
        </w:tc>
        <w:tc>
          <w:tcPr>
            <w:tcW w:w="121" w:type="dxa"/>
            <w:tcBorders>
              <w:top w:val="nil"/>
              <w:bottom w:val="nil"/>
            </w:tcBorders>
            <w:vAlign w:val="top"/>
          </w:tcPr>
          <w:p w14:paraId="4D1E81FB">
            <w:pPr>
              <w:rPr>
                <w:rFonts w:ascii="Arial"/>
                <w:sz w:val="21"/>
              </w:rPr>
            </w:pPr>
          </w:p>
        </w:tc>
      </w:tr>
      <w:tr w14:paraId="08128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44EEA314">
            <w:pPr>
              <w:rPr>
                <w:rFonts w:ascii="Arial"/>
                <w:sz w:val="21"/>
              </w:rPr>
            </w:pPr>
          </w:p>
        </w:tc>
        <w:tc>
          <w:tcPr>
            <w:tcW w:w="113" w:type="dxa"/>
            <w:tcBorders>
              <w:top w:val="nil"/>
              <w:bottom w:val="nil"/>
            </w:tcBorders>
            <w:vAlign w:val="top"/>
          </w:tcPr>
          <w:p w14:paraId="710DE21F">
            <w:pPr>
              <w:rPr>
                <w:rFonts w:ascii="Arial"/>
                <w:sz w:val="21"/>
              </w:rPr>
            </w:pPr>
          </w:p>
        </w:tc>
        <w:tc>
          <w:tcPr>
            <w:tcW w:w="1243" w:type="dxa"/>
            <w:gridSpan w:val="2"/>
            <w:vAlign w:val="top"/>
          </w:tcPr>
          <w:p w14:paraId="1E7EE11F">
            <w:pPr>
              <w:spacing w:before="69"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85" w:type="dxa"/>
            <w:gridSpan w:val="2"/>
            <w:vAlign w:val="top"/>
          </w:tcPr>
          <w:p w14:paraId="06E1B3E0">
            <w:pPr>
              <w:pStyle w:val="6"/>
              <w:spacing w:before="32" w:line="216" w:lineRule="auto"/>
              <w:ind w:left="1327"/>
              <w:rPr>
                <w:sz w:val="20"/>
                <w:szCs w:val="20"/>
              </w:rPr>
            </w:pPr>
            <w:r>
              <w:rPr>
                <w:spacing w:val="7"/>
                <w:sz w:val="20"/>
                <w:szCs w:val="20"/>
              </w:rPr>
              <w:t>消防水泵房</w:t>
            </w:r>
          </w:p>
        </w:tc>
        <w:tc>
          <w:tcPr>
            <w:tcW w:w="1278" w:type="dxa"/>
            <w:vAlign w:val="top"/>
          </w:tcPr>
          <w:p w14:paraId="367B2B87">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184F62FC">
            <w:pPr>
              <w:spacing w:before="69"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665.15</w:t>
            </w:r>
          </w:p>
        </w:tc>
        <w:tc>
          <w:tcPr>
            <w:tcW w:w="121" w:type="dxa"/>
            <w:tcBorders>
              <w:top w:val="nil"/>
              <w:bottom w:val="nil"/>
            </w:tcBorders>
            <w:vAlign w:val="top"/>
          </w:tcPr>
          <w:p w14:paraId="27F8F0A2">
            <w:pPr>
              <w:rPr>
                <w:rFonts w:ascii="Arial"/>
                <w:sz w:val="21"/>
              </w:rPr>
            </w:pPr>
          </w:p>
        </w:tc>
      </w:tr>
      <w:tr w14:paraId="7EC0C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024068F8">
            <w:pPr>
              <w:rPr>
                <w:rFonts w:ascii="Arial"/>
                <w:sz w:val="21"/>
              </w:rPr>
            </w:pPr>
          </w:p>
        </w:tc>
        <w:tc>
          <w:tcPr>
            <w:tcW w:w="113" w:type="dxa"/>
            <w:tcBorders>
              <w:top w:val="nil"/>
              <w:bottom w:val="nil"/>
            </w:tcBorders>
            <w:vAlign w:val="top"/>
          </w:tcPr>
          <w:p w14:paraId="4BABA81F">
            <w:pPr>
              <w:rPr>
                <w:rFonts w:ascii="Arial"/>
                <w:sz w:val="21"/>
              </w:rPr>
            </w:pPr>
          </w:p>
        </w:tc>
        <w:tc>
          <w:tcPr>
            <w:tcW w:w="1243" w:type="dxa"/>
            <w:gridSpan w:val="2"/>
            <w:vAlign w:val="top"/>
          </w:tcPr>
          <w:p w14:paraId="78E48FAA">
            <w:pPr>
              <w:spacing w:before="71" w:line="192"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85" w:type="dxa"/>
            <w:gridSpan w:val="2"/>
            <w:vAlign w:val="top"/>
          </w:tcPr>
          <w:p w14:paraId="11ABB2A0">
            <w:pPr>
              <w:pStyle w:val="6"/>
              <w:spacing w:before="31" w:line="218" w:lineRule="auto"/>
              <w:ind w:left="1323"/>
              <w:rPr>
                <w:sz w:val="20"/>
                <w:szCs w:val="20"/>
              </w:rPr>
            </w:pPr>
            <w:r>
              <w:rPr>
                <w:spacing w:val="8"/>
                <w:sz w:val="20"/>
                <w:szCs w:val="20"/>
              </w:rPr>
              <w:t>汽车维修间</w:t>
            </w:r>
          </w:p>
        </w:tc>
        <w:tc>
          <w:tcPr>
            <w:tcW w:w="1278" w:type="dxa"/>
            <w:vAlign w:val="top"/>
          </w:tcPr>
          <w:p w14:paraId="080F5EBC">
            <w:pPr>
              <w:spacing w:before="50"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714090F3">
            <w:pPr>
              <w:spacing w:before="6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383.16</w:t>
            </w:r>
          </w:p>
        </w:tc>
        <w:tc>
          <w:tcPr>
            <w:tcW w:w="121" w:type="dxa"/>
            <w:tcBorders>
              <w:top w:val="nil"/>
              <w:bottom w:val="nil"/>
            </w:tcBorders>
            <w:vAlign w:val="top"/>
          </w:tcPr>
          <w:p w14:paraId="474ECBE8">
            <w:pPr>
              <w:rPr>
                <w:rFonts w:ascii="Arial"/>
                <w:sz w:val="21"/>
              </w:rPr>
            </w:pPr>
          </w:p>
        </w:tc>
      </w:tr>
      <w:tr w14:paraId="46A30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32BEC714">
            <w:pPr>
              <w:rPr>
                <w:rFonts w:ascii="Arial"/>
                <w:sz w:val="21"/>
              </w:rPr>
            </w:pPr>
          </w:p>
        </w:tc>
        <w:tc>
          <w:tcPr>
            <w:tcW w:w="113" w:type="dxa"/>
            <w:tcBorders>
              <w:top w:val="nil"/>
              <w:bottom w:val="nil"/>
            </w:tcBorders>
            <w:vAlign w:val="top"/>
          </w:tcPr>
          <w:p w14:paraId="6D29D8FC">
            <w:pPr>
              <w:rPr>
                <w:rFonts w:ascii="Arial"/>
                <w:sz w:val="21"/>
              </w:rPr>
            </w:pPr>
          </w:p>
        </w:tc>
        <w:tc>
          <w:tcPr>
            <w:tcW w:w="1243" w:type="dxa"/>
            <w:gridSpan w:val="2"/>
            <w:vAlign w:val="top"/>
          </w:tcPr>
          <w:p w14:paraId="4ECC564B">
            <w:pPr>
              <w:spacing w:before="68" w:line="195"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85" w:type="dxa"/>
            <w:gridSpan w:val="2"/>
            <w:vAlign w:val="top"/>
          </w:tcPr>
          <w:p w14:paraId="2A5FD5E2">
            <w:pPr>
              <w:pStyle w:val="6"/>
              <w:spacing w:before="32" w:line="216" w:lineRule="auto"/>
              <w:ind w:left="1531"/>
              <w:rPr>
                <w:sz w:val="20"/>
                <w:szCs w:val="20"/>
              </w:rPr>
            </w:pPr>
            <w:r>
              <w:rPr>
                <w:spacing w:val="7"/>
                <w:sz w:val="20"/>
                <w:szCs w:val="20"/>
              </w:rPr>
              <w:t>洗车间</w:t>
            </w:r>
          </w:p>
        </w:tc>
        <w:tc>
          <w:tcPr>
            <w:tcW w:w="1278" w:type="dxa"/>
            <w:vAlign w:val="top"/>
          </w:tcPr>
          <w:p w14:paraId="575FAD4A">
            <w:pPr>
              <w:spacing w:before="48"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31577764">
            <w:pPr>
              <w:spacing w:before="68" w:line="195" w:lineRule="auto"/>
              <w:ind w:left="5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259.56</w:t>
            </w:r>
          </w:p>
        </w:tc>
        <w:tc>
          <w:tcPr>
            <w:tcW w:w="121" w:type="dxa"/>
            <w:tcBorders>
              <w:top w:val="nil"/>
              <w:bottom w:val="nil"/>
            </w:tcBorders>
            <w:vAlign w:val="top"/>
          </w:tcPr>
          <w:p w14:paraId="5DC804E3">
            <w:pPr>
              <w:rPr>
                <w:rFonts w:ascii="Arial"/>
                <w:sz w:val="21"/>
              </w:rPr>
            </w:pPr>
          </w:p>
        </w:tc>
      </w:tr>
      <w:tr w14:paraId="5BE4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378E2217">
            <w:pPr>
              <w:rPr>
                <w:rFonts w:ascii="Arial"/>
                <w:sz w:val="21"/>
              </w:rPr>
            </w:pPr>
          </w:p>
        </w:tc>
        <w:tc>
          <w:tcPr>
            <w:tcW w:w="113" w:type="dxa"/>
            <w:tcBorders>
              <w:top w:val="nil"/>
              <w:bottom w:val="nil"/>
            </w:tcBorders>
            <w:vAlign w:val="top"/>
          </w:tcPr>
          <w:p w14:paraId="11432395">
            <w:pPr>
              <w:rPr>
                <w:rFonts w:ascii="Arial"/>
                <w:sz w:val="21"/>
              </w:rPr>
            </w:pPr>
          </w:p>
        </w:tc>
        <w:tc>
          <w:tcPr>
            <w:tcW w:w="1243" w:type="dxa"/>
            <w:gridSpan w:val="2"/>
            <w:vAlign w:val="top"/>
          </w:tcPr>
          <w:p w14:paraId="51D6E987">
            <w:pPr>
              <w:spacing w:before="72" w:line="192"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85" w:type="dxa"/>
            <w:gridSpan w:val="2"/>
            <w:vAlign w:val="top"/>
          </w:tcPr>
          <w:p w14:paraId="11E9FC6E">
            <w:pPr>
              <w:pStyle w:val="6"/>
              <w:spacing w:before="34" w:line="215" w:lineRule="auto"/>
              <w:ind w:left="1581"/>
              <w:rPr>
                <w:rFonts w:ascii="Times New Roman" w:hAnsi="Times New Roman" w:eastAsia="Times New Roman" w:cs="Times New Roman"/>
                <w:sz w:val="20"/>
                <w:szCs w:val="20"/>
              </w:rPr>
            </w:pPr>
            <w:r>
              <w:rPr>
                <w:spacing w:val="-5"/>
                <w:sz w:val="20"/>
                <w:szCs w:val="20"/>
              </w:rPr>
              <w:t>门卫</w:t>
            </w:r>
            <w:r>
              <w:rPr>
                <w:spacing w:val="-21"/>
                <w:sz w:val="20"/>
                <w:szCs w:val="20"/>
              </w:rPr>
              <w:t xml:space="preserve"> </w:t>
            </w:r>
            <w:r>
              <w:rPr>
                <w:rFonts w:ascii="Times New Roman" w:hAnsi="Times New Roman" w:eastAsia="Times New Roman" w:cs="Times New Roman"/>
                <w:spacing w:val="-5"/>
                <w:sz w:val="20"/>
                <w:szCs w:val="20"/>
              </w:rPr>
              <w:t>1</w:t>
            </w:r>
          </w:p>
        </w:tc>
        <w:tc>
          <w:tcPr>
            <w:tcW w:w="1278" w:type="dxa"/>
            <w:vAlign w:val="top"/>
          </w:tcPr>
          <w:p w14:paraId="0B65836E">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5DBAF4B4">
            <w:pPr>
              <w:spacing w:before="69"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121" w:type="dxa"/>
            <w:tcBorders>
              <w:top w:val="nil"/>
              <w:bottom w:val="nil"/>
            </w:tcBorders>
            <w:vAlign w:val="top"/>
          </w:tcPr>
          <w:p w14:paraId="7B3C46A3">
            <w:pPr>
              <w:rPr>
                <w:rFonts w:ascii="Arial"/>
                <w:sz w:val="21"/>
              </w:rPr>
            </w:pPr>
          </w:p>
        </w:tc>
      </w:tr>
      <w:tr w14:paraId="6499B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5E67B2D0">
            <w:pPr>
              <w:rPr>
                <w:rFonts w:ascii="Arial"/>
                <w:sz w:val="21"/>
              </w:rPr>
            </w:pPr>
          </w:p>
        </w:tc>
        <w:tc>
          <w:tcPr>
            <w:tcW w:w="113" w:type="dxa"/>
            <w:tcBorders>
              <w:top w:val="nil"/>
              <w:bottom w:val="nil"/>
            </w:tcBorders>
            <w:vAlign w:val="top"/>
          </w:tcPr>
          <w:p w14:paraId="46986421">
            <w:pPr>
              <w:rPr>
                <w:rFonts w:ascii="Arial"/>
                <w:sz w:val="21"/>
              </w:rPr>
            </w:pPr>
          </w:p>
        </w:tc>
        <w:tc>
          <w:tcPr>
            <w:tcW w:w="1243" w:type="dxa"/>
            <w:gridSpan w:val="2"/>
            <w:vAlign w:val="top"/>
          </w:tcPr>
          <w:p w14:paraId="7987237B">
            <w:pPr>
              <w:spacing w:before="6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85" w:type="dxa"/>
            <w:gridSpan w:val="2"/>
            <w:vAlign w:val="top"/>
          </w:tcPr>
          <w:p w14:paraId="545270F3">
            <w:pPr>
              <w:pStyle w:val="6"/>
              <w:spacing w:before="33" w:line="216" w:lineRule="auto"/>
              <w:ind w:left="1581"/>
              <w:rPr>
                <w:rFonts w:ascii="Times New Roman" w:hAnsi="Times New Roman" w:eastAsia="Times New Roman" w:cs="Times New Roman"/>
                <w:sz w:val="20"/>
                <w:szCs w:val="20"/>
              </w:rPr>
            </w:pPr>
            <w:r>
              <w:rPr>
                <w:spacing w:val="-5"/>
                <w:sz w:val="20"/>
                <w:szCs w:val="20"/>
              </w:rPr>
              <w:t>门卫</w:t>
            </w:r>
            <w:r>
              <w:rPr>
                <w:spacing w:val="-41"/>
                <w:sz w:val="20"/>
                <w:szCs w:val="20"/>
              </w:rPr>
              <w:t xml:space="preserve"> </w:t>
            </w:r>
            <w:r>
              <w:rPr>
                <w:rFonts w:ascii="Times New Roman" w:hAnsi="Times New Roman" w:eastAsia="Times New Roman" w:cs="Times New Roman"/>
                <w:spacing w:val="-5"/>
                <w:sz w:val="20"/>
                <w:szCs w:val="20"/>
              </w:rPr>
              <w:t>2</w:t>
            </w:r>
          </w:p>
        </w:tc>
        <w:tc>
          <w:tcPr>
            <w:tcW w:w="1278" w:type="dxa"/>
            <w:vAlign w:val="top"/>
          </w:tcPr>
          <w:p w14:paraId="0D6C507D">
            <w:pPr>
              <w:spacing w:before="51"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729" w:type="dxa"/>
            <w:vAlign w:val="top"/>
          </w:tcPr>
          <w:p w14:paraId="70DA17F6">
            <w:pPr>
              <w:spacing w:before="68"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121" w:type="dxa"/>
            <w:tcBorders>
              <w:top w:val="nil"/>
              <w:bottom w:val="nil"/>
            </w:tcBorders>
            <w:vAlign w:val="top"/>
          </w:tcPr>
          <w:p w14:paraId="14DE36CE">
            <w:pPr>
              <w:rPr>
                <w:rFonts w:ascii="Arial"/>
                <w:sz w:val="21"/>
              </w:rPr>
            </w:pPr>
          </w:p>
        </w:tc>
      </w:tr>
      <w:tr w14:paraId="2CA0A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450742D9">
            <w:pPr>
              <w:rPr>
                <w:rFonts w:ascii="Arial"/>
                <w:sz w:val="21"/>
              </w:rPr>
            </w:pPr>
          </w:p>
        </w:tc>
        <w:tc>
          <w:tcPr>
            <w:tcW w:w="113" w:type="dxa"/>
            <w:tcBorders>
              <w:top w:val="nil"/>
              <w:bottom w:val="nil"/>
            </w:tcBorders>
            <w:vAlign w:val="top"/>
          </w:tcPr>
          <w:p w14:paraId="13CEB933">
            <w:pPr>
              <w:rPr>
                <w:rFonts w:ascii="Arial"/>
                <w:sz w:val="21"/>
              </w:rPr>
            </w:pPr>
          </w:p>
        </w:tc>
        <w:tc>
          <w:tcPr>
            <w:tcW w:w="1243" w:type="dxa"/>
            <w:gridSpan w:val="2"/>
            <w:vAlign w:val="top"/>
          </w:tcPr>
          <w:p w14:paraId="37C9A241">
            <w:pPr>
              <w:spacing w:before="69"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85" w:type="dxa"/>
            <w:gridSpan w:val="2"/>
            <w:vAlign w:val="top"/>
          </w:tcPr>
          <w:p w14:paraId="038823AE">
            <w:pPr>
              <w:pStyle w:val="6"/>
              <w:spacing w:before="34" w:line="215" w:lineRule="auto"/>
              <w:ind w:left="1432"/>
              <w:rPr>
                <w:sz w:val="20"/>
                <w:szCs w:val="20"/>
              </w:rPr>
            </w:pPr>
            <w:r>
              <w:rPr>
                <w:spacing w:val="6"/>
                <w:sz w:val="20"/>
                <w:szCs w:val="20"/>
              </w:rPr>
              <w:t>消防水池</w:t>
            </w:r>
          </w:p>
        </w:tc>
        <w:tc>
          <w:tcPr>
            <w:tcW w:w="1278" w:type="dxa"/>
            <w:vAlign w:val="top"/>
          </w:tcPr>
          <w:p w14:paraId="3229FC7A">
            <w:pPr>
              <w:spacing w:before="49"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1F6F34EF">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1375</w:t>
            </w:r>
          </w:p>
        </w:tc>
        <w:tc>
          <w:tcPr>
            <w:tcW w:w="121" w:type="dxa"/>
            <w:tcBorders>
              <w:top w:val="nil"/>
              <w:bottom w:val="nil"/>
            </w:tcBorders>
            <w:vAlign w:val="top"/>
          </w:tcPr>
          <w:p w14:paraId="644ABB02">
            <w:pPr>
              <w:rPr>
                <w:rFonts w:ascii="Arial"/>
                <w:sz w:val="21"/>
              </w:rPr>
            </w:pPr>
          </w:p>
        </w:tc>
      </w:tr>
      <w:tr w14:paraId="368ED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6799412B">
            <w:pPr>
              <w:rPr>
                <w:rFonts w:ascii="Arial"/>
                <w:sz w:val="21"/>
              </w:rPr>
            </w:pPr>
          </w:p>
        </w:tc>
        <w:tc>
          <w:tcPr>
            <w:tcW w:w="113" w:type="dxa"/>
            <w:tcBorders>
              <w:top w:val="nil"/>
              <w:bottom w:val="nil"/>
            </w:tcBorders>
            <w:vAlign w:val="top"/>
          </w:tcPr>
          <w:p w14:paraId="4DABBDF7">
            <w:pPr>
              <w:rPr>
                <w:rFonts w:ascii="Arial"/>
                <w:sz w:val="21"/>
              </w:rPr>
            </w:pPr>
          </w:p>
        </w:tc>
        <w:tc>
          <w:tcPr>
            <w:tcW w:w="1243" w:type="dxa"/>
            <w:gridSpan w:val="2"/>
            <w:vAlign w:val="top"/>
          </w:tcPr>
          <w:p w14:paraId="68D297C1">
            <w:pPr>
              <w:spacing w:before="70"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685" w:type="dxa"/>
            <w:gridSpan w:val="2"/>
            <w:vAlign w:val="top"/>
          </w:tcPr>
          <w:p w14:paraId="536C8AAE">
            <w:pPr>
              <w:pStyle w:val="6"/>
              <w:spacing w:before="35" w:line="214" w:lineRule="auto"/>
              <w:ind w:left="1322"/>
              <w:rPr>
                <w:sz w:val="20"/>
                <w:szCs w:val="20"/>
              </w:rPr>
            </w:pPr>
            <w:r>
              <w:rPr>
                <w:spacing w:val="8"/>
                <w:sz w:val="20"/>
                <w:szCs w:val="20"/>
              </w:rPr>
              <w:t>初期雨水池</w:t>
            </w:r>
          </w:p>
        </w:tc>
        <w:tc>
          <w:tcPr>
            <w:tcW w:w="1278" w:type="dxa"/>
            <w:vAlign w:val="top"/>
          </w:tcPr>
          <w:p w14:paraId="2E145816">
            <w:pPr>
              <w:spacing w:before="50" w:line="216"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2A084657">
            <w:pPr>
              <w:spacing w:before="70"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970</w:t>
            </w:r>
          </w:p>
        </w:tc>
        <w:tc>
          <w:tcPr>
            <w:tcW w:w="121" w:type="dxa"/>
            <w:tcBorders>
              <w:top w:val="nil"/>
              <w:bottom w:val="nil"/>
            </w:tcBorders>
            <w:vAlign w:val="top"/>
          </w:tcPr>
          <w:p w14:paraId="05FA053D">
            <w:pPr>
              <w:rPr>
                <w:rFonts w:ascii="Arial"/>
                <w:sz w:val="21"/>
              </w:rPr>
            </w:pPr>
          </w:p>
        </w:tc>
      </w:tr>
      <w:tr w14:paraId="759FF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1C07CEA9">
            <w:pPr>
              <w:rPr>
                <w:rFonts w:ascii="Arial"/>
                <w:sz w:val="21"/>
              </w:rPr>
            </w:pPr>
          </w:p>
        </w:tc>
        <w:tc>
          <w:tcPr>
            <w:tcW w:w="113" w:type="dxa"/>
            <w:tcBorders>
              <w:top w:val="nil"/>
              <w:bottom w:val="nil"/>
            </w:tcBorders>
            <w:vAlign w:val="top"/>
          </w:tcPr>
          <w:p w14:paraId="5D893A59">
            <w:pPr>
              <w:rPr>
                <w:rFonts w:ascii="Arial"/>
                <w:sz w:val="21"/>
              </w:rPr>
            </w:pPr>
          </w:p>
        </w:tc>
        <w:tc>
          <w:tcPr>
            <w:tcW w:w="1243" w:type="dxa"/>
            <w:gridSpan w:val="2"/>
            <w:vAlign w:val="top"/>
          </w:tcPr>
          <w:p w14:paraId="513B15C1">
            <w:pPr>
              <w:spacing w:before="69"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685" w:type="dxa"/>
            <w:gridSpan w:val="2"/>
            <w:vAlign w:val="top"/>
          </w:tcPr>
          <w:p w14:paraId="4BDEFBE4">
            <w:pPr>
              <w:pStyle w:val="6"/>
              <w:spacing w:before="33" w:line="216" w:lineRule="auto"/>
              <w:ind w:left="1323"/>
              <w:rPr>
                <w:sz w:val="20"/>
                <w:szCs w:val="20"/>
              </w:rPr>
            </w:pPr>
            <w:r>
              <w:rPr>
                <w:spacing w:val="8"/>
                <w:sz w:val="20"/>
                <w:szCs w:val="20"/>
              </w:rPr>
              <w:t>事故应急池</w:t>
            </w:r>
          </w:p>
        </w:tc>
        <w:tc>
          <w:tcPr>
            <w:tcW w:w="1278" w:type="dxa"/>
            <w:vAlign w:val="top"/>
          </w:tcPr>
          <w:p w14:paraId="5968268A">
            <w:pPr>
              <w:spacing w:before="52" w:line="213" w:lineRule="auto"/>
              <w:ind w:left="52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729" w:type="dxa"/>
            <w:vAlign w:val="top"/>
          </w:tcPr>
          <w:p w14:paraId="0B1B5311">
            <w:pPr>
              <w:spacing w:before="69"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1255</w:t>
            </w:r>
          </w:p>
        </w:tc>
        <w:tc>
          <w:tcPr>
            <w:tcW w:w="121" w:type="dxa"/>
            <w:tcBorders>
              <w:top w:val="nil"/>
              <w:bottom w:val="nil"/>
            </w:tcBorders>
            <w:vAlign w:val="top"/>
          </w:tcPr>
          <w:p w14:paraId="28624C3C">
            <w:pPr>
              <w:rPr>
                <w:rFonts w:ascii="Arial"/>
                <w:sz w:val="21"/>
              </w:rPr>
            </w:pPr>
          </w:p>
        </w:tc>
      </w:tr>
      <w:tr w14:paraId="3CCF1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80FDC5F">
            <w:pPr>
              <w:rPr>
                <w:rFonts w:ascii="Arial"/>
                <w:sz w:val="21"/>
              </w:rPr>
            </w:pPr>
          </w:p>
        </w:tc>
        <w:tc>
          <w:tcPr>
            <w:tcW w:w="113" w:type="dxa"/>
            <w:tcBorders>
              <w:top w:val="nil"/>
              <w:bottom w:val="nil"/>
            </w:tcBorders>
            <w:vAlign w:val="top"/>
          </w:tcPr>
          <w:p w14:paraId="5D42E155">
            <w:pPr>
              <w:rPr>
                <w:rFonts w:ascii="Arial"/>
                <w:sz w:val="21"/>
              </w:rPr>
            </w:pPr>
          </w:p>
        </w:tc>
        <w:tc>
          <w:tcPr>
            <w:tcW w:w="1243" w:type="dxa"/>
            <w:gridSpan w:val="2"/>
            <w:vAlign w:val="top"/>
          </w:tcPr>
          <w:p w14:paraId="6F838B39">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685" w:type="dxa"/>
            <w:gridSpan w:val="2"/>
            <w:vAlign w:val="top"/>
          </w:tcPr>
          <w:p w14:paraId="2D6DAB0F">
            <w:pPr>
              <w:pStyle w:val="6"/>
              <w:spacing w:before="34" w:line="215" w:lineRule="auto"/>
              <w:ind w:left="1433"/>
              <w:rPr>
                <w:sz w:val="20"/>
                <w:szCs w:val="20"/>
              </w:rPr>
            </w:pPr>
            <w:r>
              <w:rPr>
                <w:spacing w:val="6"/>
                <w:sz w:val="20"/>
                <w:szCs w:val="20"/>
              </w:rPr>
              <w:t>劳动定员</w:t>
            </w:r>
          </w:p>
        </w:tc>
        <w:tc>
          <w:tcPr>
            <w:tcW w:w="1278" w:type="dxa"/>
            <w:vAlign w:val="top"/>
          </w:tcPr>
          <w:p w14:paraId="415C758B">
            <w:pPr>
              <w:pStyle w:val="6"/>
              <w:spacing w:before="34" w:line="215" w:lineRule="auto"/>
              <w:ind w:left="541"/>
              <w:rPr>
                <w:sz w:val="20"/>
                <w:szCs w:val="20"/>
              </w:rPr>
            </w:pPr>
            <w:r>
              <w:rPr>
                <w:sz w:val="20"/>
                <w:szCs w:val="20"/>
              </w:rPr>
              <w:t>人</w:t>
            </w:r>
          </w:p>
        </w:tc>
        <w:tc>
          <w:tcPr>
            <w:tcW w:w="1729" w:type="dxa"/>
            <w:vAlign w:val="top"/>
          </w:tcPr>
          <w:p w14:paraId="5AB9C807">
            <w:pPr>
              <w:spacing w:before="69" w:line="195" w:lineRule="auto"/>
              <w:ind w:left="76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1" w:type="dxa"/>
            <w:tcBorders>
              <w:top w:val="nil"/>
              <w:bottom w:val="nil"/>
            </w:tcBorders>
            <w:vAlign w:val="top"/>
          </w:tcPr>
          <w:p w14:paraId="0BE7A836">
            <w:pPr>
              <w:rPr>
                <w:rFonts w:ascii="Arial"/>
                <w:sz w:val="21"/>
              </w:rPr>
            </w:pPr>
          </w:p>
        </w:tc>
      </w:tr>
      <w:tr w14:paraId="517C2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4E4001C1">
            <w:pPr>
              <w:rPr>
                <w:rFonts w:ascii="Arial"/>
                <w:sz w:val="21"/>
              </w:rPr>
            </w:pPr>
          </w:p>
        </w:tc>
        <w:tc>
          <w:tcPr>
            <w:tcW w:w="113" w:type="dxa"/>
            <w:tcBorders>
              <w:top w:val="nil"/>
              <w:bottom w:val="nil"/>
            </w:tcBorders>
            <w:vAlign w:val="top"/>
          </w:tcPr>
          <w:p w14:paraId="532F8C60">
            <w:pPr>
              <w:rPr>
                <w:rFonts w:ascii="Arial"/>
                <w:sz w:val="21"/>
              </w:rPr>
            </w:pPr>
          </w:p>
        </w:tc>
        <w:tc>
          <w:tcPr>
            <w:tcW w:w="1243" w:type="dxa"/>
            <w:gridSpan w:val="2"/>
            <w:vAlign w:val="top"/>
          </w:tcPr>
          <w:p w14:paraId="17EEC53F">
            <w:pPr>
              <w:spacing w:before="70"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685" w:type="dxa"/>
            <w:gridSpan w:val="2"/>
            <w:vAlign w:val="top"/>
          </w:tcPr>
          <w:p w14:paraId="24622992">
            <w:pPr>
              <w:pStyle w:val="6"/>
              <w:spacing w:before="35" w:line="215" w:lineRule="auto"/>
              <w:ind w:left="1428"/>
              <w:rPr>
                <w:sz w:val="20"/>
                <w:szCs w:val="20"/>
              </w:rPr>
            </w:pPr>
            <w:r>
              <w:rPr>
                <w:spacing w:val="7"/>
                <w:sz w:val="20"/>
                <w:szCs w:val="20"/>
              </w:rPr>
              <w:t>运行时间</w:t>
            </w:r>
          </w:p>
        </w:tc>
        <w:tc>
          <w:tcPr>
            <w:tcW w:w="1278" w:type="dxa"/>
            <w:vAlign w:val="top"/>
          </w:tcPr>
          <w:p w14:paraId="46977C61">
            <w:pPr>
              <w:pStyle w:val="6"/>
              <w:spacing w:before="35" w:line="215" w:lineRule="auto"/>
              <w:ind w:left="543"/>
              <w:rPr>
                <w:sz w:val="20"/>
                <w:szCs w:val="20"/>
              </w:rPr>
            </w:pPr>
            <w:r>
              <w:rPr>
                <w:sz w:val="20"/>
                <w:szCs w:val="20"/>
              </w:rPr>
              <w:t>天</w:t>
            </w:r>
          </w:p>
        </w:tc>
        <w:tc>
          <w:tcPr>
            <w:tcW w:w="1729" w:type="dxa"/>
            <w:vAlign w:val="top"/>
          </w:tcPr>
          <w:p w14:paraId="22EA5385">
            <w:pPr>
              <w:spacing w:before="70"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365</w:t>
            </w:r>
          </w:p>
        </w:tc>
        <w:tc>
          <w:tcPr>
            <w:tcW w:w="121" w:type="dxa"/>
            <w:tcBorders>
              <w:top w:val="nil"/>
              <w:bottom w:val="nil"/>
            </w:tcBorders>
            <w:vAlign w:val="top"/>
          </w:tcPr>
          <w:p w14:paraId="79755A60">
            <w:pPr>
              <w:rPr>
                <w:rFonts w:ascii="Arial"/>
                <w:sz w:val="21"/>
              </w:rPr>
            </w:pPr>
          </w:p>
        </w:tc>
      </w:tr>
      <w:tr w14:paraId="1D35C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0851F672">
            <w:pPr>
              <w:rPr>
                <w:rFonts w:ascii="Arial"/>
                <w:sz w:val="21"/>
              </w:rPr>
            </w:pPr>
          </w:p>
        </w:tc>
        <w:tc>
          <w:tcPr>
            <w:tcW w:w="113" w:type="dxa"/>
            <w:tcBorders>
              <w:top w:val="nil"/>
              <w:bottom w:val="nil"/>
            </w:tcBorders>
            <w:vAlign w:val="top"/>
          </w:tcPr>
          <w:p w14:paraId="5FE203CD">
            <w:pPr>
              <w:rPr>
                <w:rFonts w:ascii="Arial"/>
                <w:sz w:val="21"/>
              </w:rPr>
            </w:pPr>
          </w:p>
        </w:tc>
        <w:tc>
          <w:tcPr>
            <w:tcW w:w="1243" w:type="dxa"/>
            <w:gridSpan w:val="2"/>
            <w:vAlign w:val="top"/>
          </w:tcPr>
          <w:p w14:paraId="073C29A6">
            <w:pPr>
              <w:spacing w:before="6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685" w:type="dxa"/>
            <w:gridSpan w:val="2"/>
            <w:vAlign w:val="top"/>
          </w:tcPr>
          <w:p w14:paraId="78C144CC">
            <w:pPr>
              <w:pStyle w:val="6"/>
              <w:spacing w:before="33" w:line="216" w:lineRule="auto"/>
              <w:ind w:left="1537"/>
              <w:rPr>
                <w:sz w:val="20"/>
                <w:szCs w:val="20"/>
              </w:rPr>
            </w:pPr>
            <w:r>
              <w:rPr>
                <w:spacing w:val="5"/>
                <w:sz w:val="20"/>
                <w:szCs w:val="20"/>
              </w:rPr>
              <w:t>总投资</w:t>
            </w:r>
          </w:p>
        </w:tc>
        <w:tc>
          <w:tcPr>
            <w:tcW w:w="1278" w:type="dxa"/>
            <w:vAlign w:val="top"/>
          </w:tcPr>
          <w:p w14:paraId="1E5A807F">
            <w:pPr>
              <w:pStyle w:val="6"/>
              <w:spacing w:before="33" w:line="216" w:lineRule="auto"/>
              <w:ind w:left="441"/>
              <w:rPr>
                <w:sz w:val="20"/>
                <w:szCs w:val="20"/>
              </w:rPr>
            </w:pPr>
            <w:r>
              <w:rPr>
                <w:spacing w:val="2"/>
                <w:sz w:val="20"/>
                <w:szCs w:val="20"/>
              </w:rPr>
              <w:t>万元</w:t>
            </w:r>
          </w:p>
        </w:tc>
        <w:tc>
          <w:tcPr>
            <w:tcW w:w="1729" w:type="dxa"/>
            <w:vAlign w:val="top"/>
          </w:tcPr>
          <w:p w14:paraId="7B10F9AC">
            <w:pPr>
              <w:spacing w:before="68"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2364.55</w:t>
            </w:r>
          </w:p>
        </w:tc>
        <w:tc>
          <w:tcPr>
            <w:tcW w:w="121" w:type="dxa"/>
            <w:tcBorders>
              <w:top w:val="nil"/>
              <w:bottom w:val="nil"/>
            </w:tcBorders>
            <w:vAlign w:val="top"/>
          </w:tcPr>
          <w:p w14:paraId="56492E90">
            <w:pPr>
              <w:rPr>
                <w:rFonts w:ascii="Arial"/>
                <w:sz w:val="21"/>
              </w:rPr>
            </w:pPr>
          </w:p>
        </w:tc>
      </w:tr>
      <w:tr w14:paraId="5F072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BEB4372">
            <w:pPr>
              <w:rPr>
                <w:rFonts w:ascii="Arial"/>
                <w:sz w:val="21"/>
              </w:rPr>
            </w:pPr>
          </w:p>
        </w:tc>
        <w:tc>
          <w:tcPr>
            <w:tcW w:w="113" w:type="dxa"/>
            <w:tcBorders>
              <w:top w:val="nil"/>
              <w:bottom w:val="nil"/>
            </w:tcBorders>
            <w:vAlign w:val="top"/>
          </w:tcPr>
          <w:p w14:paraId="474DE973">
            <w:pPr>
              <w:rPr>
                <w:rFonts w:ascii="Arial"/>
                <w:sz w:val="21"/>
              </w:rPr>
            </w:pPr>
          </w:p>
        </w:tc>
        <w:tc>
          <w:tcPr>
            <w:tcW w:w="1243" w:type="dxa"/>
            <w:gridSpan w:val="2"/>
            <w:vAlign w:val="top"/>
          </w:tcPr>
          <w:p w14:paraId="45256100">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685" w:type="dxa"/>
            <w:gridSpan w:val="2"/>
            <w:vAlign w:val="top"/>
          </w:tcPr>
          <w:p w14:paraId="32124DF1">
            <w:pPr>
              <w:pStyle w:val="6"/>
              <w:spacing w:before="34" w:line="215" w:lineRule="auto"/>
              <w:ind w:left="1325"/>
              <w:rPr>
                <w:sz w:val="20"/>
                <w:szCs w:val="20"/>
              </w:rPr>
            </w:pPr>
            <w:r>
              <w:rPr>
                <w:spacing w:val="7"/>
                <w:sz w:val="20"/>
                <w:szCs w:val="20"/>
              </w:rPr>
              <w:t>投资回收期</w:t>
            </w:r>
          </w:p>
        </w:tc>
        <w:tc>
          <w:tcPr>
            <w:tcW w:w="1278" w:type="dxa"/>
            <w:vAlign w:val="top"/>
          </w:tcPr>
          <w:p w14:paraId="573DD3B7">
            <w:pPr>
              <w:pStyle w:val="6"/>
              <w:spacing w:before="34" w:line="215" w:lineRule="auto"/>
              <w:ind w:left="540"/>
              <w:rPr>
                <w:sz w:val="20"/>
                <w:szCs w:val="20"/>
              </w:rPr>
            </w:pPr>
            <w:r>
              <w:rPr>
                <w:sz w:val="20"/>
                <w:szCs w:val="20"/>
              </w:rPr>
              <w:t>年</w:t>
            </w:r>
          </w:p>
        </w:tc>
        <w:tc>
          <w:tcPr>
            <w:tcW w:w="1729" w:type="dxa"/>
            <w:vAlign w:val="top"/>
          </w:tcPr>
          <w:p w14:paraId="2E3A8814">
            <w:pPr>
              <w:spacing w:before="69"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21" w:type="dxa"/>
            <w:tcBorders>
              <w:top w:val="nil"/>
              <w:bottom w:val="nil"/>
            </w:tcBorders>
            <w:vAlign w:val="top"/>
          </w:tcPr>
          <w:p w14:paraId="7B90C837">
            <w:pPr>
              <w:rPr>
                <w:rFonts w:ascii="Arial"/>
                <w:sz w:val="21"/>
              </w:rPr>
            </w:pPr>
          </w:p>
        </w:tc>
      </w:tr>
      <w:tr w14:paraId="28563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0" w:hRule="atLeast"/>
        </w:trPr>
        <w:tc>
          <w:tcPr>
            <w:tcW w:w="456" w:type="dxa"/>
            <w:vMerge w:val="continue"/>
            <w:tcBorders>
              <w:top w:val="nil"/>
            </w:tcBorders>
            <w:vAlign w:val="top"/>
          </w:tcPr>
          <w:p w14:paraId="0F0D5998">
            <w:pPr>
              <w:rPr>
                <w:rFonts w:ascii="Arial"/>
                <w:sz w:val="21"/>
              </w:rPr>
            </w:pPr>
          </w:p>
        </w:tc>
        <w:tc>
          <w:tcPr>
            <w:tcW w:w="8169" w:type="dxa"/>
            <w:gridSpan w:val="8"/>
            <w:vAlign w:val="top"/>
          </w:tcPr>
          <w:p w14:paraId="3B61C8B3">
            <w:pPr>
              <w:pStyle w:val="6"/>
              <w:spacing w:before="196" w:line="219" w:lineRule="auto"/>
              <w:ind w:left="111"/>
              <w:outlineLvl w:val="1"/>
              <w:rPr>
                <w:sz w:val="24"/>
                <w:szCs w:val="24"/>
              </w:rPr>
            </w:pPr>
            <w:r>
              <w:rPr>
                <w:rFonts w:ascii="Times New Roman" w:hAnsi="Times New Roman" w:eastAsia="Times New Roman" w:cs="Times New Roman"/>
                <w:b/>
                <w:bCs/>
                <w:spacing w:val="-6"/>
                <w:sz w:val="24"/>
                <w:szCs w:val="24"/>
              </w:rPr>
              <w:t>6</w:t>
            </w:r>
            <w:r>
              <w:rPr>
                <w:rFonts w:ascii="Times New Roman" w:hAnsi="Times New Roman" w:eastAsia="Times New Roman" w:cs="Times New Roman"/>
                <w:b/>
                <w:bCs/>
                <w:spacing w:val="-32"/>
                <w:sz w:val="24"/>
                <w:szCs w:val="24"/>
              </w:rPr>
              <w:t xml:space="preserve"> </w:t>
            </w:r>
            <w:r>
              <w:rPr>
                <w:b/>
                <w:bCs/>
                <w:spacing w:val="-6"/>
                <w:sz w:val="24"/>
                <w:szCs w:val="24"/>
              </w:rPr>
              <w:t>、停车位分区建设</w:t>
            </w:r>
          </w:p>
          <w:p w14:paraId="75194384">
            <w:pPr>
              <w:pStyle w:val="6"/>
              <w:spacing w:before="182" w:line="359" w:lineRule="auto"/>
              <w:ind w:left="112" w:right="27" w:firstLine="482"/>
              <w:jc w:val="both"/>
              <w:rPr>
                <w:sz w:val="24"/>
                <w:szCs w:val="24"/>
              </w:rPr>
            </w:pPr>
            <w:r>
              <w:rPr>
                <w:spacing w:val="-3"/>
                <w:sz w:val="24"/>
                <w:szCs w:val="24"/>
              </w:rPr>
              <w:t>危化品停车区在场地的东侧，分为五个停车区域，北面西侧布</w:t>
            </w:r>
            <w:r>
              <w:rPr>
                <w:spacing w:val="-4"/>
                <w:sz w:val="24"/>
                <w:szCs w:val="24"/>
              </w:rPr>
              <w:t>置有</w:t>
            </w:r>
            <w:r>
              <w:rPr>
                <w:spacing w:val="-55"/>
                <w:sz w:val="24"/>
                <w:szCs w:val="24"/>
              </w:rPr>
              <w:t xml:space="preserve"> </w:t>
            </w:r>
            <w:r>
              <w:rPr>
                <w:rFonts w:ascii="Times New Roman" w:hAnsi="Times New Roman" w:eastAsia="Times New Roman" w:cs="Times New Roman"/>
                <w:spacing w:val="-4"/>
                <w:sz w:val="24"/>
                <w:szCs w:val="24"/>
              </w:rPr>
              <w:t xml:space="preserve">28 </w:t>
            </w:r>
            <w:r>
              <w:rPr>
                <w:spacing w:val="-4"/>
                <w:sz w:val="24"/>
                <w:szCs w:val="24"/>
              </w:rPr>
              <w:t>个</w:t>
            </w:r>
            <w:r>
              <w:rPr>
                <w:sz w:val="24"/>
                <w:szCs w:val="24"/>
              </w:rPr>
              <w:t xml:space="preserve"> </w:t>
            </w:r>
            <w:r>
              <w:rPr>
                <w:spacing w:val="-1"/>
                <w:sz w:val="24"/>
                <w:szCs w:val="24"/>
              </w:rPr>
              <w:t>空车停车位，北面东侧</w:t>
            </w:r>
            <w:r>
              <w:rPr>
                <w:spacing w:val="-45"/>
                <w:sz w:val="24"/>
                <w:szCs w:val="24"/>
              </w:rPr>
              <w:t xml:space="preserve"> </w:t>
            </w:r>
            <w:r>
              <w:rPr>
                <w:rFonts w:ascii="Times New Roman" w:hAnsi="Times New Roman" w:eastAsia="Times New Roman" w:cs="Times New Roman"/>
                <w:spacing w:val="-1"/>
                <w:sz w:val="24"/>
                <w:szCs w:val="24"/>
              </w:rPr>
              <w:t xml:space="preserve">8 </w:t>
            </w:r>
            <w:r>
              <w:rPr>
                <w:spacing w:val="-1"/>
                <w:sz w:val="24"/>
                <w:szCs w:val="24"/>
              </w:rPr>
              <w:t>个重车停车位，中部西侧布置有</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w:t>
            </w:r>
            <w:r>
              <w:rPr>
                <w:spacing w:val="-2"/>
                <w:sz w:val="24"/>
                <w:szCs w:val="24"/>
              </w:rPr>
              <w:t>空车停车位，</w:t>
            </w:r>
            <w:r>
              <w:rPr>
                <w:sz w:val="24"/>
                <w:szCs w:val="24"/>
              </w:rPr>
              <w:t xml:space="preserve"> </w:t>
            </w:r>
            <w:r>
              <w:rPr>
                <w:spacing w:val="1"/>
                <w:sz w:val="24"/>
                <w:szCs w:val="24"/>
              </w:rPr>
              <w:t>南面西侧有</w:t>
            </w:r>
            <w:r>
              <w:rPr>
                <w:spacing w:val="-27"/>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个空车停车位，南面东侧</w:t>
            </w:r>
            <w:r>
              <w:rPr>
                <w:sz w:val="24"/>
                <w:szCs w:val="24"/>
              </w:rPr>
              <w:t>有</w:t>
            </w:r>
            <w:r>
              <w:rPr>
                <w:spacing w:val="-29"/>
                <w:sz w:val="24"/>
                <w:szCs w:val="24"/>
              </w:rPr>
              <w:t xml:space="preserve"> </w:t>
            </w:r>
            <w:r>
              <w:rPr>
                <w:rFonts w:ascii="Times New Roman" w:hAnsi="Times New Roman" w:eastAsia="Times New Roman" w:cs="Times New Roman"/>
                <w:sz w:val="24"/>
                <w:szCs w:val="24"/>
              </w:rPr>
              <w:t xml:space="preserve">12 </w:t>
            </w:r>
            <w:r>
              <w:rPr>
                <w:sz w:val="24"/>
                <w:szCs w:val="24"/>
              </w:rPr>
              <w:t>个空车停车位、</w:t>
            </w:r>
            <w:r>
              <w:rPr>
                <w:rFonts w:ascii="Times New Roman" w:hAnsi="Times New Roman" w:eastAsia="Times New Roman" w:cs="Times New Roman"/>
                <w:sz w:val="24"/>
                <w:szCs w:val="24"/>
              </w:rPr>
              <w:t xml:space="preserve">2 </w:t>
            </w:r>
            <w:r>
              <w:rPr>
                <w:sz w:val="24"/>
                <w:szCs w:val="24"/>
              </w:rPr>
              <w:t xml:space="preserve">个重车停车 </w:t>
            </w:r>
            <w:r>
              <w:rPr>
                <w:spacing w:val="1"/>
                <w:sz w:val="24"/>
                <w:szCs w:val="24"/>
              </w:rPr>
              <w:t>位。根据园区危险化学品实际情况，考虑到停车设施</w:t>
            </w:r>
            <w:r>
              <w:rPr>
                <w:sz w:val="24"/>
                <w:szCs w:val="24"/>
              </w:rPr>
              <w:t xml:space="preserve">的通用性，所有车位按 </w:t>
            </w:r>
            <w:r>
              <w:rPr>
                <w:spacing w:val="-6"/>
                <w:sz w:val="24"/>
                <w:szCs w:val="24"/>
              </w:rPr>
              <w:t>照投影面积</w:t>
            </w:r>
            <w:r>
              <w:rPr>
                <w:spacing w:val="-41"/>
                <w:sz w:val="24"/>
                <w:szCs w:val="24"/>
              </w:rPr>
              <w:t xml:space="preserve"> </w:t>
            </w:r>
            <w:r>
              <w:rPr>
                <w:rFonts w:ascii="Times New Roman" w:hAnsi="Times New Roman" w:eastAsia="Times New Roman" w:cs="Times New Roman"/>
                <w:spacing w:val="-6"/>
                <w:sz w:val="24"/>
                <w:szCs w:val="24"/>
              </w:rPr>
              <w:t>18m</w:t>
            </w:r>
            <w:r>
              <w:rPr>
                <w:spacing w:val="-6"/>
                <w:sz w:val="24"/>
                <w:szCs w:val="24"/>
              </w:rPr>
              <w:t>×</w:t>
            </w:r>
            <w:r>
              <w:rPr>
                <w:rFonts w:ascii="Times New Roman" w:hAnsi="Times New Roman" w:eastAsia="Times New Roman" w:cs="Times New Roman"/>
                <w:spacing w:val="-6"/>
                <w:sz w:val="24"/>
                <w:szCs w:val="24"/>
              </w:rPr>
              <w:t>3.5m</w:t>
            </w:r>
            <w:r>
              <w:rPr>
                <w:rFonts w:ascii="Times New Roman" w:hAnsi="Times New Roman" w:eastAsia="Times New Roman" w:cs="Times New Roman"/>
                <w:spacing w:val="17"/>
                <w:w w:val="101"/>
                <w:sz w:val="24"/>
                <w:szCs w:val="24"/>
              </w:rPr>
              <w:t xml:space="preserve"> </w:t>
            </w:r>
            <w:r>
              <w:rPr>
                <w:spacing w:val="-6"/>
                <w:sz w:val="24"/>
                <w:szCs w:val="24"/>
              </w:rPr>
              <w:t>的车位设计，将危险货物运</w:t>
            </w:r>
            <w:r>
              <w:rPr>
                <w:spacing w:val="-7"/>
                <w:sz w:val="24"/>
                <w:szCs w:val="24"/>
              </w:rPr>
              <w:t>输车辆分为</w:t>
            </w:r>
            <w:r>
              <w:rPr>
                <w:spacing w:val="-66"/>
                <w:sz w:val="24"/>
                <w:szCs w:val="24"/>
              </w:rPr>
              <w:t xml:space="preserve"> </w:t>
            </w:r>
            <w:r>
              <w:rPr>
                <w:rFonts w:ascii="Times New Roman" w:hAnsi="Times New Roman" w:eastAsia="Times New Roman" w:cs="Times New Roman"/>
                <w:spacing w:val="-7"/>
                <w:sz w:val="24"/>
                <w:szCs w:val="24"/>
              </w:rPr>
              <w:t xml:space="preserve">4 </w:t>
            </w:r>
            <w:r>
              <w:rPr>
                <w:spacing w:val="-7"/>
                <w:sz w:val="24"/>
                <w:szCs w:val="24"/>
              </w:rPr>
              <w:t>类分别存放。</w:t>
            </w:r>
          </w:p>
          <w:p w14:paraId="0F54E583">
            <w:pPr>
              <w:pStyle w:val="6"/>
              <w:spacing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）易燃可燃液体、可燃固体区（空车位</w:t>
            </w:r>
            <w:r>
              <w:rPr>
                <w:spacing w:val="-55"/>
                <w:sz w:val="24"/>
                <w:szCs w:val="24"/>
              </w:rPr>
              <w:t xml:space="preserve"> </w:t>
            </w:r>
            <w:r>
              <w:rPr>
                <w:rFonts w:ascii="Times New Roman" w:hAnsi="Times New Roman" w:eastAsia="Times New Roman" w:cs="Times New Roman"/>
                <w:spacing w:val="-1"/>
                <w:sz w:val="24"/>
                <w:szCs w:val="24"/>
              </w:rPr>
              <w:t xml:space="preserve">28 </w:t>
            </w:r>
            <w:r>
              <w:rPr>
                <w:spacing w:val="-1"/>
                <w:sz w:val="24"/>
                <w:szCs w:val="24"/>
              </w:rPr>
              <w:t>个、重车位</w:t>
            </w:r>
            <w:r>
              <w:rPr>
                <w:spacing w:val="-57"/>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个</w:t>
            </w:r>
            <w:r>
              <w:rPr>
                <w:sz w:val="24"/>
                <w:szCs w:val="24"/>
              </w:rPr>
              <w:t>）；</w:t>
            </w:r>
          </w:p>
          <w:p w14:paraId="1D410685">
            <w:pPr>
              <w:pStyle w:val="6"/>
              <w:spacing w:before="180" w:line="219" w:lineRule="auto"/>
              <w:ind w:left="603"/>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）不燃气体、酸类、一般化学品（空车位</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w:t>
            </w:r>
            <w:r>
              <w:rPr>
                <w:spacing w:val="-2"/>
                <w:sz w:val="24"/>
                <w:szCs w:val="24"/>
              </w:rPr>
              <w:t>重车位</w:t>
            </w:r>
            <w:r>
              <w:rPr>
                <w:spacing w:val="-5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w:t>
            </w:r>
            <w:r>
              <w:rPr>
                <w:sz w:val="24"/>
                <w:szCs w:val="24"/>
              </w:rPr>
              <w:t>）；</w:t>
            </w:r>
          </w:p>
          <w:p w14:paraId="4807A288">
            <w:pPr>
              <w:pStyle w:val="6"/>
              <w:spacing w:before="183"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）可燃气体、碱类（空车位</w:t>
            </w:r>
            <w:r>
              <w:rPr>
                <w:spacing w:val="-32"/>
                <w:sz w:val="24"/>
                <w:szCs w:val="24"/>
              </w:rPr>
              <w:t xml:space="preserve"> </w:t>
            </w:r>
            <w:r>
              <w:rPr>
                <w:rFonts w:ascii="Times New Roman" w:hAnsi="Times New Roman" w:eastAsia="Times New Roman" w:cs="Times New Roman"/>
                <w:spacing w:val="-2"/>
                <w:sz w:val="24"/>
                <w:szCs w:val="24"/>
              </w:rPr>
              <w:t xml:space="preserve">12 </w:t>
            </w:r>
            <w:r>
              <w:rPr>
                <w:spacing w:val="-2"/>
                <w:sz w:val="24"/>
                <w:szCs w:val="24"/>
              </w:rPr>
              <w:t>个、重</w:t>
            </w:r>
            <w:r>
              <w:rPr>
                <w:spacing w:val="-3"/>
                <w:sz w:val="24"/>
                <w:szCs w:val="24"/>
              </w:rPr>
              <w:t>车位</w:t>
            </w:r>
            <w:r>
              <w:rPr>
                <w:spacing w:val="-55"/>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个</w:t>
            </w:r>
            <w:r>
              <w:rPr>
                <w:sz w:val="24"/>
                <w:szCs w:val="24"/>
              </w:rPr>
              <w:t>）；</w:t>
            </w:r>
          </w:p>
          <w:p w14:paraId="7811857D">
            <w:pPr>
              <w:pStyle w:val="6"/>
              <w:spacing w:before="180"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）遇水剧烈反应物质（空车位</w:t>
            </w:r>
            <w:r>
              <w:rPr>
                <w:spacing w:val="-31"/>
                <w:sz w:val="24"/>
                <w:szCs w:val="24"/>
              </w:rPr>
              <w:t xml:space="preserve"> </w:t>
            </w:r>
            <w:r>
              <w:rPr>
                <w:rFonts w:ascii="Times New Roman" w:hAnsi="Times New Roman" w:eastAsia="Times New Roman" w:cs="Times New Roman"/>
                <w:spacing w:val="-2"/>
                <w:sz w:val="24"/>
                <w:szCs w:val="24"/>
              </w:rPr>
              <w:t xml:space="preserve">12 </w:t>
            </w:r>
            <w:r>
              <w:rPr>
                <w:spacing w:val="-2"/>
                <w:sz w:val="24"/>
                <w:szCs w:val="24"/>
              </w:rPr>
              <w:t>个、重车位</w:t>
            </w:r>
            <w:r>
              <w:rPr>
                <w:spacing w:val="-5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个）。</w:t>
            </w:r>
          </w:p>
        </w:tc>
      </w:tr>
    </w:tbl>
    <w:p w14:paraId="249F2579">
      <w:pPr>
        <w:pStyle w:val="2"/>
      </w:pPr>
    </w:p>
    <w:p w14:paraId="4A6BF1A3">
      <w:pPr>
        <w:sectPr>
          <w:footerReference r:id="rId37" w:type="default"/>
          <w:pgSz w:w="11906" w:h="16839"/>
          <w:pgMar w:top="400" w:right="1588" w:bottom="1259" w:left="1687" w:header="0" w:footer="1097" w:gutter="0"/>
          <w:cols w:space="720" w:num="1"/>
        </w:sectPr>
      </w:pPr>
    </w:p>
    <w:p w14:paraId="1C1D0132">
      <w:pPr>
        <w:spacing w:before="19"/>
      </w:pPr>
    </w:p>
    <w:p w14:paraId="4E4F430E">
      <w:pPr>
        <w:spacing w:before="19"/>
      </w:pPr>
    </w:p>
    <w:p w14:paraId="61FC9B0C">
      <w:pPr>
        <w:spacing w:before="18"/>
      </w:pPr>
    </w:p>
    <w:p w14:paraId="2DA17AA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30A5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5" w:hRule="atLeast"/>
        </w:trPr>
        <w:tc>
          <w:tcPr>
            <w:tcW w:w="456" w:type="dxa"/>
            <w:vMerge w:val="restart"/>
            <w:tcBorders>
              <w:bottom w:val="nil"/>
            </w:tcBorders>
            <w:vAlign w:val="top"/>
          </w:tcPr>
          <w:p w14:paraId="241B01B4">
            <w:pPr>
              <w:rPr>
                <w:rFonts w:ascii="Arial"/>
                <w:sz w:val="21"/>
              </w:rPr>
            </w:pPr>
          </w:p>
        </w:tc>
        <w:tc>
          <w:tcPr>
            <w:tcW w:w="8169" w:type="dxa"/>
            <w:gridSpan w:val="10"/>
            <w:tcBorders>
              <w:bottom w:val="nil"/>
            </w:tcBorders>
            <w:vAlign w:val="top"/>
          </w:tcPr>
          <w:p w14:paraId="2BBF3D63">
            <w:pPr>
              <w:spacing w:before="18" w:line="7174" w:lineRule="exact"/>
              <w:ind w:firstLine="129"/>
            </w:pPr>
            <w:r>
              <w:drawing>
                <wp:anchor distT="0" distB="0" distL="0" distR="0" simplePos="0" relativeHeight="251662336" behindDoc="0" locked="0" layoutInCell="1" allowOverlap="1">
                  <wp:simplePos x="0" y="0"/>
                  <wp:positionH relativeFrom="rightMargin">
                    <wp:posOffset>-5111115</wp:posOffset>
                  </wp:positionH>
                  <wp:positionV relativeFrom="topMargin">
                    <wp:posOffset>2540</wp:posOffset>
                  </wp:positionV>
                  <wp:extent cx="5037455" cy="457454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1"/>
                          <a:stretch>
                            <a:fillRect/>
                          </a:stretch>
                        </pic:blipFill>
                        <pic:spPr>
                          <a:xfrm>
                            <a:off x="0" y="0"/>
                            <a:ext cx="5037582" cy="4574285"/>
                          </a:xfrm>
                          <a:prstGeom prst="rect">
                            <a:avLst/>
                          </a:prstGeom>
                        </pic:spPr>
                      </pic:pic>
                    </a:graphicData>
                  </a:graphic>
                </wp:anchor>
              </w:drawing>
            </w:r>
            <w:r>
              <w:rPr>
                <w:position w:val="-143"/>
              </w:rPr>
              <w:drawing>
                <wp:inline distT="0" distB="0" distL="0" distR="0">
                  <wp:extent cx="5018405" cy="45548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2"/>
                          <a:stretch>
                            <a:fillRect/>
                          </a:stretch>
                        </pic:blipFill>
                        <pic:spPr>
                          <a:xfrm>
                            <a:off x="0" y="0"/>
                            <a:ext cx="5018532" cy="4555236"/>
                          </a:xfrm>
                          <a:prstGeom prst="rect">
                            <a:avLst/>
                          </a:prstGeom>
                        </pic:spPr>
                      </pic:pic>
                    </a:graphicData>
                  </a:graphic>
                </wp:inline>
              </w:drawing>
            </w:r>
          </w:p>
        </w:tc>
      </w:tr>
      <w:tr w14:paraId="08B2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2" w:hRule="atLeast"/>
        </w:trPr>
        <w:tc>
          <w:tcPr>
            <w:tcW w:w="456" w:type="dxa"/>
            <w:vMerge w:val="continue"/>
            <w:tcBorders>
              <w:top w:val="nil"/>
              <w:bottom w:val="nil"/>
            </w:tcBorders>
            <w:vAlign w:val="top"/>
          </w:tcPr>
          <w:p w14:paraId="38E13FDE">
            <w:pPr>
              <w:rPr>
                <w:rFonts w:ascii="Arial"/>
                <w:sz w:val="21"/>
              </w:rPr>
            </w:pPr>
          </w:p>
        </w:tc>
        <w:tc>
          <w:tcPr>
            <w:tcW w:w="8169" w:type="dxa"/>
            <w:gridSpan w:val="10"/>
            <w:tcBorders>
              <w:top w:val="nil"/>
            </w:tcBorders>
            <w:vAlign w:val="top"/>
          </w:tcPr>
          <w:p w14:paraId="43E33242">
            <w:pPr>
              <w:pStyle w:val="6"/>
              <w:spacing w:before="154" w:line="228" w:lineRule="auto"/>
              <w:ind w:left="2678"/>
              <w:outlineLvl w:val="1"/>
              <w:rPr>
                <w:sz w:val="20"/>
                <w:szCs w:val="20"/>
              </w:rPr>
            </w:pPr>
            <w:r>
              <w:rPr>
                <w:b/>
                <w:bCs/>
                <w:spacing w:val="4"/>
                <w:sz w:val="20"/>
                <w:szCs w:val="20"/>
              </w:rPr>
              <w:t>图</w:t>
            </w:r>
            <w:r>
              <w:rPr>
                <w:spacing w:val="-31"/>
                <w:sz w:val="20"/>
                <w:szCs w:val="20"/>
              </w:rPr>
              <w:t xml:space="preserve"> </w:t>
            </w:r>
            <w:r>
              <w:rPr>
                <w:rFonts w:ascii="Times New Roman" w:hAnsi="Times New Roman" w:eastAsia="Times New Roman" w:cs="Times New Roman"/>
                <w:b/>
                <w:bCs/>
                <w:spacing w:val="4"/>
                <w:sz w:val="20"/>
                <w:szCs w:val="20"/>
              </w:rPr>
              <w:t xml:space="preserve">2-2    </w:t>
            </w:r>
            <w:r>
              <w:rPr>
                <w:b/>
                <w:bCs/>
                <w:spacing w:val="4"/>
                <w:sz w:val="20"/>
                <w:szCs w:val="20"/>
              </w:rPr>
              <w:t>停车位分区建设情况图</w:t>
            </w:r>
          </w:p>
          <w:p w14:paraId="3FD0A116">
            <w:pPr>
              <w:pStyle w:val="6"/>
              <w:spacing w:before="166" w:line="219" w:lineRule="auto"/>
              <w:ind w:left="111"/>
              <w:outlineLvl w:val="1"/>
              <w:rPr>
                <w:sz w:val="24"/>
                <w:szCs w:val="24"/>
              </w:rPr>
            </w:pPr>
            <w:r>
              <w:rPr>
                <w:rFonts w:ascii="Times New Roman" w:hAnsi="Times New Roman" w:eastAsia="Times New Roman" w:cs="Times New Roman"/>
                <w:b/>
                <w:bCs/>
                <w:spacing w:val="-5"/>
                <w:sz w:val="24"/>
                <w:szCs w:val="24"/>
              </w:rPr>
              <w:t>7</w:t>
            </w:r>
            <w:r>
              <w:rPr>
                <w:rFonts w:ascii="Times New Roman" w:hAnsi="Times New Roman" w:eastAsia="Times New Roman" w:cs="Times New Roman"/>
                <w:b/>
                <w:bCs/>
                <w:spacing w:val="-33"/>
                <w:sz w:val="24"/>
                <w:szCs w:val="24"/>
              </w:rPr>
              <w:t xml:space="preserve"> </w:t>
            </w:r>
            <w:r>
              <w:rPr>
                <w:b/>
                <w:bCs/>
                <w:spacing w:val="-5"/>
                <w:sz w:val="24"/>
                <w:szCs w:val="24"/>
              </w:rPr>
              <w:t>、危险化学品运输现状</w:t>
            </w:r>
          </w:p>
          <w:p w14:paraId="08F1A3E6">
            <w:pPr>
              <w:pStyle w:val="6"/>
              <w:spacing w:before="183" w:line="357" w:lineRule="auto"/>
              <w:ind w:left="125" w:right="107" w:firstLine="466"/>
              <w:rPr>
                <w:sz w:val="24"/>
                <w:szCs w:val="24"/>
              </w:rPr>
            </w:pPr>
            <w:r>
              <w:rPr>
                <w:spacing w:val="1"/>
                <w:sz w:val="24"/>
                <w:szCs w:val="24"/>
              </w:rPr>
              <w:t>通过园区现有企业使用、生产危险化学品种类和数量</w:t>
            </w:r>
            <w:r>
              <w:rPr>
                <w:sz w:val="24"/>
                <w:szCs w:val="24"/>
              </w:rPr>
              <w:t xml:space="preserve">调查，初步形成危 </w:t>
            </w:r>
            <w:r>
              <w:rPr>
                <w:spacing w:val="-1"/>
                <w:sz w:val="24"/>
                <w:szCs w:val="24"/>
              </w:rPr>
              <w:t>险化学品运输清单，园区危险化学品企业年运输量详见表</w:t>
            </w:r>
            <w:r>
              <w:rPr>
                <w:spacing w:val="-55"/>
                <w:sz w:val="24"/>
                <w:szCs w:val="24"/>
              </w:rPr>
              <w:t xml:space="preserve"> </w:t>
            </w:r>
            <w:r>
              <w:rPr>
                <w:rFonts w:ascii="Times New Roman" w:hAnsi="Times New Roman" w:eastAsia="Times New Roman" w:cs="Times New Roman"/>
                <w:spacing w:val="-1"/>
                <w:sz w:val="24"/>
                <w:szCs w:val="24"/>
              </w:rPr>
              <w:t>2-4</w:t>
            </w:r>
            <w:r>
              <w:rPr>
                <w:spacing w:val="-1"/>
                <w:sz w:val="24"/>
                <w:szCs w:val="24"/>
              </w:rPr>
              <w:t>。</w:t>
            </w:r>
          </w:p>
          <w:p w14:paraId="3C163E17">
            <w:pPr>
              <w:pStyle w:val="6"/>
              <w:spacing w:line="227" w:lineRule="auto"/>
              <w:ind w:left="2656"/>
              <w:outlineLvl w:val="1"/>
              <w:rPr>
                <w:sz w:val="20"/>
                <w:szCs w:val="20"/>
              </w:rPr>
            </w:pPr>
            <w:r>
              <w:rPr>
                <w:b/>
                <w:bCs/>
                <w:spacing w:val="5"/>
                <w:sz w:val="20"/>
                <w:szCs w:val="20"/>
              </w:rPr>
              <w:t>表</w:t>
            </w:r>
            <w:r>
              <w:rPr>
                <w:spacing w:val="-30"/>
                <w:sz w:val="20"/>
                <w:szCs w:val="20"/>
              </w:rPr>
              <w:t xml:space="preserve"> </w:t>
            </w:r>
            <w:r>
              <w:rPr>
                <w:rFonts w:ascii="Times New Roman" w:hAnsi="Times New Roman" w:eastAsia="Times New Roman" w:cs="Times New Roman"/>
                <w:b/>
                <w:bCs/>
                <w:spacing w:val="5"/>
                <w:sz w:val="20"/>
                <w:szCs w:val="20"/>
              </w:rPr>
              <w:t xml:space="preserve">2-4    </w:t>
            </w:r>
            <w:r>
              <w:rPr>
                <w:b/>
                <w:bCs/>
                <w:spacing w:val="5"/>
                <w:sz w:val="20"/>
                <w:szCs w:val="20"/>
              </w:rPr>
              <w:t>危险化学品运输产清单</w:t>
            </w:r>
          </w:p>
        </w:tc>
      </w:tr>
      <w:tr w14:paraId="09EF6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56" w:type="dxa"/>
            <w:vMerge w:val="continue"/>
            <w:tcBorders>
              <w:top w:val="nil"/>
              <w:bottom w:val="nil"/>
            </w:tcBorders>
            <w:vAlign w:val="top"/>
          </w:tcPr>
          <w:p w14:paraId="70E557A3">
            <w:pPr>
              <w:rPr>
                <w:rFonts w:ascii="Arial"/>
                <w:sz w:val="21"/>
              </w:rPr>
            </w:pPr>
          </w:p>
        </w:tc>
        <w:tc>
          <w:tcPr>
            <w:tcW w:w="113" w:type="dxa"/>
            <w:tcBorders>
              <w:top w:val="nil"/>
              <w:bottom w:val="nil"/>
            </w:tcBorders>
            <w:vAlign w:val="top"/>
          </w:tcPr>
          <w:p w14:paraId="35E847B5">
            <w:pPr>
              <w:rPr>
                <w:rFonts w:ascii="Arial"/>
                <w:sz w:val="21"/>
              </w:rPr>
            </w:pPr>
          </w:p>
        </w:tc>
        <w:tc>
          <w:tcPr>
            <w:tcW w:w="494" w:type="dxa"/>
            <w:textDirection w:val="tbRlV"/>
            <w:vAlign w:val="top"/>
          </w:tcPr>
          <w:p w14:paraId="15950787">
            <w:pPr>
              <w:pStyle w:val="6"/>
              <w:spacing w:before="140" w:line="218" w:lineRule="auto"/>
              <w:ind w:left="46"/>
              <w:rPr>
                <w:sz w:val="20"/>
                <w:szCs w:val="20"/>
              </w:rPr>
            </w:pPr>
            <w:r>
              <w:rPr>
                <w:spacing w:val="8"/>
                <w:sz w:val="20"/>
                <w:szCs w:val="20"/>
              </w:rPr>
              <w:t>序</w:t>
            </w:r>
            <w:r>
              <w:rPr>
                <w:spacing w:val="-35"/>
                <w:sz w:val="20"/>
                <w:szCs w:val="20"/>
              </w:rPr>
              <w:t xml:space="preserve"> </w:t>
            </w:r>
            <w:r>
              <w:rPr>
                <w:spacing w:val="8"/>
                <w:sz w:val="20"/>
                <w:szCs w:val="20"/>
              </w:rPr>
              <w:t>号</w:t>
            </w:r>
          </w:p>
        </w:tc>
        <w:tc>
          <w:tcPr>
            <w:tcW w:w="1476" w:type="dxa"/>
            <w:vAlign w:val="top"/>
          </w:tcPr>
          <w:p w14:paraId="4DCC637F">
            <w:pPr>
              <w:pStyle w:val="6"/>
              <w:spacing w:before="183" w:line="230" w:lineRule="auto"/>
              <w:ind w:left="325"/>
              <w:rPr>
                <w:sz w:val="20"/>
                <w:szCs w:val="20"/>
              </w:rPr>
            </w:pPr>
            <w:r>
              <w:rPr>
                <w:spacing w:val="6"/>
                <w:sz w:val="20"/>
                <w:szCs w:val="20"/>
              </w:rPr>
              <w:t>企业名称</w:t>
            </w:r>
          </w:p>
        </w:tc>
        <w:tc>
          <w:tcPr>
            <w:tcW w:w="1384" w:type="dxa"/>
            <w:vAlign w:val="top"/>
          </w:tcPr>
          <w:p w14:paraId="23D5918C">
            <w:pPr>
              <w:pStyle w:val="6"/>
              <w:spacing w:before="184" w:line="225" w:lineRule="auto"/>
              <w:ind w:left="279"/>
              <w:rPr>
                <w:sz w:val="20"/>
                <w:szCs w:val="20"/>
              </w:rPr>
            </w:pPr>
            <w:r>
              <w:rPr>
                <w:spacing w:val="6"/>
                <w:sz w:val="20"/>
                <w:szCs w:val="20"/>
              </w:rPr>
              <w:t>危险货物</w:t>
            </w:r>
          </w:p>
        </w:tc>
        <w:tc>
          <w:tcPr>
            <w:tcW w:w="1037" w:type="dxa"/>
            <w:vAlign w:val="top"/>
          </w:tcPr>
          <w:p w14:paraId="6ABEEFCD">
            <w:pPr>
              <w:pStyle w:val="6"/>
              <w:spacing w:before="46" w:line="228" w:lineRule="auto"/>
              <w:ind w:left="211"/>
              <w:rPr>
                <w:sz w:val="20"/>
                <w:szCs w:val="20"/>
              </w:rPr>
            </w:pPr>
            <w:r>
              <w:rPr>
                <w:spacing w:val="6"/>
                <w:sz w:val="20"/>
                <w:szCs w:val="20"/>
              </w:rPr>
              <w:t>年运入</w:t>
            </w:r>
          </w:p>
          <w:p w14:paraId="16170F48">
            <w:pPr>
              <w:pStyle w:val="6"/>
              <w:spacing w:before="26" w:line="225" w:lineRule="auto"/>
              <w:ind w:left="361"/>
              <w:rPr>
                <w:rFonts w:ascii="Times New Roman" w:hAnsi="Times New Roman" w:eastAsia="Times New Roman" w:cs="Times New Roman"/>
                <w:sz w:val="20"/>
                <w:szCs w:val="20"/>
              </w:rPr>
            </w:pPr>
            <w:r>
              <w:rPr>
                <w:spacing w:val="1"/>
                <w:sz w:val="20"/>
                <w:szCs w:val="20"/>
              </w:rPr>
              <w:t>量</w:t>
            </w:r>
            <w:r>
              <w:rPr>
                <w:rFonts w:ascii="Times New Roman" w:hAnsi="Times New Roman" w:eastAsia="Times New Roman" w:cs="Times New Roman"/>
                <w:spacing w:val="1"/>
                <w:sz w:val="20"/>
                <w:szCs w:val="20"/>
              </w:rPr>
              <w:t>/t</w:t>
            </w:r>
          </w:p>
        </w:tc>
        <w:tc>
          <w:tcPr>
            <w:tcW w:w="992" w:type="dxa"/>
            <w:vAlign w:val="top"/>
          </w:tcPr>
          <w:p w14:paraId="4E73D798">
            <w:pPr>
              <w:pStyle w:val="6"/>
              <w:spacing w:before="46" w:line="228" w:lineRule="auto"/>
              <w:ind w:left="189"/>
              <w:rPr>
                <w:sz w:val="20"/>
                <w:szCs w:val="20"/>
              </w:rPr>
            </w:pPr>
            <w:r>
              <w:rPr>
                <w:spacing w:val="6"/>
                <w:sz w:val="20"/>
                <w:szCs w:val="20"/>
              </w:rPr>
              <w:t>年运出</w:t>
            </w:r>
          </w:p>
          <w:p w14:paraId="194B14F5">
            <w:pPr>
              <w:pStyle w:val="6"/>
              <w:spacing w:before="26" w:line="225" w:lineRule="auto"/>
              <w:ind w:left="339"/>
              <w:rPr>
                <w:rFonts w:ascii="Times New Roman" w:hAnsi="Times New Roman" w:eastAsia="Times New Roman" w:cs="Times New Roman"/>
                <w:sz w:val="20"/>
                <w:szCs w:val="20"/>
              </w:rPr>
            </w:pPr>
            <w:r>
              <w:rPr>
                <w:spacing w:val="2"/>
                <w:sz w:val="20"/>
                <w:szCs w:val="20"/>
              </w:rPr>
              <w:t>量</w:t>
            </w:r>
            <w:r>
              <w:rPr>
                <w:rFonts w:ascii="Times New Roman" w:hAnsi="Times New Roman" w:eastAsia="Times New Roman" w:cs="Times New Roman"/>
                <w:spacing w:val="2"/>
                <w:sz w:val="20"/>
                <w:szCs w:val="20"/>
              </w:rPr>
              <w:t>/t</w:t>
            </w:r>
          </w:p>
        </w:tc>
        <w:tc>
          <w:tcPr>
            <w:tcW w:w="784" w:type="dxa"/>
            <w:vAlign w:val="top"/>
          </w:tcPr>
          <w:p w14:paraId="65E2255E">
            <w:pPr>
              <w:pStyle w:val="6"/>
              <w:spacing w:before="47" w:line="228" w:lineRule="auto"/>
              <w:ind w:left="190"/>
              <w:rPr>
                <w:sz w:val="20"/>
                <w:szCs w:val="20"/>
              </w:rPr>
            </w:pPr>
            <w:r>
              <w:rPr>
                <w:spacing w:val="4"/>
                <w:sz w:val="20"/>
                <w:szCs w:val="20"/>
              </w:rPr>
              <w:t>物质</w:t>
            </w:r>
          </w:p>
          <w:p w14:paraId="4E6271A5">
            <w:pPr>
              <w:pStyle w:val="6"/>
              <w:spacing w:before="26" w:line="225" w:lineRule="auto"/>
              <w:ind w:left="190"/>
              <w:rPr>
                <w:sz w:val="20"/>
                <w:szCs w:val="20"/>
              </w:rPr>
            </w:pPr>
            <w:r>
              <w:rPr>
                <w:spacing w:val="4"/>
                <w:sz w:val="20"/>
                <w:szCs w:val="20"/>
              </w:rPr>
              <w:t>状态</w:t>
            </w:r>
          </w:p>
        </w:tc>
        <w:tc>
          <w:tcPr>
            <w:tcW w:w="876" w:type="dxa"/>
            <w:vAlign w:val="top"/>
          </w:tcPr>
          <w:p w14:paraId="0DFBEBC0">
            <w:pPr>
              <w:pStyle w:val="6"/>
              <w:spacing w:before="46" w:line="228" w:lineRule="auto"/>
              <w:ind w:left="131"/>
              <w:rPr>
                <w:sz w:val="20"/>
                <w:szCs w:val="20"/>
              </w:rPr>
            </w:pPr>
            <w:r>
              <w:rPr>
                <w:spacing w:val="6"/>
                <w:sz w:val="20"/>
                <w:szCs w:val="20"/>
              </w:rPr>
              <w:t>运输方</w:t>
            </w:r>
          </w:p>
          <w:p w14:paraId="0FA4410B">
            <w:pPr>
              <w:pStyle w:val="6"/>
              <w:spacing w:before="26" w:line="225" w:lineRule="auto"/>
              <w:ind w:left="344"/>
              <w:rPr>
                <w:sz w:val="20"/>
                <w:szCs w:val="20"/>
              </w:rPr>
            </w:pPr>
            <w:r>
              <w:rPr>
                <w:sz w:val="20"/>
                <w:szCs w:val="20"/>
              </w:rPr>
              <w:t>式</w:t>
            </w:r>
          </w:p>
        </w:tc>
        <w:tc>
          <w:tcPr>
            <w:tcW w:w="723" w:type="dxa"/>
            <w:vAlign w:val="top"/>
          </w:tcPr>
          <w:p w14:paraId="4B93D6F6">
            <w:pPr>
              <w:pStyle w:val="6"/>
              <w:spacing w:before="183" w:line="229" w:lineRule="auto"/>
              <w:ind w:left="162"/>
              <w:rPr>
                <w:sz w:val="20"/>
                <w:szCs w:val="20"/>
              </w:rPr>
            </w:pPr>
            <w:r>
              <w:rPr>
                <w:spacing w:val="3"/>
                <w:sz w:val="20"/>
                <w:szCs w:val="20"/>
              </w:rPr>
              <w:t>备注</w:t>
            </w:r>
          </w:p>
        </w:tc>
        <w:tc>
          <w:tcPr>
            <w:tcW w:w="290" w:type="dxa"/>
            <w:vMerge w:val="restart"/>
            <w:tcBorders>
              <w:top w:val="nil"/>
              <w:bottom w:val="nil"/>
            </w:tcBorders>
            <w:vAlign w:val="top"/>
          </w:tcPr>
          <w:p w14:paraId="441BBC61">
            <w:pPr>
              <w:rPr>
                <w:rFonts w:ascii="Arial"/>
                <w:sz w:val="21"/>
              </w:rPr>
            </w:pPr>
          </w:p>
        </w:tc>
      </w:tr>
      <w:tr w14:paraId="1EE9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668924D7">
            <w:pPr>
              <w:rPr>
                <w:rFonts w:ascii="Arial"/>
                <w:sz w:val="21"/>
              </w:rPr>
            </w:pPr>
          </w:p>
        </w:tc>
        <w:tc>
          <w:tcPr>
            <w:tcW w:w="113" w:type="dxa"/>
            <w:tcBorders>
              <w:top w:val="nil"/>
              <w:bottom w:val="nil"/>
            </w:tcBorders>
            <w:vAlign w:val="top"/>
          </w:tcPr>
          <w:p w14:paraId="496BFC1D">
            <w:pPr>
              <w:rPr>
                <w:rFonts w:ascii="Arial"/>
                <w:sz w:val="21"/>
              </w:rPr>
            </w:pPr>
          </w:p>
        </w:tc>
        <w:tc>
          <w:tcPr>
            <w:tcW w:w="494" w:type="dxa"/>
            <w:vAlign w:val="top"/>
          </w:tcPr>
          <w:p w14:paraId="42C93A02">
            <w:pPr>
              <w:spacing w:before="209"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6" w:type="dxa"/>
            <w:vMerge w:val="restart"/>
            <w:tcBorders>
              <w:bottom w:val="nil"/>
            </w:tcBorders>
            <w:vAlign w:val="top"/>
          </w:tcPr>
          <w:p w14:paraId="5F141A04">
            <w:pPr>
              <w:spacing w:line="268" w:lineRule="auto"/>
              <w:rPr>
                <w:rFonts w:ascii="Arial"/>
                <w:sz w:val="21"/>
              </w:rPr>
            </w:pPr>
          </w:p>
          <w:p w14:paraId="0EE38C3A">
            <w:pPr>
              <w:spacing w:line="268" w:lineRule="auto"/>
              <w:rPr>
                <w:rFonts w:ascii="Arial"/>
                <w:sz w:val="21"/>
              </w:rPr>
            </w:pPr>
          </w:p>
          <w:p w14:paraId="1C5AEEB9">
            <w:pPr>
              <w:spacing w:line="269" w:lineRule="auto"/>
              <w:rPr>
                <w:rFonts w:ascii="Arial"/>
                <w:sz w:val="21"/>
              </w:rPr>
            </w:pPr>
          </w:p>
          <w:p w14:paraId="2E05E9F4">
            <w:pPr>
              <w:spacing w:line="269" w:lineRule="auto"/>
              <w:rPr>
                <w:rFonts w:ascii="Arial"/>
                <w:sz w:val="21"/>
              </w:rPr>
            </w:pPr>
          </w:p>
          <w:p w14:paraId="0B96D8F4">
            <w:pPr>
              <w:spacing w:line="269" w:lineRule="auto"/>
              <w:rPr>
                <w:rFonts w:ascii="Arial"/>
                <w:sz w:val="21"/>
              </w:rPr>
            </w:pPr>
          </w:p>
          <w:p w14:paraId="0C2179BC">
            <w:pPr>
              <w:pStyle w:val="6"/>
              <w:spacing w:before="65" w:line="226" w:lineRule="auto"/>
              <w:ind w:left="111"/>
              <w:rPr>
                <w:sz w:val="20"/>
                <w:szCs w:val="20"/>
              </w:rPr>
            </w:pPr>
            <w:r>
              <w:rPr>
                <w:spacing w:val="8"/>
                <w:sz w:val="20"/>
                <w:szCs w:val="20"/>
              </w:rPr>
              <w:t>鄂托克旗建元</w:t>
            </w:r>
          </w:p>
          <w:p w14:paraId="609C31F5">
            <w:pPr>
              <w:pStyle w:val="6"/>
              <w:spacing w:before="26" w:line="227" w:lineRule="auto"/>
              <w:ind w:left="112"/>
              <w:rPr>
                <w:sz w:val="20"/>
                <w:szCs w:val="20"/>
              </w:rPr>
            </w:pPr>
            <w:r>
              <w:rPr>
                <w:spacing w:val="8"/>
                <w:sz w:val="20"/>
                <w:szCs w:val="20"/>
              </w:rPr>
              <w:t>煤化科技有限</w:t>
            </w:r>
          </w:p>
          <w:p w14:paraId="2203EF29">
            <w:pPr>
              <w:pStyle w:val="6"/>
              <w:spacing w:before="27" w:line="225" w:lineRule="auto"/>
              <w:ind w:left="329"/>
              <w:rPr>
                <w:sz w:val="20"/>
                <w:szCs w:val="20"/>
              </w:rPr>
            </w:pPr>
            <w:r>
              <w:rPr>
                <w:spacing w:val="5"/>
                <w:sz w:val="20"/>
                <w:szCs w:val="20"/>
              </w:rPr>
              <w:t>责任公司</w:t>
            </w:r>
          </w:p>
        </w:tc>
        <w:tc>
          <w:tcPr>
            <w:tcW w:w="1384" w:type="dxa"/>
            <w:vAlign w:val="top"/>
          </w:tcPr>
          <w:p w14:paraId="18FDC29C">
            <w:pPr>
              <w:pStyle w:val="6"/>
              <w:spacing w:before="36" w:line="228" w:lineRule="auto"/>
              <w:ind w:left="170"/>
              <w:rPr>
                <w:sz w:val="20"/>
                <w:szCs w:val="20"/>
              </w:rPr>
            </w:pPr>
            <w:r>
              <w:rPr>
                <w:spacing w:val="8"/>
                <w:sz w:val="20"/>
                <w:szCs w:val="20"/>
              </w:rPr>
              <w:t>优等品乙二</w:t>
            </w:r>
          </w:p>
          <w:p w14:paraId="685F6F0C">
            <w:pPr>
              <w:pStyle w:val="6"/>
              <w:spacing w:before="24" w:line="214" w:lineRule="auto"/>
              <w:ind w:left="593"/>
              <w:rPr>
                <w:sz w:val="20"/>
                <w:szCs w:val="20"/>
              </w:rPr>
            </w:pPr>
            <w:r>
              <w:rPr>
                <w:sz w:val="20"/>
                <w:szCs w:val="20"/>
              </w:rPr>
              <w:t>醇</w:t>
            </w:r>
          </w:p>
        </w:tc>
        <w:tc>
          <w:tcPr>
            <w:tcW w:w="1037" w:type="dxa"/>
            <w:vAlign w:val="top"/>
          </w:tcPr>
          <w:p w14:paraId="3EA35A6C">
            <w:pPr>
              <w:spacing w:before="205"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E19D115">
            <w:pPr>
              <w:spacing w:before="209"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248000</w:t>
            </w:r>
          </w:p>
        </w:tc>
        <w:tc>
          <w:tcPr>
            <w:tcW w:w="784" w:type="dxa"/>
            <w:vAlign w:val="top"/>
          </w:tcPr>
          <w:p w14:paraId="7189618A">
            <w:pPr>
              <w:pStyle w:val="6"/>
              <w:spacing w:before="171" w:line="228" w:lineRule="auto"/>
              <w:ind w:left="192"/>
              <w:rPr>
                <w:sz w:val="20"/>
                <w:szCs w:val="20"/>
              </w:rPr>
            </w:pPr>
            <w:r>
              <w:rPr>
                <w:spacing w:val="3"/>
                <w:sz w:val="20"/>
                <w:szCs w:val="20"/>
              </w:rPr>
              <w:t>液态</w:t>
            </w:r>
          </w:p>
        </w:tc>
        <w:tc>
          <w:tcPr>
            <w:tcW w:w="876" w:type="dxa"/>
            <w:vAlign w:val="top"/>
          </w:tcPr>
          <w:p w14:paraId="402A6EC1">
            <w:pPr>
              <w:pStyle w:val="6"/>
              <w:spacing w:before="170" w:line="228" w:lineRule="auto"/>
              <w:ind w:left="238"/>
              <w:rPr>
                <w:sz w:val="20"/>
                <w:szCs w:val="20"/>
              </w:rPr>
            </w:pPr>
            <w:r>
              <w:rPr>
                <w:spacing w:val="3"/>
                <w:sz w:val="20"/>
                <w:szCs w:val="20"/>
              </w:rPr>
              <w:t>罐车</w:t>
            </w:r>
          </w:p>
        </w:tc>
        <w:tc>
          <w:tcPr>
            <w:tcW w:w="723" w:type="dxa"/>
            <w:vAlign w:val="top"/>
          </w:tcPr>
          <w:p w14:paraId="253B8423">
            <w:pPr>
              <w:pStyle w:val="6"/>
              <w:spacing w:before="170"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21602DC">
            <w:pPr>
              <w:rPr>
                <w:rFonts w:ascii="Arial"/>
                <w:sz w:val="21"/>
              </w:rPr>
            </w:pPr>
          </w:p>
        </w:tc>
      </w:tr>
      <w:tr w14:paraId="687AE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0E6A43EF">
            <w:pPr>
              <w:rPr>
                <w:rFonts w:ascii="Arial"/>
                <w:sz w:val="21"/>
              </w:rPr>
            </w:pPr>
          </w:p>
        </w:tc>
        <w:tc>
          <w:tcPr>
            <w:tcW w:w="113" w:type="dxa"/>
            <w:tcBorders>
              <w:top w:val="nil"/>
              <w:bottom w:val="nil"/>
            </w:tcBorders>
            <w:vAlign w:val="top"/>
          </w:tcPr>
          <w:p w14:paraId="2FFBC175">
            <w:pPr>
              <w:rPr>
                <w:rFonts w:ascii="Arial"/>
                <w:sz w:val="21"/>
              </w:rPr>
            </w:pPr>
          </w:p>
        </w:tc>
        <w:tc>
          <w:tcPr>
            <w:tcW w:w="494" w:type="dxa"/>
            <w:vAlign w:val="top"/>
          </w:tcPr>
          <w:p w14:paraId="469F9FD5">
            <w:pPr>
              <w:spacing w:before="208"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6" w:type="dxa"/>
            <w:vMerge w:val="continue"/>
            <w:tcBorders>
              <w:top w:val="nil"/>
              <w:bottom w:val="nil"/>
            </w:tcBorders>
            <w:vAlign w:val="top"/>
          </w:tcPr>
          <w:p w14:paraId="01D2CEB3">
            <w:pPr>
              <w:rPr>
                <w:rFonts w:ascii="Arial"/>
                <w:sz w:val="21"/>
              </w:rPr>
            </w:pPr>
          </w:p>
        </w:tc>
        <w:tc>
          <w:tcPr>
            <w:tcW w:w="1384" w:type="dxa"/>
            <w:vAlign w:val="top"/>
          </w:tcPr>
          <w:p w14:paraId="5E5C86F5">
            <w:pPr>
              <w:pStyle w:val="6"/>
              <w:spacing w:before="35" w:line="228" w:lineRule="auto"/>
              <w:ind w:left="172"/>
              <w:rPr>
                <w:sz w:val="20"/>
                <w:szCs w:val="20"/>
              </w:rPr>
            </w:pPr>
            <w:r>
              <w:rPr>
                <w:spacing w:val="7"/>
                <w:sz w:val="20"/>
                <w:szCs w:val="20"/>
              </w:rPr>
              <w:t>合格品乙二</w:t>
            </w:r>
          </w:p>
          <w:p w14:paraId="1AA2469F">
            <w:pPr>
              <w:pStyle w:val="6"/>
              <w:spacing w:before="24" w:line="215" w:lineRule="auto"/>
              <w:ind w:left="593"/>
              <w:rPr>
                <w:sz w:val="20"/>
                <w:szCs w:val="20"/>
              </w:rPr>
            </w:pPr>
            <w:r>
              <w:rPr>
                <w:sz w:val="20"/>
                <w:szCs w:val="20"/>
              </w:rPr>
              <w:t>醇</w:t>
            </w:r>
          </w:p>
        </w:tc>
        <w:tc>
          <w:tcPr>
            <w:tcW w:w="1037" w:type="dxa"/>
            <w:vAlign w:val="top"/>
          </w:tcPr>
          <w:p w14:paraId="2AB67435">
            <w:pPr>
              <w:spacing w:before="204"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4532734">
            <w:pPr>
              <w:spacing w:before="20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785</w:t>
            </w:r>
          </w:p>
        </w:tc>
        <w:tc>
          <w:tcPr>
            <w:tcW w:w="784" w:type="dxa"/>
            <w:vAlign w:val="top"/>
          </w:tcPr>
          <w:p w14:paraId="360FFBDC">
            <w:pPr>
              <w:pStyle w:val="6"/>
              <w:spacing w:before="170" w:line="228" w:lineRule="auto"/>
              <w:ind w:left="192"/>
              <w:rPr>
                <w:sz w:val="20"/>
                <w:szCs w:val="20"/>
              </w:rPr>
            </w:pPr>
            <w:r>
              <w:rPr>
                <w:spacing w:val="3"/>
                <w:sz w:val="20"/>
                <w:szCs w:val="20"/>
              </w:rPr>
              <w:t>液态</w:t>
            </w:r>
          </w:p>
        </w:tc>
        <w:tc>
          <w:tcPr>
            <w:tcW w:w="876" w:type="dxa"/>
            <w:vAlign w:val="top"/>
          </w:tcPr>
          <w:p w14:paraId="2511101A">
            <w:pPr>
              <w:pStyle w:val="6"/>
              <w:spacing w:before="170" w:line="228" w:lineRule="auto"/>
              <w:ind w:left="238"/>
              <w:rPr>
                <w:sz w:val="20"/>
                <w:szCs w:val="20"/>
              </w:rPr>
            </w:pPr>
            <w:r>
              <w:rPr>
                <w:spacing w:val="3"/>
                <w:sz w:val="20"/>
                <w:szCs w:val="20"/>
              </w:rPr>
              <w:t>罐车</w:t>
            </w:r>
          </w:p>
        </w:tc>
        <w:tc>
          <w:tcPr>
            <w:tcW w:w="723" w:type="dxa"/>
            <w:vAlign w:val="top"/>
          </w:tcPr>
          <w:p w14:paraId="44F39F8D">
            <w:pPr>
              <w:pStyle w:val="6"/>
              <w:spacing w:before="170"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970B938">
            <w:pPr>
              <w:rPr>
                <w:rFonts w:ascii="Arial"/>
                <w:sz w:val="21"/>
              </w:rPr>
            </w:pPr>
          </w:p>
        </w:tc>
      </w:tr>
      <w:tr w14:paraId="4C6C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13D7D7">
            <w:pPr>
              <w:rPr>
                <w:rFonts w:ascii="Arial"/>
                <w:sz w:val="21"/>
              </w:rPr>
            </w:pPr>
          </w:p>
        </w:tc>
        <w:tc>
          <w:tcPr>
            <w:tcW w:w="113" w:type="dxa"/>
            <w:tcBorders>
              <w:top w:val="nil"/>
              <w:bottom w:val="nil"/>
            </w:tcBorders>
            <w:vAlign w:val="top"/>
          </w:tcPr>
          <w:p w14:paraId="2581E680">
            <w:pPr>
              <w:rPr>
                <w:rFonts w:ascii="Arial"/>
                <w:sz w:val="21"/>
              </w:rPr>
            </w:pPr>
          </w:p>
        </w:tc>
        <w:tc>
          <w:tcPr>
            <w:tcW w:w="494" w:type="dxa"/>
            <w:vAlign w:val="top"/>
          </w:tcPr>
          <w:p w14:paraId="3DDB7A74">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6" w:type="dxa"/>
            <w:vMerge w:val="continue"/>
            <w:tcBorders>
              <w:top w:val="nil"/>
              <w:bottom w:val="nil"/>
            </w:tcBorders>
            <w:vAlign w:val="top"/>
          </w:tcPr>
          <w:p w14:paraId="132283C3">
            <w:pPr>
              <w:rPr>
                <w:rFonts w:ascii="Arial"/>
                <w:sz w:val="21"/>
              </w:rPr>
            </w:pPr>
          </w:p>
        </w:tc>
        <w:tc>
          <w:tcPr>
            <w:tcW w:w="1384" w:type="dxa"/>
            <w:vAlign w:val="top"/>
          </w:tcPr>
          <w:p w14:paraId="70DA49E3">
            <w:pPr>
              <w:pStyle w:val="6"/>
              <w:spacing w:before="47" w:line="228" w:lineRule="auto"/>
              <w:ind w:left="171"/>
              <w:rPr>
                <w:sz w:val="20"/>
                <w:szCs w:val="20"/>
              </w:rPr>
            </w:pPr>
            <w:r>
              <w:rPr>
                <w:spacing w:val="8"/>
                <w:sz w:val="20"/>
                <w:szCs w:val="20"/>
              </w:rPr>
              <w:t>碳酸二甲酯</w:t>
            </w:r>
          </w:p>
        </w:tc>
        <w:tc>
          <w:tcPr>
            <w:tcW w:w="1037" w:type="dxa"/>
            <w:vAlign w:val="top"/>
          </w:tcPr>
          <w:p w14:paraId="4A2ACFEF">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00C5DE8">
            <w:pPr>
              <w:spacing w:before="8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7980</w:t>
            </w:r>
          </w:p>
        </w:tc>
        <w:tc>
          <w:tcPr>
            <w:tcW w:w="784" w:type="dxa"/>
            <w:vAlign w:val="top"/>
          </w:tcPr>
          <w:p w14:paraId="3F2DE527">
            <w:pPr>
              <w:pStyle w:val="6"/>
              <w:spacing w:before="47" w:line="228" w:lineRule="auto"/>
              <w:ind w:left="192"/>
              <w:rPr>
                <w:sz w:val="20"/>
                <w:szCs w:val="20"/>
              </w:rPr>
            </w:pPr>
            <w:r>
              <w:rPr>
                <w:spacing w:val="3"/>
                <w:sz w:val="20"/>
                <w:szCs w:val="20"/>
              </w:rPr>
              <w:t>液态</w:t>
            </w:r>
          </w:p>
        </w:tc>
        <w:tc>
          <w:tcPr>
            <w:tcW w:w="876" w:type="dxa"/>
            <w:vAlign w:val="top"/>
          </w:tcPr>
          <w:p w14:paraId="51484741">
            <w:pPr>
              <w:pStyle w:val="6"/>
              <w:spacing w:before="47" w:line="228" w:lineRule="auto"/>
              <w:ind w:left="238"/>
              <w:rPr>
                <w:sz w:val="20"/>
                <w:szCs w:val="20"/>
              </w:rPr>
            </w:pPr>
            <w:r>
              <w:rPr>
                <w:spacing w:val="3"/>
                <w:sz w:val="20"/>
                <w:szCs w:val="20"/>
              </w:rPr>
              <w:t>罐车</w:t>
            </w:r>
          </w:p>
        </w:tc>
        <w:tc>
          <w:tcPr>
            <w:tcW w:w="723" w:type="dxa"/>
            <w:vAlign w:val="top"/>
          </w:tcPr>
          <w:p w14:paraId="38E7FC6A">
            <w:pPr>
              <w:pStyle w:val="6"/>
              <w:spacing w:before="47"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ED27A0E">
            <w:pPr>
              <w:rPr>
                <w:rFonts w:ascii="Arial"/>
                <w:sz w:val="21"/>
              </w:rPr>
            </w:pPr>
          </w:p>
        </w:tc>
      </w:tr>
      <w:tr w14:paraId="0888E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5E5FC65">
            <w:pPr>
              <w:rPr>
                <w:rFonts w:ascii="Arial"/>
                <w:sz w:val="21"/>
              </w:rPr>
            </w:pPr>
          </w:p>
        </w:tc>
        <w:tc>
          <w:tcPr>
            <w:tcW w:w="113" w:type="dxa"/>
            <w:tcBorders>
              <w:top w:val="nil"/>
              <w:bottom w:val="nil"/>
            </w:tcBorders>
            <w:vAlign w:val="top"/>
          </w:tcPr>
          <w:p w14:paraId="2D130C8D">
            <w:pPr>
              <w:rPr>
                <w:rFonts w:ascii="Arial"/>
                <w:sz w:val="21"/>
              </w:rPr>
            </w:pPr>
          </w:p>
        </w:tc>
        <w:tc>
          <w:tcPr>
            <w:tcW w:w="494" w:type="dxa"/>
            <w:vAlign w:val="top"/>
          </w:tcPr>
          <w:p w14:paraId="4BF3B999">
            <w:pPr>
              <w:spacing w:before="85"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76" w:type="dxa"/>
            <w:vMerge w:val="continue"/>
            <w:tcBorders>
              <w:top w:val="nil"/>
              <w:bottom w:val="nil"/>
            </w:tcBorders>
            <w:vAlign w:val="top"/>
          </w:tcPr>
          <w:p w14:paraId="10337335">
            <w:pPr>
              <w:rPr>
                <w:rFonts w:ascii="Arial"/>
                <w:sz w:val="21"/>
              </w:rPr>
            </w:pPr>
          </w:p>
        </w:tc>
        <w:tc>
          <w:tcPr>
            <w:tcW w:w="1384" w:type="dxa"/>
            <w:vAlign w:val="top"/>
          </w:tcPr>
          <w:p w14:paraId="733C75B9">
            <w:pPr>
              <w:pStyle w:val="6"/>
              <w:spacing w:before="49" w:line="227" w:lineRule="auto"/>
              <w:ind w:left="382"/>
              <w:rPr>
                <w:sz w:val="20"/>
                <w:szCs w:val="20"/>
              </w:rPr>
            </w:pPr>
            <w:r>
              <w:rPr>
                <w:spacing w:val="6"/>
                <w:sz w:val="20"/>
                <w:szCs w:val="20"/>
              </w:rPr>
              <w:t>粗乙醇</w:t>
            </w:r>
          </w:p>
        </w:tc>
        <w:tc>
          <w:tcPr>
            <w:tcW w:w="1037" w:type="dxa"/>
            <w:vAlign w:val="top"/>
          </w:tcPr>
          <w:p w14:paraId="05C3DF14">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132277D">
            <w:pPr>
              <w:spacing w:before="85"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6270</w:t>
            </w:r>
          </w:p>
        </w:tc>
        <w:tc>
          <w:tcPr>
            <w:tcW w:w="784" w:type="dxa"/>
            <w:vAlign w:val="top"/>
          </w:tcPr>
          <w:p w14:paraId="2585B61E">
            <w:pPr>
              <w:pStyle w:val="6"/>
              <w:spacing w:before="49" w:line="227" w:lineRule="auto"/>
              <w:ind w:left="192"/>
              <w:rPr>
                <w:sz w:val="20"/>
                <w:szCs w:val="20"/>
              </w:rPr>
            </w:pPr>
            <w:r>
              <w:rPr>
                <w:spacing w:val="3"/>
                <w:sz w:val="20"/>
                <w:szCs w:val="20"/>
              </w:rPr>
              <w:t>液态</w:t>
            </w:r>
          </w:p>
        </w:tc>
        <w:tc>
          <w:tcPr>
            <w:tcW w:w="876" w:type="dxa"/>
            <w:vAlign w:val="top"/>
          </w:tcPr>
          <w:p w14:paraId="2E5F2108">
            <w:pPr>
              <w:pStyle w:val="6"/>
              <w:spacing w:before="49" w:line="227" w:lineRule="auto"/>
              <w:ind w:left="238"/>
              <w:rPr>
                <w:sz w:val="20"/>
                <w:szCs w:val="20"/>
              </w:rPr>
            </w:pPr>
            <w:r>
              <w:rPr>
                <w:spacing w:val="3"/>
                <w:sz w:val="20"/>
                <w:szCs w:val="20"/>
              </w:rPr>
              <w:t>罐车</w:t>
            </w:r>
          </w:p>
        </w:tc>
        <w:tc>
          <w:tcPr>
            <w:tcW w:w="723" w:type="dxa"/>
            <w:vAlign w:val="top"/>
          </w:tcPr>
          <w:p w14:paraId="4906CADE">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3F3EC9A5">
            <w:pPr>
              <w:rPr>
                <w:rFonts w:ascii="Arial"/>
                <w:sz w:val="21"/>
              </w:rPr>
            </w:pPr>
          </w:p>
        </w:tc>
      </w:tr>
      <w:tr w14:paraId="78D3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324146C">
            <w:pPr>
              <w:rPr>
                <w:rFonts w:ascii="Arial"/>
                <w:sz w:val="21"/>
              </w:rPr>
            </w:pPr>
          </w:p>
        </w:tc>
        <w:tc>
          <w:tcPr>
            <w:tcW w:w="113" w:type="dxa"/>
            <w:tcBorders>
              <w:top w:val="nil"/>
              <w:bottom w:val="nil"/>
            </w:tcBorders>
            <w:vAlign w:val="top"/>
          </w:tcPr>
          <w:p w14:paraId="46A1F45B">
            <w:pPr>
              <w:rPr>
                <w:rFonts w:ascii="Arial"/>
                <w:sz w:val="21"/>
              </w:rPr>
            </w:pPr>
          </w:p>
        </w:tc>
        <w:tc>
          <w:tcPr>
            <w:tcW w:w="494" w:type="dxa"/>
            <w:vAlign w:val="top"/>
          </w:tcPr>
          <w:p w14:paraId="779457F7">
            <w:pPr>
              <w:spacing w:before="87" w:line="192"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6" w:type="dxa"/>
            <w:vMerge w:val="continue"/>
            <w:tcBorders>
              <w:top w:val="nil"/>
              <w:bottom w:val="nil"/>
            </w:tcBorders>
            <w:vAlign w:val="top"/>
          </w:tcPr>
          <w:p w14:paraId="5331EB57">
            <w:pPr>
              <w:rPr>
                <w:rFonts w:ascii="Arial"/>
                <w:sz w:val="21"/>
              </w:rPr>
            </w:pPr>
          </w:p>
        </w:tc>
        <w:tc>
          <w:tcPr>
            <w:tcW w:w="1384" w:type="dxa"/>
            <w:vAlign w:val="top"/>
          </w:tcPr>
          <w:p w14:paraId="5631393D">
            <w:pPr>
              <w:pStyle w:val="6"/>
              <w:spacing w:before="49" w:line="227" w:lineRule="auto"/>
              <w:ind w:left="385"/>
              <w:rPr>
                <w:sz w:val="20"/>
                <w:szCs w:val="20"/>
              </w:rPr>
            </w:pPr>
            <w:r>
              <w:rPr>
                <w:spacing w:val="6"/>
                <w:sz w:val="20"/>
                <w:szCs w:val="20"/>
              </w:rPr>
              <w:t>混合醇</w:t>
            </w:r>
          </w:p>
        </w:tc>
        <w:tc>
          <w:tcPr>
            <w:tcW w:w="1037" w:type="dxa"/>
            <w:vAlign w:val="top"/>
          </w:tcPr>
          <w:p w14:paraId="2FF02DB5">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371F234A">
            <w:pPr>
              <w:spacing w:before="8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6130</w:t>
            </w:r>
          </w:p>
        </w:tc>
        <w:tc>
          <w:tcPr>
            <w:tcW w:w="784" w:type="dxa"/>
            <w:vAlign w:val="top"/>
          </w:tcPr>
          <w:p w14:paraId="4A9D7CF8">
            <w:pPr>
              <w:pStyle w:val="6"/>
              <w:spacing w:before="49" w:line="227" w:lineRule="auto"/>
              <w:ind w:left="192"/>
              <w:rPr>
                <w:sz w:val="20"/>
                <w:szCs w:val="20"/>
              </w:rPr>
            </w:pPr>
            <w:r>
              <w:rPr>
                <w:spacing w:val="3"/>
                <w:sz w:val="20"/>
                <w:szCs w:val="20"/>
              </w:rPr>
              <w:t>液态</w:t>
            </w:r>
          </w:p>
        </w:tc>
        <w:tc>
          <w:tcPr>
            <w:tcW w:w="876" w:type="dxa"/>
            <w:vAlign w:val="top"/>
          </w:tcPr>
          <w:p w14:paraId="4B714DF5">
            <w:pPr>
              <w:pStyle w:val="6"/>
              <w:spacing w:before="49" w:line="227" w:lineRule="auto"/>
              <w:ind w:left="238"/>
              <w:rPr>
                <w:sz w:val="20"/>
                <w:szCs w:val="20"/>
              </w:rPr>
            </w:pPr>
            <w:r>
              <w:rPr>
                <w:spacing w:val="3"/>
                <w:sz w:val="20"/>
                <w:szCs w:val="20"/>
              </w:rPr>
              <w:t>罐车</w:t>
            </w:r>
          </w:p>
        </w:tc>
        <w:tc>
          <w:tcPr>
            <w:tcW w:w="723" w:type="dxa"/>
            <w:vAlign w:val="top"/>
          </w:tcPr>
          <w:p w14:paraId="1562063A">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013CF1BD">
            <w:pPr>
              <w:rPr>
                <w:rFonts w:ascii="Arial"/>
                <w:sz w:val="21"/>
              </w:rPr>
            </w:pPr>
          </w:p>
        </w:tc>
      </w:tr>
      <w:tr w14:paraId="6BD2D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003B810">
            <w:pPr>
              <w:rPr>
                <w:rFonts w:ascii="Arial"/>
                <w:sz w:val="21"/>
              </w:rPr>
            </w:pPr>
          </w:p>
        </w:tc>
        <w:tc>
          <w:tcPr>
            <w:tcW w:w="113" w:type="dxa"/>
            <w:tcBorders>
              <w:top w:val="nil"/>
              <w:bottom w:val="nil"/>
            </w:tcBorders>
            <w:vAlign w:val="top"/>
          </w:tcPr>
          <w:p w14:paraId="4796494F">
            <w:pPr>
              <w:rPr>
                <w:rFonts w:ascii="Arial"/>
                <w:sz w:val="21"/>
              </w:rPr>
            </w:pPr>
          </w:p>
        </w:tc>
        <w:tc>
          <w:tcPr>
            <w:tcW w:w="494" w:type="dxa"/>
            <w:vAlign w:val="top"/>
          </w:tcPr>
          <w:p w14:paraId="60378E44">
            <w:pPr>
              <w:spacing w:before="84"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76" w:type="dxa"/>
            <w:vMerge w:val="continue"/>
            <w:tcBorders>
              <w:top w:val="nil"/>
              <w:bottom w:val="nil"/>
            </w:tcBorders>
            <w:vAlign w:val="top"/>
          </w:tcPr>
          <w:p w14:paraId="64D23166">
            <w:pPr>
              <w:rPr>
                <w:rFonts w:ascii="Arial"/>
                <w:sz w:val="21"/>
              </w:rPr>
            </w:pPr>
          </w:p>
        </w:tc>
        <w:tc>
          <w:tcPr>
            <w:tcW w:w="1384" w:type="dxa"/>
            <w:vAlign w:val="top"/>
          </w:tcPr>
          <w:p w14:paraId="0E3D3B84">
            <w:pPr>
              <w:pStyle w:val="6"/>
              <w:spacing w:before="49" w:line="227" w:lineRule="auto"/>
              <w:ind w:left="392"/>
              <w:rPr>
                <w:sz w:val="20"/>
                <w:szCs w:val="20"/>
              </w:rPr>
            </w:pPr>
            <w:r>
              <w:rPr>
                <w:spacing w:val="3"/>
                <w:sz w:val="20"/>
                <w:szCs w:val="20"/>
              </w:rPr>
              <w:t>多元醇</w:t>
            </w:r>
          </w:p>
        </w:tc>
        <w:tc>
          <w:tcPr>
            <w:tcW w:w="1037" w:type="dxa"/>
            <w:vAlign w:val="top"/>
          </w:tcPr>
          <w:p w14:paraId="2EB03757">
            <w:pPr>
              <w:spacing w:before="8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A8EBA1A">
            <w:pPr>
              <w:spacing w:before="8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3980</w:t>
            </w:r>
          </w:p>
        </w:tc>
        <w:tc>
          <w:tcPr>
            <w:tcW w:w="784" w:type="dxa"/>
            <w:vAlign w:val="top"/>
          </w:tcPr>
          <w:p w14:paraId="5D60998B">
            <w:pPr>
              <w:pStyle w:val="6"/>
              <w:spacing w:before="49" w:line="227" w:lineRule="auto"/>
              <w:ind w:left="192"/>
              <w:rPr>
                <w:sz w:val="20"/>
                <w:szCs w:val="20"/>
              </w:rPr>
            </w:pPr>
            <w:r>
              <w:rPr>
                <w:spacing w:val="3"/>
                <w:sz w:val="20"/>
                <w:szCs w:val="20"/>
              </w:rPr>
              <w:t>液态</w:t>
            </w:r>
          </w:p>
        </w:tc>
        <w:tc>
          <w:tcPr>
            <w:tcW w:w="876" w:type="dxa"/>
            <w:vAlign w:val="top"/>
          </w:tcPr>
          <w:p w14:paraId="2884F850">
            <w:pPr>
              <w:pStyle w:val="6"/>
              <w:spacing w:before="49" w:line="227" w:lineRule="auto"/>
              <w:ind w:left="238"/>
              <w:rPr>
                <w:sz w:val="20"/>
                <w:szCs w:val="20"/>
              </w:rPr>
            </w:pPr>
            <w:r>
              <w:rPr>
                <w:spacing w:val="3"/>
                <w:sz w:val="20"/>
                <w:szCs w:val="20"/>
              </w:rPr>
              <w:t>罐车</w:t>
            </w:r>
          </w:p>
        </w:tc>
        <w:tc>
          <w:tcPr>
            <w:tcW w:w="723" w:type="dxa"/>
            <w:vAlign w:val="top"/>
          </w:tcPr>
          <w:p w14:paraId="16FA2741">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711ABB12">
            <w:pPr>
              <w:rPr>
                <w:rFonts w:ascii="Arial"/>
                <w:sz w:val="21"/>
              </w:rPr>
            </w:pPr>
          </w:p>
        </w:tc>
      </w:tr>
      <w:tr w14:paraId="37B9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F156FC">
            <w:pPr>
              <w:rPr>
                <w:rFonts w:ascii="Arial"/>
                <w:sz w:val="21"/>
              </w:rPr>
            </w:pPr>
          </w:p>
        </w:tc>
        <w:tc>
          <w:tcPr>
            <w:tcW w:w="113" w:type="dxa"/>
            <w:tcBorders>
              <w:top w:val="nil"/>
              <w:bottom w:val="nil"/>
            </w:tcBorders>
            <w:vAlign w:val="top"/>
          </w:tcPr>
          <w:p w14:paraId="7BB62A25">
            <w:pPr>
              <w:rPr>
                <w:rFonts w:ascii="Arial"/>
                <w:sz w:val="21"/>
              </w:rPr>
            </w:pPr>
          </w:p>
        </w:tc>
        <w:tc>
          <w:tcPr>
            <w:tcW w:w="494" w:type="dxa"/>
            <w:vAlign w:val="top"/>
          </w:tcPr>
          <w:p w14:paraId="5AFC87F7">
            <w:pPr>
              <w:spacing w:before="87" w:line="192"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76" w:type="dxa"/>
            <w:vMerge w:val="continue"/>
            <w:tcBorders>
              <w:top w:val="nil"/>
              <w:bottom w:val="nil"/>
            </w:tcBorders>
            <w:vAlign w:val="top"/>
          </w:tcPr>
          <w:p w14:paraId="115C3524">
            <w:pPr>
              <w:rPr>
                <w:rFonts w:ascii="Arial"/>
                <w:sz w:val="21"/>
              </w:rPr>
            </w:pPr>
          </w:p>
        </w:tc>
        <w:tc>
          <w:tcPr>
            <w:tcW w:w="1384" w:type="dxa"/>
            <w:vAlign w:val="top"/>
          </w:tcPr>
          <w:p w14:paraId="2B968B14">
            <w:pPr>
              <w:pStyle w:val="6"/>
              <w:spacing w:before="48" w:line="228" w:lineRule="auto"/>
              <w:ind w:left="512"/>
              <w:rPr>
                <w:sz w:val="20"/>
                <w:szCs w:val="20"/>
              </w:rPr>
            </w:pPr>
            <w:r>
              <w:rPr>
                <w:spacing w:val="-9"/>
                <w:sz w:val="20"/>
                <w:szCs w:val="20"/>
              </w:rPr>
              <w:t>甲醇</w:t>
            </w:r>
          </w:p>
        </w:tc>
        <w:tc>
          <w:tcPr>
            <w:tcW w:w="1037" w:type="dxa"/>
            <w:vAlign w:val="top"/>
          </w:tcPr>
          <w:p w14:paraId="788940BC">
            <w:pPr>
              <w:spacing w:before="8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8960</w:t>
            </w:r>
          </w:p>
        </w:tc>
        <w:tc>
          <w:tcPr>
            <w:tcW w:w="992" w:type="dxa"/>
            <w:vAlign w:val="top"/>
          </w:tcPr>
          <w:p w14:paraId="216B7392">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A2A8FCA">
            <w:pPr>
              <w:pStyle w:val="6"/>
              <w:spacing w:before="48" w:line="228" w:lineRule="auto"/>
              <w:ind w:left="192"/>
              <w:rPr>
                <w:sz w:val="20"/>
                <w:szCs w:val="20"/>
              </w:rPr>
            </w:pPr>
            <w:r>
              <w:rPr>
                <w:spacing w:val="3"/>
                <w:sz w:val="20"/>
                <w:szCs w:val="20"/>
              </w:rPr>
              <w:t>液态</w:t>
            </w:r>
          </w:p>
        </w:tc>
        <w:tc>
          <w:tcPr>
            <w:tcW w:w="876" w:type="dxa"/>
            <w:vAlign w:val="top"/>
          </w:tcPr>
          <w:p w14:paraId="6A888A68">
            <w:pPr>
              <w:pStyle w:val="6"/>
              <w:spacing w:before="47" w:line="228" w:lineRule="auto"/>
              <w:ind w:left="238"/>
              <w:rPr>
                <w:sz w:val="20"/>
                <w:szCs w:val="20"/>
              </w:rPr>
            </w:pPr>
            <w:r>
              <w:rPr>
                <w:spacing w:val="3"/>
                <w:sz w:val="20"/>
                <w:szCs w:val="20"/>
              </w:rPr>
              <w:t>罐车</w:t>
            </w:r>
          </w:p>
        </w:tc>
        <w:tc>
          <w:tcPr>
            <w:tcW w:w="723" w:type="dxa"/>
            <w:vAlign w:val="top"/>
          </w:tcPr>
          <w:p w14:paraId="2ABAB0B8">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DBE0921">
            <w:pPr>
              <w:rPr>
                <w:rFonts w:ascii="Arial"/>
                <w:sz w:val="21"/>
              </w:rPr>
            </w:pPr>
          </w:p>
        </w:tc>
      </w:tr>
      <w:tr w14:paraId="638C1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28CDF6">
            <w:pPr>
              <w:rPr>
                <w:rFonts w:ascii="Arial"/>
                <w:sz w:val="21"/>
              </w:rPr>
            </w:pPr>
          </w:p>
        </w:tc>
        <w:tc>
          <w:tcPr>
            <w:tcW w:w="113" w:type="dxa"/>
            <w:tcBorders>
              <w:top w:val="nil"/>
              <w:bottom w:val="nil"/>
            </w:tcBorders>
            <w:vAlign w:val="top"/>
          </w:tcPr>
          <w:p w14:paraId="02E109A5">
            <w:pPr>
              <w:rPr>
                <w:rFonts w:ascii="Arial"/>
                <w:sz w:val="21"/>
              </w:rPr>
            </w:pPr>
          </w:p>
        </w:tc>
        <w:tc>
          <w:tcPr>
            <w:tcW w:w="494" w:type="dxa"/>
            <w:vAlign w:val="top"/>
          </w:tcPr>
          <w:p w14:paraId="55CF72E4">
            <w:pPr>
              <w:spacing w:before="86"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76" w:type="dxa"/>
            <w:vMerge w:val="continue"/>
            <w:tcBorders>
              <w:top w:val="nil"/>
              <w:bottom w:val="nil"/>
            </w:tcBorders>
            <w:vAlign w:val="top"/>
          </w:tcPr>
          <w:p w14:paraId="2259B8B1">
            <w:pPr>
              <w:rPr>
                <w:rFonts w:ascii="Arial"/>
                <w:sz w:val="21"/>
              </w:rPr>
            </w:pPr>
          </w:p>
        </w:tc>
        <w:tc>
          <w:tcPr>
            <w:tcW w:w="1384" w:type="dxa"/>
            <w:vAlign w:val="top"/>
          </w:tcPr>
          <w:p w14:paraId="23F7456F">
            <w:pPr>
              <w:pStyle w:val="6"/>
              <w:spacing w:before="48" w:line="228" w:lineRule="auto"/>
              <w:ind w:left="487"/>
              <w:rPr>
                <w:sz w:val="20"/>
                <w:szCs w:val="20"/>
              </w:rPr>
            </w:pPr>
            <w:r>
              <w:rPr>
                <w:spacing w:val="3"/>
                <w:sz w:val="20"/>
                <w:szCs w:val="20"/>
              </w:rPr>
              <w:t>硝酸</w:t>
            </w:r>
          </w:p>
        </w:tc>
        <w:tc>
          <w:tcPr>
            <w:tcW w:w="1037" w:type="dxa"/>
            <w:vAlign w:val="top"/>
          </w:tcPr>
          <w:p w14:paraId="00C06976">
            <w:pPr>
              <w:spacing w:before="86"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4160</w:t>
            </w:r>
          </w:p>
        </w:tc>
        <w:tc>
          <w:tcPr>
            <w:tcW w:w="992" w:type="dxa"/>
            <w:vAlign w:val="top"/>
          </w:tcPr>
          <w:p w14:paraId="68AFDE2E">
            <w:pPr>
              <w:spacing w:before="8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012A41E">
            <w:pPr>
              <w:pStyle w:val="6"/>
              <w:spacing w:before="48" w:line="228" w:lineRule="auto"/>
              <w:ind w:left="192"/>
              <w:rPr>
                <w:sz w:val="20"/>
                <w:szCs w:val="20"/>
              </w:rPr>
            </w:pPr>
            <w:r>
              <w:rPr>
                <w:spacing w:val="3"/>
                <w:sz w:val="20"/>
                <w:szCs w:val="20"/>
              </w:rPr>
              <w:t>液态</w:t>
            </w:r>
          </w:p>
        </w:tc>
        <w:tc>
          <w:tcPr>
            <w:tcW w:w="876" w:type="dxa"/>
            <w:vAlign w:val="top"/>
          </w:tcPr>
          <w:p w14:paraId="5AC030B6">
            <w:pPr>
              <w:pStyle w:val="6"/>
              <w:spacing w:before="47" w:line="228" w:lineRule="auto"/>
              <w:ind w:left="238"/>
              <w:rPr>
                <w:sz w:val="20"/>
                <w:szCs w:val="20"/>
              </w:rPr>
            </w:pPr>
            <w:r>
              <w:rPr>
                <w:spacing w:val="3"/>
                <w:sz w:val="20"/>
                <w:szCs w:val="20"/>
              </w:rPr>
              <w:t>罐车</w:t>
            </w:r>
          </w:p>
        </w:tc>
        <w:tc>
          <w:tcPr>
            <w:tcW w:w="723" w:type="dxa"/>
            <w:vAlign w:val="top"/>
          </w:tcPr>
          <w:p w14:paraId="40EAF111">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3C0573A">
            <w:pPr>
              <w:rPr>
                <w:rFonts w:ascii="Arial"/>
                <w:sz w:val="21"/>
              </w:rPr>
            </w:pPr>
          </w:p>
        </w:tc>
      </w:tr>
      <w:tr w14:paraId="78A13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4E6BAEE">
            <w:pPr>
              <w:rPr>
                <w:rFonts w:ascii="Arial"/>
                <w:sz w:val="21"/>
              </w:rPr>
            </w:pPr>
          </w:p>
        </w:tc>
        <w:tc>
          <w:tcPr>
            <w:tcW w:w="113" w:type="dxa"/>
            <w:tcBorders>
              <w:top w:val="nil"/>
              <w:bottom w:val="nil"/>
            </w:tcBorders>
            <w:vAlign w:val="top"/>
          </w:tcPr>
          <w:p w14:paraId="0188C50D">
            <w:pPr>
              <w:rPr>
                <w:rFonts w:ascii="Arial"/>
                <w:sz w:val="21"/>
              </w:rPr>
            </w:pPr>
          </w:p>
        </w:tc>
        <w:tc>
          <w:tcPr>
            <w:tcW w:w="494" w:type="dxa"/>
            <w:vAlign w:val="top"/>
          </w:tcPr>
          <w:p w14:paraId="7C1905B8">
            <w:pPr>
              <w:spacing w:before="8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76" w:type="dxa"/>
            <w:vMerge w:val="continue"/>
            <w:tcBorders>
              <w:top w:val="nil"/>
              <w:bottom w:val="nil"/>
            </w:tcBorders>
            <w:vAlign w:val="top"/>
          </w:tcPr>
          <w:p w14:paraId="00DE22B5">
            <w:pPr>
              <w:rPr>
                <w:rFonts w:ascii="Arial"/>
                <w:sz w:val="21"/>
              </w:rPr>
            </w:pPr>
          </w:p>
        </w:tc>
        <w:tc>
          <w:tcPr>
            <w:tcW w:w="1384" w:type="dxa"/>
            <w:vAlign w:val="top"/>
          </w:tcPr>
          <w:p w14:paraId="169E95A5">
            <w:pPr>
              <w:pStyle w:val="6"/>
              <w:spacing w:before="47" w:line="228" w:lineRule="auto"/>
              <w:ind w:left="484"/>
              <w:rPr>
                <w:sz w:val="20"/>
                <w:szCs w:val="20"/>
              </w:rPr>
            </w:pPr>
            <w:r>
              <w:rPr>
                <w:spacing w:val="5"/>
                <w:sz w:val="20"/>
                <w:szCs w:val="20"/>
              </w:rPr>
              <w:t>胺液</w:t>
            </w:r>
          </w:p>
        </w:tc>
        <w:tc>
          <w:tcPr>
            <w:tcW w:w="1037" w:type="dxa"/>
            <w:vAlign w:val="top"/>
          </w:tcPr>
          <w:p w14:paraId="69DAC6E5">
            <w:pPr>
              <w:spacing w:before="8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992" w:type="dxa"/>
            <w:vAlign w:val="top"/>
          </w:tcPr>
          <w:p w14:paraId="2FC367D0">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CBA6B5C">
            <w:pPr>
              <w:pStyle w:val="6"/>
              <w:spacing w:before="47" w:line="228" w:lineRule="auto"/>
              <w:ind w:left="192"/>
              <w:rPr>
                <w:sz w:val="20"/>
                <w:szCs w:val="20"/>
              </w:rPr>
            </w:pPr>
            <w:r>
              <w:rPr>
                <w:spacing w:val="3"/>
                <w:sz w:val="20"/>
                <w:szCs w:val="20"/>
              </w:rPr>
              <w:t>液态</w:t>
            </w:r>
          </w:p>
        </w:tc>
        <w:tc>
          <w:tcPr>
            <w:tcW w:w="876" w:type="dxa"/>
            <w:vAlign w:val="top"/>
          </w:tcPr>
          <w:p w14:paraId="576D109B">
            <w:pPr>
              <w:pStyle w:val="6"/>
              <w:spacing w:before="47" w:line="228" w:lineRule="auto"/>
              <w:ind w:left="238"/>
              <w:rPr>
                <w:sz w:val="20"/>
                <w:szCs w:val="20"/>
              </w:rPr>
            </w:pPr>
            <w:r>
              <w:rPr>
                <w:spacing w:val="3"/>
                <w:sz w:val="20"/>
                <w:szCs w:val="20"/>
              </w:rPr>
              <w:t>罐车</w:t>
            </w:r>
          </w:p>
        </w:tc>
        <w:tc>
          <w:tcPr>
            <w:tcW w:w="723" w:type="dxa"/>
            <w:vAlign w:val="top"/>
          </w:tcPr>
          <w:p w14:paraId="2430B59D">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35C9F44">
            <w:pPr>
              <w:rPr>
                <w:rFonts w:ascii="Arial"/>
                <w:sz w:val="21"/>
              </w:rPr>
            </w:pPr>
          </w:p>
        </w:tc>
      </w:tr>
      <w:tr w14:paraId="69B54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56" w:type="dxa"/>
            <w:vMerge w:val="continue"/>
            <w:tcBorders>
              <w:top w:val="nil"/>
            </w:tcBorders>
            <w:vAlign w:val="top"/>
          </w:tcPr>
          <w:p w14:paraId="046A920C">
            <w:pPr>
              <w:rPr>
                <w:rFonts w:ascii="Arial"/>
                <w:sz w:val="21"/>
              </w:rPr>
            </w:pPr>
          </w:p>
        </w:tc>
        <w:tc>
          <w:tcPr>
            <w:tcW w:w="113" w:type="dxa"/>
            <w:tcBorders>
              <w:top w:val="nil"/>
            </w:tcBorders>
            <w:vAlign w:val="top"/>
          </w:tcPr>
          <w:p w14:paraId="16140FD1">
            <w:pPr>
              <w:rPr>
                <w:rFonts w:ascii="Arial"/>
                <w:sz w:val="21"/>
              </w:rPr>
            </w:pPr>
          </w:p>
        </w:tc>
        <w:tc>
          <w:tcPr>
            <w:tcW w:w="494" w:type="dxa"/>
            <w:vAlign w:val="top"/>
          </w:tcPr>
          <w:p w14:paraId="3A580111">
            <w:pPr>
              <w:spacing w:before="8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76" w:type="dxa"/>
            <w:vMerge w:val="continue"/>
            <w:tcBorders>
              <w:top w:val="nil"/>
            </w:tcBorders>
            <w:vAlign w:val="top"/>
          </w:tcPr>
          <w:p w14:paraId="058FDCF2">
            <w:pPr>
              <w:rPr>
                <w:rFonts w:ascii="Arial"/>
                <w:sz w:val="21"/>
              </w:rPr>
            </w:pPr>
          </w:p>
        </w:tc>
        <w:tc>
          <w:tcPr>
            <w:tcW w:w="1384" w:type="dxa"/>
            <w:vAlign w:val="top"/>
          </w:tcPr>
          <w:p w14:paraId="3069BEB4">
            <w:pPr>
              <w:pStyle w:val="6"/>
              <w:spacing w:before="49" w:line="226" w:lineRule="auto"/>
              <w:ind w:left="276"/>
              <w:rPr>
                <w:sz w:val="20"/>
                <w:szCs w:val="20"/>
              </w:rPr>
            </w:pPr>
            <w:r>
              <w:rPr>
                <w:spacing w:val="7"/>
                <w:sz w:val="20"/>
                <w:szCs w:val="20"/>
              </w:rPr>
              <w:t>氢氧化钠</w:t>
            </w:r>
          </w:p>
        </w:tc>
        <w:tc>
          <w:tcPr>
            <w:tcW w:w="1037" w:type="dxa"/>
            <w:vAlign w:val="top"/>
          </w:tcPr>
          <w:p w14:paraId="6455BE13">
            <w:pPr>
              <w:spacing w:before="85"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49E7007D">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77159BD">
            <w:pPr>
              <w:pStyle w:val="6"/>
              <w:spacing w:before="49" w:line="228" w:lineRule="auto"/>
              <w:ind w:left="208"/>
              <w:rPr>
                <w:sz w:val="20"/>
                <w:szCs w:val="20"/>
              </w:rPr>
            </w:pPr>
            <w:r>
              <w:rPr>
                <w:spacing w:val="-5"/>
                <w:sz w:val="20"/>
                <w:szCs w:val="20"/>
              </w:rPr>
              <w:t>固态</w:t>
            </w:r>
          </w:p>
        </w:tc>
        <w:tc>
          <w:tcPr>
            <w:tcW w:w="876" w:type="dxa"/>
            <w:vAlign w:val="top"/>
          </w:tcPr>
          <w:p w14:paraId="2C37E0B0">
            <w:pPr>
              <w:pStyle w:val="6"/>
              <w:spacing w:before="49" w:line="227" w:lineRule="auto"/>
              <w:ind w:left="131"/>
              <w:rPr>
                <w:sz w:val="20"/>
                <w:szCs w:val="20"/>
              </w:rPr>
            </w:pPr>
            <w:r>
              <w:rPr>
                <w:spacing w:val="6"/>
                <w:sz w:val="20"/>
                <w:szCs w:val="20"/>
              </w:rPr>
              <w:t>厢式车</w:t>
            </w:r>
          </w:p>
        </w:tc>
        <w:tc>
          <w:tcPr>
            <w:tcW w:w="723" w:type="dxa"/>
            <w:vAlign w:val="top"/>
          </w:tcPr>
          <w:p w14:paraId="5E48CE1B">
            <w:pPr>
              <w:pStyle w:val="6"/>
              <w:spacing w:before="49" w:line="228" w:lineRule="auto"/>
              <w:ind w:left="164"/>
              <w:rPr>
                <w:sz w:val="20"/>
                <w:szCs w:val="20"/>
              </w:rPr>
            </w:pPr>
            <w:r>
              <w:rPr>
                <w:spacing w:val="2"/>
                <w:sz w:val="20"/>
                <w:szCs w:val="20"/>
              </w:rPr>
              <w:t>原料</w:t>
            </w:r>
          </w:p>
        </w:tc>
        <w:tc>
          <w:tcPr>
            <w:tcW w:w="290" w:type="dxa"/>
            <w:vMerge w:val="continue"/>
            <w:tcBorders>
              <w:top w:val="nil"/>
            </w:tcBorders>
            <w:vAlign w:val="top"/>
          </w:tcPr>
          <w:p w14:paraId="130ED06E">
            <w:pPr>
              <w:rPr>
                <w:rFonts w:ascii="Arial"/>
                <w:sz w:val="21"/>
              </w:rPr>
            </w:pPr>
          </w:p>
        </w:tc>
      </w:tr>
    </w:tbl>
    <w:p w14:paraId="2C05CEA1">
      <w:pPr>
        <w:pStyle w:val="2"/>
      </w:pPr>
    </w:p>
    <w:p w14:paraId="4C3D6082">
      <w:pPr>
        <w:sectPr>
          <w:footerReference r:id="rId38" w:type="default"/>
          <w:pgSz w:w="11906" w:h="16839"/>
          <w:pgMar w:top="400" w:right="1588" w:bottom="1259" w:left="1687" w:header="0" w:footer="1097" w:gutter="0"/>
          <w:cols w:space="720" w:num="1"/>
        </w:sectPr>
      </w:pPr>
    </w:p>
    <w:p w14:paraId="437BF812">
      <w:pPr>
        <w:spacing w:before="19"/>
      </w:pPr>
    </w:p>
    <w:p w14:paraId="4ABE9907">
      <w:pPr>
        <w:spacing w:before="19"/>
      </w:pPr>
    </w:p>
    <w:p w14:paraId="4E3A0E82">
      <w:pPr>
        <w:spacing w:before="18"/>
      </w:pPr>
    </w:p>
    <w:p w14:paraId="64DEF8E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76B89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6E479DBB">
            <w:pPr>
              <w:rPr>
                <w:rFonts w:ascii="Arial"/>
                <w:sz w:val="21"/>
              </w:rPr>
            </w:pPr>
          </w:p>
        </w:tc>
        <w:tc>
          <w:tcPr>
            <w:tcW w:w="113" w:type="dxa"/>
            <w:tcBorders>
              <w:bottom w:val="nil"/>
            </w:tcBorders>
            <w:vAlign w:val="top"/>
          </w:tcPr>
          <w:p w14:paraId="62A88767">
            <w:pPr>
              <w:rPr>
                <w:rFonts w:ascii="Arial"/>
                <w:sz w:val="21"/>
              </w:rPr>
            </w:pPr>
          </w:p>
        </w:tc>
        <w:tc>
          <w:tcPr>
            <w:tcW w:w="494" w:type="dxa"/>
            <w:vAlign w:val="top"/>
          </w:tcPr>
          <w:p w14:paraId="64C81693">
            <w:pPr>
              <w:spacing w:before="21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476" w:type="dxa"/>
            <w:vAlign w:val="top"/>
          </w:tcPr>
          <w:p w14:paraId="70CE675F">
            <w:pPr>
              <w:rPr>
                <w:rFonts w:ascii="Arial"/>
                <w:sz w:val="21"/>
              </w:rPr>
            </w:pPr>
          </w:p>
        </w:tc>
        <w:tc>
          <w:tcPr>
            <w:tcW w:w="1384" w:type="dxa"/>
            <w:vAlign w:val="top"/>
          </w:tcPr>
          <w:p w14:paraId="3794F053">
            <w:pPr>
              <w:pStyle w:val="6"/>
              <w:spacing w:before="181" w:line="227" w:lineRule="auto"/>
              <w:ind w:left="190"/>
              <w:rPr>
                <w:sz w:val="20"/>
                <w:szCs w:val="20"/>
              </w:rPr>
            </w:pPr>
            <w:r>
              <w:rPr>
                <w:spacing w:val="4"/>
                <w:sz w:val="20"/>
                <w:szCs w:val="20"/>
              </w:rPr>
              <w:t>四氧化二氮</w:t>
            </w:r>
          </w:p>
        </w:tc>
        <w:tc>
          <w:tcPr>
            <w:tcW w:w="1037" w:type="dxa"/>
            <w:vAlign w:val="top"/>
          </w:tcPr>
          <w:p w14:paraId="737E9153">
            <w:pPr>
              <w:spacing w:before="21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92" w:type="dxa"/>
            <w:vAlign w:val="top"/>
          </w:tcPr>
          <w:p w14:paraId="6D20626E">
            <w:pPr>
              <w:spacing w:before="213"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11B5A0E">
            <w:pPr>
              <w:pStyle w:val="6"/>
              <w:spacing w:before="181" w:line="229" w:lineRule="auto"/>
              <w:ind w:left="191"/>
              <w:rPr>
                <w:sz w:val="20"/>
                <w:szCs w:val="20"/>
              </w:rPr>
            </w:pPr>
            <w:r>
              <w:rPr>
                <w:spacing w:val="4"/>
                <w:sz w:val="20"/>
                <w:szCs w:val="20"/>
              </w:rPr>
              <w:t>气体</w:t>
            </w:r>
          </w:p>
        </w:tc>
        <w:tc>
          <w:tcPr>
            <w:tcW w:w="876" w:type="dxa"/>
            <w:vAlign w:val="top"/>
          </w:tcPr>
          <w:p w14:paraId="2359620A">
            <w:pPr>
              <w:pStyle w:val="6"/>
              <w:spacing w:before="47" w:line="234"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37E15B27">
            <w:pPr>
              <w:pStyle w:val="6"/>
              <w:spacing w:before="181" w:line="228" w:lineRule="auto"/>
              <w:ind w:left="164"/>
              <w:rPr>
                <w:sz w:val="20"/>
                <w:szCs w:val="20"/>
              </w:rPr>
            </w:pPr>
            <w:r>
              <w:rPr>
                <w:spacing w:val="2"/>
                <w:sz w:val="20"/>
                <w:szCs w:val="20"/>
              </w:rPr>
              <w:t>原料</w:t>
            </w:r>
          </w:p>
        </w:tc>
        <w:tc>
          <w:tcPr>
            <w:tcW w:w="290" w:type="dxa"/>
            <w:vMerge w:val="restart"/>
            <w:tcBorders>
              <w:bottom w:val="nil"/>
            </w:tcBorders>
            <w:vAlign w:val="top"/>
          </w:tcPr>
          <w:p w14:paraId="43CFF70C">
            <w:pPr>
              <w:rPr>
                <w:rFonts w:ascii="Arial"/>
                <w:sz w:val="21"/>
              </w:rPr>
            </w:pPr>
          </w:p>
        </w:tc>
      </w:tr>
      <w:tr w14:paraId="05A31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04E9950">
            <w:pPr>
              <w:rPr>
                <w:rFonts w:ascii="Arial"/>
                <w:sz w:val="21"/>
              </w:rPr>
            </w:pPr>
          </w:p>
        </w:tc>
        <w:tc>
          <w:tcPr>
            <w:tcW w:w="113" w:type="dxa"/>
            <w:tcBorders>
              <w:top w:val="nil"/>
              <w:bottom w:val="nil"/>
            </w:tcBorders>
            <w:vAlign w:val="top"/>
          </w:tcPr>
          <w:p w14:paraId="192DAC26">
            <w:pPr>
              <w:rPr>
                <w:rFonts w:ascii="Arial"/>
                <w:sz w:val="21"/>
              </w:rPr>
            </w:pPr>
          </w:p>
        </w:tc>
        <w:tc>
          <w:tcPr>
            <w:tcW w:w="494" w:type="dxa"/>
            <w:vAlign w:val="top"/>
          </w:tcPr>
          <w:p w14:paraId="1EDF2869">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476" w:type="dxa"/>
            <w:vMerge w:val="restart"/>
            <w:tcBorders>
              <w:bottom w:val="nil"/>
            </w:tcBorders>
            <w:vAlign w:val="top"/>
          </w:tcPr>
          <w:p w14:paraId="48F3D54D">
            <w:pPr>
              <w:spacing w:line="244" w:lineRule="auto"/>
              <w:rPr>
                <w:rFonts w:ascii="Arial"/>
                <w:sz w:val="21"/>
              </w:rPr>
            </w:pPr>
          </w:p>
          <w:p w14:paraId="4F079EBC">
            <w:pPr>
              <w:spacing w:line="244" w:lineRule="auto"/>
              <w:rPr>
                <w:rFonts w:ascii="Arial"/>
                <w:sz w:val="21"/>
              </w:rPr>
            </w:pPr>
          </w:p>
          <w:p w14:paraId="15425825">
            <w:pPr>
              <w:spacing w:line="244" w:lineRule="auto"/>
              <w:rPr>
                <w:rFonts w:ascii="Arial"/>
                <w:sz w:val="21"/>
              </w:rPr>
            </w:pPr>
          </w:p>
          <w:p w14:paraId="2DE2B861">
            <w:pPr>
              <w:spacing w:line="244" w:lineRule="auto"/>
              <w:rPr>
                <w:rFonts w:ascii="Arial"/>
                <w:sz w:val="21"/>
              </w:rPr>
            </w:pPr>
          </w:p>
          <w:p w14:paraId="4B143A79">
            <w:pPr>
              <w:spacing w:line="245" w:lineRule="auto"/>
              <w:rPr>
                <w:rFonts w:ascii="Arial"/>
                <w:sz w:val="21"/>
              </w:rPr>
            </w:pPr>
          </w:p>
          <w:p w14:paraId="7D3A774F">
            <w:pPr>
              <w:pStyle w:val="6"/>
              <w:spacing w:before="65" w:line="228" w:lineRule="auto"/>
              <w:ind w:left="111"/>
              <w:rPr>
                <w:sz w:val="20"/>
                <w:szCs w:val="20"/>
              </w:rPr>
            </w:pPr>
            <w:r>
              <w:rPr>
                <w:spacing w:val="8"/>
                <w:sz w:val="20"/>
                <w:szCs w:val="20"/>
              </w:rPr>
              <w:t>鄂托克旗建元</w:t>
            </w:r>
          </w:p>
          <w:p w14:paraId="3DF92BC5">
            <w:pPr>
              <w:pStyle w:val="6"/>
              <w:spacing w:before="24" w:line="227" w:lineRule="auto"/>
              <w:ind w:left="112"/>
              <w:rPr>
                <w:sz w:val="20"/>
                <w:szCs w:val="20"/>
              </w:rPr>
            </w:pPr>
            <w:r>
              <w:rPr>
                <w:spacing w:val="8"/>
                <w:sz w:val="20"/>
                <w:szCs w:val="20"/>
              </w:rPr>
              <w:t>煤化科技有限</w:t>
            </w:r>
          </w:p>
          <w:p w14:paraId="4DE73C7D">
            <w:pPr>
              <w:pStyle w:val="6"/>
              <w:spacing w:before="27" w:line="228" w:lineRule="auto"/>
              <w:ind w:left="118"/>
              <w:rPr>
                <w:sz w:val="20"/>
                <w:szCs w:val="20"/>
              </w:rPr>
            </w:pPr>
            <w:r>
              <w:rPr>
                <w:spacing w:val="7"/>
                <w:sz w:val="20"/>
                <w:szCs w:val="20"/>
              </w:rPr>
              <w:t>责任公司一总</w:t>
            </w:r>
          </w:p>
          <w:p w14:paraId="349D26EA">
            <w:pPr>
              <w:pStyle w:val="6"/>
              <w:spacing w:before="24" w:line="228" w:lineRule="auto"/>
              <w:ind w:left="639"/>
              <w:rPr>
                <w:sz w:val="20"/>
                <w:szCs w:val="20"/>
              </w:rPr>
            </w:pPr>
            <w:r>
              <w:rPr>
                <w:sz w:val="20"/>
                <w:szCs w:val="20"/>
              </w:rPr>
              <w:t>厂</w:t>
            </w:r>
          </w:p>
        </w:tc>
        <w:tc>
          <w:tcPr>
            <w:tcW w:w="1384" w:type="dxa"/>
            <w:vAlign w:val="top"/>
          </w:tcPr>
          <w:p w14:paraId="727FAD8A">
            <w:pPr>
              <w:pStyle w:val="6"/>
              <w:spacing w:before="44" w:line="229" w:lineRule="auto"/>
              <w:ind w:left="382"/>
              <w:rPr>
                <w:sz w:val="20"/>
                <w:szCs w:val="20"/>
              </w:rPr>
            </w:pPr>
            <w:r>
              <w:rPr>
                <w:spacing w:val="6"/>
                <w:sz w:val="20"/>
                <w:szCs w:val="20"/>
              </w:rPr>
              <w:t>浓硫酸</w:t>
            </w:r>
          </w:p>
        </w:tc>
        <w:tc>
          <w:tcPr>
            <w:tcW w:w="1037" w:type="dxa"/>
            <w:vAlign w:val="top"/>
          </w:tcPr>
          <w:p w14:paraId="335293C8">
            <w:pPr>
              <w:spacing w:before="8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11646</w:t>
            </w:r>
          </w:p>
        </w:tc>
        <w:tc>
          <w:tcPr>
            <w:tcW w:w="992" w:type="dxa"/>
            <w:vAlign w:val="top"/>
          </w:tcPr>
          <w:p w14:paraId="5017E16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8D4450B">
            <w:pPr>
              <w:pStyle w:val="6"/>
              <w:spacing w:before="44" w:line="228" w:lineRule="auto"/>
              <w:ind w:left="192"/>
              <w:rPr>
                <w:sz w:val="20"/>
                <w:szCs w:val="20"/>
              </w:rPr>
            </w:pPr>
            <w:r>
              <w:rPr>
                <w:spacing w:val="3"/>
                <w:sz w:val="20"/>
                <w:szCs w:val="20"/>
              </w:rPr>
              <w:t>液态</w:t>
            </w:r>
          </w:p>
        </w:tc>
        <w:tc>
          <w:tcPr>
            <w:tcW w:w="876" w:type="dxa"/>
            <w:vAlign w:val="top"/>
          </w:tcPr>
          <w:p w14:paraId="4ED335CB">
            <w:pPr>
              <w:pStyle w:val="6"/>
              <w:spacing w:before="43" w:line="228" w:lineRule="auto"/>
              <w:ind w:left="238"/>
              <w:rPr>
                <w:sz w:val="20"/>
                <w:szCs w:val="20"/>
              </w:rPr>
            </w:pPr>
            <w:r>
              <w:rPr>
                <w:spacing w:val="3"/>
                <w:sz w:val="20"/>
                <w:szCs w:val="20"/>
              </w:rPr>
              <w:t>罐车</w:t>
            </w:r>
          </w:p>
        </w:tc>
        <w:tc>
          <w:tcPr>
            <w:tcW w:w="723" w:type="dxa"/>
            <w:vAlign w:val="top"/>
          </w:tcPr>
          <w:p w14:paraId="13F44406">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AD90E09">
            <w:pPr>
              <w:rPr>
                <w:rFonts w:ascii="Arial"/>
                <w:sz w:val="21"/>
              </w:rPr>
            </w:pPr>
          </w:p>
        </w:tc>
      </w:tr>
      <w:tr w14:paraId="73FD5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6A1CB72">
            <w:pPr>
              <w:rPr>
                <w:rFonts w:ascii="Arial"/>
                <w:sz w:val="21"/>
              </w:rPr>
            </w:pPr>
          </w:p>
        </w:tc>
        <w:tc>
          <w:tcPr>
            <w:tcW w:w="113" w:type="dxa"/>
            <w:tcBorders>
              <w:top w:val="nil"/>
              <w:bottom w:val="nil"/>
            </w:tcBorders>
            <w:vAlign w:val="top"/>
          </w:tcPr>
          <w:p w14:paraId="6BA0BB69">
            <w:pPr>
              <w:rPr>
                <w:rFonts w:ascii="Arial"/>
                <w:sz w:val="21"/>
              </w:rPr>
            </w:pPr>
          </w:p>
        </w:tc>
        <w:tc>
          <w:tcPr>
            <w:tcW w:w="494" w:type="dxa"/>
            <w:vAlign w:val="top"/>
          </w:tcPr>
          <w:p w14:paraId="78A656EE">
            <w:pPr>
              <w:spacing w:before="8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476" w:type="dxa"/>
            <w:vMerge w:val="continue"/>
            <w:tcBorders>
              <w:top w:val="nil"/>
              <w:bottom w:val="nil"/>
            </w:tcBorders>
            <w:vAlign w:val="top"/>
          </w:tcPr>
          <w:p w14:paraId="46980DAE">
            <w:pPr>
              <w:rPr>
                <w:rFonts w:ascii="Arial"/>
                <w:sz w:val="21"/>
              </w:rPr>
            </w:pPr>
          </w:p>
        </w:tc>
        <w:tc>
          <w:tcPr>
            <w:tcW w:w="1384" w:type="dxa"/>
            <w:vAlign w:val="top"/>
          </w:tcPr>
          <w:p w14:paraId="371DBD81">
            <w:pPr>
              <w:pStyle w:val="6"/>
              <w:spacing w:before="43" w:line="227" w:lineRule="auto"/>
              <w:ind w:left="276"/>
              <w:rPr>
                <w:sz w:val="20"/>
                <w:szCs w:val="20"/>
              </w:rPr>
            </w:pPr>
            <w:r>
              <w:rPr>
                <w:spacing w:val="7"/>
                <w:sz w:val="20"/>
                <w:szCs w:val="20"/>
              </w:rPr>
              <w:t>氢氧化钠</w:t>
            </w:r>
          </w:p>
        </w:tc>
        <w:tc>
          <w:tcPr>
            <w:tcW w:w="1037" w:type="dxa"/>
            <w:vAlign w:val="top"/>
          </w:tcPr>
          <w:p w14:paraId="662AA2D4">
            <w:pPr>
              <w:spacing w:before="8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1630</w:t>
            </w:r>
          </w:p>
        </w:tc>
        <w:tc>
          <w:tcPr>
            <w:tcW w:w="992" w:type="dxa"/>
            <w:vAlign w:val="top"/>
          </w:tcPr>
          <w:p w14:paraId="44DE317E">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53353A1">
            <w:pPr>
              <w:pStyle w:val="6"/>
              <w:spacing w:before="44" w:line="228" w:lineRule="auto"/>
              <w:ind w:left="208"/>
              <w:rPr>
                <w:sz w:val="20"/>
                <w:szCs w:val="20"/>
              </w:rPr>
            </w:pPr>
            <w:r>
              <w:rPr>
                <w:spacing w:val="-5"/>
                <w:sz w:val="20"/>
                <w:szCs w:val="20"/>
              </w:rPr>
              <w:t>固态</w:t>
            </w:r>
          </w:p>
        </w:tc>
        <w:tc>
          <w:tcPr>
            <w:tcW w:w="876" w:type="dxa"/>
            <w:vAlign w:val="top"/>
          </w:tcPr>
          <w:p w14:paraId="6FF3A147">
            <w:pPr>
              <w:pStyle w:val="6"/>
              <w:spacing w:before="43" w:line="228" w:lineRule="auto"/>
              <w:ind w:left="131"/>
              <w:rPr>
                <w:sz w:val="20"/>
                <w:szCs w:val="20"/>
              </w:rPr>
            </w:pPr>
            <w:r>
              <w:rPr>
                <w:spacing w:val="6"/>
                <w:sz w:val="20"/>
                <w:szCs w:val="20"/>
              </w:rPr>
              <w:t>厢式车</w:t>
            </w:r>
          </w:p>
        </w:tc>
        <w:tc>
          <w:tcPr>
            <w:tcW w:w="723" w:type="dxa"/>
            <w:vAlign w:val="top"/>
          </w:tcPr>
          <w:p w14:paraId="66AF2370">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DD6A90F">
            <w:pPr>
              <w:rPr>
                <w:rFonts w:ascii="Arial"/>
                <w:sz w:val="21"/>
              </w:rPr>
            </w:pPr>
          </w:p>
        </w:tc>
      </w:tr>
      <w:tr w14:paraId="1EA2A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E79F404">
            <w:pPr>
              <w:rPr>
                <w:rFonts w:ascii="Arial"/>
                <w:sz w:val="21"/>
              </w:rPr>
            </w:pPr>
          </w:p>
        </w:tc>
        <w:tc>
          <w:tcPr>
            <w:tcW w:w="113" w:type="dxa"/>
            <w:tcBorders>
              <w:top w:val="nil"/>
              <w:bottom w:val="nil"/>
            </w:tcBorders>
            <w:vAlign w:val="top"/>
          </w:tcPr>
          <w:p w14:paraId="1D50342C">
            <w:pPr>
              <w:rPr>
                <w:rFonts w:ascii="Arial"/>
                <w:sz w:val="21"/>
              </w:rPr>
            </w:pPr>
          </w:p>
        </w:tc>
        <w:tc>
          <w:tcPr>
            <w:tcW w:w="494" w:type="dxa"/>
            <w:vAlign w:val="top"/>
          </w:tcPr>
          <w:p w14:paraId="491A0CF7">
            <w:pPr>
              <w:spacing w:before="81"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476" w:type="dxa"/>
            <w:vMerge w:val="continue"/>
            <w:tcBorders>
              <w:top w:val="nil"/>
              <w:bottom w:val="nil"/>
            </w:tcBorders>
            <w:vAlign w:val="top"/>
          </w:tcPr>
          <w:p w14:paraId="2490F963">
            <w:pPr>
              <w:rPr>
                <w:rFonts w:ascii="Arial"/>
                <w:sz w:val="21"/>
              </w:rPr>
            </w:pPr>
          </w:p>
        </w:tc>
        <w:tc>
          <w:tcPr>
            <w:tcW w:w="1384" w:type="dxa"/>
            <w:vAlign w:val="top"/>
          </w:tcPr>
          <w:p w14:paraId="6CF2A8BF">
            <w:pPr>
              <w:pStyle w:val="6"/>
              <w:spacing w:before="43" w:line="229" w:lineRule="auto"/>
              <w:ind w:left="276"/>
              <w:rPr>
                <w:sz w:val="20"/>
                <w:szCs w:val="20"/>
              </w:rPr>
            </w:pPr>
            <w:r>
              <w:rPr>
                <w:spacing w:val="7"/>
                <w:sz w:val="20"/>
                <w:szCs w:val="20"/>
              </w:rPr>
              <w:t>焦油洗油</w:t>
            </w:r>
          </w:p>
        </w:tc>
        <w:tc>
          <w:tcPr>
            <w:tcW w:w="1037" w:type="dxa"/>
            <w:vAlign w:val="top"/>
          </w:tcPr>
          <w:p w14:paraId="3C6ECD6D">
            <w:pPr>
              <w:spacing w:before="81"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1120</w:t>
            </w:r>
          </w:p>
        </w:tc>
        <w:tc>
          <w:tcPr>
            <w:tcW w:w="992" w:type="dxa"/>
            <w:vAlign w:val="top"/>
          </w:tcPr>
          <w:p w14:paraId="48B6EA12">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2803C19">
            <w:pPr>
              <w:pStyle w:val="6"/>
              <w:spacing w:before="43" w:line="228" w:lineRule="auto"/>
              <w:ind w:left="192"/>
              <w:rPr>
                <w:sz w:val="20"/>
                <w:szCs w:val="20"/>
              </w:rPr>
            </w:pPr>
            <w:r>
              <w:rPr>
                <w:spacing w:val="3"/>
                <w:sz w:val="20"/>
                <w:szCs w:val="20"/>
              </w:rPr>
              <w:t>液态</w:t>
            </w:r>
          </w:p>
        </w:tc>
        <w:tc>
          <w:tcPr>
            <w:tcW w:w="876" w:type="dxa"/>
            <w:vAlign w:val="top"/>
          </w:tcPr>
          <w:p w14:paraId="615A6B05">
            <w:pPr>
              <w:pStyle w:val="6"/>
              <w:spacing w:before="43" w:line="228" w:lineRule="auto"/>
              <w:ind w:left="238"/>
              <w:rPr>
                <w:sz w:val="20"/>
                <w:szCs w:val="20"/>
              </w:rPr>
            </w:pPr>
            <w:r>
              <w:rPr>
                <w:spacing w:val="3"/>
                <w:sz w:val="20"/>
                <w:szCs w:val="20"/>
              </w:rPr>
              <w:t>罐车</w:t>
            </w:r>
          </w:p>
        </w:tc>
        <w:tc>
          <w:tcPr>
            <w:tcW w:w="723" w:type="dxa"/>
            <w:vAlign w:val="top"/>
          </w:tcPr>
          <w:p w14:paraId="4AA32A8A">
            <w:pPr>
              <w:pStyle w:val="6"/>
              <w:spacing w:before="43"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D63A844">
            <w:pPr>
              <w:rPr>
                <w:rFonts w:ascii="Arial"/>
                <w:sz w:val="21"/>
              </w:rPr>
            </w:pPr>
          </w:p>
        </w:tc>
      </w:tr>
      <w:tr w14:paraId="28D05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52AF31D">
            <w:pPr>
              <w:rPr>
                <w:rFonts w:ascii="Arial"/>
                <w:sz w:val="21"/>
              </w:rPr>
            </w:pPr>
          </w:p>
        </w:tc>
        <w:tc>
          <w:tcPr>
            <w:tcW w:w="113" w:type="dxa"/>
            <w:tcBorders>
              <w:top w:val="nil"/>
              <w:bottom w:val="nil"/>
            </w:tcBorders>
            <w:vAlign w:val="top"/>
          </w:tcPr>
          <w:p w14:paraId="24DE030B">
            <w:pPr>
              <w:rPr>
                <w:rFonts w:ascii="Arial"/>
                <w:sz w:val="21"/>
              </w:rPr>
            </w:pPr>
          </w:p>
        </w:tc>
        <w:tc>
          <w:tcPr>
            <w:tcW w:w="494" w:type="dxa"/>
            <w:vAlign w:val="top"/>
          </w:tcPr>
          <w:p w14:paraId="5E7F4D8E">
            <w:pPr>
              <w:spacing w:before="81"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476" w:type="dxa"/>
            <w:vMerge w:val="continue"/>
            <w:tcBorders>
              <w:top w:val="nil"/>
              <w:bottom w:val="nil"/>
            </w:tcBorders>
            <w:vAlign w:val="top"/>
          </w:tcPr>
          <w:p w14:paraId="6621486E">
            <w:pPr>
              <w:rPr>
                <w:rFonts w:ascii="Arial"/>
                <w:sz w:val="21"/>
              </w:rPr>
            </w:pPr>
          </w:p>
        </w:tc>
        <w:tc>
          <w:tcPr>
            <w:tcW w:w="1384" w:type="dxa"/>
            <w:vAlign w:val="top"/>
          </w:tcPr>
          <w:p w14:paraId="3BE5729D">
            <w:pPr>
              <w:pStyle w:val="6"/>
              <w:spacing w:before="45" w:line="229" w:lineRule="auto"/>
              <w:ind w:left="485"/>
              <w:rPr>
                <w:sz w:val="20"/>
                <w:szCs w:val="20"/>
              </w:rPr>
            </w:pPr>
            <w:r>
              <w:rPr>
                <w:spacing w:val="4"/>
                <w:sz w:val="20"/>
                <w:szCs w:val="20"/>
              </w:rPr>
              <w:t>焦油</w:t>
            </w:r>
          </w:p>
        </w:tc>
        <w:tc>
          <w:tcPr>
            <w:tcW w:w="1037" w:type="dxa"/>
            <w:vAlign w:val="top"/>
          </w:tcPr>
          <w:p w14:paraId="6E31D7A0">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23B9784">
            <w:pPr>
              <w:spacing w:before="8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39000</w:t>
            </w:r>
          </w:p>
        </w:tc>
        <w:tc>
          <w:tcPr>
            <w:tcW w:w="784" w:type="dxa"/>
            <w:vAlign w:val="top"/>
          </w:tcPr>
          <w:p w14:paraId="7539E27A">
            <w:pPr>
              <w:pStyle w:val="6"/>
              <w:spacing w:before="45" w:line="228" w:lineRule="auto"/>
              <w:ind w:left="192"/>
              <w:rPr>
                <w:sz w:val="20"/>
                <w:szCs w:val="20"/>
              </w:rPr>
            </w:pPr>
            <w:r>
              <w:rPr>
                <w:spacing w:val="3"/>
                <w:sz w:val="20"/>
                <w:szCs w:val="20"/>
              </w:rPr>
              <w:t>液态</w:t>
            </w:r>
          </w:p>
        </w:tc>
        <w:tc>
          <w:tcPr>
            <w:tcW w:w="876" w:type="dxa"/>
            <w:vAlign w:val="top"/>
          </w:tcPr>
          <w:p w14:paraId="578BA58F">
            <w:pPr>
              <w:pStyle w:val="6"/>
              <w:spacing w:before="45" w:line="228" w:lineRule="auto"/>
              <w:ind w:left="238"/>
              <w:rPr>
                <w:sz w:val="20"/>
                <w:szCs w:val="20"/>
              </w:rPr>
            </w:pPr>
            <w:r>
              <w:rPr>
                <w:spacing w:val="3"/>
                <w:sz w:val="20"/>
                <w:szCs w:val="20"/>
              </w:rPr>
              <w:t>罐车</w:t>
            </w:r>
          </w:p>
        </w:tc>
        <w:tc>
          <w:tcPr>
            <w:tcW w:w="723" w:type="dxa"/>
            <w:vAlign w:val="top"/>
          </w:tcPr>
          <w:p w14:paraId="6FE968B4">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B8E50D6">
            <w:pPr>
              <w:rPr>
                <w:rFonts w:ascii="Arial"/>
                <w:sz w:val="21"/>
              </w:rPr>
            </w:pPr>
          </w:p>
        </w:tc>
      </w:tr>
      <w:tr w14:paraId="69DF5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200C3DB">
            <w:pPr>
              <w:rPr>
                <w:rFonts w:ascii="Arial"/>
                <w:sz w:val="21"/>
              </w:rPr>
            </w:pPr>
          </w:p>
        </w:tc>
        <w:tc>
          <w:tcPr>
            <w:tcW w:w="113" w:type="dxa"/>
            <w:tcBorders>
              <w:top w:val="nil"/>
              <w:bottom w:val="nil"/>
            </w:tcBorders>
            <w:vAlign w:val="top"/>
          </w:tcPr>
          <w:p w14:paraId="0E4BDEA3">
            <w:pPr>
              <w:rPr>
                <w:rFonts w:ascii="Arial"/>
                <w:sz w:val="21"/>
              </w:rPr>
            </w:pPr>
          </w:p>
        </w:tc>
        <w:tc>
          <w:tcPr>
            <w:tcW w:w="494" w:type="dxa"/>
            <w:vAlign w:val="top"/>
          </w:tcPr>
          <w:p w14:paraId="111E9E25">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476" w:type="dxa"/>
            <w:vMerge w:val="continue"/>
            <w:tcBorders>
              <w:top w:val="nil"/>
              <w:bottom w:val="nil"/>
            </w:tcBorders>
            <w:vAlign w:val="top"/>
          </w:tcPr>
          <w:p w14:paraId="2BA41963">
            <w:pPr>
              <w:rPr>
                <w:rFonts w:ascii="Arial"/>
                <w:sz w:val="21"/>
              </w:rPr>
            </w:pPr>
          </w:p>
        </w:tc>
        <w:tc>
          <w:tcPr>
            <w:tcW w:w="1384" w:type="dxa"/>
            <w:vAlign w:val="top"/>
          </w:tcPr>
          <w:p w14:paraId="39AC4522">
            <w:pPr>
              <w:pStyle w:val="6"/>
              <w:spacing w:before="45" w:line="229" w:lineRule="auto"/>
              <w:ind w:left="484"/>
              <w:rPr>
                <w:sz w:val="20"/>
                <w:szCs w:val="20"/>
              </w:rPr>
            </w:pPr>
            <w:r>
              <w:rPr>
                <w:spacing w:val="5"/>
                <w:sz w:val="20"/>
                <w:szCs w:val="20"/>
              </w:rPr>
              <w:t>硫磺</w:t>
            </w:r>
          </w:p>
        </w:tc>
        <w:tc>
          <w:tcPr>
            <w:tcW w:w="1037" w:type="dxa"/>
            <w:vAlign w:val="top"/>
          </w:tcPr>
          <w:p w14:paraId="11C2F60D">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0B87C06">
            <w:pPr>
              <w:spacing w:before="8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1340</w:t>
            </w:r>
          </w:p>
        </w:tc>
        <w:tc>
          <w:tcPr>
            <w:tcW w:w="784" w:type="dxa"/>
            <w:vAlign w:val="top"/>
          </w:tcPr>
          <w:p w14:paraId="4C3EB85B">
            <w:pPr>
              <w:pStyle w:val="6"/>
              <w:spacing w:before="45" w:line="228" w:lineRule="auto"/>
              <w:ind w:left="208"/>
              <w:rPr>
                <w:sz w:val="20"/>
                <w:szCs w:val="20"/>
              </w:rPr>
            </w:pPr>
            <w:r>
              <w:rPr>
                <w:spacing w:val="-5"/>
                <w:sz w:val="20"/>
                <w:szCs w:val="20"/>
              </w:rPr>
              <w:t>固态</w:t>
            </w:r>
          </w:p>
        </w:tc>
        <w:tc>
          <w:tcPr>
            <w:tcW w:w="876" w:type="dxa"/>
            <w:vAlign w:val="top"/>
          </w:tcPr>
          <w:p w14:paraId="360DC06E">
            <w:pPr>
              <w:pStyle w:val="6"/>
              <w:spacing w:before="44" w:line="228" w:lineRule="auto"/>
              <w:ind w:left="131"/>
              <w:rPr>
                <w:sz w:val="20"/>
                <w:szCs w:val="20"/>
              </w:rPr>
            </w:pPr>
            <w:r>
              <w:rPr>
                <w:spacing w:val="6"/>
                <w:sz w:val="20"/>
                <w:szCs w:val="20"/>
              </w:rPr>
              <w:t>厢式车</w:t>
            </w:r>
          </w:p>
        </w:tc>
        <w:tc>
          <w:tcPr>
            <w:tcW w:w="723" w:type="dxa"/>
            <w:vAlign w:val="top"/>
          </w:tcPr>
          <w:p w14:paraId="23CB1316">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7BF0EAF">
            <w:pPr>
              <w:rPr>
                <w:rFonts w:ascii="Arial"/>
                <w:sz w:val="21"/>
              </w:rPr>
            </w:pPr>
          </w:p>
        </w:tc>
      </w:tr>
      <w:tr w14:paraId="367E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872B060">
            <w:pPr>
              <w:rPr>
                <w:rFonts w:ascii="Arial"/>
                <w:sz w:val="21"/>
              </w:rPr>
            </w:pPr>
          </w:p>
        </w:tc>
        <w:tc>
          <w:tcPr>
            <w:tcW w:w="113" w:type="dxa"/>
            <w:tcBorders>
              <w:top w:val="nil"/>
              <w:bottom w:val="nil"/>
            </w:tcBorders>
            <w:vAlign w:val="top"/>
          </w:tcPr>
          <w:p w14:paraId="5C5F2C98">
            <w:pPr>
              <w:rPr>
                <w:rFonts w:ascii="Arial"/>
                <w:sz w:val="21"/>
              </w:rPr>
            </w:pPr>
          </w:p>
        </w:tc>
        <w:tc>
          <w:tcPr>
            <w:tcW w:w="494" w:type="dxa"/>
            <w:vAlign w:val="top"/>
          </w:tcPr>
          <w:p w14:paraId="1A073774">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476" w:type="dxa"/>
            <w:vMerge w:val="continue"/>
            <w:tcBorders>
              <w:top w:val="nil"/>
              <w:bottom w:val="nil"/>
            </w:tcBorders>
            <w:vAlign w:val="top"/>
          </w:tcPr>
          <w:p w14:paraId="041D1B1A">
            <w:pPr>
              <w:rPr>
                <w:rFonts w:ascii="Arial"/>
                <w:sz w:val="21"/>
              </w:rPr>
            </w:pPr>
          </w:p>
        </w:tc>
        <w:tc>
          <w:tcPr>
            <w:tcW w:w="1384" w:type="dxa"/>
            <w:vAlign w:val="top"/>
          </w:tcPr>
          <w:p w14:paraId="580024A7">
            <w:pPr>
              <w:pStyle w:val="6"/>
              <w:spacing w:before="44" w:line="227" w:lineRule="auto"/>
              <w:ind w:left="593"/>
              <w:rPr>
                <w:sz w:val="20"/>
                <w:szCs w:val="20"/>
              </w:rPr>
            </w:pPr>
            <w:r>
              <w:rPr>
                <w:sz w:val="20"/>
                <w:szCs w:val="20"/>
              </w:rPr>
              <w:t>苯</w:t>
            </w:r>
          </w:p>
        </w:tc>
        <w:tc>
          <w:tcPr>
            <w:tcW w:w="1037" w:type="dxa"/>
            <w:vAlign w:val="top"/>
          </w:tcPr>
          <w:p w14:paraId="26AF04A7">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33DF18">
            <w:pPr>
              <w:spacing w:before="80"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135480</w:t>
            </w:r>
          </w:p>
        </w:tc>
        <w:tc>
          <w:tcPr>
            <w:tcW w:w="784" w:type="dxa"/>
            <w:vAlign w:val="top"/>
          </w:tcPr>
          <w:p w14:paraId="784E5BC1">
            <w:pPr>
              <w:pStyle w:val="6"/>
              <w:spacing w:before="45" w:line="228" w:lineRule="auto"/>
              <w:ind w:left="192"/>
              <w:rPr>
                <w:sz w:val="20"/>
                <w:szCs w:val="20"/>
              </w:rPr>
            </w:pPr>
            <w:r>
              <w:rPr>
                <w:spacing w:val="3"/>
                <w:sz w:val="20"/>
                <w:szCs w:val="20"/>
              </w:rPr>
              <w:t>液态</w:t>
            </w:r>
          </w:p>
        </w:tc>
        <w:tc>
          <w:tcPr>
            <w:tcW w:w="876" w:type="dxa"/>
            <w:vAlign w:val="top"/>
          </w:tcPr>
          <w:p w14:paraId="6F5732E8">
            <w:pPr>
              <w:pStyle w:val="6"/>
              <w:spacing w:before="44" w:line="228" w:lineRule="auto"/>
              <w:ind w:left="238"/>
              <w:rPr>
                <w:sz w:val="20"/>
                <w:szCs w:val="20"/>
              </w:rPr>
            </w:pPr>
            <w:r>
              <w:rPr>
                <w:spacing w:val="3"/>
                <w:sz w:val="20"/>
                <w:szCs w:val="20"/>
              </w:rPr>
              <w:t>罐车</w:t>
            </w:r>
          </w:p>
        </w:tc>
        <w:tc>
          <w:tcPr>
            <w:tcW w:w="723" w:type="dxa"/>
            <w:vAlign w:val="top"/>
          </w:tcPr>
          <w:p w14:paraId="5D9FC110">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E7304B3">
            <w:pPr>
              <w:rPr>
                <w:rFonts w:ascii="Arial"/>
                <w:sz w:val="21"/>
              </w:rPr>
            </w:pPr>
          </w:p>
        </w:tc>
      </w:tr>
      <w:tr w14:paraId="285F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BDF8F21">
            <w:pPr>
              <w:rPr>
                <w:rFonts w:ascii="Arial"/>
                <w:sz w:val="21"/>
              </w:rPr>
            </w:pPr>
          </w:p>
        </w:tc>
        <w:tc>
          <w:tcPr>
            <w:tcW w:w="113" w:type="dxa"/>
            <w:tcBorders>
              <w:top w:val="nil"/>
              <w:bottom w:val="nil"/>
            </w:tcBorders>
            <w:vAlign w:val="top"/>
          </w:tcPr>
          <w:p w14:paraId="742CD7C5">
            <w:pPr>
              <w:rPr>
                <w:rFonts w:ascii="Arial"/>
                <w:sz w:val="21"/>
              </w:rPr>
            </w:pPr>
          </w:p>
        </w:tc>
        <w:tc>
          <w:tcPr>
            <w:tcW w:w="494" w:type="dxa"/>
            <w:vAlign w:val="top"/>
          </w:tcPr>
          <w:p w14:paraId="6EFB2082">
            <w:pPr>
              <w:spacing w:before="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476" w:type="dxa"/>
            <w:vMerge w:val="continue"/>
            <w:tcBorders>
              <w:top w:val="nil"/>
              <w:bottom w:val="nil"/>
            </w:tcBorders>
            <w:vAlign w:val="top"/>
          </w:tcPr>
          <w:p w14:paraId="040B871F">
            <w:pPr>
              <w:rPr>
                <w:rFonts w:ascii="Arial"/>
                <w:sz w:val="21"/>
              </w:rPr>
            </w:pPr>
          </w:p>
        </w:tc>
        <w:tc>
          <w:tcPr>
            <w:tcW w:w="1384" w:type="dxa"/>
            <w:vAlign w:val="top"/>
          </w:tcPr>
          <w:p w14:paraId="4B3D8C63">
            <w:pPr>
              <w:pStyle w:val="6"/>
              <w:spacing w:before="44" w:line="227" w:lineRule="auto"/>
              <w:ind w:left="512"/>
              <w:rPr>
                <w:sz w:val="20"/>
                <w:szCs w:val="20"/>
              </w:rPr>
            </w:pPr>
            <w:r>
              <w:rPr>
                <w:spacing w:val="-9"/>
                <w:sz w:val="20"/>
                <w:szCs w:val="20"/>
              </w:rPr>
              <w:t>甲苯</w:t>
            </w:r>
          </w:p>
        </w:tc>
        <w:tc>
          <w:tcPr>
            <w:tcW w:w="1037" w:type="dxa"/>
            <w:vAlign w:val="top"/>
          </w:tcPr>
          <w:p w14:paraId="1FAEE83F">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97CCDFC">
            <w:pPr>
              <w:spacing w:before="80"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29202</w:t>
            </w:r>
          </w:p>
        </w:tc>
        <w:tc>
          <w:tcPr>
            <w:tcW w:w="784" w:type="dxa"/>
            <w:vAlign w:val="top"/>
          </w:tcPr>
          <w:p w14:paraId="469660B7">
            <w:pPr>
              <w:pStyle w:val="6"/>
              <w:spacing w:before="44" w:line="228" w:lineRule="auto"/>
              <w:ind w:left="192"/>
              <w:rPr>
                <w:sz w:val="20"/>
                <w:szCs w:val="20"/>
              </w:rPr>
            </w:pPr>
            <w:r>
              <w:rPr>
                <w:spacing w:val="3"/>
                <w:sz w:val="20"/>
                <w:szCs w:val="20"/>
              </w:rPr>
              <w:t>液态</w:t>
            </w:r>
          </w:p>
        </w:tc>
        <w:tc>
          <w:tcPr>
            <w:tcW w:w="876" w:type="dxa"/>
            <w:vAlign w:val="top"/>
          </w:tcPr>
          <w:p w14:paraId="1B96DF55">
            <w:pPr>
              <w:pStyle w:val="6"/>
              <w:spacing w:before="43" w:line="228" w:lineRule="auto"/>
              <w:ind w:left="131"/>
              <w:rPr>
                <w:sz w:val="20"/>
                <w:szCs w:val="20"/>
              </w:rPr>
            </w:pPr>
            <w:r>
              <w:rPr>
                <w:spacing w:val="6"/>
                <w:sz w:val="20"/>
                <w:szCs w:val="20"/>
              </w:rPr>
              <w:t>厢式车</w:t>
            </w:r>
          </w:p>
        </w:tc>
        <w:tc>
          <w:tcPr>
            <w:tcW w:w="723" w:type="dxa"/>
            <w:vAlign w:val="top"/>
          </w:tcPr>
          <w:p w14:paraId="606DF633">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B7963E6">
            <w:pPr>
              <w:rPr>
                <w:rFonts w:ascii="Arial"/>
                <w:sz w:val="21"/>
              </w:rPr>
            </w:pPr>
          </w:p>
        </w:tc>
      </w:tr>
      <w:tr w14:paraId="32A45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06831B7">
            <w:pPr>
              <w:rPr>
                <w:rFonts w:ascii="Arial"/>
                <w:sz w:val="21"/>
              </w:rPr>
            </w:pPr>
          </w:p>
        </w:tc>
        <w:tc>
          <w:tcPr>
            <w:tcW w:w="113" w:type="dxa"/>
            <w:tcBorders>
              <w:top w:val="nil"/>
              <w:bottom w:val="nil"/>
            </w:tcBorders>
            <w:vAlign w:val="top"/>
          </w:tcPr>
          <w:p w14:paraId="5C602850">
            <w:pPr>
              <w:rPr>
                <w:rFonts w:ascii="Arial"/>
                <w:sz w:val="21"/>
              </w:rPr>
            </w:pPr>
          </w:p>
        </w:tc>
        <w:tc>
          <w:tcPr>
            <w:tcW w:w="494" w:type="dxa"/>
            <w:vAlign w:val="top"/>
          </w:tcPr>
          <w:p w14:paraId="61D435E4">
            <w:pPr>
              <w:spacing w:before="8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476" w:type="dxa"/>
            <w:vMerge w:val="continue"/>
            <w:tcBorders>
              <w:top w:val="nil"/>
              <w:bottom w:val="nil"/>
            </w:tcBorders>
            <w:vAlign w:val="top"/>
          </w:tcPr>
          <w:p w14:paraId="0EE225B0">
            <w:pPr>
              <w:rPr>
                <w:rFonts w:ascii="Arial"/>
                <w:sz w:val="21"/>
              </w:rPr>
            </w:pPr>
          </w:p>
        </w:tc>
        <w:tc>
          <w:tcPr>
            <w:tcW w:w="1384" w:type="dxa"/>
            <w:vAlign w:val="top"/>
          </w:tcPr>
          <w:p w14:paraId="59E1B613">
            <w:pPr>
              <w:pStyle w:val="6"/>
              <w:spacing w:before="43" w:line="227" w:lineRule="auto"/>
              <w:ind w:left="173"/>
              <w:rPr>
                <w:sz w:val="20"/>
                <w:szCs w:val="20"/>
              </w:rPr>
            </w:pPr>
            <w:r>
              <w:rPr>
                <w:spacing w:val="7"/>
                <w:sz w:val="20"/>
                <w:szCs w:val="20"/>
              </w:rPr>
              <w:t>混合二甲苯</w:t>
            </w:r>
          </w:p>
        </w:tc>
        <w:tc>
          <w:tcPr>
            <w:tcW w:w="1037" w:type="dxa"/>
            <w:vAlign w:val="top"/>
          </w:tcPr>
          <w:p w14:paraId="5EEB3500">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2BBF2F1">
            <w:pPr>
              <w:spacing w:before="8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7640</w:t>
            </w:r>
          </w:p>
        </w:tc>
        <w:tc>
          <w:tcPr>
            <w:tcW w:w="784" w:type="dxa"/>
            <w:vAlign w:val="top"/>
          </w:tcPr>
          <w:p w14:paraId="5580A7E4">
            <w:pPr>
              <w:pStyle w:val="6"/>
              <w:spacing w:before="44" w:line="228" w:lineRule="auto"/>
              <w:ind w:left="192"/>
              <w:rPr>
                <w:sz w:val="20"/>
                <w:szCs w:val="20"/>
              </w:rPr>
            </w:pPr>
            <w:r>
              <w:rPr>
                <w:spacing w:val="3"/>
                <w:sz w:val="20"/>
                <w:szCs w:val="20"/>
              </w:rPr>
              <w:t>液态</w:t>
            </w:r>
          </w:p>
        </w:tc>
        <w:tc>
          <w:tcPr>
            <w:tcW w:w="876" w:type="dxa"/>
            <w:vAlign w:val="top"/>
          </w:tcPr>
          <w:p w14:paraId="5EFECF26">
            <w:pPr>
              <w:pStyle w:val="6"/>
              <w:spacing w:before="43" w:line="228" w:lineRule="auto"/>
              <w:ind w:left="238"/>
              <w:rPr>
                <w:sz w:val="20"/>
                <w:szCs w:val="20"/>
              </w:rPr>
            </w:pPr>
            <w:r>
              <w:rPr>
                <w:spacing w:val="3"/>
                <w:sz w:val="20"/>
                <w:szCs w:val="20"/>
              </w:rPr>
              <w:t>罐车</w:t>
            </w:r>
          </w:p>
        </w:tc>
        <w:tc>
          <w:tcPr>
            <w:tcW w:w="723" w:type="dxa"/>
            <w:vAlign w:val="top"/>
          </w:tcPr>
          <w:p w14:paraId="66F56D68">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EE3565B">
            <w:pPr>
              <w:rPr>
                <w:rFonts w:ascii="Arial"/>
                <w:sz w:val="21"/>
              </w:rPr>
            </w:pPr>
          </w:p>
        </w:tc>
      </w:tr>
      <w:tr w14:paraId="46AE6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6" w:type="dxa"/>
            <w:vMerge w:val="continue"/>
            <w:tcBorders>
              <w:top w:val="nil"/>
              <w:bottom w:val="nil"/>
            </w:tcBorders>
            <w:vAlign w:val="top"/>
          </w:tcPr>
          <w:p w14:paraId="511F4DF8">
            <w:pPr>
              <w:rPr>
                <w:rFonts w:ascii="Arial"/>
                <w:sz w:val="21"/>
              </w:rPr>
            </w:pPr>
          </w:p>
        </w:tc>
        <w:tc>
          <w:tcPr>
            <w:tcW w:w="113" w:type="dxa"/>
            <w:tcBorders>
              <w:top w:val="nil"/>
              <w:bottom w:val="nil"/>
            </w:tcBorders>
            <w:vAlign w:val="top"/>
          </w:tcPr>
          <w:p w14:paraId="10186CC5">
            <w:pPr>
              <w:rPr>
                <w:rFonts w:ascii="Arial"/>
                <w:sz w:val="21"/>
              </w:rPr>
            </w:pPr>
          </w:p>
        </w:tc>
        <w:tc>
          <w:tcPr>
            <w:tcW w:w="494" w:type="dxa"/>
            <w:vAlign w:val="top"/>
          </w:tcPr>
          <w:p w14:paraId="674D197F">
            <w:pPr>
              <w:spacing w:before="20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76" w:type="dxa"/>
            <w:vMerge w:val="continue"/>
            <w:tcBorders>
              <w:top w:val="nil"/>
              <w:bottom w:val="nil"/>
            </w:tcBorders>
            <w:vAlign w:val="top"/>
          </w:tcPr>
          <w:p w14:paraId="4170B836">
            <w:pPr>
              <w:rPr>
                <w:rFonts w:ascii="Arial"/>
                <w:sz w:val="21"/>
              </w:rPr>
            </w:pPr>
          </w:p>
        </w:tc>
        <w:tc>
          <w:tcPr>
            <w:tcW w:w="1384" w:type="dxa"/>
            <w:vAlign w:val="top"/>
          </w:tcPr>
          <w:p w14:paraId="25835F07">
            <w:pPr>
              <w:pStyle w:val="6"/>
              <w:spacing w:before="166" w:line="228" w:lineRule="auto"/>
              <w:ind w:left="385"/>
              <w:rPr>
                <w:sz w:val="20"/>
                <w:szCs w:val="20"/>
              </w:rPr>
            </w:pPr>
            <w:r>
              <w:rPr>
                <w:spacing w:val="5"/>
                <w:sz w:val="20"/>
                <w:szCs w:val="20"/>
              </w:rPr>
              <w:t>非芳烃</w:t>
            </w:r>
          </w:p>
        </w:tc>
        <w:tc>
          <w:tcPr>
            <w:tcW w:w="1037" w:type="dxa"/>
            <w:vAlign w:val="top"/>
          </w:tcPr>
          <w:p w14:paraId="0853A83E">
            <w:pPr>
              <w:spacing w:before="20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775CD2F5">
            <w:pPr>
              <w:spacing w:before="204"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3740</w:t>
            </w:r>
          </w:p>
        </w:tc>
        <w:tc>
          <w:tcPr>
            <w:tcW w:w="784" w:type="dxa"/>
            <w:vAlign w:val="top"/>
          </w:tcPr>
          <w:p w14:paraId="5EEEDB79">
            <w:pPr>
              <w:pStyle w:val="6"/>
              <w:spacing w:before="166" w:line="228" w:lineRule="auto"/>
              <w:ind w:left="192"/>
              <w:rPr>
                <w:sz w:val="20"/>
                <w:szCs w:val="20"/>
              </w:rPr>
            </w:pPr>
            <w:r>
              <w:rPr>
                <w:spacing w:val="3"/>
                <w:sz w:val="20"/>
                <w:szCs w:val="20"/>
              </w:rPr>
              <w:t>液态</w:t>
            </w:r>
          </w:p>
        </w:tc>
        <w:tc>
          <w:tcPr>
            <w:tcW w:w="876" w:type="dxa"/>
            <w:vAlign w:val="top"/>
          </w:tcPr>
          <w:p w14:paraId="0A8B5ADC">
            <w:pPr>
              <w:pStyle w:val="6"/>
              <w:spacing w:before="31" w:line="228" w:lineRule="auto"/>
              <w:ind w:left="131"/>
              <w:rPr>
                <w:sz w:val="20"/>
                <w:szCs w:val="20"/>
              </w:rPr>
            </w:pPr>
            <w:r>
              <w:rPr>
                <w:spacing w:val="6"/>
                <w:sz w:val="20"/>
                <w:szCs w:val="20"/>
              </w:rPr>
              <w:t>特种罐</w:t>
            </w:r>
          </w:p>
          <w:p w14:paraId="1BEB42E8">
            <w:pPr>
              <w:pStyle w:val="6"/>
              <w:spacing w:before="24" w:line="217" w:lineRule="auto"/>
              <w:ind w:left="341"/>
              <w:rPr>
                <w:sz w:val="20"/>
                <w:szCs w:val="20"/>
              </w:rPr>
            </w:pPr>
            <w:r>
              <w:rPr>
                <w:sz w:val="20"/>
                <w:szCs w:val="20"/>
              </w:rPr>
              <w:t>车</w:t>
            </w:r>
          </w:p>
        </w:tc>
        <w:tc>
          <w:tcPr>
            <w:tcW w:w="723" w:type="dxa"/>
            <w:vAlign w:val="top"/>
          </w:tcPr>
          <w:p w14:paraId="68F65D14">
            <w:pPr>
              <w:pStyle w:val="6"/>
              <w:spacing w:before="1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2F4349A">
            <w:pPr>
              <w:rPr>
                <w:rFonts w:ascii="Arial"/>
                <w:sz w:val="21"/>
              </w:rPr>
            </w:pPr>
          </w:p>
        </w:tc>
      </w:tr>
      <w:tr w14:paraId="3947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6" w:type="dxa"/>
            <w:vMerge w:val="continue"/>
            <w:tcBorders>
              <w:top w:val="nil"/>
              <w:bottom w:val="nil"/>
            </w:tcBorders>
            <w:vAlign w:val="top"/>
          </w:tcPr>
          <w:p w14:paraId="64B3D6EC">
            <w:pPr>
              <w:rPr>
                <w:rFonts w:ascii="Arial"/>
                <w:sz w:val="21"/>
              </w:rPr>
            </w:pPr>
          </w:p>
        </w:tc>
        <w:tc>
          <w:tcPr>
            <w:tcW w:w="113" w:type="dxa"/>
            <w:tcBorders>
              <w:top w:val="nil"/>
              <w:bottom w:val="nil"/>
            </w:tcBorders>
            <w:vAlign w:val="top"/>
          </w:tcPr>
          <w:p w14:paraId="39AD1A02">
            <w:pPr>
              <w:rPr>
                <w:rFonts w:ascii="Arial"/>
                <w:sz w:val="21"/>
              </w:rPr>
            </w:pPr>
          </w:p>
        </w:tc>
        <w:tc>
          <w:tcPr>
            <w:tcW w:w="494" w:type="dxa"/>
            <w:vAlign w:val="top"/>
          </w:tcPr>
          <w:p w14:paraId="31B159EF">
            <w:pPr>
              <w:spacing w:before="6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476" w:type="dxa"/>
            <w:vMerge w:val="continue"/>
            <w:tcBorders>
              <w:top w:val="nil"/>
              <w:bottom w:val="nil"/>
            </w:tcBorders>
            <w:vAlign w:val="top"/>
          </w:tcPr>
          <w:p w14:paraId="0EF9E65B">
            <w:pPr>
              <w:rPr>
                <w:rFonts w:ascii="Arial"/>
                <w:sz w:val="21"/>
              </w:rPr>
            </w:pPr>
          </w:p>
        </w:tc>
        <w:tc>
          <w:tcPr>
            <w:tcW w:w="1384" w:type="dxa"/>
            <w:vAlign w:val="top"/>
          </w:tcPr>
          <w:p w14:paraId="24775242">
            <w:pPr>
              <w:pStyle w:val="6"/>
              <w:spacing w:before="32" w:line="217" w:lineRule="auto"/>
              <w:ind w:left="486"/>
              <w:rPr>
                <w:sz w:val="20"/>
                <w:szCs w:val="20"/>
              </w:rPr>
            </w:pPr>
            <w:r>
              <w:rPr>
                <w:spacing w:val="4"/>
                <w:sz w:val="20"/>
                <w:szCs w:val="20"/>
              </w:rPr>
              <w:t>重苯</w:t>
            </w:r>
          </w:p>
        </w:tc>
        <w:tc>
          <w:tcPr>
            <w:tcW w:w="1037" w:type="dxa"/>
            <w:vAlign w:val="top"/>
          </w:tcPr>
          <w:p w14:paraId="5847C0EF">
            <w:pPr>
              <w:spacing w:before="64"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D82BF92">
            <w:pPr>
              <w:spacing w:before="68"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16360</w:t>
            </w:r>
          </w:p>
        </w:tc>
        <w:tc>
          <w:tcPr>
            <w:tcW w:w="784" w:type="dxa"/>
            <w:vAlign w:val="top"/>
          </w:tcPr>
          <w:p w14:paraId="671398A8">
            <w:pPr>
              <w:pStyle w:val="6"/>
              <w:spacing w:before="32" w:line="217" w:lineRule="auto"/>
              <w:ind w:left="192"/>
              <w:rPr>
                <w:sz w:val="20"/>
                <w:szCs w:val="20"/>
              </w:rPr>
            </w:pPr>
            <w:r>
              <w:rPr>
                <w:spacing w:val="3"/>
                <w:sz w:val="20"/>
                <w:szCs w:val="20"/>
              </w:rPr>
              <w:t>液态</w:t>
            </w:r>
          </w:p>
        </w:tc>
        <w:tc>
          <w:tcPr>
            <w:tcW w:w="876" w:type="dxa"/>
            <w:vAlign w:val="top"/>
          </w:tcPr>
          <w:p w14:paraId="637E5A49">
            <w:pPr>
              <w:pStyle w:val="6"/>
              <w:spacing w:before="32" w:line="217" w:lineRule="auto"/>
              <w:ind w:left="238"/>
              <w:rPr>
                <w:sz w:val="20"/>
                <w:szCs w:val="20"/>
              </w:rPr>
            </w:pPr>
            <w:r>
              <w:rPr>
                <w:spacing w:val="3"/>
                <w:sz w:val="20"/>
                <w:szCs w:val="20"/>
              </w:rPr>
              <w:t>罐车</w:t>
            </w:r>
          </w:p>
        </w:tc>
        <w:tc>
          <w:tcPr>
            <w:tcW w:w="723" w:type="dxa"/>
            <w:vAlign w:val="top"/>
          </w:tcPr>
          <w:p w14:paraId="0551F78D">
            <w:pPr>
              <w:pStyle w:val="6"/>
              <w:spacing w:before="32" w:line="217" w:lineRule="auto"/>
              <w:ind w:left="159"/>
              <w:rPr>
                <w:sz w:val="20"/>
                <w:szCs w:val="20"/>
              </w:rPr>
            </w:pPr>
            <w:r>
              <w:rPr>
                <w:spacing w:val="4"/>
                <w:sz w:val="20"/>
                <w:szCs w:val="20"/>
              </w:rPr>
              <w:t>产品</w:t>
            </w:r>
          </w:p>
        </w:tc>
        <w:tc>
          <w:tcPr>
            <w:tcW w:w="290" w:type="dxa"/>
            <w:vMerge w:val="continue"/>
            <w:tcBorders>
              <w:top w:val="nil"/>
              <w:bottom w:val="nil"/>
            </w:tcBorders>
            <w:vAlign w:val="top"/>
          </w:tcPr>
          <w:p w14:paraId="5F41F69C">
            <w:pPr>
              <w:rPr>
                <w:rFonts w:ascii="Arial"/>
                <w:sz w:val="21"/>
              </w:rPr>
            </w:pPr>
          </w:p>
        </w:tc>
      </w:tr>
      <w:tr w14:paraId="4003D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61E81D0">
            <w:pPr>
              <w:rPr>
                <w:rFonts w:ascii="Arial"/>
                <w:sz w:val="21"/>
              </w:rPr>
            </w:pPr>
          </w:p>
        </w:tc>
        <w:tc>
          <w:tcPr>
            <w:tcW w:w="113" w:type="dxa"/>
            <w:tcBorders>
              <w:top w:val="nil"/>
              <w:bottom w:val="nil"/>
            </w:tcBorders>
            <w:vAlign w:val="top"/>
          </w:tcPr>
          <w:p w14:paraId="646F8245">
            <w:pPr>
              <w:rPr>
                <w:rFonts w:ascii="Arial"/>
                <w:sz w:val="21"/>
              </w:rPr>
            </w:pPr>
          </w:p>
        </w:tc>
        <w:tc>
          <w:tcPr>
            <w:tcW w:w="494" w:type="dxa"/>
            <w:vAlign w:val="top"/>
          </w:tcPr>
          <w:p w14:paraId="252A187F">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476" w:type="dxa"/>
            <w:vMerge w:val="continue"/>
            <w:tcBorders>
              <w:top w:val="nil"/>
            </w:tcBorders>
            <w:vAlign w:val="top"/>
          </w:tcPr>
          <w:p w14:paraId="0B7ED263">
            <w:pPr>
              <w:rPr>
                <w:rFonts w:ascii="Arial"/>
                <w:sz w:val="21"/>
              </w:rPr>
            </w:pPr>
          </w:p>
        </w:tc>
        <w:tc>
          <w:tcPr>
            <w:tcW w:w="1384" w:type="dxa"/>
            <w:vAlign w:val="top"/>
          </w:tcPr>
          <w:p w14:paraId="7A4EDE8A">
            <w:pPr>
              <w:pStyle w:val="6"/>
              <w:spacing w:before="44" w:line="227" w:lineRule="auto"/>
              <w:ind w:left="385"/>
              <w:rPr>
                <w:sz w:val="20"/>
                <w:szCs w:val="20"/>
              </w:rPr>
            </w:pPr>
            <w:r>
              <w:rPr>
                <w:spacing w:val="6"/>
                <w:sz w:val="20"/>
                <w:szCs w:val="20"/>
              </w:rPr>
              <w:t>溶剂油</w:t>
            </w:r>
          </w:p>
        </w:tc>
        <w:tc>
          <w:tcPr>
            <w:tcW w:w="1037" w:type="dxa"/>
            <w:vAlign w:val="top"/>
          </w:tcPr>
          <w:p w14:paraId="0E39D28A">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46BB54FF">
            <w:pPr>
              <w:spacing w:before="8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4200</w:t>
            </w:r>
          </w:p>
        </w:tc>
        <w:tc>
          <w:tcPr>
            <w:tcW w:w="784" w:type="dxa"/>
            <w:vAlign w:val="top"/>
          </w:tcPr>
          <w:p w14:paraId="189A92DC">
            <w:pPr>
              <w:pStyle w:val="6"/>
              <w:spacing w:before="45" w:line="228" w:lineRule="auto"/>
              <w:ind w:left="192"/>
              <w:rPr>
                <w:sz w:val="20"/>
                <w:szCs w:val="20"/>
              </w:rPr>
            </w:pPr>
            <w:r>
              <w:rPr>
                <w:spacing w:val="3"/>
                <w:sz w:val="20"/>
                <w:szCs w:val="20"/>
              </w:rPr>
              <w:t>液态</w:t>
            </w:r>
          </w:p>
        </w:tc>
        <w:tc>
          <w:tcPr>
            <w:tcW w:w="876" w:type="dxa"/>
            <w:vAlign w:val="top"/>
          </w:tcPr>
          <w:p w14:paraId="77919A0A">
            <w:pPr>
              <w:pStyle w:val="6"/>
              <w:spacing w:before="44" w:line="228" w:lineRule="auto"/>
              <w:ind w:left="238"/>
              <w:rPr>
                <w:sz w:val="20"/>
                <w:szCs w:val="20"/>
              </w:rPr>
            </w:pPr>
            <w:r>
              <w:rPr>
                <w:spacing w:val="3"/>
                <w:sz w:val="20"/>
                <w:szCs w:val="20"/>
              </w:rPr>
              <w:t>罐车</w:t>
            </w:r>
          </w:p>
        </w:tc>
        <w:tc>
          <w:tcPr>
            <w:tcW w:w="723" w:type="dxa"/>
            <w:vAlign w:val="top"/>
          </w:tcPr>
          <w:p w14:paraId="6C9DE5C8">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EB30491">
            <w:pPr>
              <w:rPr>
                <w:rFonts w:ascii="Arial"/>
                <w:sz w:val="21"/>
              </w:rPr>
            </w:pPr>
          </w:p>
        </w:tc>
      </w:tr>
      <w:tr w14:paraId="5426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41DC305">
            <w:pPr>
              <w:rPr>
                <w:rFonts w:ascii="Arial"/>
                <w:sz w:val="21"/>
              </w:rPr>
            </w:pPr>
          </w:p>
        </w:tc>
        <w:tc>
          <w:tcPr>
            <w:tcW w:w="113" w:type="dxa"/>
            <w:tcBorders>
              <w:top w:val="nil"/>
              <w:bottom w:val="nil"/>
            </w:tcBorders>
            <w:vAlign w:val="top"/>
          </w:tcPr>
          <w:p w14:paraId="554260C6">
            <w:pPr>
              <w:rPr>
                <w:rFonts w:ascii="Arial"/>
                <w:sz w:val="21"/>
              </w:rPr>
            </w:pPr>
          </w:p>
        </w:tc>
        <w:tc>
          <w:tcPr>
            <w:tcW w:w="494" w:type="dxa"/>
            <w:vAlign w:val="top"/>
          </w:tcPr>
          <w:p w14:paraId="7AB77130">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476" w:type="dxa"/>
            <w:vMerge w:val="restart"/>
            <w:tcBorders>
              <w:bottom w:val="nil"/>
            </w:tcBorders>
            <w:vAlign w:val="top"/>
          </w:tcPr>
          <w:p w14:paraId="36800D32">
            <w:pPr>
              <w:spacing w:line="316" w:lineRule="auto"/>
              <w:rPr>
                <w:rFonts w:ascii="Arial"/>
                <w:sz w:val="21"/>
              </w:rPr>
            </w:pPr>
          </w:p>
          <w:p w14:paraId="6BF0EAB9">
            <w:pPr>
              <w:spacing w:line="316" w:lineRule="auto"/>
              <w:rPr>
                <w:rFonts w:ascii="Arial"/>
                <w:sz w:val="21"/>
              </w:rPr>
            </w:pPr>
          </w:p>
          <w:p w14:paraId="5C8A5E3D">
            <w:pPr>
              <w:pStyle w:val="6"/>
              <w:spacing w:before="65" w:line="228" w:lineRule="auto"/>
              <w:ind w:left="111"/>
              <w:rPr>
                <w:sz w:val="20"/>
                <w:szCs w:val="20"/>
              </w:rPr>
            </w:pPr>
            <w:r>
              <w:rPr>
                <w:spacing w:val="8"/>
                <w:sz w:val="20"/>
                <w:szCs w:val="20"/>
              </w:rPr>
              <w:t>鄂托克旗建元</w:t>
            </w:r>
          </w:p>
          <w:p w14:paraId="3FB4BDA8">
            <w:pPr>
              <w:pStyle w:val="6"/>
              <w:spacing w:before="27" w:line="228" w:lineRule="auto"/>
              <w:ind w:left="112"/>
              <w:rPr>
                <w:sz w:val="20"/>
                <w:szCs w:val="20"/>
              </w:rPr>
            </w:pPr>
            <w:r>
              <w:rPr>
                <w:spacing w:val="8"/>
                <w:sz w:val="20"/>
                <w:szCs w:val="20"/>
              </w:rPr>
              <w:t>煤焦化有限责</w:t>
            </w:r>
          </w:p>
          <w:p w14:paraId="71ED75B7">
            <w:pPr>
              <w:pStyle w:val="6"/>
              <w:spacing w:before="23" w:line="228" w:lineRule="auto"/>
              <w:ind w:left="110"/>
              <w:rPr>
                <w:sz w:val="20"/>
                <w:szCs w:val="20"/>
              </w:rPr>
            </w:pPr>
            <w:r>
              <w:rPr>
                <w:spacing w:val="8"/>
                <w:sz w:val="20"/>
                <w:szCs w:val="20"/>
              </w:rPr>
              <w:t>任公司二总厂</w:t>
            </w:r>
          </w:p>
        </w:tc>
        <w:tc>
          <w:tcPr>
            <w:tcW w:w="1384" w:type="dxa"/>
            <w:vAlign w:val="top"/>
          </w:tcPr>
          <w:p w14:paraId="2D9A314B">
            <w:pPr>
              <w:pStyle w:val="6"/>
              <w:spacing w:before="44" w:line="229" w:lineRule="auto"/>
              <w:ind w:left="382"/>
              <w:rPr>
                <w:sz w:val="20"/>
                <w:szCs w:val="20"/>
              </w:rPr>
            </w:pPr>
            <w:r>
              <w:rPr>
                <w:spacing w:val="6"/>
                <w:sz w:val="20"/>
                <w:szCs w:val="20"/>
              </w:rPr>
              <w:t>浓硫酸</w:t>
            </w:r>
          </w:p>
        </w:tc>
        <w:tc>
          <w:tcPr>
            <w:tcW w:w="1037" w:type="dxa"/>
            <w:vAlign w:val="top"/>
          </w:tcPr>
          <w:p w14:paraId="77B1C1D5">
            <w:pPr>
              <w:spacing w:before="8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30278</w:t>
            </w:r>
          </w:p>
        </w:tc>
        <w:tc>
          <w:tcPr>
            <w:tcW w:w="992" w:type="dxa"/>
            <w:vAlign w:val="top"/>
          </w:tcPr>
          <w:p w14:paraId="36686A89">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7D22107">
            <w:pPr>
              <w:pStyle w:val="6"/>
              <w:spacing w:before="45" w:line="228" w:lineRule="auto"/>
              <w:ind w:left="192"/>
              <w:rPr>
                <w:sz w:val="20"/>
                <w:szCs w:val="20"/>
              </w:rPr>
            </w:pPr>
            <w:r>
              <w:rPr>
                <w:spacing w:val="3"/>
                <w:sz w:val="20"/>
                <w:szCs w:val="20"/>
              </w:rPr>
              <w:t>液态</w:t>
            </w:r>
          </w:p>
        </w:tc>
        <w:tc>
          <w:tcPr>
            <w:tcW w:w="876" w:type="dxa"/>
            <w:vAlign w:val="top"/>
          </w:tcPr>
          <w:p w14:paraId="3F351CE1">
            <w:pPr>
              <w:pStyle w:val="6"/>
              <w:spacing w:before="44" w:line="228" w:lineRule="auto"/>
              <w:ind w:left="238"/>
              <w:rPr>
                <w:sz w:val="20"/>
                <w:szCs w:val="20"/>
              </w:rPr>
            </w:pPr>
            <w:r>
              <w:rPr>
                <w:spacing w:val="3"/>
                <w:sz w:val="20"/>
                <w:szCs w:val="20"/>
              </w:rPr>
              <w:t>罐车</w:t>
            </w:r>
          </w:p>
        </w:tc>
        <w:tc>
          <w:tcPr>
            <w:tcW w:w="723" w:type="dxa"/>
            <w:vAlign w:val="top"/>
          </w:tcPr>
          <w:p w14:paraId="626DC185">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37DEA22">
            <w:pPr>
              <w:rPr>
                <w:rFonts w:ascii="Arial"/>
                <w:sz w:val="21"/>
              </w:rPr>
            </w:pPr>
          </w:p>
        </w:tc>
      </w:tr>
      <w:tr w14:paraId="7EDC7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2647148">
            <w:pPr>
              <w:rPr>
                <w:rFonts w:ascii="Arial"/>
                <w:sz w:val="21"/>
              </w:rPr>
            </w:pPr>
          </w:p>
        </w:tc>
        <w:tc>
          <w:tcPr>
            <w:tcW w:w="113" w:type="dxa"/>
            <w:tcBorders>
              <w:top w:val="nil"/>
              <w:bottom w:val="nil"/>
            </w:tcBorders>
            <w:vAlign w:val="top"/>
          </w:tcPr>
          <w:p w14:paraId="309C42C4">
            <w:pPr>
              <w:rPr>
                <w:rFonts w:ascii="Arial"/>
                <w:sz w:val="21"/>
              </w:rPr>
            </w:pPr>
          </w:p>
        </w:tc>
        <w:tc>
          <w:tcPr>
            <w:tcW w:w="494" w:type="dxa"/>
            <w:vAlign w:val="top"/>
          </w:tcPr>
          <w:p w14:paraId="7C443FD5">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476" w:type="dxa"/>
            <w:vMerge w:val="continue"/>
            <w:tcBorders>
              <w:top w:val="nil"/>
              <w:bottom w:val="nil"/>
            </w:tcBorders>
            <w:vAlign w:val="top"/>
          </w:tcPr>
          <w:p w14:paraId="4621834D">
            <w:pPr>
              <w:rPr>
                <w:rFonts w:ascii="Arial"/>
                <w:sz w:val="21"/>
              </w:rPr>
            </w:pPr>
          </w:p>
        </w:tc>
        <w:tc>
          <w:tcPr>
            <w:tcW w:w="1384" w:type="dxa"/>
            <w:vAlign w:val="top"/>
          </w:tcPr>
          <w:p w14:paraId="7E16B8FC">
            <w:pPr>
              <w:pStyle w:val="6"/>
              <w:spacing w:before="44" w:line="227" w:lineRule="auto"/>
              <w:ind w:left="276"/>
              <w:rPr>
                <w:sz w:val="20"/>
                <w:szCs w:val="20"/>
              </w:rPr>
            </w:pPr>
            <w:r>
              <w:rPr>
                <w:spacing w:val="7"/>
                <w:sz w:val="20"/>
                <w:szCs w:val="20"/>
              </w:rPr>
              <w:t>氢氧化钠</w:t>
            </w:r>
          </w:p>
        </w:tc>
        <w:tc>
          <w:tcPr>
            <w:tcW w:w="1037" w:type="dxa"/>
            <w:vAlign w:val="top"/>
          </w:tcPr>
          <w:p w14:paraId="583C576D">
            <w:pPr>
              <w:spacing w:before="82"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5330</w:t>
            </w:r>
          </w:p>
        </w:tc>
        <w:tc>
          <w:tcPr>
            <w:tcW w:w="992" w:type="dxa"/>
            <w:vAlign w:val="top"/>
          </w:tcPr>
          <w:p w14:paraId="2F2F3FE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13DF003">
            <w:pPr>
              <w:pStyle w:val="6"/>
              <w:spacing w:before="44" w:line="228" w:lineRule="auto"/>
              <w:ind w:left="208"/>
              <w:rPr>
                <w:sz w:val="20"/>
                <w:szCs w:val="20"/>
              </w:rPr>
            </w:pPr>
            <w:r>
              <w:rPr>
                <w:spacing w:val="-5"/>
                <w:sz w:val="20"/>
                <w:szCs w:val="20"/>
              </w:rPr>
              <w:t>固态</w:t>
            </w:r>
          </w:p>
        </w:tc>
        <w:tc>
          <w:tcPr>
            <w:tcW w:w="876" w:type="dxa"/>
            <w:vAlign w:val="top"/>
          </w:tcPr>
          <w:p w14:paraId="444591CA">
            <w:pPr>
              <w:pStyle w:val="6"/>
              <w:spacing w:before="43" w:line="228" w:lineRule="auto"/>
              <w:ind w:left="131"/>
              <w:rPr>
                <w:sz w:val="20"/>
                <w:szCs w:val="20"/>
              </w:rPr>
            </w:pPr>
            <w:r>
              <w:rPr>
                <w:spacing w:val="6"/>
                <w:sz w:val="20"/>
                <w:szCs w:val="20"/>
              </w:rPr>
              <w:t>厢式车</w:t>
            </w:r>
          </w:p>
        </w:tc>
        <w:tc>
          <w:tcPr>
            <w:tcW w:w="723" w:type="dxa"/>
            <w:vAlign w:val="top"/>
          </w:tcPr>
          <w:p w14:paraId="40F56391">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EBAB8EA">
            <w:pPr>
              <w:rPr>
                <w:rFonts w:ascii="Arial"/>
                <w:sz w:val="21"/>
              </w:rPr>
            </w:pPr>
          </w:p>
        </w:tc>
      </w:tr>
      <w:tr w14:paraId="7D641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D872AEF">
            <w:pPr>
              <w:rPr>
                <w:rFonts w:ascii="Arial"/>
                <w:sz w:val="21"/>
              </w:rPr>
            </w:pPr>
          </w:p>
        </w:tc>
        <w:tc>
          <w:tcPr>
            <w:tcW w:w="113" w:type="dxa"/>
            <w:tcBorders>
              <w:top w:val="nil"/>
              <w:bottom w:val="nil"/>
            </w:tcBorders>
            <w:vAlign w:val="top"/>
          </w:tcPr>
          <w:p w14:paraId="6CCDE38A">
            <w:pPr>
              <w:rPr>
                <w:rFonts w:ascii="Arial"/>
                <w:sz w:val="21"/>
              </w:rPr>
            </w:pPr>
          </w:p>
        </w:tc>
        <w:tc>
          <w:tcPr>
            <w:tcW w:w="494" w:type="dxa"/>
            <w:vAlign w:val="top"/>
          </w:tcPr>
          <w:p w14:paraId="66113D0E">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476" w:type="dxa"/>
            <w:vMerge w:val="continue"/>
            <w:tcBorders>
              <w:top w:val="nil"/>
              <w:bottom w:val="nil"/>
            </w:tcBorders>
            <w:vAlign w:val="top"/>
          </w:tcPr>
          <w:p w14:paraId="1A1EEBDB">
            <w:pPr>
              <w:rPr>
                <w:rFonts w:ascii="Arial"/>
                <w:sz w:val="21"/>
              </w:rPr>
            </w:pPr>
          </w:p>
        </w:tc>
        <w:tc>
          <w:tcPr>
            <w:tcW w:w="1384" w:type="dxa"/>
            <w:vAlign w:val="top"/>
          </w:tcPr>
          <w:p w14:paraId="4173EA76">
            <w:pPr>
              <w:pStyle w:val="6"/>
              <w:spacing w:before="46" w:line="229" w:lineRule="auto"/>
              <w:ind w:left="276"/>
              <w:rPr>
                <w:sz w:val="20"/>
                <w:szCs w:val="20"/>
              </w:rPr>
            </w:pPr>
            <w:r>
              <w:rPr>
                <w:spacing w:val="7"/>
                <w:sz w:val="20"/>
                <w:szCs w:val="20"/>
              </w:rPr>
              <w:t>焦油洗油</w:t>
            </w:r>
          </w:p>
        </w:tc>
        <w:tc>
          <w:tcPr>
            <w:tcW w:w="1037" w:type="dxa"/>
            <w:vAlign w:val="top"/>
          </w:tcPr>
          <w:p w14:paraId="5554CF72">
            <w:pPr>
              <w:spacing w:before="8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3636</w:t>
            </w:r>
          </w:p>
        </w:tc>
        <w:tc>
          <w:tcPr>
            <w:tcW w:w="992" w:type="dxa"/>
            <w:vAlign w:val="top"/>
          </w:tcPr>
          <w:p w14:paraId="696D8CE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D77034E">
            <w:pPr>
              <w:pStyle w:val="6"/>
              <w:spacing w:before="46" w:line="228" w:lineRule="auto"/>
              <w:ind w:left="192"/>
              <w:rPr>
                <w:sz w:val="20"/>
                <w:szCs w:val="20"/>
              </w:rPr>
            </w:pPr>
            <w:r>
              <w:rPr>
                <w:spacing w:val="3"/>
                <w:sz w:val="20"/>
                <w:szCs w:val="20"/>
              </w:rPr>
              <w:t>液态</w:t>
            </w:r>
          </w:p>
        </w:tc>
        <w:tc>
          <w:tcPr>
            <w:tcW w:w="876" w:type="dxa"/>
            <w:vAlign w:val="top"/>
          </w:tcPr>
          <w:p w14:paraId="07B5CEEB">
            <w:pPr>
              <w:pStyle w:val="6"/>
              <w:spacing w:before="45" w:line="228" w:lineRule="auto"/>
              <w:ind w:left="238"/>
              <w:rPr>
                <w:sz w:val="20"/>
                <w:szCs w:val="20"/>
              </w:rPr>
            </w:pPr>
            <w:r>
              <w:rPr>
                <w:spacing w:val="3"/>
                <w:sz w:val="20"/>
                <w:szCs w:val="20"/>
              </w:rPr>
              <w:t>罐车</w:t>
            </w:r>
          </w:p>
        </w:tc>
        <w:tc>
          <w:tcPr>
            <w:tcW w:w="723" w:type="dxa"/>
            <w:vAlign w:val="top"/>
          </w:tcPr>
          <w:p w14:paraId="2BA46C06">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0C0BEA7F">
            <w:pPr>
              <w:rPr>
                <w:rFonts w:ascii="Arial"/>
                <w:sz w:val="21"/>
              </w:rPr>
            </w:pPr>
          </w:p>
        </w:tc>
      </w:tr>
      <w:tr w14:paraId="5CB68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0F5F14D">
            <w:pPr>
              <w:rPr>
                <w:rFonts w:ascii="Arial"/>
                <w:sz w:val="21"/>
              </w:rPr>
            </w:pPr>
          </w:p>
        </w:tc>
        <w:tc>
          <w:tcPr>
            <w:tcW w:w="113" w:type="dxa"/>
            <w:tcBorders>
              <w:top w:val="nil"/>
              <w:bottom w:val="nil"/>
            </w:tcBorders>
            <w:vAlign w:val="top"/>
          </w:tcPr>
          <w:p w14:paraId="2A0F314C">
            <w:pPr>
              <w:rPr>
                <w:rFonts w:ascii="Arial"/>
                <w:sz w:val="21"/>
              </w:rPr>
            </w:pPr>
          </w:p>
        </w:tc>
        <w:tc>
          <w:tcPr>
            <w:tcW w:w="494" w:type="dxa"/>
            <w:vAlign w:val="top"/>
          </w:tcPr>
          <w:p w14:paraId="6EC8D242">
            <w:pPr>
              <w:spacing w:before="8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476" w:type="dxa"/>
            <w:vMerge w:val="continue"/>
            <w:tcBorders>
              <w:top w:val="nil"/>
              <w:bottom w:val="nil"/>
            </w:tcBorders>
            <w:vAlign w:val="top"/>
          </w:tcPr>
          <w:p w14:paraId="069CC000">
            <w:pPr>
              <w:rPr>
                <w:rFonts w:ascii="Arial"/>
                <w:sz w:val="21"/>
              </w:rPr>
            </w:pPr>
          </w:p>
        </w:tc>
        <w:tc>
          <w:tcPr>
            <w:tcW w:w="1384" w:type="dxa"/>
            <w:vAlign w:val="top"/>
          </w:tcPr>
          <w:p w14:paraId="15026A29">
            <w:pPr>
              <w:pStyle w:val="6"/>
              <w:spacing w:before="45" w:line="228" w:lineRule="auto"/>
              <w:ind w:left="485"/>
              <w:rPr>
                <w:sz w:val="20"/>
                <w:szCs w:val="20"/>
              </w:rPr>
            </w:pPr>
            <w:r>
              <w:rPr>
                <w:spacing w:val="4"/>
                <w:sz w:val="20"/>
                <w:szCs w:val="20"/>
              </w:rPr>
              <w:t>氨水</w:t>
            </w:r>
          </w:p>
        </w:tc>
        <w:tc>
          <w:tcPr>
            <w:tcW w:w="1037" w:type="dxa"/>
            <w:vAlign w:val="top"/>
          </w:tcPr>
          <w:p w14:paraId="1FA0438D">
            <w:pPr>
              <w:spacing w:before="81"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2920</w:t>
            </w:r>
          </w:p>
        </w:tc>
        <w:tc>
          <w:tcPr>
            <w:tcW w:w="992" w:type="dxa"/>
            <w:vAlign w:val="top"/>
          </w:tcPr>
          <w:p w14:paraId="7562E269">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CF9D0EA">
            <w:pPr>
              <w:pStyle w:val="6"/>
              <w:spacing w:before="46" w:line="228" w:lineRule="auto"/>
              <w:ind w:left="192"/>
              <w:rPr>
                <w:sz w:val="20"/>
                <w:szCs w:val="20"/>
              </w:rPr>
            </w:pPr>
            <w:r>
              <w:rPr>
                <w:spacing w:val="3"/>
                <w:sz w:val="20"/>
                <w:szCs w:val="20"/>
              </w:rPr>
              <w:t>液态</w:t>
            </w:r>
          </w:p>
        </w:tc>
        <w:tc>
          <w:tcPr>
            <w:tcW w:w="876" w:type="dxa"/>
            <w:vAlign w:val="top"/>
          </w:tcPr>
          <w:p w14:paraId="398D1AED">
            <w:pPr>
              <w:pStyle w:val="6"/>
              <w:spacing w:before="45" w:line="228" w:lineRule="auto"/>
              <w:ind w:left="238"/>
              <w:rPr>
                <w:sz w:val="20"/>
                <w:szCs w:val="20"/>
              </w:rPr>
            </w:pPr>
            <w:r>
              <w:rPr>
                <w:spacing w:val="3"/>
                <w:sz w:val="20"/>
                <w:szCs w:val="20"/>
              </w:rPr>
              <w:t>罐车</w:t>
            </w:r>
          </w:p>
        </w:tc>
        <w:tc>
          <w:tcPr>
            <w:tcW w:w="723" w:type="dxa"/>
            <w:vAlign w:val="top"/>
          </w:tcPr>
          <w:p w14:paraId="455172A8">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6E5D488">
            <w:pPr>
              <w:rPr>
                <w:rFonts w:ascii="Arial"/>
                <w:sz w:val="21"/>
              </w:rPr>
            </w:pPr>
          </w:p>
        </w:tc>
      </w:tr>
      <w:tr w14:paraId="73982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315E088">
            <w:pPr>
              <w:rPr>
                <w:rFonts w:ascii="Arial"/>
                <w:sz w:val="21"/>
              </w:rPr>
            </w:pPr>
          </w:p>
        </w:tc>
        <w:tc>
          <w:tcPr>
            <w:tcW w:w="113" w:type="dxa"/>
            <w:tcBorders>
              <w:top w:val="nil"/>
              <w:bottom w:val="nil"/>
            </w:tcBorders>
            <w:vAlign w:val="top"/>
          </w:tcPr>
          <w:p w14:paraId="7D32F6D4">
            <w:pPr>
              <w:rPr>
                <w:rFonts w:ascii="Arial"/>
                <w:sz w:val="21"/>
              </w:rPr>
            </w:pPr>
          </w:p>
        </w:tc>
        <w:tc>
          <w:tcPr>
            <w:tcW w:w="494" w:type="dxa"/>
            <w:vAlign w:val="top"/>
          </w:tcPr>
          <w:p w14:paraId="122DAEBE">
            <w:pPr>
              <w:spacing w:before="81"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476" w:type="dxa"/>
            <w:vMerge w:val="continue"/>
            <w:tcBorders>
              <w:top w:val="nil"/>
              <w:bottom w:val="nil"/>
            </w:tcBorders>
            <w:vAlign w:val="top"/>
          </w:tcPr>
          <w:p w14:paraId="0DF226EC">
            <w:pPr>
              <w:rPr>
                <w:rFonts w:ascii="Arial"/>
                <w:sz w:val="21"/>
              </w:rPr>
            </w:pPr>
          </w:p>
        </w:tc>
        <w:tc>
          <w:tcPr>
            <w:tcW w:w="1384" w:type="dxa"/>
            <w:vAlign w:val="top"/>
          </w:tcPr>
          <w:p w14:paraId="5F65BB5E">
            <w:pPr>
              <w:pStyle w:val="6"/>
              <w:spacing w:before="45" w:line="228" w:lineRule="auto"/>
              <w:ind w:left="383"/>
              <w:rPr>
                <w:sz w:val="20"/>
                <w:szCs w:val="20"/>
              </w:rPr>
            </w:pPr>
            <w:r>
              <w:rPr>
                <w:spacing w:val="6"/>
                <w:sz w:val="20"/>
                <w:szCs w:val="20"/>
              </w:rPr>
              <w:t>煤焦油</w:t>
            </w:r>
          </w:p>
        </w:tc>
        <w:tc>
          <w:tcPr>
            <w:tcW w:w="1037" w:type="dxa"/>
            <w:vAlign w:val="top"/>
          </w:tcPr>
          <w:p w14:paraId="5FD92B2C">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4FB35038">
            <w:pPr>
              <w:spacing w:before="81"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139778</w:t>
            </w:r>
          </w:p>
        </w:tc>
        <w:tc>
          <w:tcPr>
            <w:tcW w:w="784" w:type="dxa"/>
            <w:vAlign w:val="top"/>
          </w:tcPr>
          <w:p w14:paraId="5512A5AD">
            <w:pPr>
              <w:pStyle w:val="6"/>
              <w:spacing w:before="45" w:line="228" w:lineRule="auto"/>
              <w:ind w:left="192"/>
              <w:rPr>
                <w:sz w:val="20"/>
                <w:szCs w:val="20"/>
              </w:rPr>
            </w:pPr>
            <w:r>
              <w:rPr>
                <w:spacing w:val="3"/>
                <w:sz w:val="20"/>
                <w:szCs w:val="20"/>
              </w:rPr>
              <w:t>液态</w:t>
            </w:r>
          </w:p>
        </w:tc>
        <w:tc>
          <w:tcPr>
            <w:tcW w:w="876" w:type="dxa"/>
            <w:vAlign w:val="top"/>
          </w:tcPr>
          <w:p w14:paraId="359714B3">
            <w:pPr>
              <w:pStyle w:val="6"/>
              <w:spacing w:before="45" w:line="228" w:lineRule="auto"/>
              <w:ind w:left="238"/>
              <w:rPr>
                <w:sz w:val="20"/>
                <w:szCs w:val="20"/>
              </w:rPr>
            </w:pPr>
            <w:r>
              <w:rPr>
                <w:spacing w:val="3"/>
                <w:sz w:val="20"/>
                <w:szCs w:val="20"/>
              </w:rPr>
              <w:t>罐车</w:t>
            </w:r>
          </w:p>
        </w:tc>
        <w:tc>
          <w:tcPr>
            <w:tcW w:w="723" w:type="dxa"/>
            <w:vAlign w:val="top"/>
          </w:tcPr>
          <w:p w14:paraId="71CA64E1">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EA37AE5">
            <w:pPr>
              <w:rPr>
                <w:rFonts w:ascii="Arial"/>
                <w:sz w:val="21"/>
              </w:rPr>
            </w:pPr>
          </w:p>
        </w:tc>
      </w:tr>
      <w:tr w14:paraId="5403B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E7A9F53">
            <w:pPr>
              <w:rPr>
                <w:rFonts w:ascii="Arial"/>
                <w:sz w:val="21"/>
              </w:rPr>
            </w:pPr>
          </w:p>
        </w:tc>
        <w:tc>
          <w:tcPr>
            <w:tcW w:w="113" w:type="dxa"/>
            <w:tcBorders>
              <w:top w:val="nil"/>
              <w:bottom w:val="nil"/>
            </w:tcBorders>
            <w:vAlign w:val="top"/>
          </w:tcPr>
          <w:p w14:paraId="00C05F83">
            <w:pPr>
              <w:rPr>
                <w:rFonts w:ascii="Arial"/>
                <w:sz w:val="21"/>
              </w:rPr>
            </w:pPr>
          </w:p>
        </w:tc>
        <w:tc>
          <w:tcPr>
            <w:tcW w:w="494" w:type="dxa"/>
            <w:vAlign w:val="top"/>
          </w:tcPr>
          <w:p w14:paraId="5D0B9577">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476" w:type="dxa"/>
            <w:vMerge w:val="continue"/>
            <w:tcBorders>
              <w:top w:val="nil"/>
              <w:bottom w:val="nil"/>
            </w:tcBorders>
            <w:vAlign w:val="top"/>
          </w:tcPr>
          <w:p w14:paraId="5FB8489C">
            <w:pPr>
              <w:rPr>
                <w:rFonts w:ascii="Arial"/>
                <w:sz w:val="21"/>
              </w:rPr>
            </w:pPr>
          </w:p>
        </w:tc>
        <w:tc>
          <w:tcPr>
            <w:tcW w:w="1384" w:type="dxa"/>
            <w:vAlign w:val="top"/>
          </w:tcPr>
          <w:p w14:paraId="38462594">
            <w:pPr>
              <w:pStyle w:val="6"/>
              <w:spacing w:before="45" w:line="229" w:lineRule="auto"/>
              <w:ind w:left="484"/>
              <w:rPr>
                <w:sz w:val="20"/>
                <w:szCs w:val="20"/>
              </w:rPr>
            </w:pPr>
            <w:r>
              <w:rPr>
                <w:spacing w:val="5"/>
                <w:sz w:val="20"/>
                <w:szCs w:val="20"/>
              </w:rPr>
              <w:t>硫磺</w:t>
            </w:r>
          </w:p>
        </w:tc>
        <w:tc>
          <w:tcPr>
            <w:tcW w:w="1037" w:type="dxa"/>
            <w:vAlign w:val="top"/>
          </w:tcPr>
          <w:p w14:paraId="649B1DF1">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54A5DB4">
            <w:pPr>
              <w:spacing w:before="8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8306</w:t>
            </w:r>
          </w:p>
        </w:tc>
        <w:tc>
          <w:tcPr>
            <w:tcW w:w="784" w:type="dxa"/>
            <w:vAlign w:val="top"/>
          </w:tcPr>
          <w:p w14:paraId="0E0CF4D0">
            <w:pPr>
              <w:pStyle w:val="6"/>
              <w:spacing w:before="45" w:line="228" w:lineRule="auto"/>
              <w:ind w:left="208"/>
              <w:rPr>
                <w:sz w:val="20"/>
                <w:szCs w:val="20"/>
              </w:rPr>
            </w:pPr>
            <w:r>
              <w:rPr>
                <w:spacing w:val="-5"/>
                <w:sz w:val="20"/>
                <w:szCs w:val="20"/>
              </w:rPr>
              <w:t>固态</w:t>
            </w:r>
          </w:p>
        </w:tc>
        <w:tc>
          <w:tcPr>
            <w:tcW w:w="876" w:type="dxa"/>
            <w:vAlign w:val="top"/>
          </w:tcPr>
          <w:p w14:paraId="656BBAB8">
            <w:pPr>
              <w:pStyle w:val="6"/>
              <w:spacing w:before="44" w:line="228" w:lineRule="auto"/>
              <w:ind w:left="131"/>
              <w:rPr>
                <w:sz w:val="20"/>
                <w:szCs w:val="20"/>
              </w:rPr>
            </w:pPr>
            <w:r>
              <w:rPr>
                <w:spacing w:val="6"/>
                <w:sz w:val="20"/>
                <w:szCs w:val="20"/>
              </w:rPr>
              <w:t>厢式车</w:t>
            </w:r>
          </w:p>
        </w:tc>
        <w:tc>
          <w:tcPr>
            <w:tcW w:w="723" w:type="dxa"/>
            <w:vAlign w:val="top"/>
          </w:tcPr>
          <w:p w14:paraId="2A1DC829">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F164F49">
            <w:pPr>
              <w:rPr>
                <w:rFonts w:ascii="Arial"/>
                <w:sz w:val="21"/>
              </w:rPr>
            </w:pPr>
          </w:p>
        </w:tc>
      </w:tr>
      <w:tr w14:paraId="36CD1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6FE6C01">
            <w:pPr>
              <w:rPr>
                <w:rFonts w:ascii="Arial"/>
                <w:sz w:val="21"/>
              </w:rPr>
            </w:pPr>
          </w:p>
        </w:tc>
        <w:tc>
          <w:tcPr>
            <w:tcW w:w="113" w:type="dxa"/>
            <w:tcBorders>
              <w:top w:val="nil"/>
              <w:bottom w:val="nil"/>
            </w:tcBorders>
            <w:vAlign w:val="top"/>
          </w:tcPr>
          <w:p w14:paraId="2D2B2C9E">
            <w:pPr>
              <w:rPr>
                <w:rFonts w:ascii="Arial"/>
                <w:sz w:val="21"/>
              </w:rPr>
            </w:pPr>
          </w:p>
        </w:tc>
        <w:tc>
          <w:tcPr>
            <w:tcW w:w="494" w:type="dxa"/>
            <w:vAlign w:val="top"/>
          </w:tcPr>
          <w:p w14:paraId="4B03EB95">
            <w:pPr>
              <w:spacing w:before="8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476" w:type="dxa"/>
            <w:vMerge w:val="continue"/>
            <w:tcBorders>
              <w:top w:val="nil"/>
            </w:tcBorders>
            <w:vAlign w:val="top"/>
          </w:tcPr>
          <w:p w14:paraId="6E0F8ADE">
            <w:pPr>
              <w:rPr>
                <w:rFonts w:ascii="Arial"/>
                <w:sz w:val="21"/>
              </w:rPr>
            </w:pPr>
          </w:p>
        </w:tc>
        <w:tc>
          <w:tcPr>
            <w:tcW w:w="1384" w:type="dxa"/>
            <w:vAlign w:val="top"/>
          </w:tcPr>
          <w:p w14:paraId="3EEA892D">
            <w:pPr>
              <w:pStyle w:val="6"/>
              <w:spacing w:before="44" w:line="227" w:lineRule="auto"/>
              <w:ind w:left="485"/>
              <w:rPr>
                <w:sz w:val="20"/>
                <w:szCs w:val="20"/>
              </w:rPr>
            </w:pPr>
            <w:r>
              <w:rPr>
                <w:spacing w:val="4"/>
                <w:sz w:val="20"/>
                <w:szCs w:val="20"/>
              </w:rPr>
              <w:t>粗苯</w:t>
            </w:r>
          </w:p>
        </w:tc>
        <w:tc>
          <w:tcPr>
            <w:tcW w:w="1037" w:type="dxa"/>
            <w:vAlign w:val="top"/>
          </w:tcPr>
          <w:p w14:paraId="3AE5ECE6">
            <w:pPr>
              <w:spacing w:before="79"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FFE2001">
            <w:pPr>
              <w:spacing w:before="8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45443</w:t>
            </w:r>
          </w:p>
        </w:tc>
        <w:tc>
          <w:tcPr>
            <w:tcW w:w="784" w:type="dxa"/>
            <w:vAlign w:val="top"/>
          </w:tcPr>
          <w:p w14:paraId="3FC6BEE7">
            <w:pPr>
              <w:pStyle w:val="6"/>
              <w:spacing w:before="45" w:line="228" w:lineRule="auto"/>
              <w:ind w:left="192"/>
              <w:rPr>
                <w:sz w:val="20"/>
                <w:szCs w:val="20"/>
              </w:rPr>
            </w:pPr>
            <w:r>
              <w:rPr>
                <w:spacing w:val="3"/>
                <w:sz w:val="20"/>
                <w:szCs w:val="20"/>
              </w:rPr>
              <w:t>液态</w:t>
            </w:r>
          </w:p>
        </w:tc>
        <w:tc>
          <w:tcPr>
            <w:tcW w:w="876" w:type="dxa"/>
            <w:vAlign w:val="top"/>
          </w:tcPr>
          <w:p w14:paraId="16821792">
            <w:pPr>
              <w:pStyle w:val="6"/>
              <w:spacing w:before="44" w:line="228" w:lineRule="auto"/>
              <w:ind w:left="238"/>
              <w:rPr>
                <w:sz w:val="20"/>
                <w:szCs w:val="20"/>
              </w:rPr>
            </w:pPr>
            <w:r>
              <w:rPr>
                <w:spacing w:val="3"/>
                <w:sz w:val="20"/>
                <w:szCs w:val="20"/>
              </w:rPr>
              <w:t>罐车</w:t>
            </w:r>
          </w:p>
        </w:tc>
        <w:tc>
          <w:tcPr>
            <w:tcW w:w="723" w:type="dxa"/>
            <w:vAlign w:val="top"/>
          </w:tcPr>
          <w:p w14:paraId="714C4023">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7C8E555A">
            <w:pPr>
              <w:rPr>
                <w:rFonts w:ascii="Arial"/>
                <w:sz w:val="21"/>
              </w:rPr>
            </w:pPr>
          </w:p>
        </w:tc>
      </w:tr>
      <w:tr w14:paraId="04C7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200C3C45">
            <w:pPr>
              <w:rPr>
                <w:rFonts w:ascii="Arial"/>
                <w:sz w:val="21"/>
              </w:rPr>
            </w:pPr>
          </w:p>
        </w:tc>
        <w:tc>
          <w:tcPr>
            <w:tcW w:w="113" w:type="dxa"/>
            <w:tcBorders>
              <w:top w:val="nil"/>
              <w:bottom w:val="nil"/>
            </w:tcBorders>
            <w:vAlign w:val="top"/>
          </w:tcPr>
          <w:p w14:paraId="2D860E65">
            <w:pPr>
              <w:rPr>
                <w:rFonts w:ascii="Arial"/>
                <w:sz w:val="21"/>
              </w:rPr>
            </w:pPr>
          </w:p>
        </w:tc>
        <w:tc>
          <w:tcPr>
            <w:tcW w:w="494" w:type="dxa"/>
            <w:vAlign w:val="top"/>
          </w:tcPr>
          <w:p w14:paraId="5F46E5B4">
            <w:pPr>
              <w:spacing w:line="416" w:lineRule="auto"/>
              <w:rPr>
                <w:rFonts w:ascii="Arial"/>
                <w:sz w:val="21"/>
              </w:rPr>
            </w:pPr>
          </w:p>
          <w:p w14:paraId="7C712E10">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76" w:type="dxa"/>
            <w:vAlign w:val="top"/>
          </w:tcPr>
          <w:p w14:paraId="00B487CD">
            <w:pPr>
              <w:pStyle w:val="6"/>
              <w:spacing w:before="166" w:line="228" w:lineRule="auto"/>
              <w:ind w:left="111"/>
              <w:rPr>
                <w:sz w:val="20"/>
                <w:szCs w:val="20"/>
              </w:rPr>
            </w:pPr>
            <w:r>
              <w:rPr>
                <w:spacing w:val="8"/>
                <w:sz w:val="20"/>
                <w:szCs w:val="20"/>
              </w:rPr>
              <w:t>鄂尔多斯市同</w:t>
            </w:r>
          </w:p>
          <w:p w14:paraId="5D941039">
            <w:pPr>
              <w:pStyle w:val="6"/>
              <w:spacing w:before="27" w:line="228" w:lineRule="auto"/>
              <w:ind w:left="110"/>
              <w:rPr>
                <w:sz w:val="20"/>
                <w:szCs w:val="20"/>
              </w:rPr>
            </w:pPr>
            <w:r>
              <w:rPr>
                <w:spacing w:val="8"/>
                <w:sz w:val="20"/>
                <w:szCs w:val="20"/>
              </w:rPr>
              <w:t>源化工有限责</w:t>
            </w:r>
          </w:p>
          <w:p w14:paraId="440B6C83">
            <w:pPr>
              <w:pStyle w:val="6"/>
              <w:spacing w:before="23" w:line="228" w:lineRule="auto"/>
              <w:ind w:left="424"/>
              <w:rPr>
                <w:sz w:val="20"/>
                <w:szCs w:val="20"/>
              </w:rPr>
            </w:pPr>
            <w:r>
              <w:rPr>
                <w:spacing w:val="7"/>
                <w:sz w:val="20"/>
                <w:szCs w:val="20"/>
              </w:rPr>
              <w:t>任公司</w:t>
            </w:r>
          </w:p>
        </w:tc>
        <w:tc>
          <w:tcPr>
            <w:tcW w:w="1384" w:type="dxa"/>
            <w:vAlign w:val="top"/>
          </w:tcPr>
          <w:p w14:paraId="69B0B4B0">
            <w:pPr>
              <w:spacing w:line="372" w:lineRule="auto"/>
              <w:rPr>
                <w:rFonts w:ascii="Arial"/>
                <w:sz w:val="21"/>
              </w:rPr>
            </w:pPr>
          </w:p>
          <w:p w14:paraId="28C824DC">
            <w:pPr>
              <w:pStyle w:val="6"/>
              <w:spacing w:before="65" w:line="231" w:lineRule="auto"/>
              <w:ind w:left="510"/>
              <w:rPr>
                <w:sz w:val="20"/>
                <w:szCs w:val="20"/>
              </w:rPr>
            </w:pPr>
            <w:r>
              <w:rPr>
                <w:spacing w:val="-8"/>
                <w:sz w:val="20"/>
                <w:szCs w:val="20"/>
              </w:rPr>
              <w:t>电石</w:t>
            </w:r>
          </w:p>
        </w:tc>
        <w:tc>
          <w:tcPr>
            <w:tcW w:w="1037" w:type="dxa"/>
            <w:vAlign w:val="top"/>
          </w:tcPr>
          <w:p w14:paraId="4B7A544B">
            <w:pPr>
              <w:spacing w:line="412" w:lineRule="auto"/>
              <w:rPr>
                <w:rFonts w:ascii="Arial"/>
                <w:sz w:val="21"/>
              </w:rPr>
            </w:pPr>
          </w:p>
          <w:p w14:paraId="7640703C">
            <w:pPr>
              <w:spacing w:before="5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68CC966E">
            <w:pPr>
              <w:spacing w:line="416" w:lineRule="auto"/>
              <w:rPr>
                <w:rFonts w:ascii="Arial"/>
                <w:sz w:val="21"/>
              </w:rPr>
            </w:pPr>
          </w:p>
          <w:p w14:paraId="2C38137B">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300000</w:t>
            </w:r>
          </w:p>
        </w:tc>
        <w:tc>
          <w:tcPr>
            <w:tcW w:w="784" w:type="dxa"/>
            <w:vAlign w:val="top"/>
          </w:tcPr>
          <w:p w14:paraId="7192F129">
            <w:pPr>
              <w:spacing w:line="373" w:lineRule="auto"/>
              <w:rPr>
                <w:rFonts w:ascii="Arial"/>
                <w:sz w:val="21"/>
              </w:rPr>
            </w:pPr>
          </w:p>
          <w:p w14:paraId="7A6577FE">
            <w:pPr>
              <w:pStyle w:val="6"/>
              <w:spacing w:before="65" w:line="228" w:lineRule="auto"/>
              <w:ind w:left="208"/>
              <w:rPr>
                <w:sz w:val="20"/>
                <w:szCs w:val="20"/>
              </w:rPr>
            </w:pPr>
            <w:r>
              <w:rPr>
                <w:spacing w:val="-5"/>
                <w:sz w:val="20"/>
                <w:szCs w:val="20"/>
              </w:rPr>
              <w:t>固态</w:t>
            </w:r>
          </w:p>
        </w:tc>
        <w:tc>
          <w:tcPr>
            <w:tcW w:w="876" w:type="dxa"/>
            <w:vAlign w:val="top"/>
          </w:tcPr>
          <w:p w14:paraId="1720DAE1">
            <w:pPr>
              <w:pStyle w:val="6"/>
              <w:spacing w:before="32" w:line="228" w:lineRule="auto"/>
              <w:ind w:left="133"/>
              <w:rPr>
                <w:sz w:val="20"/>
                <w:szCs w:val="20"/>
              </w:rPr>
            </w:pPr>
            <w:r>
              <w:rPr>
                <w:spacing w:val="6"/>
                <w:sz w:val="20"/>
                <w:szCs w:val="20"/>
              </w:rPr>
              <w:t>危险品</w:t>
            </w:r>
          </w:p>
          <w:p w14:paraId="1ABA2CF6">
            <w:pPr>
              <w:pStyle w:val="6"/>
              <w:spacing w:before="23" w:line="228" w:lineRule="auto"/>
              <w:ind w:left="132"/>
              <w:rPr>
                <w:sz w:val="20"/>
                <w:szCs w:val="20"/>
              </w:rPr>
            </w:pPr>
            <w:r>
              <w:rPr>
                <w:spacing w:val="6"/>
                <w:sz w:val="20"/>
                <w:szCs w:val="20"/>
              </w:rPr>
              <w:t>罐箱骨</w:t>
            </w:r>
          </w:p>
          <w:p w14:paraId="37B659B8">
            <w:pPr>
              <w:pStyle w:val="6"/>
              <w:spacing w:before="27" w:line="228" w:lineRule="auto"/>
              <w:ind w:left="131"/>
              <w:rPr>
                <w:sz w:val="20"/>
                <w:szCs w:val="20"/>
              </w:rPr>
            </w:pPr>
            <w:r>
              <w:rPr>
                <w:spacing w:val="6"/>
                <w:sz w:val="20"/>
                <w:szCs w:val="20"/>
              </w:rPr>
              <w:t>架半挂</w:t>
            </w:r>
          </w:p>
          <w:p w14:paraId="652AC015">
            <w:pPr>
              <w:pStyle w:val="6"/>
              <w:spacing w:before="23" w:line="217" w:lineRule="auto"/>
              <w:ind w:left="341"/>
              <w:rPr>
                <w:sz w:val="20"/>
                <w:szCs w:val="20"/>
              </w:rPr>
            </w:pPr>
            <w:r>
              <w:rPr>
                <w:sz w:val="20"/>
                <w:szCs w:val="20"/>
              </w:rPr>
              <w:t>车</w:t>
            </w:r>
          </w:p>
        </w:tc>
        <w:tc>
          <w:tcPr>
            <w:tcW w:w="723" w:type="dxa"/>
            <w:vAlign w:val="top"/>
          </w:tcPr>
          <w:p w14:paraId="1487F1AE">
            <w:pPr>
              <w:spacing w:line="372" w:lineRule="auto"/>
              <w:rPr>
                <w:rFonts w:ascii="Arial"/>
                <w:sz w:val="21"/>
              </w:rPr>
            </w:pPr>
          </w:p>
          <w:p w14:paraId="7300CD72">
            <w:pPr>
              <w:pStyle w:val="6"/>
              <w:spacing w:before="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D3A476E">
            <w:pPr>
              <w:rPr>
                <w:rFonts w:ascii="Arial"/>
                <w:sz w:val="21"/>
              </w:rPr>
            </w:pPr>
          </w:p>
        </w:tc>
      </w:tr>
      <w:tr w14:paraId="6D50A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4DFFB95E">
            <w:pPr>
              <w:rPr>
                <w:rFonts w:ascii="Arial"/>
                <w:sz w:val="21"/>
              </w:rPr>
            </w:pPr>
          </w:p>
        </w:tc>
        <w:tc>
          <w:tcPr>
            <w:tcW w:w="113" w:type="dxa"/>
            <w:tcBorders>
              <w:top w:val="nil"/>
              <w:bottom w:val="nil"/>
            </w:tcBorders>
            <w:vAlign w:val="top"/>
          </w:tcPr>
          <w:p w14:paraId="1CC2A8BB">
            <w:pPr>
              <w:rPr>
                <w:rFonts w:ascii="Arial"/>
                <w:sz w:val="21"/>
              </w:rPr>
            </w:pPr>
          </w:p>
        </w:tc>
        <w:tc>
          <w:tcPr>
            <w:tcW w:w="494" w:type="dxa"/>
            <w:vAlign w:val="top"/>
          </w:tcPr>
          <w:p w14:paraId="4B021E42">
            <w:pPr>
              <w:spacing w:before="206"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476" w:type="dxa"/>
            <w:vMerge w:val="restart"/>
            <w:tcBorders>
              <w:bottom w:val="nil"/>
            </w:tcBorders>
            <w:vAlign w:val="top"/>
          </w:tcPr>
          <w:p w14:paraId="707E767C">
            <w:pPr>
              <w:spacing w:line="450" w:lineRule="auto"/>
              <w:rPr>
                <w:rFonts w:ascii="Arial"/>
                <w:sz w:val="21"/>
              </w:rPr>
            </w:pPr>
          </w:p>
          <w:p w14:paraId="14F6E1CE">
            <w:pPr>
              <w:pStyle w:val="6"/>
              <w:spacing w:before="65" w:line="228" w:lineRule="auto"/>
              <w:ind w:left="136"/>
              <w:rPr>
                <w:sz w:val="20"/>
                <w:szCs w:val="20"/>
              </w:rPr>
            </w:pPr>
            <w:r>
              <w:rPr>
                <w:spacing w:val="4"/>
                <w:sz w:val="20"/>
                <w:szCs w:val="20"/>
              </w:rPr>
              <w:t>内蒙古鄂尔多</w:t>
            </w:r>
          </w:p>
          <w:p w14:paraId="0F29A92A">
            <w:pPr>
              <w:pStyle w:val="6"/>
              <w:spacing w:before="24" w:line="228" w:lineRule="auto"/>
              <w:ind w:left="112"/>
              <w:rPr>
                <w:sz w:val="20"/>
                <w:szCs w:val="20"/>
              </w:rPr>
            </w:pPr>
            <w:r>
              <w:rPr>
                <w:spacing w:val="8"/>
                <w:sz w:val="20"/>
                <w:szCs w:val="20"/>
              </w:rPr>
              <w:t>斯联合化工有</w:t>
            </w:r>
          </w:p>
          <w:p w14:paraId="7158371F">
            <w:pPr>
              <w:pStyle w:val="6"/>
              <w:spacing w:before="24" w:line="228" w:lineRule="auto"/>
              <w:ind w:left="440"/>
              <w:rPr>
                <w:sz w:val="20"/>
                <w:szCs w:val="20"/>
              </w:rPr>
            </w:pPr>
            <w:r>
              <w:rPr>
                <w:spacing w:val="2"/>
                <w:sz w:val="20"/>
                <w:szCs w:val="20"/>
              </w:rPr>
              <w:t>限公司</w:t>
            </w:r>
          </w:p>
        </w:tc>
        <w:tc>
          <w:tcPr>
            <w:tcW w:w="1384" w:type="dxa"/>
            <w:vAlign w:val="top"/>
          </w:tcPr>
          <w:p w14:paraId="33EAAADC">
            <w:pPr>
              <w:pStyle w:val="6"/>
              <w:spacing w:before="169" w:line="231" w:lineRule="auto"/>
              <w:ind w:left="512"/>
              <w:rPr>
                <w:sz w:val="20"/>
                <w:szCs w:val="20"/>
              </w:rPr>
            </w:pPr>
            <w:r>
              <w:rPr>
                <w:spacing w:val="-9"/>
                <w:sz w:val="20"/>
                <w:szCs w:val="20"/>
              </w:rPr>
              <w:t>甲醛</w:t>
            </w:r>
          </w:p>
        </w:tc>
        <w:tc>
          <w:tcPr>
            <w:tcW w:w="1037" w:type="dxa"/>
            <w:vAlign w:val="top"/>
          </w:tcPr>
          <w:p w14:paraId="07FC137B">
            <w:pPr>
              <w:spacing w:before="206"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7136</w:t>
            </w:r>
          </w:p>
        </w:tc>
        <w:tc>
          <w:tcPr>
            <w:tcW w:w="992" w:type="dxa"/>
            <w:vAlign w:val="top"/>
          </w:tcPr>
          <w:p w14:paraId="5C134AB1">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E154122">
            <w:pPr>
              <w:pStyle w:val="6"/>
              <w:spacing w:before="170" w:line="229" w:lineRule="auto"/>
              <w:ind w:left="191"/>
              <w:rPr>
                <w:sz w:val="20"/>
                <w:szCs w:val="20"/>
              </w:rPr>
            </w:pPr>
            <w:r>
              <w:rPr>
                <w:spacing w:val="4"/>
                <w:sz w:val="20"/>
                <w:szCs w:val="20"/>
              </w:rPr>
              <w:t>气态</w:t>
            </w:r>
          </w:p>
        </w:tc>
        <w:tc>
          <w:tcPr>
            <w:tcW w:w="876" w:type="dxa"/>
            <w:vAlign w:val="top"/>
          </w:tcPr>
          <w:p w14:paraId="307CBE6C">
            <w:pPr>
              <w:pStyle w:val="6"/>
              <w:spacing w:before="34" w:line="233"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9C0CCA9">
            <w:pPr>
              <w:pStyle w:val="6"/>
              <w:spacing w:before="170"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1EE65AC">
            <w:pPr>
              <w:rPr>
                <w:rFonts w:ascii="Arial"/>
                <w:sz w:val="21"/>
              </w:rPr>
            </w:pPr>
          </w:p>
        </w:tc>
      </w:tr>
      <w:tr w14:paraId="01491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D976C26">
            <w:pPr>
              <w:rPr>
                <w:rFonts w:ascii="Arial"/>
                <w:sz w:val="21"/>
              </w:rPr>
            </w:pPr>
          </w:p>
        </w:tc>
        <w:tc>
          <w:tcPr>
            <w:tcW w:w="113" w:type="dxa"/>
            <w:tcBorders>
              <w:top w:val="nil"/>
              <w:bottom w:val="nil"/>
            </w:tcBorders>
            <w:vAlign w:val="top"/>
          </w:tcPr>
          <w:p w14:paraId="155A71F9">
            <w:pPr>
              <w:rPr>
                <w:rFonts w:ascii="Arial"/>
                <w:sz w:val="21"/>
              </w:rPr>
            </w:pPr>
          </w:p>
        </w:tc>
        <w:tc>
          <w:tcPr>
            <w:tcW w:w="494" w:type="dxa"/>
            <w:vAlign w:val="top"/>
          </w:tcPr>
          <w:p w14:paraId="2D33C079">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476" w:type="dxa"/>
            <w:vMerge w:val="continue"/>
            <w:tcBorders>
              <w:top w:val="nil"/>
              <w:bottom w:val="nil"/>
            </w:tcBorders>
            <w:vAlign w:val="top"/>
          </w:tcPr>
          <w:p w14:paraId="2618FC6E">
            <w:pPr>
              <w:rPr>
                <w:rFonts w:ascii="Arial"/>
                <w:sz w:val="21"/>
              </w:rPr>
            </w:pPr>
          </w:p>
        </w:tc>
        <w:tc>
          <w:tcPr>
            <w:tcW w:w="1384" w:type="dxa"/>
            <w:vAlign w:val="top"/>
          </w:tcPr>
          <w:p w14:paraId="5124168E">
            <w:pPr>
              <w:pStyle w:val="6"/>
              <w:spacing w:before="48" w:line="228" w:lineRule="auto"/>
              <w:ind w:left="484"/>
              <w:rPr>
                <w:sz w:val="20"/>
                <w:szCs w:val="20"/>
              </w:rPr>
            </w:pPr>
            <w:r>
              <w:rPr>
                <w:spacing w:val="5"/>
                <w:sz w:val="20"/>
                <w:szCs w:val="20"/>
              </w:rPr>
              <w:t>硫酸</w:t>
            </w:r>
          </w:p>
        </w:tc>
        <w:tc>
          <w:tcPr>
            <w:tcW w:w="1037" w:type="dxa"/>
            <w:vAlign w:val="top"/>
          </w:tcPr>
          <w:p w14:paraId="178356FE">
            <w:pPr>
              <w:spacing w:before="84"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92" w:type="dxa"/>
            <w:vAlign w:val="top"/>
          </w:tcPr>
          <w:p w14:paraId="683E6FD0">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D275DC3">
            <w:pPr>
              <w:pStyle w:val="6"/>
              <w:spacing w:before="48" w:line="228" w:lineRule="auto"/>
              <w:ind w:left="192"/>
              <w:rPr>
                <w:sz w:val="20"/>
                <w:szCs w:val="20"/>
              </w:rPr>
            </w:pPr>
            <w:r>
              <w:rPr>
                <w:spacing w:val="3"/>
                <w:sz w:val="20"/>
                <w:szCs w:val="20"/>
              </w:rPr>
              <w:t>液态</w:t>
            </w:r>
          </w:p>
        </w:tc>
        <w:tc>
          <w:tcPr>
            <w:tcW w:w="876" w:type="dxa"/>
            <w:vAlign w:val="top"/>
          </w:tcPr>
          <w:p w14:paraId="776A6503">
            <w:pPr>
              <w:pStyle w:val="6"/>
              <w:spacing w:before="47" w:line="228" w:lineRule="auto"/>
              <w:ind w:left="238"/>
              <w:rPr>
                <w:sz w:val="20"/>
                <w:szCs w:val="20"/>
              </w:rPr>
            </w:pPr>
            <w:r>
              <w:rPr>
                <w:spacing w:val="3"/>
                <w:sz w:val="20"/>
                <w:szCs w:val="20"/>
              </w:rPr>
              <w:t>罐车</w:t>
            </w:r>
          </w:p>
        </w:tc>
        <w:tc>
          <w:tcPr>
            <w:tcW w:w="723" w:type="dxa"/>
            <w:vAlign w:val="top"/>
          </w:tcPr>
          <w:p w14:paraId="0A55CA6A">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4B111BC">
            <w:pPr>
              <w:rPr>
                <w:rFonts w:ascii="Arial"/>
                <w:sz w:val="21"/>
              </w:rPr>
            </w:pPr>
          </w:p>
        </w:tc>
      </w:tr>
      <w:tr w14:paraId="66EEC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A7C1993">
            <w:pPr>
              <w:rPr>
                <w:rFonts w:ascii="Arial"/>
                <w:sz w:val="21"/>
              </w:rPr>
            </w:pPr>
          </w:p>
        </w:tc>
        <w:tc>
          <w:tcPr>
            <w:tcW w:w="113" w:type="dxa"/>
            <w:tcBorders>
              <w:top w:val="nil"/>
              <w:bottom w:val="nil"/>
            </w:tcBorders>
            <w:vAlign w:val="top"/>
          </w:tcPr>
          <w:p w14:paraId="155DFC3B">
            <w:pPr>
              <w:rPr>
                <w:rFonts w:ascii="Arial"/>
                <w:sz w:val="21"/>
              </w:rPr>
            </w:pPr>
          </w:p>
        </w:tc>
        <w:tc>
          <w:tcPr>
            <w:tcW w:w="494" w:type="dxa"/>
            <w:vAlign w:val="top"/>
          </w:tcPr>
          <w:p w14:paraId="1FEE95AD">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476" w:type="dxa"/>
            <w:vMerge w:val="continue"/>
            <w:tcBorders>
              <w:top w:val="nil"/>
              <w:bottom w:val="nil"/>
            </w:tcBorders>
            <w:vAlign w:val="top"/>
          </w:tcPr>
          <w:p w14:paraId="04C73691">
            <w:pPr>
              <w:rPr>
                <w:rFonts w:ascii="Arial"/>
                <w:sz w:val="21"/>
              </w:rPr>
            </w:pPr>
          </w:p>
        </w:tc>
        <w:tc>
          <w:tcPr>
            <w:tcW w:w="1384" w:type="dxa"/>
            <w:vAlign w:val="top"/>
          </w:tcPr>
          <w:p w14:paraId="33321EAF">
            <w:pPr>
              <w:pStyle w:val="6"/>
              <w:spacing w:before="48" w:line="228" w:lineRule="auto"/>
              <w:ind w:left="487"/>
              <w:rPr>
                <w:sz w:val="20"/>
                <w:szCs w:val="20"/>
              </w:rPr>
            </w:pPr>
            <w:r>
              <w:rPr>
                <w:spacing w:val="3"/>
                <w:sz w:val="20"/>
                <w:szCs w:val="20"/>
              </w:rPr>
              <w:t>盐酸</w:t>
            </w:r>
          </w:p>
        </w:tc>
        <w:tc>
          <w:tcPr>
            <w:tcW w:w="1037" w:type="dxa"/>
            <w:vAlign w:val="top"/>
          </w:tcPr>
          <w:p w14:paraId="3B5E22FA">
            <w:pPr>
              <w:spacing w:before="8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3AB443E6">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FC44578">
            <w:pPr>
              <w:pStyle w:val="6"/>
              <w:spacing w:before="48" w:line="228" w:lineRule="auto"/>
              <w:ind w:left="192"/>
              <w:rPr>
                <w:sz w:val="20"/>
                <w:szCs w:val="20"/>
              </w:rPr>
            </w:pPr>
            <w:r>
              <w:rPr>
                <w:spacing w:val="3"/>
                <w:sz w:val="20"/>
                <w:szCs w:val="20"/>
              </w:rPr>
              <w:t>液态</w:t>
            </w:r>
          </w:p>
        </w:tc>
        <w:tc>
          <w:tcPr>
            <w:tcW w:w="876" w:type="dxa"/>
            <w:vAlign w:val="top"/>
          </w:tcPr>
          <w:p w14:paraId="4D8C8B61">
            <w:pPr>
              <w:pStyle w:val="6"/>
              <w:spacing w:before="47" w:line="228" w:lineRule="auto"/>
              <w:ind w:left="238"/>
              <w:rPr>
                <w:sz w:val="20"/>
                <w:szCs w:val="20"/>
              </w:rPr>
            </w:pPr>
            <w:r>
              <w:rPr>
                <w:spacing w:val="3"/>
                <w:sz w:val="20"/>
                <w:szCs w:val="20"/>
              </w:rPr>
              <w:t>罐车</w:t>
            </w:r>
          </w:p>
        </w:tc>
        <w:tc>
          <w:tcPr>
            <w:tcW w:w="723" w:type="dxa"/>
            <w:vAlign w:val="top"/>
          </w:tcPr>
          <w:p w14:paraId="4EB49675">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AE364B9">
            <w:pPr>
              <w:rPr>
                <w:rFonts w:ascii="Arial"/>
                <w:sz w:val="21"/>
              </w:rPr>
            </w:pPr>
          </w:p>
        </w:tc>
      </w:tr>
      <w:tr w14:paraId="7480D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CD374BB">
            <w:pPr>
              <w:rPr>
                <w:rFonts w:ascii="Arial"/>
                <w:sz w:val="21"/>
              </w:rPr>
            </w:pPr>
          </w:p>
        </w:tc>
        <w:tc>
          <w:tcPr>
            <w:tcW w:w="113" w:type="dxa"/>
            <w:tcBorders>
              <w:top w:val="nil"/>
              <w:bottom w:val="nil"/>
            </w:tcBorders>
            <w:vAlign w:val="top"/>
          </w:tcPr>
          <w:p w14:paraId="14D5B754">
            <w:pPr>
              <w:rPr>
                <w:rFonts w:ascii="Arial"/>
                <w:sz w:val="21"/>
              </w:rPr>
            </w:pPr>
          </w:p>
        </w:tc>
        <w:tc>
          <w:tcPr>
            <w:tcW w:w="494" w:type="dxa"/>
            <w:vAlign w:val="top"/>
          </w:tcPr>
          <w:p w14:paraId="5519C31F">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476" w:type="dxa"/>
            <w:vMerge w:val="continue"/>
            <w:tcBorders>
              <w:top w:val="nil"/>
              <w:bottom w:val="nil"/>
            </w:tcBorders>
            <w:vAlign w:val="top"/>
          </w:tcPr>
          <w:p w14:paraId="5084E7C7">
            <w:pPr>
              <w:rPr>
                <w:rFonts w:ascii="Arial"/>
                <w:sz w:val="21"/>
              </w:rPr>
            </w:pPr>
          </w:p>
        </w:tc>
        <w:tc>
          <w:tcPr>
            <w:tcW w:w="1384" w:type="dxa"/>
            <w:vAlign w:val="top"/>
          </w:tcPr>
          <w:p w14:paraId="14A0EE78">
            <w:pPr>
              <w:pStyle w:val="6"/>
              <w:spacing w:before="47" w:line="227" w:lineRule="auto"/>
              <w:ind w:left="276"/>
              <w:rPr>
                <w:sz w:val="20"/>
                <w:szCs w:val="20"/>
              </w:rPr>
            </w:pPr>
            <w:r>
              <w:rPr>
                <w:spacing w:val="7"/>
                <w:sz w:val="20"/>
                <w:szCs w:val="20"/>
              </w:rPr>
              <w:t>氢氧化钠</w:t>
            </w:r>
          </w:p>
        </w:tc>
        <w:tc>
          <w:tcPr>
            <w:tcW w:w="1037" w:type="dxa"/>
            <w:vAlign w:val="top"/>
          </w:tcPr>
          <w:p w14:paraId="4C47E058">
            <w:pPr>
              <w:spacing w:before="83"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92" w:type="dxa"/>
            <w:vAlign w:val="top"/>
          </w:tcPr>
          <w:p w14:paraId="4A80F10B">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9655013">
            <w:pPr>
              <w:pStyle w:val="6"/>
              <w:spacing w:before="47" w:line="228" w:lineRule="auto"/>
              <w:ind w:left="208"/>
              <w:rPr>
                <w:sz w:val="20"/>
                <w:szCs w:val="20"/>
              </w:rPr>
            </w:pPr>
            <w:r>
              <w:rPr>
                <w:spacing w:val="-5"/>
                <w:sz w:val="20"/>
                <w:szCs w:val="20"/>
              </w:rPr>
              <w:t>固态</w:t>
            </w:r>
          </w:p>
        </w:tc>
        <w:tc>
          <w:tcPr>
            <w:tcW w:w="876" w:type="dxa"/>
            <w:vAlign w:val="top"/>
          </w:tcPr>
          <w:p w14:paraId="736E656A">
            <w:pPr>
              <w:pStyle w:val="6"/>
              <w:spacing w:before="47" w:line="228" w:lineRule="auto"/>
              <w:ind w:left="131"/>
              <w:rPr>
                <w:sz w:val="20"/>
                <w:szCs w:val="20"/>
              </w:rPr>
            </w:pPr>
            <w:r>
              <w:rPr>
                <w:spacing w:val="6"/>
                <w:sz w:val="20"/>
                <w:szCs w:val="20"/>
              </w:rPr>
              <w:t>厢式车</w:t>
            </w:r>
          </w:p>
        </w:tc>
        <w:tc>
          <w:tcPr>
            <w:tcW w:w="723" w:type="dxa"/>
            <w:vAlign w:val="top"/>
          </w:tcPr>
          <w:p w14:paraId="5199EDD3">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CEB903E">
            <w:pPr>
              <w:rPr>
                <w:rFonts w:ascii="Arial"/>
                <w:sz w:val="21"/>
              </w:rPr>
            </w:pPr>
          </w:p>
        </w:tc>
      </w:tr>
      <w:tr w14:paraId="374E1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35D5E9F">
            <w:pPr>
              <w:rPr>
                <w:rFonts w:ascii="Arial"/>
                <w:sz w:val="21"/>
              </w:rPr>
            </w:pPr>
          </w:p>
        </w:tc>
        <w:tc>
          <w:tcPr>
            <w:tcW w:w="113" w:type="dxa"/>
            <w:tcBorders>
              <w:top w:val="nil"/>
              <w:bottom w:val="nil"/>
            </w:tcBorders>
            <w:vAlign w:val="top"/>
          </w:tcPr>
          <w:p w14:paraId="4E1411D1">
            <w:pPr>
              <w:rPr>
                <w:rFonts w:ascii="Arial"/>
                <w:sz w:val="21"/>
              </w:rPr>
            </w:pPr>
          </w:p>
        </w:tc>
        <w:tc>
          <w:tcPr>
            <w:tcW w:w="494" w:type="dxa"/>
            <w:vAlign w:val="top"/>
          </w:tcPr>
          <w:p w14:paraId="121D41E6">
            <w:pPr>
              <w:spacing w:before="8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76" w:type="dxa"/>
            <w:vMerge w:val="continue"/>
            <w:tcBorders>
              <w:top w:val="nil"/>
            </w:tcBorders>
            <w:vAlign w:val="top"/>
          </w:tcPr>
          <w:p w14:paraId="36AF33CE">
            <w:pPr>
              <w:rPr>
                <w:rFonts w:ascii="Arial"/>
                <w:sz w:val="21"/>
              </w:rPr>
            </w:pPr>
          </w:p>
        </w:tc>
        <w:tc>
          <w:tcPr>
            <w:tcW w:w="1384" w:type="dxa"/>
            <w:vAlign w:val="top"/>
          </w:tcPr>
          <w:p w14:paraId="175200DA">
            <w:pPr>
              <w:pStyle w:val="6"/>
              <w:spacing w:before="47" w:line="228" w:lineRule="auto"/>
              <w:ind w:left="487"/>
              <w:rPr>
                <w:sz w:val="20"/>
                <w:szCs w:val="20"/>
              </w:rPr>
            </w:pPr>
            <w:r>
              <w:rPr>
                <w:spacing w:val="3"/>
                <w:sz w:val="20"/>
                <w:szCs w:val="20"/>
              </w:rPr>
              <w:t>液氨</w:t>
            </w:r>
          </w:p>
        </w:tc>
        <w:tc>
          <w:tcPr>
            <w:tcW w:w="1037" w:type="dxa"/>
            <w:vAlign w:val="top"/>
          </w:tcPr>
          <w:p w14:paraId="2739FF10">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012DA44">
            <w:pPr>
              <w:spacing w:before="8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2F38DB82">
            <w:pPr>
              <w:pStyle w:val="6"/>
              <w:spacing w:before="47" w:line="228" w:lineRule="auto"/>
              <w:ind w:left="192"/>
              <w:rPr>
                <w:sz w:val="20"/>
                <w:szCs w:val="20"/>
              </w:rPr>
            </w:pPr>
            <w:r>
              <w:rPr>
                <w:spacing w:val="3"/>
                <w:sz w:val="20"/>
                <w:szCs w:val="20"/>
              </w:rPr>
              <w:t>液态</w:t>
            </w:r>
          </w:p>
        </w:tc>
        <w:tc>
          <w:tcPr>
            <w:tcW w:w="876" w:type="dxa"/>
            <w:vAlign w:val="top"/>
          </w:tcPr>
          <w:p w14:paraId="0C4616F0">
            <w:pPr>
              <w:pStyle w:val="6"/>
              <w:spacing w:before="46" w:line="228" w:lineRule="auto"/>
              <w:ind w:left="238"/>
              <w:rPr>
                <w:sz w:val="20"/>
                <w:szCs w:val="20"/>
              </w:rPr>
            </w:pPr>
            <w:r>
              <w:rPr>
                <w:spacing w:val="3"/>
                <w:sz w:val="20"/>
                <w:szCs w:val="20"/>
              </w:rPr>
              <w:t>罐车</w:t>
            </w:r>
          </w:p>
        </w:tc>
        <w:tc>
          <w:tcPr>
            <w:tcW w:w="723" w:type="dxa"/>
            <w:vAlign w:val="top"/>
          </w:tcPr>
          <w:p w14:paraId="4F60232E">
            <w:pPr>
              <w:pStyle w:val="6"/>
              <w:spacing w:before="4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9572269">
            <w:pPr>
              <w:rPr>
                <w:rFonts w:ascii="Arial"/>
                <w:sz w:val="21"/>
              </w:rPr>
            </w:pPr>
          </w:p>
        </w:tc>
      </w:tr>
      <w:tr w14:paraId="47918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DAC6D1A">
            <w:pPr>
              <w:rPr>
                <w:rFonts w:ascii="Arial"/>
                <w:sz w:val="21"/>
              </w:rPr>
            </w:pPr>
          </w:p>
        </w:tc>
        <w:tc>
          <w:tcPr>
            <w:tcW w:w="113" w:type="dxa"/>
            <w:tcBorders>
              <w:top w:val="nil"/>
              <w:bottom w:val="nil"/>
            </w:tcBorders>
            <w:vAlign w:val="top"/>
          </w:tcPr>
          <w:p w14:paraId="7214AD9B">
            <w:pPr>
              <w:rPr>
                <w:rFonts w:ascii="Arial"/>
                <w:sz w:val="21"/>
              </w:rPr>
            </w:pPr>
          </w:p>
        </w:tc>
        <w:tc>
          <w:tcPr>
            <w:tcW w:w="494" w:type="dxa"/>
            <w:vAlign w:val="top"/>
          </w:tcPr>
          <w:p w14:paraId="0EEAC9A4">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476" w:type="dxa"/>
            <w:vMerge w:val="restart"/>
            <w:tcBorders>
              <w:bottom w:val="nil"/>
            </w:tcBorders>
            <w:vAlign w:val="top"/>
          </w:tcPr>
          <w:p w14:paraId="67ADDC2F">
            <w:pPr>
              <w:pStyle w:val="6"/>
              <w:spacing w:before="240" w:line="228" w:lineRule="auto"/>
              <w:ind w:left="136"/>
              <w:rPr>
                <w:sz w:val="20"/>
                <w:szCs w:val="20"/>
              </w:rPr>
            </w:pPr>
            <w:r>
              <w:rPr>
                <w:spacing w:val="4"/>
                <w:sz w:val="20"/>
                <w:szCs w:val="20"/>
              </w:rPr>
              <w:t>内蒙古鄂尔多</w:t>
            </w:r>
          </w:p>
          <w:p w14:paraId="28E1E033">
            <w:pPr>
              <w:pStyle w:val="6"/>
              <w:spacing w:before="24" w:line="228" w:lineRule="auto"/>
              <w:ind w:left="112"/>
              <w:rPr>
                <w:sz w:val="20"/>
                <w:szCs w:val="20"/>
              </w:rPr>
            </w:pPr>
            <w:r>
              <w:rPr>
                <w:spacing w:val="8"/>
                <w:sz w:val="20"/>
                <w:szCs w:val="20"/>
              </w:rPr>
              <w:t>斯化学工业有</w:t>
            </w:r>
          </w:p>
          <w:p w14:paraId="08210020">
            <w:pPr>
              <w:pStyle w:val="6"/>
              <w:spacing w:before="24" w:line="228" w:lineRule="auto"/>
              <w:ind w:left="440"/>
              <w:rPr>
                <w:sz w:val="20"/>
                <w:szCs w:val="20"/>
              </w:rPr>
            </w:pPr>
            <w:r>
              <w:rPr>
                <w:spacing w:val="2"/>
                <w:sz w:val="20"/>
                <w:szCs w:val="20"/>
              </w:rPr>
              <w:t>限公司</w:t>
            </w:r>
          </w:p>
        </w:tc>
        <w:tc>
          <w:tcPr>
            <w:tcW w:w="1384" w:type="dxa"/>
            <w:vAlign w:val="top"/>
          </w:tcPr>
          <w:p w14:paraId="64F34C93">
            <w:pPr>
              <w:pStyle w:val="6"/>
              <w:spacing w:before="47" w:line="228" w:lineRule="auto"/>
              <w:ind w:left="487"/>
              <w:rPr>
                <w:sz w:val="20"/>
                <w:szCs w:val="20"/>
              </w:rPr>
            </w:pPr>
            <w:r>
              <w:rPr>
                <w:spacing w:val="3"/>
                <w:sz w:val="20"/>
                <w:szCs w:val="20"/>
              </w:rPr>
              <w:t>液氨</w:t>
            </w:r>
          </w:p>
        </w:tc>
        <w:tc>
          <w:tcPr>
            <w:tcW w:w="1037" w:type="dxa"/>
            <w:vAlign w:val="top"/>
          </w:tcPr>
          <w:p w14:paraId="18856023">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9157DED">
            <w:pPr>
              <w:spacing w:before="84"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1FED396B">
            <w:pPr>
              <w:pStyle w:val="6"/>
              <w:spacing w:before="47" w:line="228" w:lineRule="auto"/>
              <w:ind w:left="192"/>
              <w:rPr>
                <w:sz w:val="20"/>
                <w:szCs w:val="20"/>
              </w:rPr>
            </w:pPr>
            <w:r>
              <w:rPr>
                <w:spacing w:val="3"/>
                <w:sz w:val="20"/>
                <w:szCs w:val="20"/>
              </w:rPr>
              <w:t>液态</w:t>
            </w:r>
          </w:p>
        </w:tc>
        <w:tc>
          <w:tcPr>
            <w:tcW w:w="876" w:type="dxa"/>
            <w:vAlign w:val="top"/>
          </w:tcPr>
          <w:p w14:paraId="55D73B05">
            <w:pPr>
              <w:pStyle w:val="6"/>
              <w:spacing w:before="46" w:line="228" w:lineRule="auto"/>
              <w:ind w:left="238"/>
              <w:rPr>
                <w:sz w:val="20"/>
                <w:szCs w:val="20"/>
              </w:rPr>
            </w:pPr>
            <w:r>
              <w:rPr>
                <w:spacing w:val="3"/>
                <w:sz w:val="20"/>
                <w:szCs w:val="20"/>
              </w:rPr>
              <w:t>罐车</w:t>
            </w:r>
          </w:p>
        </w:tc>
        <w:tc>
          <w:tcPr>
            <w:tcW w:w="723" w:type="dxa"/>
            <w:vAlign w:val="top"/>
          </w:tcPr>
          <w:p w14:paraId="7E9C9FB2">
            <w:pPr>
              <w:pStyle w:val="6"/>
              <w:spacing w:before="4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49D7B90">
            <w:pPr>
              <w:rPr>
                <w:rFonts w:ascii="Arial"/>
                <w:sz w:val="21"/>
              </w:rPr>
            </w:pPr>
          </w:p>
        </w:tc>
      </w:tr>
      <w:tr w14:paraId="79157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5AB0E4B">
            <w:pPr>
              <w:rPr>
                <w:rFonts w:ascii="Arial"/>
                <w:sz w:val="21"/>
              </w:rPr>
            </w:pPr>
          </w:p>
        </w:tc>
        <w:tc>
          <w:tcPr>
            <w:tcW w:w="113" w:type="dxa"/>
            <w:tcBorders>
              <w:top w:val="nil"/>
              <w:bottom w:val="nil"/>
            </w:tcBorders>
            <w:vAlign w:val="top"/>
          </w:tcPr>
          <w:p w14:paraId="3B323D3B">
            <w:pPr>
              <w:rPr>
                <w:rFonts w:ascii="Arial"/>
                <w:sz w:val="21"/>
              </w:rPr>
            </w:pPr>
          </w:p>
        </w:tc>
        <w:tc>
          <w:tcPr>
            <w:tcW w:w="494" w:type="dxa"/>
            <w:vAlign w:val="top"/>
          </w:tcPr>
          <w:p w14:paraId="45332BD9">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476" w:type="dxa"/>
            <w:vMerge w:val="continue"/>
            <w:tcBorders>
              <w:top w:val="nil"/>
              <w:bottom w:val="nil"/>
            </w:tcBorders>
            <w:vAlign w:val="top"/>
          </w:tcPr>
          <w:p w14:paraId="18362A9C">
            <w:pPr>
              <w:rPr>
                <w:rFonts w:ascii="Arial"/>
                <w:sz w:val="21"/>
              </w:rPr>
            </w:pPr>
          </w:p>
        </w:tc>
        <w:tc>
          <w:tcPr>
            <w:tcW w:w="1384" w:type="dxa"/>
            <w:vAlign w:val="top"/>
          </w:tcPr>
          <w:p w14:paraId="69BE7553">
            <w:pPr>
              <w:pStyle w:val="6"/>
              <w:spacing w:before="46" w:line="229" w:lineRule="auto"/>
              <w:ind w:left="484"/>
              <w:rPr>
                <w:sz w:val="20"/>
                <w:szCs w:val="20"/>
              </w:rPr>
            </w:pPr>
            <w:r>
              <w:rPr>
                <w:spacing w:val="5"/>
                <w:sz w:val="20"/>
                <w:szCs w:val="20"/>
              </w:rPr>
              <w:t>硫酸</w:t>
            </w:r>
          </w:p>
        </w:tc>
        <w:tc>
          <w:tcPr>
            <w:tcW w:w="1037" w:type="dxa"/>
            <w:vAlign w:val="top"/>
          </w:tcPr>
          <w:p w14:paraId="330B15F7">
            <w:pPr>
              <w:spacing w:before="8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92" w:type="dxa"/>
            <w:vAlign w:val="top"/>
          </w:tcPr>
          <w:p w14:paraId="5986A4DF">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0A97CE6">
            <w:pPr>
              <w:pStyle w:val="6"/>
              <w:spacing w:before="46" w:line="228" w:lineRule="auto"/>
              <w:ind w:left="192"/>
              <w:rPr>
                <w:sz w:val="20"/>
                <w:szCs w:val="20"/>
              </w:rPr>
            </w:pPr>
            <w:r>
              <w:rPr>
                <w:spacing w:val="3"/>
                <w:sz w:val="20"/>
                <w:szCs w:val="20"/>
              </w:rPr>
              <w:t>液态</w:t>
            </w:r>
          </w:p>
        </w:tc>
        <w:tc>
          <w:tcPr>
            <w:tcW w:w="876" w:type="dxa"/>
            <w:vAlign w:val="top"/>
          </w:tcPr>
          <w:p w14:paraId="70F64AE3">
            <w:pPr>
              <w:pStyle w:val="6"/>
              <w:spacing w:before="45" w:line="228" w:lineRule="auto"/>
              <w:ind w:left="238"/>
              <w:rPr>
                <w:sz w:val="20"/>
                <w:szCs w:val="20"/>
              </w:rPr>
            </w:pPr>
            <w:r>
              <w:rPr>
                <w:spacing w:val="3"/>
                <w:sz w:val="20"/>
                <w:szCs w:val="20"/>
              </w:rPr>
              <w:t>罐车</w:t>
            </w:r>
          </w:p>
        </w:tc>
        <w:tc>
          <w:tcPr>
            <w:tcW w:w="723" w:type="dxa"/>
            <w:vAlign w:val="top"/>
          </w:tcPr>
          <w:p w14:paraId="7AB98BAC">
            <w:pPr>
              <w:pStyle w:val="6"/>
              <w:spacing w:before="46"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7BB58B7">
            <w:pPr>
              <w:rPr>
                <w:rFonts w:ascii="Arial"/>
                <w:sz w:val="21"/>
              </w:rPr>
            </w:pPr>
          </w:p>
        </w:tc>
      </w:tr>
      <w:tr w14:paraId="6D1B6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920A9F">
            <w:pPr>
              <w:rPr>
                <w:rFonts w:ascii="Arial"/>
                <w:sz w:val="21"/>
              </w:rPr>
            </w:pPr>
          </w:p>
        </w:tc>
        <w:tc>
          <w:tcPr>
            <w:tcW w:w="113" w:type="dxa"/>
            <w:tcBorders>
              <w:top w:val="nil"/>
              <w:bottom w:val="nil"/>
            </w:tcBorders>
            <w:vAlign w:val="top"/>
          </w:tcPr>
          <w:p w14:paraId="5EFC3B66">
            <w:pPr>
              <w:rPr>
                <w:rFonts w:ascii="Arial"/>
                <w:sz w:val="21"/>
              </w:rPr>
            </w:pPr>
          </w:p>
        </w:tc>
        <w:tc>
          <w:tcPr>
            <w:tcW w:w="494" w:type="dxa"/>
            <w:vAlign w:val="top"/>
          </w:tcPr>
          <w:p w14:paraId="60BB5EC0">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476" w:type="dxa"/>
            <w:vMerge w:val="continue"/>
            <w:tcBorders>
              <w:top w:val="nil"/>
              <w:bottom w:val="nil"/>
            </w:tcBorders>
            <w:vAlign w:val="top"/>
          </w:tcPr>
          <w:p w14:paraId="54C5ABC0">
            <w:pPr>
              <w:rPr>
                <w:rFonts w:ascii="Arial"/>
                <w:sz w:val="21"/>
              </w:rPr>
            </w:pPr>
          </w:p>
        </w:tc>
        <w:tc>
          <w:tcPr>
            <w:tcW w:w="1384" w:type="dxa"/>
            <w:vAlign w:val="top"/>
          </w:tcPr>
          <w:p w14:paraId="0353F4D7">
            <w:pPr>
              <w:pStyle w:val="6"/>
              <w:spacing w:before="48" w:line="228" w:lineRule="auto"/>
              <w:ind w:left="487"/>
              <w:rPr>
                <w:sz w:val="20"/>
                <w:szCs w:val="20"/>
              </w:rPr>
            </w:pPr>
            <w:r>
              <w:rPr>
                <w:spacing w:val="3"/>
                <w:sz w:val="20"/>
                <w:szCs w:val="20"/>
              </w:rPr>
              <w:t>盐酸</w:t>
            </w:r>
          </w:p>
        </w:tc>
        <w:tc>
          <w:tcPr>
            <w:tcW w:w="1037" w:type="dxa"/>
            <w:vAlign w:val="top"/>
          </w:tcPr>
          <w:p w14:paraId="30C6B05E">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72533F41">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91D2C4B">
            <w:pPr>
              <w:pStyle w:val="6"/>
              <w:spacing w:before="48" w:line="228" w:lineRule="auto"/>
              <w:ind w:left="192"/>
              <w:rPr>
                <w:sz w:val="20"/>
                <w:szCs w:val="20"/>
              </w:rPr>
            </w:pPr>
            <w:r>
              <w:rPr>
                <w:spacing w:val="3"/>
                <w:sz w:val="20"/>
                <w:szCs w:val="20"/>
              </w:rPr>
              <w:t>液态</w:t>
            </w:r>
          </w:p>
        </w:tc>
        <w:tc>
          <w:tcPr>
            <w:tcW w:w="876" w:type="dxa"/>
            <w:vAlign w:val="top"/>
          </w:tcPr>
          <w:p w14:paraId="7DFEE860">
            <w:pPr>
              <w:pStyle w:val="6"/>
              <w:spacing w:before="47" w:line="228" w:lineRule="auto"/>
              <w:ind w:left="238"/>
              <w:rPr>
                <w:sz w:val="20"/>
                <w:szCs w:val="20"/>
              </w:rPr>
            </w:pPr>
            <w:r>
              <w:rPr>
                <w:spacing w:val="3"/>
                <w:sz w:val="20"/>
                <w:szCs w:val="20"/>
              </w:rPr>
              <w:t>罐车</w:t>
            </w:r>
          </w:p>
        </w:tc>
        <w:tc>
          <w:tcPr>
            <w:tcW w:w="723" w:type="dxa"/>
            <w:vAlign w:val="top"/>
          </w:tcPr>
          <w:p w14:paraId="0D24F07F">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BCEE737">
            <w:pPr>
              <w:rPr>
                <w:rFonts w:ascii="Arial"/>
                <w:sz w:val="21"/>
              </w:rPr>
            </w:pPr>
          </w:p>
        </w:tc>
      </w:tr>
      <w:tr w14:paraId="19646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1910B15">
            <w:pPr>
              <w:rPr>
                <w:rFonts w:ascii="Arial"/>
                <w:sz w:val="21"/>
              </w:rPr>
            </w:pPr>
          </w:p>
        </w:tc>
        <w:tc>
          <w:tcPr>
            <w:tcW w:w="113" w:type="dxa"/>
            <w:tcBorders>
              <w:top w:val="nil"/>
              <w:bottom w:val="nil"/>
            </w:tcBorders>
            <w:vAlign w:val="top"/>
          </w:tcPr>
          <w:p w14:paraId="56DBCFCC">
            <w:pPr>
              <w:rPr>
                <w:rFonts w:ascii="Arial"/>
                <w:sz w:val="21"/>
              </w:rPr>
            </w:pPr>
          </w:p>
        </w:tc>
        <w:tc>
          <w:tcPr>
            <w:tcW w:w="494" w:type="dxa"/>
            <w:vAlign w:val="top"/>
          </w:tcPr>
          <w:p w14:paraId="1DA03C46">
            <w:pPr>
              <w:spacing w:before="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476" w:type="dxa"/>
            <w:vMerge w:val="continue"/>
            <w:tcBorders>
              <w:top w:val="nil"/>
            </w:tcBorders>
            <w:vAlign w:val="top"/>
          </w:tcPr>
          <w:p w14:paraId="0759734A">
            <w:pPr>
              <w:rPr>
                <w:rFonts w:ascii="Arial"/>
                <w:sz w:val="21"/>
              </w:rPr>
            </w:pPr>
          </w:p>
        </w:tc>
        <w:tc>
          <w:tcPr>
            <w:tcW w:w="1384" w:type="dxa"/>
            <w:vAlign w:val="top"/>
          </w:tcPr>
          <w:p w14:paraId="3BAC7FEA">
            <w:pPr>
              <w:pStyle w:val="6"/>
              <w:spacing w:before="47" w:line="227" w:lineRule="auto"/>
              <w:ind w:left="276"/>
              <w:rPr>
                <w:sz w:val="20"/>
                <w:szCs w:val="20"/>
              </w:rPr>
            </w:pPr>
            <w:r>
              <w:rPr>
                <w:spacing w:val="7"/>
                <w:sz w:val="20"/>
                <w:szCs w:val="20"/>
              </w:rPr>
              <w:t>氢氧化钠</w:t>
            </w:r>
          </w:p>
        </w:tc>
        <w:tc>
          <w:tcPr>
            <w:tcW w:w="1037" w:type="dxa"/>
            <w:vAlign w:val="top"/>
          </w:tcPr>
          <w:p w14:paraId="6A3CB2B4">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92" w:type="dxa"/>
            <w:vAlign w:val="top"/>
          </w:tcPr>
          <w:p w14:paraId="1442D8F9">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1AFAC61">
            <w:pPr>
              <w:pStyle w:val="6"/>
              <w:spacing w:before="48" w:line="228" w:lineRule="auto"/>
              <w:ind w:left="208"/>
              <w:rPr>
                <w:sz w:val="20"/>
                <w:szCs w:val="20"/>
              </w:rPr>
            </w:pPr>
            <w:r>
              <w:rPr>
                <w:spacing w:val="-5"/>
                <w:sz w:val="20"/>
                <w:szCs w:val="20"/>
              </w:rPr>
              <w:t>固态</w:t>
            </w:r>
          </w:p>
        </w:tc>
        <w:tc>
          <w:tcPr>
            <w:tcW w:w="876" w:type="dxa"/>
            <w:vAlign w:val="top"/>
          </w:tcPr>
          <w:p w14:paraId="54F4B322">
            <w:pPr>
              <w:pStyle w:val="6"/>
              <w:spacing w:before="47" w:line="228" w:lineRule="auto"/>
              <w:ind w:left="131"/>
              <w:rPr>
                <w:sz w:val="20"/>
                <w:szCs w:val="20"/>
              </w:rPr>
            </w:pPr>
            <w:r>
              <w:rPr>
                <w:spacing w:val="6"/>
                <w:sz w:val="20"/>
                <w:szCs w:val="20"/>
              </w:rPr>
              <w:t>厢式车</w:t>
            </w:r>
          </w:p>
        </w:tc>
        <w:tc>
          <w:tcPr>
            <w:tcW w:w="723" w:type="dxa"/>
            <w:vAlign w:val="top"/>
          </w:tcPr>
          <w:p w14:paraId="66A2C3C6">
            <w:pPr>
              <w:pStyle w:val="6"/>
              <w:spacing w:before="48"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99F98DA">
            <w:pPr>
              <w:rPr>
                <w:rFonts w:ascii="Arial"/>
                <w:sz w:val="21"/>
              </w:rPr>
            </w:pPr>
          </w:p>
        </w:tc>
      </w:tr>
      <w:tr w14:paraId="5EB86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4" w:hRule="atLeast"/>
        </w:trPr>
        <w:tc>
          <w:tcPr>
            <w:tcW w:w="456" w:type="dxa"/>
            <w:vMerge w:val="continue"/>
            <w:tcBorders>
              <w:top w:val="nil"/>
              <w:bottom w:val="nil"/>
            </w:tcBorders>
            <w:vAlign w:val="top"/>
          </w:tcPr>
          <w:p w14:paraId="1170FE16">
            <w:pPr>
              <w:rPr>
                <w:rFonts w:ascii="Arial"/>
                <w:sz w:val="21"/>
              </w:rPr>
            </w:pPr>
          </w:p>
        </w:tc>
        <w:tc>
          <w:tcPr>
            <w:tcW w:w="113" w:type="dxa"/>
            <w:tcBorders>
              <w:top w:val="nil"/>
              <w:bottom w:val="nil"/>
            </w:tcBorders>
            <w:vAlign w:val="top"/>
          </w:tcPr>
          <w:p w14:paraId="2A8871C2">
            <w:pPr>
              <w:rPr>
                <w:rFonts w:ascii="Arial"/>
                <w:sz w:val="21"/>
              </w:rPr>
            </w:pPr>
          </w:p>
        </w:tc>
        <w:tc>
          <w:tcPr>
            <w:tcW w:w="494" w:type="dxa"/>
            <w:vAlign w:val="top"/>
          </w:tcPr>
          <w:p w14:paraId="7C5A31A3">
            <w:pPr>
              <w:spacing w:line="303" w:lineRule="auto"/>
              <w:rPr>
                <w:rFonts w:ascii="Arial"/>
                <w:sz w:val="21"/>
              </w:rPr>
            </w:pPr>
          </w:p>
          <w:p w14:paraId="3F20A98C">
            <w:pPr>
              <w:spacing w:line="304" w:lineRule="auto"/>
              <w:rPr>
                <w:rFonts w:ascii="Arial"/>
                <w:sz w:val="21"/>
              </w:rPr>
            </w:pPr>
          </w:p>
          <w:p w14:paraId="3CE8C282">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476" w:type="dxa"/>
            <w:vAlign w:val="top"/>
          </w:tcPr>
          <w:p w14:paraId="263A7F08">
            <w:pPr>
              <w:pStyle w:val="6"/>
              <w:spacing w:before="87" w:line="228" w:lineRule="auto"/>
              <w:ind w:left="136"/>
              <w:rPr>
                <w:sz w:val="20"/>
                <w:szCs w:val="20"/>
              </w:rPr>
            </w:pPr>
            <w:r>
              <w:rPr>
                <w:spacing w:val="4"/>
                <w:sz w:val="20"/>
                <w:szCs w:val="20"/>
              </w:rPr>
              <w:t>内蒙古鄂尔多</w:t>
            </w:r>
          </w:p>
          <w:p w14:paraId="643AD4F9">
            <w:pPr>
              <w:pStyle w:val="6"/>
              <w:spacing w:before="24" w:line="228" w:lineRule="auto"/>
              <w:ind w:left="112"/>
              <w:rPr>
                <w:sz w:val="20"/>
                <w:szCs w:val="20"/>
              </w:rPr>
            </w:pPr>
            <w:r>
              <w:rPr>
                <w:spacing w:val="8"/>
                <w:sz w:val="20"/>
                <w:szCs w:val="20"/>
              </w:rPr>
              <w:t>斯电力冶金股</w:t>
            </w:r>
          </w:p>
          <w:p w14:paraId="6C9C9D39">
            <w:pPr>
              <w:pStyle w:val="6"/>
              <w:spacing w:before="26" w:line="228" w:lineRule="auto"/>
              <w:ind w:left="111"/>
              <w:rPr>
                <w:sz w:val="20"/>
                <w:szCs w:val="20"/>
              </w:rPr>
            </w:pPr>
            <w:r>
              <w:rPr>
                <w:spacing w:val="8"/>
                <w:sz w:val="20"/>
                <w:szCs w:val="20"/>
              </w:rPr>
              <w:t>份有限公司氯</w:t>
            </w:r>
          </w:p>
          <w:p w14:paraId="6736D775">
            <w:pPr>
              <w:pStyle w:val="6"/>
              <w:spacing w:before="24" w:line="255" w:lineRule="auto"/>
              <w:ind w:left="240" w:right="110" w:hanging="131"/>
              <w:rPr>
                <w:sz w:val="20"/>
                <w:szCs w:val="20"/>
              </w:rPr>
            </w:pPr>
            <w:r>
              <w:rPr>
                <w:spacing w:val="8"/>
                <w:sz w:val="20"/>
                <w:szCs w:val="20"/>
              </w:rPr>
              <w:t>碱化工分公司</w:t>
            </w:r>
            <w:r>
              <w:rPr>
                <w:spacing w:val="2"/>
                <w:sz w:val="20"/>
                <w:szCs w:val="20"/>
              </w:rPr>
              <w:t xml:space="preserve"> </w:t>
            </w:r>
            <w:r>
              <w:rPr>
                <w:spacing w:val="3"/>
                <w:sz w:val="20"/>
                <w:szCs w:val="20"/>
              </w:rPr>
              <w:t>电石一公司</w:t>
            </w:r>
          </w:p>
        </w:tc>
        <w:tc>
          <w:tcPr>
            <w:tcW w:w="1384" w:type="dxa"/>
            <w:vAlign w:val="top"/>
          </w:tcPr>
          <w:p w14:paraId="63F85491">
            <w:pPr>
              <w:spacing w:line="282" w:lineRule="auto"/>
              <w:rPr>
                <w:rFonts w:ascii="Arial"/>
                <w:sz w:val="21"/>
              </w:rPr>
            </w:pPr>
          </w:p>
          <w:p w14:paraId="1D954728">
            <w:pPr>
              <w:spacing w:line="282" w:lineRule="auto"/>
              <w:rPr>
                <w:rFonts w:ascii="Arial"/>
                <w:sz w:val="21"/>
              </w:rPr>
            </w:pPr>
          </w:p>
          <w:p w14:paraId="4AA78092">
            <w:pPr>
              <w:pStyle w:val="6"/>
              <w:spacing w:before="65" w:line="231" w:lineRule="auto"/>
              <w:ind w:left="510"/>
              <w:rPr>
                <w:sz w:val="20"/>
                <w:szCs w:val="20"/>
              </w:rPr>
            </w:pPr>
            <w:r>
              <w:rPr>
                <w:spacing w:val="-8"/>
                <w:sz w:val="20"/>
                <w:szCs w:val="20"/>
              </w:rPr>
              <w:t>电石</w:t>
            </w:r>
          </w:p>
        </w:tc>
        <w:tc>
          <w:tcPr>
            <w:tcW w:w="1037" w:type="dxa"/>
            <w:vAlign w:val="top"/>
          </w:tcPr>
          <w:p w14:paraId="0FEF40DA">
            <w:pPr>
              <w:spacing w:line="301" w:lineRule="auto"/>
              <w:rPr>
                <w:rFonts w:ascii="Arial"/>
                <w:sz w:val="21"/>
              </w:rPr>
            </w:pPr>
          </w:p>
          <w:p w14:paraId="78CCC029">
            <w:pPr>
              <w:spacing w:line="302" w:lineRule="auto"/>
              <w:rPr>
                <w:rFonts w:ascii="Arial"/>
                <w:sz w:val="21"/>
              </w:rPr>
            </w:pPr>
          </w:p>
          <w:p w14:paraId="7289957B">
            <w:pPr>
              <w:spacing w:before="5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9AD7A98">
            <w:pPr>
              <w:spacing w:line="303" w:lineRule="auto"/>
              <w:rPr>
                <w:rFonts w:ascii="Arial"/>
                <w:sz w:val="21"/>
              </w:rPr>
            </w:pPr>
          </w:p>
          <w:p w14:paraId="6BEC7DBF">
            <w:pPr>
              <w:spacing w:line="304" w:lineRule="auto"/>
              <w:rPr>
                <w:rFonts w:ascii="Arial"/>
                <w:sz w:val="21"/>
              </w:rPr>
            </w:pPr>
          </w:p>
          <w:p w14:paraId="48733DEB">
            <w:pPr>
              <w:spacing w:before="5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180000</w:t>
            </w:r>
          </w:p>
        </w:tc>
        <w:tc>
          <w:tcPr>
            <w:tcW w:w="784" w:type="dxa"/>
            <w:vAlign w:val="top"/>
          </w:tcPr>
          <w:p w14:paraId="6DB4D3BB">
            <w:pPr>
              <w:spacing w:line="282" w:lineRule="auto"/>
              <w:rPr>
                <w:rFonts w:ascii="Arial"/>
                <w:sz w:val="21"/>
              </w:rPr>
            </w:pPr>
          </w:p>
          <w:p w14:paraId="23C52DB1">
            <w:pPr>
              <w:spacing w:line="282" w:lineRule="auto"/>
              <w:rPr>
                <w:rFonts w:ascii="Arial"/>
                <w:sz w:val="21"/>
              </w:rPr>
            </w:pPr>
          </w:p>
          <w:p w14:paraId="7B4E8474">
            <w:pPr>
              <w:pStyle w:val="6"/>
              <w:spacing w:before="65" w:line="228" w:lineRule="auto"/>
              <w:ind w:left="208"/>
              <w:rPr>
                <w:sz w:val="20"/>
                <w:szCs w:val="20"/>
              </w:rPr>
            </w:pPr>
            <w:r>
              <w:rPr>
                <w:spacing w:val="-5"/>
                <w:sz w:val="20"/>
                <w:szCs w:val="20"/>
              </w:rPr>
              <w:t>固态</w:t>
            </w:r>
          </w:p>
        </w:tc>
        <w:tc>
          <w:tcPr>
            <w:tcW w:w="876" w:type="dxa"/>
            <w:vAlign w:val="top"/>
          </w:tcPr>
          <w:p w14:paraId="3CE4423B">
            <w:pPr>
              <w:pStyle w:val="6"/>
              <w:spacing w:before="225" w:line="228" w:lineRule="auto"/>
              <w:ind w:left="133"/>
              <w:rPr>
                <w:sz w:val="20"/>
                <w:szCs w:val="20"/>
              </w:rPr>
            </w:pPr>
            <w:r>
              <w:rPr>
                <w:spacing w:val="6"/>
                <w:sz w:val="20"/>
                <w:szCs w:val="20"/>
              </w:rPr>
              <w:t>危险品</w:t>
            </w:r>
          </w:p>
          <w:p w14:paraId="79814202">
            <w:pPr>
              <w:pStyle w:val="6"/>
              <w:spacing w:before="23" w:line="228" w:lineRule="auto"/>
              <w:ind w:left="132"/>
              <w:rPr>
                <w:sz w:val="20"/>
                <w:szCs w:val="20"/>
              </w:rPr>
            </w:pPr>
            <w:r>
              <w:rPr>
                <w:spacing w:val="6"/>
                <w:sz w:val="20"/>
                <w:szCs w:val="20"/>
              </w:rPr>
              <w:t>罐箱骨</w:t>
            </w:r>
          </w:p>
          <w:p w14:paraId="582EA175">
            <w:pPr>
              <w:pStyle w:val="6"/>
              <w:spacing w:before="24" w:line="228" w:lineRule="auto"/>
              <w:ind w:left="131"/>
              <w:rPr>
                <w:sz w:val="20"/>
                <w:szCs w:val="20"/>
              </w:rPr>
            </w:pPr>
            <w:r>
              <w:rPr>
                <w:spacing w:val="6"/>
                <w:sz w:val="20"/>
                <w:szCs w:val="20"/>
              </w:rPr>
              <w:t>架半挂</w:t>
            </w:r>
          </w:p>
          <w:p w14:paraId="0258BDF4">
            <w:pPr>
              <w:pStyle w:val="6"/>
              <w:spacing w:before="25" w:line="228" w:lineRule="auto"/>
              <w:ind w:left="341"/>
              <w:rPr>
                <w:sz w:val="20"/>
                <w:szCs w:val="20"/>
              </w:rPr>
            </w:pPr>
            <w:r>
              <w:rPr>
                <w:sz w:val="20"/>
                <w:szCs w:val="20"/>
              </w:rPr>
              <w:t>车</w:t>
            </w:r>
          </w:p>
        </w:tc>
        <w:tc>
          <w:tcPr>
            <w:tcW w:w="723" w:type="dxa"/>
            <w:vAlign w:val="top"/>
          </w:tcPr>
          <w:p w14:paraId="74ECD86C">
            <w:pPr>
              <w:spacing w:line="282" w:lineRule="auto"/>
              <w:rPr>
                <w:rFonts w:ascii="Arial"/>
                <w:sz w:val="21"/>
              </w:rPr>
            </w:pPr>
          </w:p>
          <w:p w14:paraId="5F60B601">
            <w:pPr>
              <w:spacing w:line="282" w:lineRule="auto"/>
              <w:rPr>
                <w:rFonts w:ascii="Arial"/>
                <w:sz w:val="21"/>
              </w:rPr>
            </w:pPr>
          </w:p>
          <w:p w14:paraId="73629B1E">
            <w:pPr>
              <w:pStyle w:val="6"/>
              <w:spacing w:before="6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26DE7402">
            <w:pPr>
              <w:rPr>
                <w:rFonts w:ascii="Arial"/>
                <w:sz w:val="21"/>
              </w:rPr>
            </w:pPr>
          </w:p>
        </w:tc>
      </w:tr>
      <w:tr w14:paraId="2819D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17A7F067">
            <w:pPr>
              <w:rPr>
                <w:rFonts w:ascii="Arial"/>
                <w:sz w:val="21"/>
              </w:rPr>
            </w:pPr>
          </w:p>
        </w:tc>
        <w:tc>
          <w:tcPr>
            <w:tcW w:w="113" w:type="dxa"/>
            <w:tcBorders>
              <w:top w:val="nil"/>
              <w:bottom w:val="nil"/>
            </w:tcBorders>
            <w:vAlign w:val="top"/>
          </w:tcPr>
          <w:p w14:paraId="5605FA70">
            <w:pPr>
              <w:rPr>
                <w:rFonts w:ascii="Arial"/>
                <w:sz w:val="21"/>
              </w:rPr>
            </w:pPr>
          </w:p>
        </w:tc>
        <w:tc>
          <w:tcPr>
            <w:tcW w:w="494" w:type="dxa"/>
            <w:vAlign w:val="top"/>
          </w:tcPr>
          <w:p w14:paraId="0BED85AE">
            <w:pPr>
              <w:spacing w:before="20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476" w:type="dxa"/>
            <w:vMerge w:val="restart"/>
            <w:tcBorders>
              <w:bottom w:val="nil"/>
            </w:tcBorders>
            <w:vAlign w:val="top"/>
          </w:tcPr>
          <w:p w14:paraId="36A8E1FF">
            <w:pPr>
              <w:pStyle w:val="6"/>
              <w:spacing w:before="108" w:line="228" w:lineRule="auto"/>
              <w:ind w:left="136"/>
              <w:rPr>
                <w:sz w:val="20"/>
                <w:szCs w:val="20"/>
              </w:rPr>
            </w:pPr>
            <w:r>
              <w:rPr>
                <w:spacing w:val="4"/>
                <w:sz w:val="20"/>
                <w:szCs w:val="20"/>
              </w:rPr>
              <w:t>内蒙古鄂尔多</w:t>
            </w:r>
          </w:p>
          <w:p w14:paraId="2C73ED51">
            <w:pPr>
              <w:pStyle w:val="6"/>
              <w:spacing w:before="24" w:line="228" w:lineRule="auto"/>
              <w:ind w:left="112"/>
              <w:rPr>
                <w:sz w:val="20"/>
                <w:szCs w:val="20"/>
              </w:rPr>
            </w:pPr>
            <w:r>
              <w:rPr>
                <w:spacing w:val="8"/>
                <w:sz w:val="20"/>
                <w:szCs w:val="20"/>
              </w:rPr>
              <w:t>斯电力冶金股</w:t>
            </w:r>
          </w:p>
          <w:p w14:paraId="2CD39DCD">
            <w:pPr>
              <w:pStyle w:val="6"/>
              <w:spacing w:before="26" w:line="228" w:lineRule="auto"/>
              <w:ind w:left="111"/>
              <w:rPr>
                <w:sz w:val="20"/>
                <w:szCs w:val="20"/>
              </w:rPr>
            </w:pPr>
            <w:r>
              <w:rPr>
                <w:spacing w:val="8"/>
                <w:sz w:val="20"/>
                <w:szCs w:val="20"/>
              </w:rPr>
              <w:t>份有限公司氯</w:t>
            </w:r>
          </w:p>
          <w:p w14:paraId="16FA2D7F">
            <w:pPr>
              <w:pStyle w:val="6"/>
              <w:spacing w:before="24" w:line="228" w:lineRule="auto"/>
              <w:ind w:left="109"/>
              <w:rPr>
                <w:sz w:val="20"/>
                <w:szCs w:val="20"/>
              </w:rPr>
            </w:pPr>
            <w:r>
              <w:rPr>
                <w:spacing w:val="8"/>
                <w:sz w:val="20"/>
                <w:szCs w:val="20"/>
              </w:rPr>
              <w:t>碱化工分公司</w:t>
            </w:r>
          </w:p>
          <w:p w14:paraId="7355091C">
            <w:pPr>
              <w:pStyle w:val="6"/>
              <w:spacing w:before="27" w:line="228" w:lineRule="auto"/>
              <w:ind w:left="207"/>
              <w:rPr>
                <w:sz w:val="20"/>
                <w:szCs w:val="20"/>
              </w:rPr>
            </w:pPr>
            <w:r>
              <w:rPr>
                <w:spacing w:val="4"/>
                <w:sz w:val="20"/>
                <w:szCs w:val="20"/>
              </w:rPr>
              <w:t>（</w:t>
            </w:r>
            <w:r>
              <w:rPr>
                <w:rFonts w:ascii="Times New Roman" w:hAnsi="Times New Roman" w:eastAsia="Times New Roman" w:cs="Times New Roman"/>
                <w:sz w:val="20"/>
                <w:szCs w:val="20"/>
              </w:rPr>
              <w:t>PVC</w:t>
            </w:r>
            <w:r>
              <w:rPr>
                <w:rFonts w:ascii="Times New Roman" w:hAnsi="Times New Roman" w:eastAsia="Times New Roman" w:cs="Times New Roman"/>
                <w:spacing w:val="17"/>
                <w:sz w:val="20"/>
                <w:szCs w:val="20"/>
              </w:rPr>
              <w:t xml:space="preserve"> </w:t>
            </w:r>
            <w:r>
              <w:rPr>
                <w:spacing w:val="4"/>
                <w:sz w:val="20"/>
                <w:szCs w:val="20"/>
              </w:rPr>
              <w:t>分公</w:t>
            </w:r>
          </w:p>
          <w:p w14:paraId="1A07438A">
            <w:pPr>
              <w:pStyle w:val="6"/>
              <w:spacing w:before="24" w:line="228" w:lineRule="auto"/>
              <w:ind w:left="225"/>
              <w:rPr>
                <w:sz w:val="20"/>
                <w:szCs w:val="20"/>
              </w:rPr>
            </w:pPr>
            <w:r>
              <w:rPr>
                <w:spacing w:val="4"/>
                <w:sz w:val="20"/>
                <w:szCs w:val="20"/>
              </w:rPr>
              <w:t>司二工厂）</w:t>
            </w:r>
          </w:p>
        </w:tc>
        <w:tc>
          <w:tcPr>
            <w:tcW w:w="1384" w:type="dxa"/>
            <w:vAlign w:val="top"/>
          </w:tcPr>
          <w:p w14:paraId="4D19DDB0">
            <w:pPr>
              <w:pStyle w:val="6"/>
              <w:spacing w:before="34" w:line="227" w:lineRule="auto"/>
              <w:ind w:left="114"/>
              <w:rPr>
                <w:sz w:val="20"/>
                <w:szCs w:val="20"/>
              </w:rPr>
            </w:pPr>
            <w:r>
              <w:rPr>
                <w:rFonts w:ascii="Times New Roman" w:hAnsi="Times New Roman" w:eastAsia="Times New Roman" w:cs="Times New Roman"/>
                <w:sz w:val="20"/>
                <w:szCs w:val="20"/>
              </w:rPr>
              <w:t>32%</w:t>
            </w:r>
            <w:r>
              <w:rPr>
                <w:rFonts w:ascii="Times New Roman" w:hAnsi="Times New Roman" w:eastAsia="Times New Roman" w:cs="Times New Roman"/>
                <w:spacing w:val="-27"/>
                <w:sz w:val="20"/>
                <w:szCs w:val="20"/>
              </w:rPr>
              <w:t xml:space="preserve"> </w:t>
            </w:r>
            <w:r>
              <w:rPr>
                <w:sz w:val="20"/>
                <w:szCs w:val="20"/>
              </w:rPr>
              <w:t>、</w:t>
            </w:r>
            <w:r>
              <w:rPr>
                <w:rFonts w:ascii="Times New Roman" w:hAnsi="Times New Roman" w:eastAsia="Times New Roman" w:cs="Times New Roman"/>
                <w:sz w:val="20"/>
                <w:szCs w:val="20"/>
              </w:rPr>
              <w:t>50%</w:t>
            </w:r>
            <w:r>
              <w:rPr>
                <w:sz w:val="20"/>
                <w:szCs w:val="20"/>
              </w:rPr>
              <w:t>烧</w:t>
            </w:r>
          </w:p>
          <w:p w14:paraId="7D8634D3">
            <w:pPr>
              <w:pStyle w:val="6"/>
              <w:spacing w:before="27" w:line="213" w:lineRule="auto"/>
              <w:ind w:left="589"/>
              <w:rPr>
                <w:sz w:val="20"/>
                <w:szCs w:val="20"/>
              </w:rPr>
            </w:pPr>
            <w:r>
              <w:rPr>
                <w:spacing w:val="2"/>
                <w:sz w:val="20"/>
                <w:szCs w:val="20"/>
              </w:rPr>
              <w:t>碱</w:t>
            </w:r>
          </w:p>
        </w:tc>
        <w:tc>
          <w:tcPr>
            <w:tcW w:w="1037" w:type="dxa"/>
            <w:vAlign w:val="top"/>
          </w:tcPr>
          <w:p w14:paraId="6B8AC80D">
            <w:pPr>
              <w:spacing w:before="203"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3860D3D4">
            <w:pPr>
              <w:spacing w:before="20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59B8276D">
            <w:pPr>
              <w:pStyle w:val="6"/>
              <w:spacing w:before="169" w:line="228" w:lineRule="auto"/>
              <w:ind w:left="192"/>
              <w:rPr>
                <w:sz w:val="20"/>
                <w:szCs w:val="20"/>
              </w:rPr>
            </w:pPr>
            <w:r>
              <w:rPr>
                <w:spacing w:val="3"/>
                <w:sz w:val="20"/>
                <w:szCs w:val="20"/>
              </w:rPr>
              <w:t>液态</w:t>
            </w:r>
          </w:p>
        </w:tc>
        <w:tc>
          <w:tcPr>
            <w:tcW w:w="876" w:type="dxa"/>
            <w:vAlign w:val="top"/>
          </w:tcPr>
          <w:p w14:paraId="73CA599B">
            <w:pPr>
              <w:pStyle w:val="6"/>
              <w:spacing w:before="168" w:line="228" w:lineRule="auto"/>
              <w:ind w:left="238"/>
              <w:rPr>
                <w:sz w:val="20"/>
                <w:szCs w:val="20"/>
              </w:rPr>
            </w:pPr>
            <w:r>
              <w:rPr>
                <w:spacing w:val="3"/>
                <w:sz w:val="20"/>
                <w:szCs w:val="20"/>
              </w:rPr>
              <w:t>罐车</w:t>
            </w:r>
          </w:p>
        </w:tc>
        <w:tc>
          <w:tcPr>
            <w:tcW w:w="723" w:type="dxa"/>
            <w:vAlign w:val="top"/>
          </w:tcPr>
          <w:p w14:paraId="1F2F08D2">
            <w:pPr>
              <w:pStyle w:val="6"/>
              <w:spacing w:before="168"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2AC3BA0">
            <w:pPr>
              <w:rPr>
                <w:rFonts w:ascii="Arial"/>
                <w:sz w:val="21"/>
              </w:rPr>
            </w:pPr>
          </w:p>
        </w:tc>
      </w:tr>
      <w:tr w14:paraId="7763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11F9C74">
            <w:pPr>
              <w:rPr>
                <w:rFonts w:ascii="Arial"/>
                <w:sz w:val="21"/>
              </w:rPr>
            </w:pPr>
          </w:p>
        </w:tc>
        <w:tc>
          <w:tcPr>
            <w:tcW w:w="113" w:type="dxa"/>
            <w:tcBorders>
              <w:top w:val="nil"/>
              <w:bottom w:val="nil"/>
            </w:tcBorders>
            <w:vAlign w:val="top"/>
          </w:tcPr>
          <w:p w14:paraId="087966DA">
            <w:pPr>
              <w:rPr>
                <w:rFonts w:ascii="Arial"/>
                <w:sz w:val="21"/>
              </w:rPr>
            </w:pPr>
          </w:p>
        </w:tc>
        <w:tc>
          <w:tcPr>
            <w:tcW w:w="494" w:type="dxa"/>
            <w:vAlign w:val="top"/>
          </w:tcPr>
          <w:p w14:paraId="2D3A9275">
            <w:pPr>
              <w:spacing w:before="8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476" w:type="dxa"/>
            <w:vMerge w:val="continue"/>
            <w:tcBorders>
              <w:top w:val="nil"/>
              <w:bottom w:val="nil"/>
            </w:tcBorders>
            <w:vAlign w:val="top"/>
          </w:tcPr>
          <w:p w14:paraId="7BDE08BF">
            <w:pPr>
              <w:rPr>
                <w:rFonts w:ascii="Arial"/>
                <w:sz w:val="21"/>
              </w:rPr>
            </w:pPr>
          </w:p>
        </w:tc>
        <w:tc>
          <w:tcPr>
            <w:tcW w:w="1384" w:type="dxa"/>
            <w:vAlign w:val="top"/>
          </w:tcPr>
          <w:p w14:paraId="5458E282">
            <w:pPr>
              <w:pStyle w:val="6"/>
              <w:spacing w:before="50" w:line="226" w:lineRule="auto"/>
              <w:ind w:left="490"/>
              <w:rPr>
                <w:sz w:val="20"/>
                <w:szCs w:val="20"/>
              </w:rPr>
            </w:pPr>
            <w:r>
              <w:rPr>
                <w:spacing w:val="2"/>
                <w:sz w:val="20"/>
                <w:szCs w:val="20"/>
              </w:rPr>
              <w:t>片碱</w:t>
            </w:r>
          </w:p>
        </w:tc>
        <w:tc>
          <w:tcPr>
            <w:tcW w:w="1037" w:type="dxa"/>
            <w:vAlign w:val="top"/>
          </w:tcPr>
          <w:p w14:paraId="4FBBCD3D">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82A6E0D">
            <w:pPr>
              <w:spacing w:before="8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784" w:type="dxa"/>
            <w:vAlign w:val="top"/>
          </w:tcPr>
          <w:p w14:paraId="6AA02645">
            <w:pPr>
              <w:pStyle w:val="6"/>
              <w:spacing w:before="50" w:line="226" w:lineRule="auto"/>
              <w:ind w:left="208"/>
              <w:rPr>
                <w:sz w:val="20"/>
                <w:szCs w:val="20"/>
              </w:rPr>
            </w:pPr>
            <w:r>
              <w:rPr>
                <w:spacing w:val="-5"/>
                <w:sz w:val="20"/>
                <w:szCs w:val="20"/>
              </w:rPr>
              <w:t>固态</w:t>
            </w:r>
          </w:p>
        </w:tc>
        <w:tc>
          <w:tcPr>
            <w:tcW w:w="876" w:type="dxa"/>
            <w:vAlign w:val="top"/>
          </w:tcPr>
          <w:p w14:paraId="477A1E82">
            <w:pPr>
              <w:pStyle w:val="6"/>
              <w:spacing w:before="50" w:line="226" w:lineRule="auto"/>
              <w:ind w:left="131"/>
              <w:rPr>
                <w:sz w:val="20"/>
                <w:szCs w:val="20"/>
              </w:rPr>
            </w:pPr>
            <w:r>
              <w:rPr>
                <w:spacing w:val="6"/>
                <w:sz w:val="20"/>
                <w:szCs w:val="20"/>
              </w:rPr>
              <w:t>厢式车</w:t>
            </w:r>
          </w:p>
        </w:tc>
        <w:tc>
          <w:tcPr>
            <w:tcW w:w="723" w:type="dxa"/>
            <w:vAlign w:val="top"/>
          </w:tcPr>
          <w:p w14:paraId="5F0B70B9">
            <w:pPr>
              <w:pStyle w:val="6"/>
              <w:spacing w:before="50" w:line="226" w:lineRule="auto"/>
              <w:ind w:left="159"/>
              <w:rPr>
                <w:sz w:val="20"/>
                <w:szCs w:val="20"/>
              </w:rPr>
            </w:pPr>
            <w:r>
              <w:rPr>
                <w:spacing w:val="4"/>
                <w:sz w:val="20"/>
                <w:szCs w:val="20"/>
              </w:rPr>
              <w:t>产品</w:t>
            </w:r>
          </w:p>
        </w:tc>
        <w:tc>
          <w:tcPr>
            <w:tcW w:w="290" w:type="dxa"/>
            <w:vMerge w:val="continue"/>
            <w:tcBorders>
              <w:top w:val="nil"/>
              <w:bottom w:val="nil"/>
            </w:tcBorders>
            <w:vAlign w:val="top"/>
          </w:tcPr>
          <w:p w14:paraId="699C2262">
            <w:pPr>
              <w:rPr>
                <w:rFonts w:ascii="Arial"/>
                <w:sz w:val="21"/>
              </w:rPr>
            </w:pPr>
          </w:p>
        </w:tc>
      </w:tr>
      <w:tr w14:paraId="1B41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4E73C58">
            <w:pPr>
              <w:rPr>
                <w:rFonts w:ascii="Arial"/>
                <w:sz w:val="21"/>
              </w:rPr>
            </w:pPr>
          </w:p>
        </w:tc>
        <w:tc>
          <w:tcPr>
            <w:tcW w:w="113" w:type="dxa"/>
            <w:tcBorders>
              <w:top w:val="nil"/>
              <w:bottom w:val="nil"/>
            </w:tcBorders>
            <w:vAlign w:val="top"/>
          </w:tcPr>
          <w:p w14:paraId="707AAB26">
            <w:pPr>
              <w:rPr>
                <w:rFonts w:ascii="Arial"/>
                <w:sz w:val="21"/>
              </w:rPr>
            </w:pPr>
          </w:p>
        </w:tc>
        <w:tc>
          <w:tcPr>
            <w:tcW w:w="494" w:type="dxa"/>
            <w:vAlign w:val="top"/>
          </w:tcPr>
          <w:p w14:paraId="6C89397B">
            <w:pPr>
              <w:spacing w:before="8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476" w:type="dxa"/>
            <w:vMerge w:val="continue"/>
            <w:tcBorders>
              <w:top w:val="nil"/>
              <w:bottom w:val="nil"/>
            </w:tcBorders>
            <w:vAlign w:val="top"/>
          </w:tcPr>
          <w:p w14:paraId="632B23DD">
            <w:pPr>
              <w:rPr>
                <w:rFonts w:ascii="Arial"/>
                <w:sz w:val="21"/>
              </w:rPr>
            </w:pPr>
          </w:p>
        </w:tc>
        <w:tc>
          <w:tcPr>
            <w:tcW w:w="1384" w:type="dxa"/>
            <w:vAlign w:val="top"/>
          </w:tcPr>
          <w:p w14:paraId="1359D482">
            <w:pPr>
              <w:pStyle w:val="6"/>
              <w:spacing w:before="49" w:line="227" w:lineRule="auto"/>
              <w:ind w:left="282"/>
              <w:rPr>
                <w:sz w:val="20"/>
                <w:szCs w:val="20"/>
              </w:rPr>
            </w:pPr>
            <w:r>
              <w:rPr>
                <w:spacing w:val="5"/>
                <w:sz w:val="20"/>
                <w:szCs w:val="20"/>
              </w:rPr>
              <w:t>次氯酸钠</w:t>
            </w:r>
          </w:p>
        </w:tc>
        <w:tc>
          <w:tcPr>
            <w:tcW w:w="1037" w:type="dxa"/>
            <w:vAlign w:val="top"/>
          </w:tcPr>
          <w:p w14:paraId="39651380">
            <w:pPr>
              <w:spacing w:before="8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033A1C1">
            <w:pPr>
              <w:spacing w:before="8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84" w:type="dxa"/>
            <w:vAlign w:val="top"/>
          </w:tcPr>
          <w:p w14:paraId="543A43F2">
            <w:pPr>
              <w:pStyle w:val="6"/>
              <w:spacing w:before="49" w:line="227" w:lineRule="auto"/>
              <w:ind w:left="192"/>
              <w:rPr>
                <w:sz w:val="20"/>
                <w:szCs w:val="20"/>
              </w:rPr>
            </w:pPr>
            <w:r>
              <w:rPr>
                <w:spacing w:val="3"/>
                <w:sz w:val="20"/>
                <w:szCs w:val="20"/>
              </w:rPr>
              <w:t>液态</w:t>
            </w:r>
          </w:p>
        </w:tc>
        <w:tc>
          <w:tcPr>
            <w:tcW w:w="876" w:type="dxa"/>
            <w:vAlign w:val="top"/>
          </w:tcPr>
          <w:p w14:paraId="21D4C2BF">
            <w:pPr>
              <w:pStyle w:val="6"/>
              <w:spacing w:before="49" w:line="227" w:lineRule="auto"/>
              <w:ind w:left="238"/>
              <w:rPr>
                <w:sz w:val="20"/>
                <w:szCs w:val="20"/>
              </w:rPr>
            </w:pPr>
            <w:r>
              <w:rPr>
                <w:spacing w:val="3"/>
                <w:sz w:val="20"/>
                <w:szCs w:val="20"/>
              </w:rPr>
              <w:t>罐车</w:t>
            </w:r>
          </w:p>
        </w:tc>
        <w:tc>
          <w:tcPr>
            <w:tcW w:w="723" w:type="dxa"/>
            <w:vAlign w:val="top"/>
          </w:tcPr>
          <w:p w14:paraId="508E9963">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78953D02">
            <w:pPr>
              <w:rPr>
                <w:rFonts w:ascii="Arial"/>
                <w:sz w:val="21"/>
              </w:rPr>
            </w:pPr>
          </w:p>
        </w:tc>
      </w:tr>
      <w:tr w14:paraId="3975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7CFCA3F">
            <w:pPr>
              <w:rPr>
                <w:rFonts w:ascii="Arial"/>
                <w:sz w:val="21"/>
              </w:rPr>
            </w:pPr>
          </w:p>
        </w:tc>
        <w:tc>
          <w:tcPr>
            <w:tcW w:w="113" w:type="dxa"/>
            <w:tcBorders>
              <w:top w:val="nil"/>
              <w:bottom w:val="nil"/>
            </w:tcBorders>
            <w:vAlign w:val="top"/>
          </w:tcPr>
          <w:p w14:paraId="65167F19">
            <w:pPr>
              <w:rPr>
                <w:rFonts w:ascii="Arial"/>
                <w:sz w:val="21"/>
              </w:rPr>
            </w:pPr>
          </w:p>
        </w:tc>
        <w:tc>
          <w:tcPr>
            <w:tcW w:w="494" w:type="dxa"/>
            <w:vAlign w:val="top"/>
          </w:tcPr>
          <w:p w14:paraId="66DD3BB1">
            <w:pPr>
              <w:spacing w:before="8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476" w:type="dxa"/>
            <w:vMerge w:val="continue"/>
            <w:tcBorders>
              <w:top w:val="nil"/>
              <w:bottom w:val="nil"/>
            </w:tcBorders>
            <w:vAlign w:val="top"/>
          </w:tcPr>
          <w:p w14:paraId="6F6E1D9C">
            <w:pPr>
              <w:rPr>
                <w:rFonts w:ascii="Arial"/>
                <w:sz w:val="21"/>
              </w:rPr>
            </w:pPr>
          </w:p>
        </w:tc>
        <w:tc>
          <w:tcPr>
            <w:tcW w:w="1384" w:type="dxa"/>
            <w:vAlign w:val="top"/>
          </w:tcPr>
          <w:p w14:paraId="605B18D3">
            <w:pPr>
              <w:pStyle w:val="6"/>
              <w:spacing w:before="49" w:line="227" w:lineRule="auto"/>
              <w:ind w:left="280"/>
              <w:rPr>
                <w:sz w:val="20"/>
                <w:szCs w:val="20"/>
              </w:rPr>
            </w:pPr>
            <w:r>
              <w:rPr>
                <w:spacing w:val="6"/>
                <w:sz w:val="20"/>
                <w:szCs w:val="20"/>
              </w:rPr>
              <w:t>二氯乙烷</w:t>
            </w:r>
          </w:p>
        </w:tc>
        <w:tc>
          <w:tcPr>
            <w:tcW w:w="1037" w:type="dxa"/>
            <w:vAlign w:val="top"/>
          </w:tcPr>
          <w:p w14:paraId="7FE0AA54">
            <w:pPr>
              <w:spacing w:before="83"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78426C5">
            <w:pPr>
              <w:spacing w:before="8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2700</w:t>
            </w:r>
          </w:p>
        </w:tc>
        <w:tc>
          <w:tcPr>
            <w:tcW w:w="784" w:type="dxa"/>
            <w:vAlign w:val="top"/>
          </w:tcPr>
          <w:p w14:paraId="14F394E0">
            <w:pPr>
              <w:pStyle w:val="6"/>
              <w:spacing w:before="49" w:line="227" w:lineRule="auto"/>
              <w:ind w:left="192"/>
              <w:rPr>
                <w:sz w:val="20"/>
                <w:szCs w:val="20"/>
              </w:rPr>
            </w:pPr>
            <w:r>
              <w:rPr>
                <w:spacing w:val="3"/>
                <w:sz w:val="20"/>
                <w:szCs w:val="20"/>
              </w:rPr>
              <w:t>液态</w:t>
            </w:r>
          </w:p>
        </w:tc>
        <w:tc>
          <w:tcPr>
            <w:tcW w:w="876" w:type="dxa"/>
            <w:vAlign w:val="top"/>
          </w:tcPr>
          <w:p w14:paraId="122FDC78">
            <w:pPr>
              <w:pStyle w:val="6"/>
              <w:spacing w:before="49" w:line="227" w:lineRule="auto"/>
              <w:ind w:left="238"/>
              <w:rPr>
                <w:sz w:val="20"/>
                <w:szCs w:val="20"/>
              </w:rPr>
            </w:pPr>
            <w:r>
              <w:rPr>
                <w:spacing w:val="3"/>
                <w:sz w:val="20"/>
                <w:szCs w:val="20"/>
              </w:rPr>
              <w:t>罐车</w:t>
            </w:r>
          </w:p>
        </w:tc>
        <w:tc>
          <w:tcPr>
            <w:tcW w:w="723" w:type="dxa"/>
            <w:vAlign w:val="top"/>
          </w:tcPr>
          <w:p w14:paraId="429747C2">
            <w:pPr>
              <w:pStyle w:val="6"/>
              <w:spacing w:before="49" w:line="227" w:lineRule="auto"/>
              <w:ind w:left="159"/>
              <w:rPr>
                <w:sz w:val="20"/>
                <w:szCs w:val="20"/>
              </w:rPr>
            </w:pPr>
            <w:r>
              <w:rPr>
                <w:spacing w:val="4"/>
                <w:sz w:val="20"/>
                <w:szCs w:val="20"/>
              </w:rPr>
              <w:t>产品</w:t>
            </w:r>
          </w:p>
        </w:tc>
        <w:tc>
          <w:tcPr>
            <w:tcW w:w="290" w:type="dxa"/>
            <w:vMerge w:val="continue"/>
            <w:tcBorders>
              <w:top w:val="nil"/>
              <w:bottom w:val="nil"/>
            </w:tcBorders>
            <w:vAlign w:val="top"/>
          </w:tcPr>
          <w:p w14:paraId="4E017D9E">
            <w:pPr>
              <w:rPr>
                <w:rFonts w:ascii="Arial"/>
                <w:sz w:val="21"/>
              </w:rPr>
            </w:pPr>
          </w:p>
        </w:tc>
      </w:tr>
      <w:tr w14:paraId="4A306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56" w:type="dxa"/>
            <w:vMerge w:val="continue"/>
            <w:tcBorders>
              <w:top w:val="nil"/>
            </w:tcBorders>
            <w:vAlign w:val="top"/>
          </w:tcPr>
          <w:p w14:paraId="6FA85C74">
            <w:pPr>
              <w:rPr>
                <w:rFonts w:ascii="Arial"/>
                <w:sz w:val="21"/>
              </w:rPr>
            </w:pPr>
          </w:p>
        </w:tc>
        <w:tc>
          <w:tcPr>
            <w:tcW w:w="113" w:type="dxa"/>
            <w:tcBorders>
              <w:top w:val="nil"/>
            </w:tcBorders>
            <w:vAlign w:val="top"/>
          </w:tcPr>
          <w:p w14:paraId="641447EF">
            <w:pPr>
              <w:rPr>
                <w:rFonts w:ascii="Arial"/>
                <w:sz w:val="21"/>
              </w:rPr>
            </w:pPr>
          </w:p>
        </w:tc>
        <w:tc>
          <w:tcPr>
            <w:tcW w:w="494" w:type="dxa"/>
            <w:vAlign w:val="top"/>
          </w:tcPr>
          <w:p w14:paraId="62949950">
            <w:pPr>
              <w:spacing w:before="86"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476" w:type="dxa"/>
            <w:vMerge w:val="continue"/>
            <w:tcBorders>
              <w:top w:val="nil"/>
            </w:tcBorders>
            <w:vAlign w:val="top"/>
          </w:tcPr>
          <w:p w14:paraId="4A66C0F1">
            <w:pPr>
              <w:rPr>
                <w:rFonts w:ascii="Arial"/>
                <w:sz w:val="21"/>
              </w:rPr>
            </w:pPr>
          </w:p>
        </w:tc>
        <w:tc>
          <w:tcPr>
            <w:tcW w:w="1384" w:type="dxa"/>
            <w:vAlign w:val="top"/>
          </w:tcPr>
          <w:p w14:paraId="05576738">
            <w:pPr>
              <w:pStyle w:val="6"/>
              <w:spacing w:before="48" w:line="229" w:lineRule="auto"/>
              <w:ind w:left="382"/>
              <w:rPr>
                <w:sz w:val="20"/>
                <w:szCs w:val="20"/>
              </w:rPr>
            </w:pPr>
            <w:r>
              <w:rPr>
                <w:spacing w:val="6"/>
                <w:sz w:val="20"/>
                <w:szCs w:val="20"/>
              </w:rPr>
              <w:t>浓硫酸</w:t>
            </w:r>
          </w:p>
        </w:tc>
        <w:tc>
          <w:tcPr>
            <w:tcW w:w="1037" w:type="dxa"/>
            <w:vAlign w:val="top"/>
          </w:tcPr>
          <w:p w14:paraId="5F194F86">
            <w:pPr>
              <w:spacing w:before="8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c>
          <w:tcPr>
            <w:tcW w:w="992" w:type="dxa"/>
            <w:vAlign w:val="top"/>
          </w:tcPr>
          <w:p w14:paraId="151D44E1">
            <w:pPr>
              <w:spacing w:before="8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20E9DA2">
            <w:pPr>
              <w:pStyle w:val="6"/>
              <w:spacing w:before="48" w:line="228" w:lineRule="auto"/>
              <w:ind w:left="192"/>
              <w:rPr>
                <w:sz w:val="20"/>
                <w:szCs w:val="20"/>
              </w:rPr>
            </w:pPr>
            <w:r>
              <w:rPr>
                <w:spacing w:val="3"/>
                <w:sz w:val="20"/>
                <w:szCs w:val="20"/>
              </w:rPr>
              <w:t>液态</w:t>
            </w:r>
          </w:p>
        </w:tc>
        <w:tc>
          <w:tcPr>
            <w:tcW w:w="876" w:type="dxa"/>
            <w:vAlign w:val="top"/>
          </w:tcPr>
          <w:p w14:paraId="0B8E8453">
            <w:pPr>
              <w:pStyle w:val="6"/>
              <w:spacing w:before="48" w:line="228" w:lineRule="auto"/>
              <w:ind w:left="238"/>
              <w:rPr>
                <w:sz w:val="20"/>
                <w:szCs w:val="20"/>
              </w:rPr>
            </w:pPr>
            <w:r>
              <w:rPr>
                <w:spacing w:val="3"/>
                <w:sz w:val="20"/>
                <w:szCs w:val="20"/>
              </w:rPr>
              <w:t>罐车</w:t>
            </w:r>
          </w:p>
        </w:tc>
        <w:tc>
          <w:tcPr>
            <w:tcW w:w="723" w:type="dxa"/>
            <w:vAlign w:val="top"/>
          </w:tcPr>
          <w:p w14:paraId="3A64643B">
            <w:pPr>
              <w:pStyle w:val="6"/>
              <w:spacing w:before="48" w:line="228" w:lineRule="auto"/>
              <w:ind w:left="164"/>
              <w:rPr>
                <w:sz w:val="20"/>
                <w:szCs w:val="20"/>
              </w:rPr>
            </w:pPr>
            <w:r>
              <w:rPr>
                <w:spacing w:val="2"/>
                <w:sz w:val="20"/>
                <w:szCs w:val="20"/>
              </w:rPr>
              <w:t>原料</w:t>
            </w:r>
          </w:p>
        </w:tc>
        <w:tc>
          <w:tcPr>
            <w:tcW w:w="290" w:type="dxa"/>
            <w:vMerge w:val="continue"/>
            <w:tcBorders>
              <w:top w:val="nil"/>
            </w:tcBorders>
            <w:vAlign w:val="top"/>
          </w:tcPr>
          <w:p w14:paraId="4F87587B">
            <w:pPr>
              <w:rPr>
                <w:rFonts w:ascii="Arial"/>
                <w:sz w:val="21"/>
              </w:rPr>
            </w:pPr>
          </w:p>
        </w:tc>
      </w:tr>
    </w:tbl>
    <w:p w14:paraId="5E7106A8">
      <w:pPr>
        <w:pStyle w:val="2"/>
      </w:pPr>
    </w:p>
    <w:p w14:paraId="079B81DF">
      <w:pPr>
        <w:sectPr>
          <w:footerReference r:id="rId39" w:type="default"/>
          <w:pgSz w:w="11906" w:h="16839"/>
          <w:pgMar w:top="400" w:right="1588" w:bottom="1259" w:left="1687" w:header="0" w:footer="1097" w:gutter="0"/>
          <w:cols w:space="720" w:num="1"/>
        </w:sectPr>
      </w:pPr>
    </w:p>
    <w:p w14:paraId="1D2E8B71">
      <w:pPr>
        <w:spacing w:before="19"/>
      </w:pPr>
    </w:p>
    <w:p w14:paraId="4070A4D1">
      <w:pPr>
        <w:spacing w:before="19"/>
      </w:pPr>
    </w:p>
    <w:p w14:paraId="1A27A7D1">
      <w:pPr>
        <w:spacing w:before="18"/>
      </w:pPr>
    </w:p>
    <w:p w14:paraId="4895DA5D">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94"/>
        <w:gridCol w:w="1476"/>
        <w:gridCol w:w="1384"/>
        <w:gridCol w:w="1037"/>
        <w:gridCol w:w="992"/>
        <w:gridCol w:w="784"/>
        <w:gridCol w:w="876"/>
        <w:gridCol w:w="723"/>
        <w:gridCol w:w="290"/>
      </w:tblGrid>
      <w:tr w14:paraId="0C513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56" w:type="dxa"/>
            <w:vMerge w:val="restart"/>
            <w:tcBorders>
              <w:bottom w:val="nil"/>
            </w:tcBorders>
            <w:vAlign w:val="top"/>
          </w:tcPr>
          <w:p w14:paraId="547DD148">
            <w:pPr>
              <w:rPr>
                <w:rFonts w:ascii="Arial"/>
                <w:sz w:val="21"/>
              </w:rPr>
            </w:pPr>
          </w:p>
        </w:tc>
        <w:tc>
          <w:tcPr>
            <w:tcW w:w="113" w:type="dxa"/>
            <w:tcBorders>
              <w:bottom w:val="nil"/>
            </w:tcBorders>
            <w:vAlign w:val="top"/>
          </w:tcPr>
          <w:p w14:paraId="41EBE979">
            <w:pPr>
              <w:rPr>
                <w:rFonts w:ascii="Arial"/>
                <w:sz w:val="21"/>
              </w:rPr>
            </w:pPr>
          </w:p>
        </w:tc>
        <w:tc>
          <w:tcPr>
            <w:tcW w:w="494" w:type="dxa"/>
            <w:vAlign w:val="top"/>
          </w:tcPr>
          <w:p w14:paraId="50A073B5">
            <w:pPr>
              <w:spacing w:before="9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476" w:type="dxa"/>
            <w:vAlign w:val="top"/>
          </w:tcPr>
          <w:p w14:paraId="773DED65">
            <w:pPr>
              <w:rPr>
                <w:rFonts w:ascii="Arial"/>
                <w:sz w:val="21"/>
              </w:rPr>
            </w:pPr>
          </w:p>
        </w:tc>
        <w:tc>
          <w:tcPr>
            <w:tcW w:w="1384" w:type="dxa"/>
            <w:vAlign w:val="top"/>
          </w:tcPr>
          <w:p w14:paraId="67916B67">
            <w:pPr>
              <w:pStyle w:val="6"/>
              <w:spacing w:before="58" w:line="229" w:lineRule="auto"/>
              <w:ind w:left="276"/>
              <w:rPr>
                <w:sz w:val="20"/>
                <w:szCs w:val="20"/>
              </w:rPr>
            </w:pPr>
            <w:r>
              <w:rPr>
                <w:spacing w:val="7"/>
                <w:sz w:val="20"/>
                <w:szCs w:val="20"/>
              </w:rPr>
              <w:t>三氯化铁</w:t>
            </w:r>
          </w:p>
        </w:tc>
        <w:tc>
          <w:tcPr>
            <w:tcW w:w="1037" w:type="dxa"/>
            <w:vAlign w:val="top"/>
          </w:tcPr>
          <w:p w14:paraId="54846464">
            <w:pPr>
              <w:spacing w:before="9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92" w:type="dxa"/>
            <w:vAlign w:val="top"/>
          </w:tcPr>
          <w:p w14:paraId="1D136EE9">
            <w:pPr>
              <w:spacing w:before="93"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821032A">
            <w:pPr>
              <w:pStyle w:val="6"/>
              <w:spacing w:before="59" w:line="228" w:lineRule="auto"/>
              <w:ind w:left="192"/>
              <w:rPr>
                <w:sz w:val="20"/>
                <w:szCs w:val="20"/>
              </w:rPr>
            </w:pPr>
            <w:r>
              <w:rPr>
                <w:spacing w:val="3"/>
                <w:sz w:val="20"/>
                <w:szCs w:val="20"/>
              </w:rPr>
              <w:t>液态</w:t>
            </w:r>
          </w:p>
        </w:tc>
        <w:tc>
          <w:tcPr>
            <w:tcW w:w="876" w:type="dxa"/>
            <w:vAlign w:val="top"/>
          </w:tcPr>
          <w:p w14:paraId="3828C833">
            <w:pPr>
              <w:pStyle w:val="6"/>
              <w:spacing w:before="58" w:line="228" w:lineRule="auto"/>
              <w:ind w:left="238"/>
              <w:rPr>
                <w:sz w:val="20"/>
                <w:szCs w:val="20"/>
              </w:rPr>
            </w:pPr>
            <w:r>
              <w:rPr>
                <w:spacing w:val="3"/>
                <w:sz w:val="20"/>
                <w:szCs w:val="20"/>
              </w:rPr>
              <w:t>罐车</w:t>
            </w:r>
          </w:p>
        </w:tc>
        <w:tc>
          <w:tcPr>
            <w:tcW w:w="723" w:type="dxa"/>
            <w:vAlign w:val="top"/>
          </w:tcPr>
          <w:p w14:paraId="32FB5DC9">
            <w:pPr>
              <w:pStyle w:val="6"/>
              <w:spacing w:before="59" w:line="228" w:lineRule="auto"/>
              <w:ind w:left="164"/>
              <w:rPr>
                <w:sz w:val="20"/>
                <w:szCs w:val="20"/>
              </w:rPr>
            </w:pPr>
            <w:r>
              <w:rPr>
                <w:spacing w:val="2"/>
                <w:sz w:val="20"/>
                <w:szCs w:val="20"/>
              </w:rPr>
              <w:t>原料</w:t>
            </w:r>
          </w:p>
        </w:tc>
        <w:tc>
          <w:tcPr>
            <w:tcW w:w="290" w:type="dxa"/>
            <w:vMerge w:val="restart"/>
            <w:tcBorders>
              <w:bottom w:val="nil"/>
            </w:tcBorders>
            <w:vAlign w:val="top"/>
          </w:tcPr>
          <w:p w14:paraId="6EBE2E44">
            <w:pPr>
              <w:rPr>
                <w:rFonts w:ascii="Arial"/>
                <w:sz w:val="21"/>
              </w:rPr>
            </w:pPr>
          </w:p>
        </w:tc>
      </w:tr>
      <w:tr w14:paraId="65323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F599585">
            <w:pPr>
              <w:rPr>
                <w:rFonts w:ascii="Arial"/>
                <w:sz w:val="21"/>
              </w:rPr>
            </w:pPr>
          </w:p>
        </w:tc>
        <w:tc>
          <w:tcPr>
            <w:tcW w:w="113" w:type="dxa"/>
            <w:tcBorders>
              <w:top w:val="nil"/>
              <w:bottom w:val="nil"/>
            </w:tcBorders>
            <w:vAlign w:val="top"/>
          </w:tcPr>
          <w:p w14:paraId="6EE00580">
            <w:pPr>
              <w:rPr>
                <w:rFonts w:ascii="Arial"/>
                <w:sz w:val="21"/>
              </w:rPr>
            </w:pPr>
          </w:p>
        </w:tc>
        <w:tc>
          <w:tcPr>
            <w:tcW w:w="494" w:type="dxa"/>
            <w:vAlign w:val="top"/>
          </w:tcPr>
          <w:p w14:paraId="354C28EC">
            <w:pPr>
              <w:spacing w:before="20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476" w:type="dxa"/>
            <w:vMerge w:val="restart"/>
            <w:tcBorders>
              <w:bottom w:val="nil"/>
            </w:tcBorders>
            <w:vAlign w:val="top"/>
          </w:tcPr>
          <w:p w14:paraId="77D3AC9B">
            <w:pPr>
              <w:spacing w:line="348" w:lineRule="auto"/>
              <w:rPr>
                <w:rFonts w:ascii="Arial"/>
                <w:sz w:val="21"/>
              </w:rPr>
            </w:pPr>
          </w:p>
          <w:p w14:paraId="14FE9F61">
            <w:pPr>
              <w:pStyle w:val="6"/>
              <w:spacing w:before="65" w:line="228" w:lineRule="auto"/>
              <w:ind w:left="136"/>
              <w:rPr>
                <w:sz w:val="20"/>
                <w:szCs w:val="20"/>
              </w:rPr>
            </w:pPr>
            <w:r>
              <w:rPr>
                <w:spacing w:val="4"/>
                <w:sz w:val="20"/>
                <w:szCs w:val="20"/>
              </w:rPr>
              <w:t>内蒙古鄂尔多</w:t>
            </w:r>
          </w:p>
          <w:p w14:paraId="2F3167D6">
            <w:pPr>
              <w:pStyle w:val="6"/>
              <w:spacing w:before="24" w:line="228" w:lineRule="auto"/>
              <w:ind w:left="112"/>
              <w:rPr>
                <w:sz w:val="20"/>
                <w:szCs w:val="20"/>
              </w:rPr>
            </w:pPr>
            <w:r>
              <w:rPr>
                <w:spacing w:val="8"/>
                <w:sz w:val="20"/>
                <w:szCs w:val="20"/>
              </w:rPr>
              <w:t>斯电力冶金股</w:t>
            </w:r>
          </w:p>
          <w:p w14:paraId="6C36546A">
            <w:pPr>
              <w:pStyle w:val="6"/>
              <w:spacing w:before="26" w:line="228" w:lineRule="auto"/>
              <w:ind w:left="111"/>
              <w:rPr>
                <w:sz w:val="20"/>
                <w:szCs w:val="20"/>
              </w:rPr>
            </w:pPr>
            <w:r>
              <w:rPr>
                <w:spacing w:val="8"/>
                <w:sz w:val="20"/>
                <w:szCs w:val="20"/>
              </w:rPr>
              <w:t>份有限公司氯</w:t>
            </w:r>
          </w:p>
          <w:p w14:paraId="202E6416">
            <w:pPr>
              <w:pStyle w:val="6"/>
              <w:spacing w:before="24" w:line="228" w:lineRule="auto"/>
              <w:ind w:left="109"/>
              <w:rPr>
                <w:sz w:val="20"/>
                <w:szCs w:val="20"/>
              </w:rPr>
            </w:pPr>
            <w:r>
              <w:rPr>
                <w:spacing w:val="8"/>
                <w:sz w:val="20"/>
                <w:szCs w:val="20"/>
              </w:rPr>
              <w:t>碱化工分公司</w:t>
            </w:r>
          </w:p>
          <w:p w14:paraId="0C886E2B">
            <w:pPr>
              <w:pStyle w:val="6"/>
              <w:spacing w:before="27" w:line="228" w:lineRule="auto"/>
              <w:ind w:left="207"/>
              <w:rPr>
                <w:sz w:val="20"/>
                <w:szCs w:val="20"/>
              </w:rPr>
            </w:pPr>
            <w:r>
              <w:rPr>
                <w:spacing w:val="4"/>
                <w:sz w:val="20"/>
                <w:szCs w:val="20"/>
              </w:rPr>
              <w:t>（</w:t>
            </w:r>
            <w:r>
              <w:rPr>
                <w:rFonts w:ascii="Times New Roman" w:hAnsi="Times New Roman" w:eastAsia="Times New Roman" w:cs="Times New Roman"/>
                <w:sz w:val="20"/>
                <w:szCs w:val="20"/>
              </w:rPr>
              <w:t>PVC</w:t>
            </w:r>
            <w:r>
              <w:rPr>
                <w:rFonts w:ascii="Times New Roman" w:hAnsi="Times New Roman" w:eastAsia="Times New Roman" w:cs="Times New Roman"/>
                <w:spacing w:val="17"/>
                <w:sz w:val="20"/>
                <w:szCs w:val="20"/>
              </w:rPr>
              <w:t xml:space="preserve"> </w:t>
            </w:r>
            <w:r>
              <w:rPr>
                <w:spacing w:val="4"/>
                <w:sz w:val="20"/>
                <w:szCs w:val="20"/>
              </w:rPr>
              <w:t>分公</w:t>
            </w:r>
          </w:p>
          <w:p w14:paraId="3BF85D35">
            <w:pPr>
              <w:pStyle w:val="6"/>
              <w:spacing w:before="24" w:line="228" w:lineRule="auto"/>
              <w:ind w:left="225"/>
              <w:rPr>
                <w:sz w:val="20"/>
                <w:szCs w:val="20"/>
              </w:rPr>
            </w:pPr>
            <w:r>
              <w:rPr>
                <w:spacing w:val="4"/>
                <w:sz w:val="20"/>
                <w:szCs w:val="20"/>
              </w:rPr>
              <w:t>司一工厂）</w:t>
            </w:r>
          </w:p>
        </w:tc>
        <w:tc>
          <w:tcPr>
            <w:tcW w:w="1384" w:type="dxa"/>
            <w:vAlign w:val="top"/>
          </w:tcPr>
          <w:p w14:paraId="360521D6">
            <w:pPr>
              <w:pStyle w:val="6"/>
              <w:spacing w:before="32" w:line="227" w:lineRule="auto"/>
              <w:ind w:left="114"/>
              <w:rPr>
                <w:sz w:val="20"/>
                <w:szCs w:val="20"/>
              </w:rPr>
            </w:pPr>
            <w:r>
              <w:rPr>
                <w:rFonts w:ascii="Times New Roman" w:hAnsi="Times New Roman" w:eastAsia="Times New Roman" w:cs="Times New Roman"/>
                <w:sz w:val="20"/>
                <w:szCs w:val="20"/>
              </w:rPr>
              <w:t>32%</w:t>
            </w:r>
            <w:r>
              <w:rPr>
                <w:rFonts w:ascii="Times New Roman" w:hAnsi="Times New Roman" w:eastAsia="Times New Roman" w:cs="Times New Roman"/>
                <w:spacing w:val="-27"/>
                <w:sz w:val="20"/>
                <w:szCs w:val="20"/>
              </w:rPr>
              <w:t xml:space="preserve"> </w:t>
            </w:r>
            <w:r>
              <w:rPr>
                <w:sz w:val="20"/>
                <w:szCs w:val="20"/>
              </w:rPr>
              <w:t>、</w:t>
            </w:r>
            <w:r>
              <w:rPr>
                <w:rFonts w:ascii="Times New Roman" w:hAnsi="Times New Roman" w:eastAsia="Times New Roman" w:cs="Times New Roman"/>
                <w:sz w:val="20"/>
                <w:szCs w:val="20"/>
              </w:rPr>
              <w:t>50%</w:t>
            </w:r>
            <w:r>
              <w:rPr>
                <w:sz w:val="20"/>
                <w:szCs w:val="20"/>
              </w:rPr>
              <w:t>烧</w:t>
            </w:r>
          </w:p>
          <w:p w14:paraId="7DCF34F6">
            <w:pPr>
              <w:pStyle w:val="6"/>
              <w:spacing w:before="25" w:line="218" w:lineRule="auto"/>
              <w:ind w:left="589"/>
              <w:rPr>
                <w:sz w:val="20"/>
                <w:szCs w:val="20"/>
              </w:rPr>
            </w:pPr>
            <w:r>
              <w:rPr>
                <w:spacing w:val="2"/>
                <w:sz w:val="20"/>
                <w:szCs w:val="20"/>
              </w:rPr>
              <w:t>碱</w:t>
            </w:r>
          </w:p>
        </w:tc>
        <w:tc>
          <w:tcPr>
            <w:tcW w:w="1037" w:type="dxa"/>
            <w:vAlign w:val="top"/>
          </w:tcPr>
          <w:p w14:paraId="0BEDDE0F">
            <w:pPr>
              <w:spacing w:before="201"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668A1968">
            <w:pPr>
              <w:spacing w:before="20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68131F76">
            <w:pPr>
              <w:pStyle w:val="6"/>
              <w:spacing w:before="167" w:line="228" w:lineRule="auto"/>
              <w:ind w:left="192"/>
              <w:rPr>
                <w:sz w:val="20"/>
                <w:szCs w:val="20"/>
              </w:rPr>
            </w:pPr>
            <w:r>
              <w:rPr>
                <w:spacing w:val="3"/>
                <w:sz w:val="20"/>
                <w:szCs w:val="20"/>
              </w:rPr>
              <w:t>液态</w:t>
            </w:r>
          </w:p>
        </w:tc>
        <w:tc>
          <w:tcPr>
            <w:tcW w:w="876" w:type="dxa"/>
            <w:vAlign w:val="top"/>
          </w:tcPr>
          <w:p w14:paraId="162DC792">
            <w:pPr>
              <w:pStyle w:val="6"/>
              <w:spacing w:before="166" w:line="228" w:lineRule="auto"/>
              <w:ind w:left="238"/>
              <w:rPr>
                <w:sz w:val="20"/>
                <w:szCs w:val="20"/>
              </w:rPr>
            </w:pPr>
            <w:r>
              <w:rPr>
                <w:spacing w:val="3"/>
                <w:sz w:val="20"/>
                <w:szCs w:val="20"/>
              </w:rPr>
              <w:t>罐车</w:t>
            </w:r>
          </w:p>
        </w:tc>
        <w:tc>
          <w:tcPr>
            <w:tcW w:w="723" w:type="dxa"/>
            <w:vAlign w:val="top"/>
          </w:tcPr>
          <w:p w14:paraId="4095249A">
            <w:pPr>
              <w:pStyle w:val="6"/>
              <w:spacing w:before="166"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BCE6587">
            <w:pPr>
              <w:rPr>
                <w:rFonts w:ascii="Arial"/>
                <w:sz w:val="21"/>
              </w:rPr>
            </w:pPr>
          </w:p>
        </w:tc>
      </w:tr>
      <w:tr w14:paraId="395A3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5F55B39">
            <w:pPr>
              <w:rPr>
                <w:rFonts w:ascii="Arial"/>
                <w:sz w:val="21"/>
              </w:rPr>
            </w:pPr>
          </w:p>
        </w:tc>
        <w:tc>
          <w:tcPr>
            <w:tcW w:w="113" w:type="dxa"/>
            <w:tcBorders>
              <w:top w:val="nil"/>
              <w:bottom w:val="nil"/>
            </w:tcBorders>
            <w:vAlign w:val="top"/>
          </w:tcPr>
          <w:p w14:paraId="02B5C241">
            <w:pPr>
              <w:rPr>
                <w:rFonts w:ascii="Arial"/>
                <w:sz w:val="21"/>
              </w:rPr>
            </w:pPr>
          </w:p>
        </w:tc>
        <w:tc>
          <w:tcPr>
            <w:tcW w:w="494" w:type="dxa"/>
            <w:vAlign w:val="top"/>
          </w:tcPr>
          <w:p w14:paraId="605A443D">
            <w:pPr>
              <w:spacing w:before="82"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476" w:type="dxa"/>
            <w:vMerge w:val="continue"/>
            <w:tcBorders>
              <w:top w:val="nil"/>
              <w:bottom w:val="nil"/>
            </w:tcBorders>
            <w:vAlign w:val="top"/>
          </w:tcPr>
          <w:p w14:paraId="53A85292">
            <w:pPr>
              <w:rPr>
                <w:rFonts w:ascii="Arial"/>
                <w:sz w:val="21"/>
              </w:rPr>
            </w:pPr>
          </w:p>
        </w:tc>
        <w:tc>
          <w:tcPr>
            <w:tcW w:w="1384" w:type="dxa"/>
            <w:vAlign w:val="top"/>
          </w:tcPr>
          <w:p w14:paraId="6B2E4337">
            <w:pPr>
              <w:pStyle w:val="6"/>
              <w:spacing w:before="44" w:line="228" w:lineRule="auto"/>
              <w:ind w:left="490"/>
              <w:rPr>
                <w:sz w:val="20"/>
                <w:szCs w:val="20"/>
              </w:rPr>
            </w:pPr>
            <w:r>
              <w:rPr>
                <w:spacing w:val="2"/>
                <w:sz w:val="20"/>
                <w:szCs w:val="20"/>
              </w:rPr>
              <w:t>片碱</w:t>
            </w:r>
          </w:p>
        </w:tc>
        <w:tc>
          <w:tcPr>
            <w:tcW w:w="1037" w:type="dxa"/>
            <w:vAlign w:val="top"/>
          </w:tcPr>
          <w:p w14:paraId="1C7188F0">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91BB81B">
            <w:pPr>
              <w:spacing w:before="8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200000</w:t>
            </w:r>
          </w:p>
        </w:tc>
        <w:tc>
          <w:tcPr>
            <w:tcW w:w="784" w:type="dxa"/>
            <w:vAlign w:val="top"/>
          </w:tcPr>
          <w:p w14:paraId="7C11E855">
            <w:pPr>
              <w:pStyle w:val="6"/>
              <w:spacing w:before="44" w:line="228" w:lineRule="auto"/>
              <w:ind w:left="208"/>
              <w:rPr>
                <w:sz w:val="20"/>
                <w:szCs w:val="20"/>
              </w:rPr>
            </w:pPr>
            <w:r>
              <w:rPr>
                <w:spacing w:val="-5"/>
                <w:sz w:val="20"/>
                <w:szCs w:val="20"/>
              </w:rPr>
              <w:t>固态</w:t>
            </w:r>
          </w:p>
        </w:tc>
        <w:tc>
          <w:tcPr>
            <w:tcW w:w="876" w:type="dxa"/>
            <w:vAlign w:val="top"/>
          </w:tcPr>
          <w:p w14:paraId="2992E0C1">
            <w:pPr>
              <w:pStyle w:val="6"/>
              <w:spacing w:before="43" w:line="228" w:lineRule="auto"/>
              <w:ind w:left="131"/>
              <w:rPr>
                <w:sz w:val="20"/>
                <w:szCs w:val="20"/>
              </w:rPr>
            </w:pPr>
            <w:r>
              <w:rPr>
                <w:spacing w:val="6"/>
                <w:sz w:val="20"/>
                <w:szCs w:val="20"/>
              </w:rPr>
              <w:t>厢式车</w:t>
            </w:r>
          </w:p>
        </w:tc>
        <w:tc>
          <w:tcPr>
            <w:tcW w:w="723" w:type="dxa"/>
            <w:vAlign w:val="top"/>
          </w:tcPr>
          <w:p w14:paraId="577AB80E">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ADFE3ED">
            <w:pPr>
              <w:rPr>
                <w:rFonts w:ascii="Arial"/>
                <w:sz w:val="21"/>
              </w:rPr>
            </w:pPr>
          </w:p>
        </w:tc>
      </w:tr>
      <w:tr w14:paraId="767A3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30DCC77">
            <w:pPr>
              <w:rPr>
                <w:rFonts w:ascii="Arial"/>
                <w:sz w:val="21"/>
              </w:rPr>
            </w:pPr>
          </w:p>
        </w:tc>
        <w:tc>
          <w:tcPr>
            <w:tcW w:w="113" w:type="dxa"/>
            <w:tcBorders>
              <w:top w:val="nil"/>
              <w:bottom w:val="nil"/>
            </w:tcBorders>
            <w:vAlign w:val="top"/>
          </w:tcPr>
          <w:p w14:paraId="39A96946">
            <w:pPr>
              <w:rPr>
                <w:rFonts w:ascii="Arial"/>
                <w:sz w:val="21"/>
              </w:rPr>
            </w:pPr>
          </w:p>
        </w:tc>
        <w:tc>
          <w:tcPr>
            <w:tcW w:w="494" w:type="dxa"/>
            <w:vAlign w:val="top"/>
          </w:tcPr>
          <w:p w14:paraId="3C7063B4">
            <w:pPr>
              <w:spacing w:before="81"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476" w:type="dxa"/>
            <w:vMerge w:val="continue"/>
            <w:tcBorders>
              <w:top w:val="nil"/>
              <w:bottom w:val="nil"/>
            </w:tcBorders>
            <w:vAlign w:val="top"/>
          </w:tcPr>
          <w:p w14:paraId="7C45FD12">
            <w:pPr>
              <w:rPr>
                <w:rFonts w:ascii="Arial"/>
                <w:sz w:val="21"/>
              </w:rPr>
            </w:pPr>
          </w:p>
        </w:tc>
        <w:tc>
          <w:tcPr>
            <w:tcW w:w="1384" w:type="dxa"/>
            <w:vAlign w:val="top"/>
          </w:tcPr>
          <w:p w14:paraId="3E58636B">
            <w:pPr>
              <w:pStyle w:val="6"/>
              <w:spacing w:before="43" w:line="228" w:lineRule="auto"/>
              <w:ind w:left="282"/>
              <w:rPr>
                <w:sz w:val="20"/>
                <w:szCs w:val="20"/>
              </w:rPr>
            </w:pPr>
            <w:r>
              <w:rPr>
                <w:spacing w:val="5"/>
                <w:sz w:val="20"/>
                <w:szCs w:val="20"/>
              </w:rPr>
              <w:t>次氯酸钠</w:t>
            </w:r>
          </w:p>
        </w:tc>
        <w:tc>
          <w:tcPr>
            <w:tcW w:w="1037" w:type="dxa"/>
            <w:vAlign w:val="top"/>
          </w:tcPr>
          <w:p w14:paraId="7742073C">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45106B">
            <w:pPr>
              <w:spacing w:before="8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784" w:type="dxa"/>
            <w:vAlign w:val="top"/>
          </w:tcPr>
          <w:p w14:paraId="1313B7E3">
            <w:pPr>
              <w:pStyle w:val="6"/>
              <w:spacing w:before="43" w:line="228" w:lineRule="auto"/>
              <w:ind w:left="192"/>
              <w:rPr>
                <w:sz w:val="20"/>
                <w:szCs w:val="20"/>
              </w:rPr>
            </w:pPr>
            <w:r>
              <w:rPr>
                <w:spacing w:val="3"/>
                <w:sz w:val="20"/>
                <w:szCs w:val="20"/>
              </w:rPr>
              <w:t>液态</w:t>
            </w:r>
          </w:p>
        </w:tc>
        <w:tc>
          <w:tcPr>
            <w:tcW w:w="876" w:type="dxa"/>
            <w:vAlign w:val="top"/>
          </w:tcPr>
          <w:p w14:paraId="5F291C06">
            <w:pPr>
              <w:pStyle w:val="6"/>
              <w:spacing w:before="43" w:line="228" w:lineRule="auto"/>
              <w:ind w:left="238"/>
              <w:rPr>
                <w:sz w:val="20"/>
                <w:szCs w:val="20"/>
              </w:rPr>
            </w:pPr>
            <w:r>
              <w:rPr>
                <w:spacing w:val="3"/>
                <w:sz w:val="20"/>
                <w:szCs w:val="20"/>
              </w:rPr>
              <w:t>罐车</w:t>
            </w:r>
          </w:p>
        </w:tc>
        <w:tc>
          <w:tcPr>
            <w:tcW w:w="723" w:type="dxa"/>
            <w:vAlign w:val="top"/>
          </w:tcPr>
          <w:p w14:paraId="440AC6C3">
            <w:pPr>
              <w:pStyle w:val="6"/>
              <w:spacing w:before="4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4452D2F7">
            <w:pPr>
              <w:rPr>
                <w:rFonts w:ascii="Arial"/>
                <w:sz w:val="21"/>
              </w:rPr>
            </w:pPr>
          </w:p>
        </w:tc>
      </w:tr>
      <w:tr w14:paraId="4083E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C24DE89">
            <w:pPr>
              <w:rPr>
                <w:rFonts w:ascii="Arial"/>
                <w:sz w:val="21"/>
              </w:rPr>
            </w:pPr>
          </w:p>
        </w:tc>
        <w:tc>
          <w:tcPr>
            <w:tcW w:w="113" w:type="dxa"/>
            <w:tcBorders>
              <w:top w:val="nil"/>
              <w:bottom w:val="nil"/>
            </w:tcBorders>
            <w:vAlign w:val="top"/>
          </w:tcPr>
          <w:p w14:paraId="59B27D74">
            <w:pPr>
              <w:rPr>
                <w:rFonts w:ascii="Arial"/>
                <w:sz w:val="21"/>
              </w:rPr>
            </w:pPr>
          </w:p>
        </w:tc>
        <w:tc>
          <w:tcPr>
            <w:tcW w:w="494" w:type="dxa"/>
            <w:vAlign w:val="top"/>
          </w:tcPr>
          <w:p w14:paraId="6BBFB906">
            <w:pPr>
              <w:spacing w:before="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76" w:type="dxa"/>
            <w:vMerge w:val="continue"/>
            <w:tcBorders>
              <w:top w:val="nil"/>
              <w:bottom w:val="nil"/>
            </w:tcBorders>
            <w:vAlign w:val="top"/>
          </w:tcPr>
          <w:p w14:paraId="348C02D5">
            <w:pPr>
              <w:rPr>
                <w:rFonts w:ascii="Arial"/>
                <w:sz w:val="21"/>
              </w:rPr>
            </w:pPr>
          </w:p>
        </w:tc>
        <w:tc>
          <w:tcPr>
            <w:tcW w:w="1384" w:type="dxa"/>
            <w:vAlign w:val="top"/>
          </w:tcPr>
          <w:p w14:paraId="2DD1BF18">
            <w:pPr>
              <w:pStyle w:val="6"/>
              <w:spacing w:before="45" w:line="228" w:lineRule="auto"/>
              <w:ind w:left="280"/>
              <w:rPr>
                <w:sz w:val="20"/>
                <w:szCs w:val="20"/>
              </w:rPr>
            </w:pPr>
            <w:r>
              <w:rPr>
                <w:spacing w:val="6"/>
                <w:sz w:val="20"/>
                <w:szCs w:val="20"/>
              </w:rPr>
              <w:t>二氯乙烷</w:t>
            </w:r>
          </w:p>
        </w:tc>
        <w:tc>
          <w:tcPr>
            <w:tcW w:w="1037" w:type="dxa"/>
            <w:vAlign w:val="top"/>
          </w:tcPr>
          <w:p w14:paraId="14CF7A75">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F87B231">
            <w:pPr>
              <w:spacing w:before="81"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784" w:type="dxa"/>
            <w:vAlign w:val="top"/>
          </w:tcPr>
          <w:p w14:paraId="171E19AD">
            <w:pPr>
              <w:pStyle w:val="6"/>
              <w:spacing w:before="45" w:line="228" w:lineRule="auto"/>
              <w:ind w:left="192"/>
              <w:rPr>
                <w:sz w:val="20"/>
                <w:szCs w:val="20"/>
              </w:rPr>
            </w:pPr>
            <w:r>
              <w:rPr>
                <w:spacing w:val="3"/>
                <w:sz w:val="20"/>
                <w:szCs w:val="20"/>
              </w:rPr>
              <w:t>液态</w:t>
            </w:r>
          </w:p>
        </w:tc>
        <w:tc>
          <w:tcPr>
            <w:tcW w:w="876" w:type="dxa"/>
            <w:vAlign w:val="top"/>
          </w:tcPr>
          <w:p w14:paraId="19573959">
            <w:pPr>
              <w:pStyle w:val="6"/>
              <w:spacing w:before="45" w:line="228" w:lineRule="auto"/>
              <w:ind w:left="238"/>
              <w:rPr>
                <w:sz w:val="20"/>
                <w:szCs w:val="20"/>
              </w:rPr>
            </w:pPr>
            <w:r>
              <w:rPr>
                <w:spacing w:val="3"/>
                <w:sz w:val="20"/>
                <w:szCs w:val="20"/>
              </w:rPr>
              <w:t>罐车</w:t>
            </w:r>
          </w:p>
        </w:tc>
        <w:tc>
          <w:tcPr>
            <w:tcW w:w="723" w:type="dxa"/>
            <w:vAlign w:val="top"/>
          </w:tcPr>
          <w:p w14:paraId="48C8DEC7">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5ED851A">
            <w:pPr>
              <w:rPr>
                <w:rFonts w:ascii="Arial"/>
                <w:sz w:val="21"/>
              </w:rPr>
            </w:pPr>
          </w:p>
        </w:tc>
      </w:tr>
      <w:tr w14:paraId="5332F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C6C06EA">
            <w:pPr>
              <w:rPr>
                <w:rFonts w:ascii="Arial"/>
                <w:sz w:val="21"/>
              </w:rPr>
            </w:pPr>
          </w:p>
        </w:tc>
        <w:tc>
          <w:tcPr>
            <w:tcW w:w="113" w:type="dxa"/>
            <w:tcBorders>
              <w:top w:val="nil"/>
              <w:bottom w:val="nil"/>
            </w:tcBorders>
            <w:vAlign w:val="top"/>
          </w:tcPr>
          <w:p w14:paraId="17CAD7B5">
            <w:pPr>
              <w:rPr>
                <w:rFonts w:ascii="Arial"/>
                <w:sz w:val="21"/>
              </w:rPr>
            </w:pPr>
          </w:p>
        </w:tc>
        <w:tc>
          <w:tcPr>
            <w:tcW w:w="494" w:type="dxa"/>
            <w:vAlign w:val="top"/>
          </w:tcPr>
          <w:p w14:paraId="4997C23E">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476" w:type="dxa"/>
            <w:vMerge w:val="continue"/>
            <w:tcBorders>
              <w:top w:val="nil"/>
              <w:bottom w:val="nil"/>
            </w:tcBorders>
            <w:vAlign w:val="top"/>
          </w:tcPr>
          <w:p w14:paraId="29B3DECC">
            <w:pPr>
              <w:rPr>
                <w:rFonts w:ascii="Arial"/>
                <w:sz w:val="21"/>
              </w:rPr>
            </w:pPr>
          </w:p>
        </w:tc>
        <w:tc>
          <w:tcPr>
            <w:tcW w:w="1384" w:type="dxa"/>
            <w:vAlign w:val="top"/>
          </w:tcPr>
          <w:p w14:paraId="552A55EF">
            <w:pPr>
              <w:pStyle w:val="6"/>
              <w:spacing w:before="45" w:line="228" w:lineRule="auto"/>
              <w:ind w:left="487"/>
              <w:rPr>
                <w:sz w:val="20"/>
                <w:szCs w:val="20"/>
              </w:rPr>
            </w:pPr>
            <w:r>
              <w:rPr>
                <w:spacing w:val="3"/>
                <w:sz w:val="20"/>
                <w:szCs w:val="20"/>
              </w:rPr>
              <w:t>液氯</w:t>
            </w:r>
          </w:p>
        </w:tc>
        <w:tc>
          <w:tcPr>
            <w:tcW w:w="1037" w:type="dxa"/>
            <w:vAlign w:val="top"/>
          </w:tcPr>
          <w:p w14:paraId="3B312676">
            <w:pPr>
              <w:spacing w:before="77"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3B1D5D8">
            <w:pPr>
              <w:spacing w:before="8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784" w:type="dxa"/>
            <w:vAlign w:val="top"/>
          </w:tcPr>
          <w:p w14:paraId="63237ED9">
            <w:pPr>
              <w:pStyle w:val="6"/>
              <w:spacing w:before="45" w:line="228" w:lineRule="auto"/>
              <w:ind w:left="192"/>
              <w:rPr>
                <w:sz w:val="20"/>
                <w:szCs w:val="20"/>
              </w:rPr>
            </w:pPr>
            <w:r>
              <w:rPr>
                <w:spacing w:val="3"/>
                <w:sz w:val="20"/>
                <w:szCs w:val="20"/>
              </w:rPr>
              <w:t>液态</w:t>
            </w:r>
          </w:p>
        </w:tc>
        <w:tc>
          <w:tcPr>
            <w:tcW w:w="876" w:type="dxa"/>
            <w:vAlign w:val="top"/>
          </w:tcPr>
          <w:p w14:paraId="050D8A07">
            <w:pPr>
              <w:pStyle w:val="6"/>
              <w:spacing w:before="44" w:line="228" w:lineRule="auto"/>
              <w:ind w:left="238"/>
              <w:rPr>
                <w:sz w:val="20"/>
                <w:szCs w:val="20"/>
              </w:rPr>
            </w:pPr>
            <w:r>
              <w:rPr>
                <w:spacing w:val="3"/>
                <w:sz w:val="20"/>
                <w:szCs w:val="20"/>
              </w:rPr>
              <w:t>罐车</w:t>
            </w:r>
          </w:p>
        </w:tc>
        <w:tc>
          <w:tcPr>
            <w:tcW w:w="723" w:type="dxa"/>
            <w:vAlign w:val="top"/>
          </w:tcPr>
          <w:p w14:paraId="3DB6D654">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09A1B82C">
            <w:pPr>
              <w:rPr>
                <w:rFonts w:ascii="Arial"/>
                <w:sz w:val="21"/>
              </w:rPr>
            </w:pPr>
          </w:p>
        </w:tc>
      </w:tr>
      <w:tr w14:paraId="7F880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6539222E">
            <w:pPr>
              <w:rPr>
                <w:rFonts w:ascii="Arial"/>
                <w:sz w:val="21"/>
              </w:rPr>
            </w:pPr>
          </w:p>
        </w:tc>
        <w:tc>
          <w:tcPr>
            <w:tcW w:w="113" w:type="dxa"/>
            <w:tcBorders>
              <w:top w:val="nil"/>
              <w:bottom w:val="nil"/>
            </w:tcBorders>
            <w:vAlign w:val="top"/>
          </w:tcPr>
          <w:p w14:paraId="4735C83A">
            <w:pPr>
              <w:rPr>
                <w:rFonts w:ascii="Arial"/>
                <w:sz w:val="21"/>
              </w:rPr>
            </w:pPr>
          </w:p>
        </w:tc>
        <w:tc>
          <w:tcPr>
            <w:tcW w:w="494" w:type="dxa"/>
            <w:vAlign w:val="top"/>
          </w:tcPr>
          <w:p w14:paraId="4FEFAED4">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476" w:type="dxa"/>
            <w:vMerge w:val="continue"/>
            <w:tcBorders>
              <w:top w:val="nil"/>
              <w:bottom w:val="nil"/>
            </w:tcBorders>
            <w:vAlign w:val="top"/>
          </w:tcPr>
          <w:p w14:paraId="7BC0CEB5">
            <w:pPr>
              <w:rPr>
                <w:rFonts w:ascii="Arial"/>
                <w:sz w:val="21"/>
              </w:rPr>
            </w:pPr>
          </w:p>
        </w:tc>
        <w:tc>
          <w:tcPr>
            <w:tcW w:w="1384" w:type="dxa"/>
            <w:vAlign w:val="top"/>
          </w:tcPr>
          <w:p w14:paraId="71DA3220">
            <w:pPr>
              <w:pStyle w:val="6"/>
              <w:spacing w:before="44" w:line="229" w:lineRule="auto"/>
              <w:ind w:left="276"/>
              <w:rPr>
                <w:sz w:val="20"/>
                <w:szCs w:val="20"/>
              </w:rPr>
            </w:pPr>
            <w:r>
              <w:rPr>
                <w:spacing w:val="7"/>
                <w:sz w:val="20"/>
                <w:szCs w:val="20"/>
              </w:rPr>
              <w:t>三氯化铁</w:t>
            </w:r>
          </w:p>
        </w:tc>
        <w:tc>
          <w:tcPr>
            <w:tcW w:w="1037" w:type="dxa"/>
            <w:vAlign w:val="top"/>
          </w:tcPr>
          <w:p w14:paraId="75D96D9D">
            <w:pPr>
              <w:spacing w:before="80"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196</w:t>
            </w:r>
          </w:p>
        </w:tc>
        <w:tc>
          <w:tcPr>
            <w:tcW w:w="992" w:type="dxa"/>
            <w:vAlign w:val="top"/>
          </w:tcPr>
          <w:p w14:paraId="4CE2A9C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E569210">
            <w:pPr>
              <w:pStyle w:val="6"/>
              <w:spacing w:before="45" w:line="228" w:lineRule="auto"/>
              <w:ind w:left="192"/>
              <w:rPr>
                <w:sz w:val="20"/>
                <w:szCs w:val="20"/>
              </w:rPr>
            </w:pPr>
            <w:r>
              <w:rPr>
                <w:spacing w:val="3"/>
                <w:sz w:val="20"/>
                <w:szCs w:val="20"/>
              </w:rPr>
              <w:t>液态</w:t>
            </w:r>
          </w:p>
        </w:tc>
        <w:tc>
          <w:tcPr>
            <w:tcW w:w="876" w:type="dxa"/>
            <w:vAlign w:val="top"/>
          </w:tcPr>
          <w:p w14:paraId="7FEF7485">
            <w:pPr>
              <w:pStyle w:val="6"/>
              <w:spacing w:before="44" w:line="228" w:lineRule="auto"/>
              <w:ind w:left="238"/>
              <w:rPr>
                <w:sz w:val="20"/>
                <w:szCs w:val="20"/>
              </w:rPr>
            </w:pPr>
            <w:r>
              <w:rPr>
                <w:spacing w:val="3"/>
                <w:sz w:val="20"/>
                <w:szCs w:val="20"/>
              </w:rPr>
              <w:t>罐车</w:t>
            </w:r>
          </w:p>
        </w:tc>
        <w:tc>
          <w:tcPr>
            <w:tcW w:w="723" w:type="dxa"/>
            <w:vAlign w:val="top"/>
          </w:tcPr>
          <w:p w14:paraId="0D4388FB">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986727B">
            <w:pPr>
              <w:rPr>
                <w:rFonts w:ascii="Arial"/>
                <w:sz w:val="21"/>
              </w:rPr>
            </w:pPr>
          </w:p>
        </w:tc>
      </w:tr>
      <w:tr w14:paraId="5BF6D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F2CFE85">
            <w:pPr>
              <w:rPr>
                <w:rFonts w:ascii="Arial"/>
                <w:sz w:val="21"/>
              </w:rPr>
            </w:pPr>
          </w:p>
        </w:tc>
        <w:tc>
          <w:tcPr>
            <w:tcW w:w="113" w:type="dxa"/>
            <w:tcBorders>
              <w:top w:val="nil"/>
              <w:bottom w:val="nil"/>
            </w:tcBorders>
            <w:vAlign w:val="top"/>
          </w:tcPr>
          <w:p w14:paraId="3DA84388">
            <w:pPr>
              <w:rPr>
                <w:rFonts w:ascii="Arial"/>
                <w:sz w:val="21"/>
              </w:rPr>
            </w:pPr>
          </w:p>
        </w:tc>
        <w:tc>
          <w:tcPr>
            <w:tcW w:w="494" w:type="dxa"/>
            <w:vAlign w:val="top"/>
          </w:tcPr>
          <w:p w14:paraId="0929CAE1">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476" w:type="dxa"/>
            <w:vMerge w:val="continue"/>
            <w:tcBorders>
              <w:top w:val="nil"/>
            </w:tcBorders>
            <w:vAlign w:val="top"/>
          </w:tcPr>
          <w:p w14:paraId="1E3F2D05">
            <w:pPr>
              <w:rPr>
                <w:rFonts w:ascii="Arial"/>
                <w:sz w:val="21"/>
              </w:rPr>
            </w:pPr>
          </w:p>
        </w:tc>
        <w:tc>
          <w:tcPr>
            <w:tcW w:w="1384" w:type="dxa"/>
            <w:vAlign w:val="top"/>
          </w:tcPr>
          <w:p w14:paraId="0776A496">
            <w:pPr>
              <w:pStyle w:val="6"/>
              <w:spacing w:before="44" w:line="229" w:lineRule="auto"/>
              <w:ind w:left="382"/>
              <w:rPr>
                <w:sz w:val="20"/>
                <w:szCs w:val="20"/>
              </w:rPr>
            </w:pPr>
            <w:r>
              <w:rPr>
                <w:spacing w:val="6"/>
                <w:sz w:val="20"/>
                <w:szCs w:val="20"/>
              </w:rPr>
              <w:t>浓硫酸</w:t>
            </w:r>
          </w:p>
        </w:tc>
        <w:tc>
          <w:tcPr>
            <w:tcW w:w="1037" w:type="dxa"/>
            <w:vAlign w:val="top"/>
          </w:tcPr>
          <w:p w14:paraId="2E520470">
            <w:pPr>
              <w:spacing w:before="80"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w:t>
            </w:r>
          </w:p>
        </w:tc>
        <w:tc>
          <w:tcPr>
            <w:tcW w:w="992" w:type="dxa"/>
            <w:vAlign w:val="top"/>
          </w:tcPr>
          <w:p w14:paraId="4488B686">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55239C7">
            <w:pPr>
              <w:pStyle w:val="6"/>
              <w:spacing w:before="44" w:line="228" w:lineRule="auto"/>
              <w:ind w:left="192"/>
              <w:rPr>
                <w:sz w:val="20"/>
                <w:szCs w:val="20"/>
              </w:rPr>
            </w:pPr>
            <w:r>
              <w:rPr>
                <w:spacing w:val="3"/>
                <w:sz w:val="20"/>
                <w:szCs w:val="20"/>
              </w:rPr>
              <w:t>液态</w:t>
            </w:r>
          </w:p>
        </w:tc>
        <w:tc>
          <w:tcPr>
            <w:tcW w:w="876" w:type="dxa"/>
            <w:vAlign w:val="top"/>
          </w:tcPr>
          <w:p w14:paraId="0F5A673E">
            <w:pPr>
              <w:pStyle w:val="6"/>
              <w:spacing w:before="43" w:line="228" w:lineRule="auto"/>
              <w:ind w:left="238"/>
              <w:rPr>
                <w:sz w:val="20"/>
                <w:szCs w:val="20"/>
              </w:rPr>
            </w:pPr>
            <w:r>
              <w:rPr>
                <w:spacing w:val="3"/>
                <w:sz w:val="20"/>
                <w:szCs w:val="20"/>
              </w:rPr>
              <w:t>罐车</w:t>
            </w:r>
          </w:p>
        </w:tc>
        <w:tc>
          <w:tcPr>
            <w:tcW w:w="723" w:type="dxa"/>
            <w:vAlign w:val="top"/>
          </w:tcPr>
          <w:p w14:paraId="5E05A902">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9DFDB81">
            <w:pPr>
              <w:rPr>
                <w:rFonts w:ascii="Arial"/>
                <w:sz w:val="21"/>
              </w:rPr>
            </w:pPr>
          </w:p>
        </w:tc>
      </w:tr>
      <w:tr w14:paraId="40564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3D3B523">
            <w:pPr>
              <w:rPr>
                <w:rFonts w:ascii="Arial"/>
                <w:sz w:val="21"/>
              </w:rPr>
            </w:pPr>
          </w:p>
        </w:tc>
        <w:tc>
          <w:tcPr>
            <w:tcW w:w="113" w:type="dxa"/>
            <w:tcBorders>
              <w:top w:val="nil"/>
              <w:bottom w:val="nil"/>
            </w:tcBorders>
            <w:vAlign w:val="top"/>
          </w:tcPr>
          <w:p w14:paraId="0ECABE37">
            <w:pPr>
              <w:rPr>
                <w:rFonts w:ascii="Arial"/>
                <w:sz w:val="21"/>
              </w:rPr>
            </w:pPr>
          </w:p>
        </w:tc>
        <w:tc>
          <w:tcPr>
            <w:tcW w:w="494" w:type="dxa"/>
            <w:vAlign w:val="top"/>
          </w:tcPr>
          <w:p w14:paraId="72E705D4">
            <w:pPr>
              <w:spacing w:before="8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76" w:type="dxa"/>
            <w:vMerge w:val="restart"/>
            <w:tcBorders>
              <w:bottom w:val="nil"/>
            </w:tcBorders>
            <w:vAlign w:val="top"/>
          </w:tcPr>
          <w:p w14:paraId="4DAC4B30">
            <w:pPr>
              <w:pStyle w:val="6"/>
              <w:spacing w:before="31" w:line="228" w:lineRule="auto"/>
              <w:ind w:left="136"/>
              <w:rPr>
                <w:sz w:val="20"/>
                <w:szCs w:val="20"/>
              </w:rPr>
            </w:pPr>
            <w:r>
              <w:rPr>
                <w:spacing w:val="4"/>
                <w:sz w:val="20"/>
                <w:szCs w:val="20"/>
              </w:rPr>
              <w:t>内蒙古鄂尔多</w:t>
            </w:r>
          </w:p>
          <w:p w14:paraId="6B4F7055">
            <w:pPr>
              <w:pStyle w:val="6"/>
              <w:spacing w:before="24" w:line="228" w:lineRule="auto"/>
              <w:ind w:left="112"/>
              <w:rPr>
                <w:sz w:val="20"/>
                <w:szCs w:val="20"/>
              </w:rPr>
            </w:pPr>
            <w:r>
              <w:rPr>
                <w:spacing w:val="8"/>
                <w:sz w:val="20"/>
                <w:szCs w:val="20"/>
              </w:rPr>
              <w:t>斯多晶硅业有</w:t>
            </w:r>
          </w:p>
          <w:p w14:paraId="02D555E4">
            <w:pPr>
              <w:pStyle w:val="6"/>
              <w:spacing w:before="24" w:line="219" w:lineRule="auto"/>
              <w:ind w:left="440"/>
              <w:rPr>
                <w:sz w:val="20"/>
                <w:szCs w:val="20"/>
              </w:rPr>
            </w:pPr>
            <w:r>
              <w:rPr>
                <w:spacing w:val="2"/>
                <w:sz w:val="20"/>
                <w:szCs w:val="20"/>
              </w:rPr>
              <w:t>限公司</w:t>
            </w:r>
          </w:p>
        </w:tc>
        <w:tc>
          <w:tcPr>
            <w:tcW w:w="1384" w:type="dxa"/>
            <w:vAlign w:val="top"/>
          </w:tcPr>
          <w:p w14:paraId="7DD6DA6A">
            <w:pPr>
              <w:pStyle w:val="6"/>
              <w:spacing w:before="43" w:line="229" w:lineRule="auto"/>
              <w:ind w:left="276"/>
              <w:rPr>
                <w:sz w:val="20"/>
                <w:szCs w:val="20"/>
              </w:rPr>
            </w:pPr>
            <w:r>
              <w:rPr>
                <w:spacing w:val="7"/>
                <w:sz w:val="20"/>
                <w:szCs w:val="20"/>
              </w:rPr>
              <w:t>三氯氢硅</w:t>
            </w:r>
          </w:p>
        </w:tc>
        <w:tc>
          <w:tcPr>
            <w:tcW w:w="1037" w:type="dxa"/>
            <w:vAlign w:val="top"/>
          </w:tcPr>
          <w:p w14:paraId="23EA2E77">
            <w:pPr>
              <w:spacing w:before="8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992" w:type="dxa"/>
            <w:vAlign w:val="top"/>
          </w:tcPr>
          <w:p w14:paraId="47DD1C12">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8BAD7A2">
            <w:pPr>
              <w:pStyle w:val="6"/>
              <w:spacing w:before="44" w:line="228" w:lineRule="auto"/>
              <w:ind w:left="192"/>
              <w:rPr>
                <w:sz w:val="20"/>
                <w:szCs w:val="20"/>
              </w:rPr>
            </w:pPr>
            <w:r>
              <w:rPr>
                <w:spacing w:val="3"/>
                <w:sz w:val="20"/>
                <w:szCs w:val="20"/>
              </w:rPr>
              <w:t>液态</w:t>
            </w:r>
          </w:p>
        </w:tc>
        <w:tc>
          <w:tcPr>
            <w:tcW w:w="876" w:type="dxa"/>
            <w:vAlign w:val="top"/>
          </w:tcPr>
          <w:p w14:paraId="6C0C4CB3">
            <w:pPr>
              <w:pStyle w:val="6"/>
              <w:spacing w:before="43" w:line="228" w:lineRule="auto"/>
              <w:ind w:left="238"/>
              <w:rPr>
                <w:sz w:val="20"/>
                <w:szCs w:val="20"/>
              </w:rPr>
            </w:pPr>
            <w:r>
              <w:rPr>
                <w:spacing w:val="3"/>
                <w:sz w:val="20"/>
                <w:szCs w:val="20"/>
              </w:rPr>
              <w:t>罐车</w:t>
            </w:r>
          </w:p>
        </w:tc>
        <w:tc>
          <w:tcPr>
            <w:tcW w:w="723" w:type="dxa"/>
            <w:vAlign w:val="top"/>
          </w:tcPr>
          <w:p w14:paraId="54398A10">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FA3E37C">
            <w:pPr>
              <w:rPr>
                <w:rFonts w:ascii="Arial"/>
                <w:sz w:val="21"/>
              </w:rPr>
            </w:pPr>
          </w:p>
        </w:tc>
      </w:tr>
      <w:tr w14:paraId="36170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456" w:type="dxa"/>
            <w:vMerge w:val="continue"/>
            <w:tcBorders>
              <w:top w:val="nil"/>
              <w:bottom w:val="nil"/>
            </w:tcBorders>
            <w:vAlign w:val="top"/>
          </w:tcPr>
          <w:p w14:paraId="2924E5A6">
            <w:pPr>
              <w:rPr>
                <w:rFonts w:ascii="Arial"/>
                <w:sz w:val="21"/>
              </w:rPr>
            </w:pPr>
          </w:p>
        </w:tc>
        <w:tc>
          <w:tcPr>
            <w:tcW w:w="113" w:type="dxa"/>
            <w:tcBorders>
              <w:top w:val="nil"/>
              <w:bottom w:val="nil"/>
            </w:tcBorders>
            <w:vAlign w:val="top"/>
          </w:tcPr>
          <w:p w14:paraId="56FC9684">
            <w:pPr>
              <w:rPr>
                <w:rFonts w:ascii="Arial"/>
                <w:sz w:val="21"/>
              </w:rPr>
            </w:pPr>
          </w:p>
        </w:tc>
        <w:tc>
          <w:tcPr>
            <w:tcW w:w="494" w:type="dxa"/>
            <w:vAlign w:val="top"/>
          </w:tcPr>
          <w:p w14:paraId="1CB295ED">
            <w:pPr>
              <w:spacing w:before="187"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476" w:type="dxa"/>
            <w:vMerge w:val="continue"/>
            <w:tcBorders>
              <w:top w:val="nil"/>
            </w:tcBorders>
            <w:vAlign w:val="top"/>
          </w:tcPr>
          <w:p w14:paraId="2D3B5FBD">
            <w:pPr>
              <w:rPr>
                <w:rFonts w:ascii="Arial"/>
                <w:sz w:val="21"/>
              </w:rPr>
            </w:pPr>
          </w:p>
        </w:tc>
        <w:tc>
          <w:tcPr>
            <w:tcW w:w="1384" w:type="dxa"/>
            <w:vAlign w:val="top"/>
          </w:tcPr>
          <w:p w14:paraId="4A65B5CD">
            <w:pPr>
              <w:pStyle w:val="6"/>
              <w:spacing w:before="149" w:line="228" w:lineRule="auto"/>
              <w:ind w:left="294"/>
              <w:rPr>
                <w:sz w:val="20"/>
                <w:szCs w:val="20"/>
              </w:rPr>
            </w:pPr>
            <w:r>
              <w:rPr>
                <w:rFonts w:ascii="Times New Roman" w:hAnsi="Times New Roman" w:eastAsia="Times New Roman" w:cs="Times New Roman"/>
                <w:spacing w:val="5"/>
                <w:sz w:val="20"/>
                <w:szCs w:val="20"/>
              </w:rPr>
              <w:t>32%</w:t>
            </w:r>
            <w:r>
              <w:rPr>
                <w:spacing w:val="5"/>
                <w:sz w:val="20"/>
                <w:szCs w:val="20"/>
              </w:rPr>
              <w:t>液碱</w:t>
            </w:r>
          </w:p>
        </w:tc>
        <w:tc>
          <w:tcPr>
            <w:tcW w:w="1037" w:type="dxa"/>
            <w:vAlign w:val="top"/>
          </w:tcPr>
          <w:p w14:paraId="2002DDAF">
            <w:pPr>
              <w:spacing w:before="18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992" w:type="dxa"/>
            <w:vAlign w:val="top"/>
          </w:tcPr>
          <w:p w14:paraId="3053069F">
            <w:pPr>
              <w:spacing w:before="1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89A1AC">
            <w:pPr>
              <w:pStyle w:val="6"/>
              <w:spacing w:before="149" w:line="228" w:lineRule="auto"/>
              <w:ind w:left="192"/>
              <w:rPr>
                <w:sz w:val="20"/>
                <w:szCs w:val="20"/>
              </w:rPr>
            </w:pPr>
            <w:r>
              <w:rPr>
                <w:spacing w:val="3"/>
                <w:sz w:val="20"/>
                <w:szCs w:val="20"/>
              </w:rPr>
              <w:t>液态</w:t>
            </w:r>
          </w:p>
        </w:tc>
        <w:tc>
          <w:tcPr>
            <w:tcW w:w="876" w:type="dxa"/>
            <w:vAlign w:val="top"/>
          </w:tcPr>
          <w:p w14:paraId="67F017A3">
            <w:pPr>
              <w:pStyle w:val="6"/>
              <w:spacing w:before="148" w:line="228" w:lineRule="auto"/>
              <w:ind w:left="238"/>
              <w:rPr>
                <w:sz w:val="20"/>
                <w:szCs w:val="20"/>
              </w:rPr>
            </w:pPr>
            <w:r>
              <w:rPr>
                <w:spacing w:val="3"/>
                <w:sz w:val="20"/>
                <w:szCs w:val="20"/>
              </w:rPr>
              <w:t>罐车</w:t>
            </w:r>
          </w:p>
        </w:tc>
        <w:tc>
          <w:tcPr>
            <w:tcW w:w="723" w:type="dxa"/>
            <w:vAlign w:val="top"/>
          </w:tcPr>
          <w:p w14:paraId="7391B69A">
            <w:pPr>
              <w:pStyle w:val="6"/>
              <w:spacing w:before="149"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3EF9348">
            <w:pPr>
              <w:rPr>
                <w:rFonts w:ascii="Arial"/>
                <w:sz w:val="21"/>
              </w:rPr>
            </w:pPr>
          </w:p>
        </w:tc>
      </w:tr>
      <w:tr w14:paraId="52A36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EDB05CA">
            <w:pPr>
              <w:rPr>
                <w:rFonts w:ascii="Arial"/>
                <w:sz w:val="21"/>
              </w:rPr>
            </w:pPr>
          </w:p>
        </w:tc>
        <w:tc>
          <w:tcPr>
            <w:tcW w:w="113" w:type="dxa"/>
            <w:tcBorders>
              <w:top w:val="nil"/>
              <w:bottom w:val="nil"/>
            </w:tcBorders>
            <w:vAlign w:val="top"/>
          </w:tcPr>
          <w:p w14:paraId="577611A3">
            <w:pPr>
              <w:rPr>
                <w:rFonts w:ascii="Arial"/>
                <w:sz w:val="21"/>
              </w:rPr>
            </w:pPr>
          </w:p>
        </w:tc>
        <w:tc>
          <w:tcPr>
            <w:tcW w:w="494" w:type="dxa"/>
            <w:vAlign w:val="top"/>
          </w:tcPr>
          <w:p w14:paraId="3FDBD440">
            <w:pPr>
              <w:spacing w:before="8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476" w:type="dxa"/>
            <w:vMerge w:val="restart"/>
            <w:tcBorders>
              <w:bottom w:val="nil"/>
            </w:tcBorders>
            <w:vAlign w:val="top"/>
          </w:tcPr>
          <w:p w14:paraId="01216C9F">
            <w:pPr>
              <w:spacing w:line="316" w:lineRule="auto"/>
              <w:rPr>
                <w:rFonts w:ascii="Arial"/>
                <w:sz w:val="21"/>
              </w:rPr>
            </w:pPr>
          </w:p>
          <w:p w14:paraId="0B7F35E6">
            <w:pPr>
              <w:spacing w:line="317" w:lineRule="auto"/>
              <w:rPr>
                <w:rFonts w:ascii="Arial"/>
                <w:sz w:val="21"/>
              </w:rPr>
            </w:pPr>
          </w:p>
          <w:p w14:paraId="0201A087">
            <w:pPr>
              <w:pStyle w:val="6"/>
              <w:spacing w:before="65" w:line="228" w:lineRule="auto"/>
              <w:ind w:left="111"/>
              <w:rPr>
                <w:sz w:val="20"/>
                <w:szCs w:val="20"/>
              </w:rPr>
            </w:pPr>
            <w:r>
              <w:rPr>
                <w:spacing w:val="8"/>
                <w:sz w:val="20"/>
                <w:szCs w:val="20"/>
              </w:rPr>
              <w:t>鄂尔多斯市瀚</w:t>
            </w:r>
          </w:p>
          <w:p w14:paraId="12A9A7CF">
            <w:pPr>
              <w:pStyle w:val="6"/>
              <w:spacing w:before="24" w:line="227" w:lineRule="auto"/>
              <w:ind w:left="112"/>
              <w:rPr>
                <w:sz w:val="20"/>
                <w:szCs w:val="20"/>
              </w:rPr>
            </w:pPr>
            <w:r>
              <w:rPr>
                <w:spacing w:val="8"/>
                <w:sz w:val="20"/>
                <w:szCs w:val="20"/>
              </w:rPr>
              <w:t>博科技有限公</w:t>
            </w:r>
          </w:p>
          <w:p w14:paraId="676CDF07">
            <w:pPr>
              <w:pStyle w:val="6"/>
              <w:spacing w:before="27" w:line="230" w:lineRule="auto"/>
              <w:ind w:left="645"/>
              <w:rPr>
                <w:sz w:val="20"/>
                <w:szCs w:val="20"/>
              </w:rPr>
            </w:pPr>
            <w:r>
              <w:rPr>
                <w:sz w:val="20"/>
                <w:szCs w:val="20"/>
              </w:rPr>
              <w:t>司</w:t>
            </w:r>
          </w:p>
        </w:tc>
        <w:tc>
          <w:tcPr>
            <w:tcW w:w="1384" w:type="dxa"/>
            <w:vAlign w:val="top"/>
          </w:tcPr>
          <w:p w14:paraId="29382592">
            <w:pPr>
              <w:spacing w:before="83" w:line="192"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EHP</w:t>
            </w:r>
          </w:p>
        </w:tc>
        <w:tc>
          <w:tcPr>
            <w:tcW w:w="1037" w:type="dxa"/>
            <w:vAlign w:val="top"/>
          </w:tcPr>
          <w:p w14:paraId="37A5D732">
            <w:pPr>
              <w:spacing w:before="76"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5C2FAE48">
            <w:pPr>
              <w:spacing w:before="8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784" w:type="dxa"/>
            <w:vAlign w:val="top"/>
          </w:tcPr>
          <w:p w14:paraId="482897B5">
            <w:pPr>
              <w:pStyle w:val="6"/>
              <w:spacing w:before="45" w:line="228" w:lineRule="auto"/>
              <w:ind w:left="192"/>
              <w:rPr>
                <w:sz w:val="20"/>
                <w:szCs w:val="20"/>
              </w:rPr>
            </w:pPr>
            <w:r>
              <w:rPr>
                <w:spacing w:val="3"/>
                <w:sz w:val="20"/>
                <w:szCs w:val="20"/>
              </w:rPr>
              <w:t>液态</w:t>
            </w:r>
          </w:p>
        </w:tc>
        <w:tc>
          <w:tcPr>
            <w:tcW w:w="876" w:type="dxa"/>
            <w:vAlign w:val="top"/>
          </w:tcPr>
          <w:p w14:paraId="1543C8B3">
            <w:pPr>
              <w:pStyle w:val="6"/>
              <w:spacing w:before="44" w:line="228" w:lineRule="auto"/>
              <w:ind w:left="238"/>
              <w:rPr>
                <w:sz w:val="20"/>
                <w:szCs w:val="20"/>
              </w:rPr>
            </w:pPr>
            <w:r>
              <w:rPr>
                <w:spacing w:val="3"/>
                <w:sz w:val="20"/>
                <w:szCs w:val="20"/>
              </w:rPr>
              <w:t>罐车</w:t>
            </w:r>
          </w:p>
        </w:tc>
        <w:tc>
          <w:tcPr>
            <w:tcW w:w="723" w:type="dxa"/>
            <w:vAlign w:val="top"/>
          </w:tcPr>
          <w:p w14:paraId="780DCAE4">
            <w:pPr>
              <w:pStyle w:val="6"/>
              <w:spacing w:before="44"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370CA5FA">
            <w:pPr>
              <w:rPr>
                <w:rFonts w:ascii="Arial"/>
                <w:sz w:val="21"/>
              </w:rPr>
            </w:pPr>
          </w:p>
        </w:tc>
      </w:tr>
      <w:tr w14:paraId="012C9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0585965E">
            <w:pPr>
              <w:rPr>
                <w:rFonts w:ascii="Arial"/>
                <w:sz w:val="21"/>
              </w:rPr>
            </w:pPr>
          </w:p>
        </w:tc>
        <w:tc>
          <w:tcPr>
            <w:tcW w:w="113" w:type="dxa"/>
            <w:tcBorders>
              <w:top w:val="nil"/>
              <w:bottom w:val="nil"/>
            </w:tcBorders>
            <w:vAlign w:val="top"/>
          </w:tcPr>
          <w:p w14:paraId="315A373D">
            <w:pPr>
              <w:rPr>
                <w:rFonts w:ascii="Arial"/>
                <w:sz w:val="21"/>
              </w:rPr>
            </w:pPr>
          </w:p>
        </w:tc>
        <w:tc>
          <w:tcPr>
            <w:tcW w:w="494" w:type="dxa"/>
            <w:vAlign w:val="top"/>
          </w:tcPr>
          <w:p w14:paraId="3C5938CB">
            <w:pPr>
              <w:spacing w:before="83"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476" w:type="dxa"/>
            <w:vMerge w:val="continue"/>
            <w:tcBorders>
              <w:top w:val="nil"/>
              <w:bottom w:val="nil"/>
            </w:tcBorders>
            <w:vAlign w:val="top"/>
          </w:tcPr>
          <w:p w14:paraId="3F7B9CD1">
            <w:pPr>
              <w:rPr>
                <w:rFonts w:ascii="Arial"/>
                <w:sz w:val="21"/>
              </w:rPr>
            </w:pPr>
          </w:p>
        </w:tc>
        <w:tc>
          <w:tcPr>
            <w:tcW w:w="1384" w:type="dxa"/>
            <w:vAlign w:val="top"/>
          </w:tcPr>
          <w:p w14:paraId="2CDCEDD5">
            <w:pPr>
              <w:pStyle w:val="6"/>
              <w:spacing w:before="44" w:line="227" w:lineRule="auto"/>
              <w:ind w:left="382"/>
              <w:rPr>
                <w:sz w:val="20"/>
                <w:szCs w:val="20"/>
              </w:rPr>
            </w:pPr>
            <w:r>
              <w:rPr>
                <w:spacing w:val="6"/>
                <w:sz w:val="20"/>
                <w:szCs w:val="20"/>
              </w:rPr>
              <w:t>双氧水</w:t>
            </w:r>
          </w:p>
        </w:tc>
        <w:tc>
          <w:tcPr>
            <w:tcW w:w="1037" w:type="dxa"/>
            <w:vAlign w:val="top"/>
          </w:tcPr>
          <w:p w14:paraId="0595BE0A">
            <w:pPr>
              <w:spacing w:before="8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92" w:type="dxa"/>
            <w:vAlign w:val="top"/>
          </w:tcPr>
          <w:p w14:paraId="7802D018">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A1015F2">
            <w:pPr>
              <w:pStyle w:val="6"/>
              <w:spacing w:before="44" w:line="228" w:lineRule="auto"/>
              <w:ind w:left="192"/>
              <w:rPr>
                <w:sz w:val="20"/>
                <w:szCs w:val="20"/>
              </w:rPr>
            </w:pPr>
            <w:r>
              <w:rPr>
                <w:spacing w:val="3"/>
                <w:sz w:val="20"/>
                <w:szCs w:val="20"/>
              </w:rPr>
              <w:t>液态</w:t>
            </w:r>
          </w:p>
        </w:tc>
        <w:tc>
          <w:tcPr>
            <w:tcW w:w="876" w:type="dxa"/>
            <w:vAlign w:val="top"/>
          </w:tcPr>
          <w:p w14:paraId="64DC6F25">
            <w:pPr>
              <w:pStyle w:val="6"/>
              <w:spacing w:before="44" w:line="228" w:lineRule="auto"/>
              <w:ind w:left="238"/>
              <w:rPr>
                <w:sz w:val="20"/>
                <w:szCs w:val="20"/>
              </w:rPr>
            </w:pPr>
            <w:r>
              <w:rPr>
                <w:spacing w:val="3"/>
                <w:sz w:val="20"/>
                <w:szCs w:val="20"/>
              </w:rPr>
              <w:t>罐车</w:t>
            </w:r>
          </w:p>
        </w:tc>
        <w:tc>
          <w:tcPr>
            <w:tcW w:w="723" w:type="dxa"/>
            <w:vAlign w:val="top"/>
          </w:tcPr>
          <w:p w14:paraId="4C2F15CA">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2732ED34">
            <w:pPr>
              <w:rPr>
                <w:rFonts w:ascii="Arial"/>
                <w:sz w:val="21"/>
              </w:rPr>
            </w:pPr>
          </w:p>
        </w:tc>
      </w:tr>
      <w:tr w14:paraId="48911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B62DF9F">
            <w:pPr>
              <w:rPr>
                <w:rFonts w:ascii="Arial"/>
                <w:sz w:val="21"/>
              </w:rPr>
            </w:pPr>
          </w:p>
        </w:tc>
        <w:tc>
          <w:tcPr>
            <w:tcW w:w="113" w:type="dxa"/>
            <w:tcBorders>
              <w:top w:val="nil"/>
              <w:bottom w:val="nil"/>
            </w:tcBorders>
            <w:vAlign w:val="top"/>
          </w:tcPr>
          <w:p w14:paraId="3E3BF32B">
            <w:pPr>
              <w:rPr>
                <w:rFonts w:ascii="Arial"/>
                <w:sz w:val="21"/>
              </w:rPr>
            </w:pPr>
          </w:p>
        </w:tc>
        <w:tc>
          <w:tcPr>
            <w:tcW w:w="494" w:type="dxa"/>
            <w:vAlign w:val="top"/>
          </w:tcPr>
          <w:p w14:paraId="14B5FF71">
            <w:pPr>
              <w:spacing w:before="8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476" w:type="dxa"/>
            <w:vMerge w:val="continue"/>
            <w:tcBorders>
              <w:top w:val="nil"/>
              <w:bottom w:val="nil"/>
            </w:tcBorders>
            <w:vAlign w:val="top"/>
          </w:tcPr>
          <w:p w14:paraId="2DEC0ABA">
            <w:pPr>
              <w:rPr>
                <w:rFonts w:ascii="Arial"/>
                <w:sz w:val="21"/>
              </w:rPr>
            </w:pPr>
          </w:p>
        </w:tc>
        <w:tc>
          <w:tcPr>
            <w:tcW w:w="1384" w:type="dxa"/>
            <w:vAlign w:val="top"/>
          </w:tcPr>
          <w:p w14:paraId="27249CA8">
            <w:pPr>
              <w:pStyle w:val="6"/>
              <w:spacing w:before="43" w:line="228" w:lineRule="auto"/>
              <w:ind w:left="385"/>
              <w:rPr>
                <w:sz w:val="20"/>
                <w:szCs w:val="20"/>
              </w:rPr>
            </w:pPr>
            <w:r>
              <w:rPr>
                <w:spacing w:val="5"/>
                <w:sz w:val="20"/>
                <w:szCs w:val="20"/>
              </w:rPr>
              <w:t>氯代酯</w:t>
            </w:r>
          </w:p>
        </w:tc>
        <w:tc>
          <w:tcPr>
            <w:tcW w:w="1037" w:type="dxa"/>
            <w:vAlign w:val="top"/>
          </w:tcPr>
          <w:p w14:paraId="55A3623C">
            <w:pPr>
              <w:spacing w:before="8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92" w:type="dxa"/>
            <w:vAlign w:val="top"/>
          </w:tcPr>
          <w:p w14:paraId="45246DE6">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992305">
            <w:pPr>
              <w:pStyle w:val="6"/>
              <w:spacing w:before="44" w:line="228" w:lineRule="auto"/>
              <w:ind w:left="192"/>
              <w:rPr>
                <w:sz w:val="20"/>
                <w:szCs w:val="20"/>
              </w:rPr>
            </w:pPr>
            <w:r>
              <w:rPr>
                <w:spacing w:val="3"/>
                <w:sz w:val="20"/>
                <w:szCs w:val="20"/>
              </w:rPr>
              <w:t>液态</w:t>
            </w:r>
          </w:p>
        </w:tc>
        <w:tc>
          <w:tcPr>
            <w:tcW w:w="876" w:type="dxa"/>
            <w:vAlign w:val="top"/>
          </w:tcPr>
          <w:p w14:paraId="2553F8F5">
            <w:pPr>
              <w:pStyle w:val="6"/>
              <w:spacing w:before="43" w:line="228" w:lineRule="auto"/>
              <w:ind w:left="238"/>
              <w:rPr>
                <w:sz w:val="20"/>
                <w:szCs w:val="20"/>
              </w:rPr>
            </w:pPr>
            <w:r>
              <w:rPr>
                <w:spacing w:val="3"/>
                <w:sz w:val="20"/>
                <w:szCs w:val="20"/>
              </w:rPr>
              <w:t>罐车</w:t>
            </w:r>
          </w:p>
        </w:tc>
        <w:tc>
          <w:tcPr>
            <w:tcW w:w="723" w:type="dxa"/>
            <w:vAlign w:val="top"/>
          </w:tcPr>
          <w:p w14:paraId="2A9EDFCA">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38B9104">
            <w:pPr>
              <w:rPr>
                <w:rFonts w:ascii="Arial"/>
                <w:sz w:val="21"/>
              </w:rPr>
            </w:pPr>
          </w:p>
        </w:tc>
      </w:tr>
      <w:tr w14:paraId="718E4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18BF31B">
            <w:pPr>
              <w:rPr>
                <w:rFonts w:ascii="Arial"/>
                <w:sz w:val="21"/>
              </w:rPr>
            </w:pPr>
          </w:p>
        </w:tc>
        <w:tc>
          <w:tcPr>
            <w:tcW w:w="113" w:type="dxa"/>
            <w:tcBorders>
              <w:top w:val="nil"/>
              <w:bottom w:val="nil"/>
            </w:tcBorders>
            <w:vAlign w:val="top"/>
          </w:tcPr>
          <w:p w14:paraId="4EAB9A71">
            <w:pPr>
              <w:rPr>
                <w:rFonts w:ascii="Arial"/>
                <w:sz w:val="21"/>
              </w:rPr>
            </w:pPr>
          </w:p>
        </w:tc>
        <w:tc>
          <w:tcPr>
            <w:tcW w:w="494" w:type="dxa"/>
            <w:vAlign w:val="top"/>
          </w:tcPr>
          <w:p w14:paraId="78BCF397">
            <w:pPr>
              <w:spacing w:before="81"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476" w:type="dxa"/>
            <w:vMerge w:val="continue"/>
            <w:tcBorders>
              <w:top w:val="nil"/>
              <w:bottom w:val="nil"/>
            </w:tcBorders>
            <w:vAlign w:val="top"/>
          </w:tcPr>
          <w:p w14:paraId="28151188">
            <w:pPr>
              <w:rPr>
                <w:rFonts w:ascii="Arial"/>
                <w:sz w:val="21"/>
              </w:rPr>
            </w:pPr>
          </w:p>
        </w:tc>
        <w:tc>
          <w:tcPr>
            <w:tcW w:w="1384" w:type="dxa"/>
            <w:vAlign w:val="top"/>
          </w:tcPr>
          <w:p w14:paraId="605B8FCC">
            <w:pPr>
              <w:spacing w:before="8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CNP</w:t>
            </w:r>
          </w:p>
        </w:tc>
        <w:tc>
          <w:tcPr>
            <w:tcW w:w="1037" w:type="dxa"/>
            <w:vAlign w:val="top"/>
          </w:tcPr>
          <w:p w14:paraId="11324C49">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134DA7C7">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784" w:type="dxa"/>
            <w:vAlign w:val="top"/>
          </w:tcPr>
          <w:p w14:paraId="3264C6E9">
            <w:pPr>
              <w:pStyle w:val="6"/>
              <w:spacing w:before="44" w:line="228" w:lineRule="auto"/>
              <w:ind w:left="192"/>
              <w:rPr>
                <w:sz w:val="20"/>
                <w:szCs w:val="20"/>
              </w:rPr>
            </w:pPr>
            <w:r>
              <w:rPr>
                <w:spacing w:val="3"/>
                <w:sz w:val="20"/>
                <w:szCs w:val="20"/>
              </w:rPr>
              <w:t>液态</w:t>
            </w:r>
          </w:p>
        </w:tc>
        <w:tc>
          <w:tcPr>
            <w:tcW w:w="876" w:type="dxa"/>
            <w:vAlign w:val="top"/>
          </w:tcPr>
          <w:p w14:paraId="26B57455">
            <w:pPr>
              <w:pStyle w:val="6"/>
              <w:spacing w:before="43" w:line="228" w:lineRule="auto"/>
              <w:ind w:left="238"/>
              <w:rPr>
                <w:sz w:val="20"/>
                <w:szCs w:val="20"/>
              </w:rPr>
            </w:pPr>
            <w:r>
              <w:rPr>
                <w:spacing w:val="3"/>
                <w:sz w:val="20"/>
                <w:szCs w:val="20"/>
              </w:rPr>
              <w:t>罐车</w:t>
            </w:r>
          </w:p>
        </w:tc>
        <w:tc>
          <w:tcPr>
            <w:tcW w:w="723" w:type="dxa"/>
            <w:vAlign w:val="top"/>
          </w:tcPr>
          <w:p w14:paraId="483EB5AC">
            <w:pPr>
              <w:pStyle w:val="6"/>
              <w:spacing w:before="44"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2F40FB7">
            <w:pPr>
              <w:rPr>
                <w:rFonts w:ascii="Arial"/>
                <w:sz w:val="21"/>
              </w:rPr>
            </w:pPr>
          </w:p>
        </w:tc>
      </w:tr>
      <w:tr w14:paraId="2F71D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70BE067A">
            <w:pPr>
              <w:rPr>
                <w:rFonts w:ascii="Arial"/>
                <w:sz w:val="21"/>
              </w:rPr>
            </w:pPr>
          </w:p>
        </w:tc>
        <w:tc>
          <w:tcPr>
            <w:tcW w:w="113" w:type="dxa"/>
            <w:tcBorders>
              <w:top w:val="nil"/>
              <w:bottom w:val="nil"/>
            </w:tcBorders>
            <w:vAlign w:val="top"/>
          </w:tcPr>
          <w:p w14:paraId="31F1D0D9">
            <w:pPr>
              <w:rPr>
                <w:rFonts w:ascii="Arial"/>
                <w:sz w:val="21"/>
              </w:rPr>
            </w:pPr>
          </w:p>
        </w:tc>
        <w:tc>
          <w:tcPr>
            <w:tcW w:w="494" w:type="dxa"/>
            <w:vAlign w:val="top"/>
          </w:tcPr>
          <w:p w14:paraId="1FE97680">
            <w:pPr>
              <w:spacing w:before="8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476" w:type="dxa"/>
            <w:vMerge w:val="continue"/>
            <w:tcBorders>
              <w:top w:val="nil"/>
              <w:bottom w:val="nil"/>
            </w:tcBorders>
            <w:vAlign w:val="top"/>
          </w:tcPr>
          <w:p w14:paraId="376B4224">
            <w:pPr>
              <w:rPr>
                <w:rFonts w:ascii="Arial"/>
                <w:sz w:val="21"/>
              </w:rPr>
            </w:pPr>
          </w:p>
        </w:tc>
        <w:tc>
          <w:tcPr>
            <w:tcW w:w="1384" w:type="dxa"/>
            <w:vAlign w:val="top"/>
          </w:tcPr>
          <w:p w14:paraId="1ABE9B4E">
            <w:pPr>
              <w:pStyle w:val="6"/>
              <w:spacing w:before="43" w:line="230" w:lineRule="auto"/>
              <w:ind w:left="399"/>
              <w:rPr>
                <w:sz w:val="20"/>
                <w:szCs w:val="20"/>
              </w:rPr>
            </w:pPr>
            <w:r>
              <w:rPr>
                <w:rFonts w:ascii="Times New Roman" w:hAnsi="Times New Roman" w:eastAsia="Times New Roman" w:cs="Times New Roman"/>
                <w:spacing w:val="4"/>
                <w:sz w:val="20"/>
                <w:szCs w:val="20"/>
              </w:rPr>
              <w:t>32%</w:t>
            </w:r>
            <w:r>
              <w:rPr>
                <w:spacing w:val="4"/>
                <w:sz w:val="20"/>
                <w:szCs w:val="20"/>
              </w:rPr>
              <w:t>碱</w:t>
            </w:r>
          </w:p>
        </w:tc>
        <w:tc>
          <w:tcPr>
            <w:tcW w:w="1037" w:type="dxa"/>
            <w:vAlign w:val="top"/>
          </w:tcPr>
          <w:p w14:paraId="424CEB9C">
            <w:pPr>
              <w:spacing w:before="8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6E0CE672">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9CC4681">
            <w:pPr>
              <w:pStyle w:val="6"/>
              <w:spacing w:before="43" w:line="228" w:lineRule="auto"/>
              <w:ind w:left="192"/>
              <w:rPr>
                <w:sz w:val="20"/>
                <w:szCs w:val="20"/>
              </w:rPr>
            </w:pPr>
            <w:r>
              <w:rPr>
                <w:spacing w:val="3"/>
                <w:sz w:val="20"/>
                <w:szCs w:val="20"/>
              </w:rPr>
              <w:t>液态</w:t>
            </w:r>
          </w:p>
        </w:tc>
        <w:tc>
          <w:tcPr>
            <w:tcW w:w="876" w:type="dxa"/>
            <w:vAlign w:val="top"/>
          </w:tcPr>
          <w:p w14:paraId="04460183">
            <w:pPr>
              <w:pStyle w:val="6"/>
              <w:spacing w:before="42" w:line="228" w:lineRule="auto"/>
              <w:ind w:left="238"/>
              <w:rPr>
                <w:sz w:val="20"/>
                <w:szCs w:val="20"/>
              </w:rPr>
            </w:pPr>
            <w:r>
              <w:rPr>
                <w:spacing w:val="3"/>
                <w:sz w:val="20"/>
                <w:szCs w:val="20"/>
              </w:rPr>
              <w:t>罐车</w:t>
            </w:r>
          </w:p>
        </w:tc>
        <w:tc>
          <w:tcPr>
            <w:tcW w:w="723" w:type="dxa"/>
            <w:vAlign w:val="top"/>
          </w:tcPr>
          <w:p w14:paraId="1D5DFBAF">
            <w:pPr>
              <w:pStyle w:val="6"/>
              <w:spacing w:before="43"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9B36D90">
            <w:pPr>
              <w:rPr>
                <w:rFonts w:ascii="Arial"/>
                <w:sz w:val="21"/>
              </w:rPr>
            </w:pPr>
          </w:p>
        </w:tc>
      </w:tr>
      <w:tr w14:paraId="64454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E21F4C">
            <w:pPr>
              <w:rPr>
                <w:rFonts w:ascii="Arial"/>
                <w:sz w:val="21"/>
              </w:rPr>
            </w:pPr>
          </w:p>
        </w:tc>
        <w:tc>
          <w:tcPr>
            <w:tcW w:w="113" w:type="dxa"/>
            <w:tcBorders>
              <w:top w:val="nil"/>
              <w:bottom w:val="nil"/>
            </w:tcBorders>
            <w:vAlign w:val="top"/>
          </w:tcPr>
          <w:p w14:paraId="4B2304C5">
            <w:pPr>
              <w:rPr>
                <w:rFonts w:ascii="Arial"/>
                <w:sz w:val="21"/>
              </w:rPr>
            </w:pPr>
          </w:p>
        </w:tc>
        <w:tc>
          <w:tcPr>
            <w:tcW w:w="494" w:type="dxa"/>
            <w:vAlign w:val="top"/>
          </w:tcPr>
          <w:p w14:paraId="1C6F1EAB">
            <w:pPr>
              <w:spacing w:before="81"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476" w:type="dxa"/>
            <w:vMerge w:val="continue"/>
            <w:tcBorders>
              <w:top w:val="nil"/>
              <w:bottom w:val="nil"/>
            </w:tcBorders>
            <w:vAlign w:val="top"/>
          </w:tcPr>
          <w:p w14:paraId="21E86B9C">
            <w:pPr>
              <w:rPr>
                <w:rFonts w:ascii="Arial"/>
                <w:sz w:val="21"/>
              </w:rPr>
            </w:pPr>
          </w:p>
        </w:tc>
        <w:tc>
          <w:tcPr>
            <w:tcW w:w="1384" w:type="dxa"/>
            <w:vAlign w:val="top"/>
          </w:tcPr>
          <w:p w14:paraId="7FFA91E3">
            <w:pPr>
              <w:pStyle w:val="6"/>
              <w:spacing w:before="45" w:line="228" w:lineRule="auto"/>
              <w:ind w:left="512"/>
              <w:rPr>
                <w:sz w:val="20"/>
                <w:szCs w:val="20"/>
              </w:rPr>
            </w:pPr>
            <w:r>
              <w:rPr>
                <w:spacing w:val="-9"/>
                <w:sz w:val="20"/>
                <w:szCs w:val="20"/>
              </w:rPr>
              <w:t>甲醇</w:t>
            </w:r>
          </w:p>
        </w:tc>
        <w:tc>
          <w:tcPr>
            <w:tcW w:w="1037" w:type="dxa"/>
            <w:vAlign w:val="top"/>
          </w:tcPr>
          <w:p w14:paraId="303AD524">
            <w:pPr>
              <w:spacing w:before="8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92" w:type="dxa"/>
            <w:vAlign w:val="top"/>
          </w:tcPr>
          <w:p w14:paraId="4F8AB854">
            <w:pPr>
              <w:spacing w:before="7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A936AE4">
            <w:pPr>
              <w:pStyle w:val="6"/>
              <w:spacing w:before="45" w:line="228" w:lineRule="auto"/>
              <w:ind w:left="192"/>
              <w:rPr>
                <w:sz w:val="20"/>
                <w:szCs w:val="20"/>
              </w:rPr>
            </w:pPr>
            <w:r>
              <w:rPr>
                <w:spacing w:val="3"/>
                <w:sz w:val="20"/>
                <w:szCs w:val="20"/>
              </w:rPr>
              <w:t>液态</w:t>
            </w:r>
          </w:p>
        </w:tc>
        <w:tc>
          <w:tcPr>
            <w:tcW w:w="876" w:type="dxa"/>
            <w:vAlign w:val="top"/>
          </w:tcPr>
          <w:p w14:paraId="40B8AF94">
            <w:pPr>
              <w:pStyle w:val="6"/>
              <w:spacing w:before="44" w:line="228" w:lineRule="auto"/>
              <w:ind w:left="238"/>
              <w:rPr>
                <w:sz w:val="20"/>
                <w:szCs w:val="20"/>
              </w:rPr>
            </w:pPr>
            <w:r>
              <w:rPr>
                <w:spacing w:val="3"/>
                <w:sz w:val="20"/>
                <w:szCs w:val="20"/>
              </w:rPr>
              <w:t>罐车</w:t>
            </w:r>
          </w:p>
        </w:tc>
        <w:tc>
          <w:tcPr>
            <w:tcW w:w="723" w:type="dxa"/>
            <w:vAlign w:val="top"/>
          </w:tcPr>
          <w:p w14:paraId="39BD775A">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3BBF862F">
            <w:pPr>
              <w:rPr>
                <w:rFonts w:ascii="Arial"/>
                <w:sz w:val="21"/>
              </w:rPr>
            </w:pPr>
          </w:p>
        </w:tc>
      </w:tr>
      <w:tr w14:paraId="60C80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14062EAB">
            <w:pPr>
              <w:rPr>
                <w:rFonts w:ascii="Arial"/>
                <w:sz w:val="21"/>
              </w:rPr>
            </w:pPr>
          </w:p>
        </w:tc>
        <w:tc>
          <w:tcPr>
            <w:tcW w:w="113" w:type="dxa"/>
            <w:tcBorders>
              <w:top w:val="nil"/>
              <w:bottom w:val="nil"/>
            </w:tcBorders>
            <w:vAlign w:val="top"/>
          </w:tcPr>
          <w:p w14:paraId="6F9023F0">
            <w:pPr>
              <w:rPr>
                <w:rFonts w:ascii="Arial"/>
                <w:sz w:val="21"/>
              </w:rPr>
            </w:pPr>
          </w:p>
        </w:tc>
        <w:tc>
          <w:tcPr>
            <w:tcW w:w="494" w:type="dxa"/>
            <w:vAlign w:val="top"/>
          </w:tcPr>
          <w:p w14:paraId="7FB9C2D3">
            <w:pPr>
              <w:spacing w:before="80"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476" w:type="dxa"/>
            <w:vMerge w:val="continue"/>
            <w:tcBorders>
              <w:top w:val="nil"/>
            </w:tcBorders>
            <w:vAlign w:val="top"/>
          </w:tcPr>
          <w:p w14:paraId="5EE24392">
            <w:pPr>
              <w:rPr>
                <w:rFonts w:ascii="Arial"/>
                <w:sz w:val="21"/>
              </w:rPr>
            </w:pPr>
          </w:p>
        </w:tc>
        <w:tc>
          <w:tcPr>
            <w:tcW w:w="1384" w:type="dxa"/>
            <w:vAlign w:val="top"/>
          </w:tcPr>
          <w:p w14:paraId="48BF2028">
            <w:pPr>
              <w:pStyle w:val="6"/>
              <w:spacing w:before="44" w:line="227" w:lineRule="auto"/>
              <w:ind w:left="276"/>
              <w:rPr>
                <w:sz w:val="20"/>
                <w:szCs w:val="20"/>
              </w:rPr>
            </w:pPr>
            <w:r>
              <w:rPr>
                <w:spacing w:val="7"/>
                <w:sz w:val="20"/>
                <w:szCs w:val="20"/>
              </w:rPr>
              <w:t>氢氧化钾</w:t>
            </w:r>
          </w:p>
        </w:tc>
        <w:tc>
          <w:tcPr>
            <w:tcW w:w="1037" w:type="dxa"/>
            <w:vAlign w:val="top"/>
          </w:tcPr>
          <w:p w14:paraId="1B4BC986">
            <w:pPr>
              <w:spacing w:before="80"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92" w:type="dxa"/>
            <w:vAlign w:val="top"/>
          </w:tcPr>
          <w:p w14:paraId="74AC8CB7">
            <w:pPr>
              <w:spacing w:before="76"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49D965B">
            <w:pPr>
              <w:pStyle w:val="6"/>
              <w:spacing w:before="45" w:line="228" w:lineRule="auto"/>
              <w:ind w:left="208"/>
              <w:rPr>
                <w:sz w:val="20"/>
                <w:szCs w:val="20"/>
              </w:rPr>
            </w:pPr>
            <w:r>
              <w:rPr>
                <w:spacing w:val="-5"/>
                <w:sz w:val="20"/>
                <w:szCs w:val="20"/>
              </w:rPr>
              <w:t>固态</w:t>
            </w:r>
          </w:p>
        </w:tc>
        <w:tc>
          <w:tcPr>
            <w:tcW w:w="876" w:type="dxa"/>
            <w:vAlign w:val="top"/>
          </w:tcPr>
          <w:p w14:paraId="0EAC2B70">
            <w:pPr>
              <w:pStyle w:val="6"/>
              <w:spacing w:before="44" w:line="228" w:lineRule="auto"/>
              <w:ind w:left="131"/>
              <w:rPr>
                <w:sz w:val="20"/>
                <w:szCs w:val="20"/>
              </w:rPr>
            </w:pPr>
            <w:r>
              <w:rPr>
                <w:spacing w:val="6"/>
                <w:sz w:val="20"/>
                <w:szCs w:val="20"/>
              </w:rPr>
              <w:t>厢式车</w:t>
            </w:r>
          </w:p>
        </w:tc>
        <w:tc>
          <w:tcPr>
            <w:tcW w:w="723" w:type="dxa"/>
            <w:vAlign w:val="top"/>
          </w:tcPr>
          <w:p w14:paraId="07E3F7EB">
            <w:pPr>
              <w:pStyle w:val="6"/>
              <w:spacing w:before="4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511A873C">
            <w:pPr>
              <w:rPr>
                <w:rFonts w:ascii="Arial"/>
                <w:sz w:val="21"/>
              </w:rPr>
            </w:pPr>
          </w:p>
        </w:tc>
      </w:tr>
      <w:tr w14:paraId="0B29F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6" w:type="dxa"/>
            <w:vMerge w:val="continue"/>
            <w:tcBorders>
              <w:top w:val="nil"/>
              <w:bottom w:val="nil"/>
            </w:tcBorders>
            <w:vAlign w:val="top"/>
          </w:tcPr>
          <w:p w14:paraId="109E020A">
            <w:pPr>
              <w:rPr>
                <w:rFonts w:ascii="Arial"/>
                <w:sz w:val="21"/>
              </w:rPr>
            </w:pPr>
          </w:p>
        </w:tc>
        <w:tc>
          <w:tcPr>
            <w:tcW w:w="113" w:type="dxa"/>
            <w:tcBorders>
              <w:top w:val="nil"/>
              <w:bottom w:val="nil"/>
            </w:tcBorders>
            <w:vAlign w:val="top"/>
          </w:tcPr>
          <w:p w14:paraId="60D9EC16">
            <w:pPr>
              <w:rPr>
                <w:rFonts w:ascii="Arial"/>
                <w:sz w:val="21"/>
              </w:rPr>
            </w:pPr>
          </w:p>
        </w:tc>
        <w:tc>
          <w:tcPr>
            <w:tcW w:w="494" w:type="dxa"/>
            <w:vAlign w:val="top"/>
          </w:tcPr>
          <w:p w14:paraId="1FB9B3AD">
            <w:pPr>
              <w:spacing w:line="280" w:lineRule="auto"/>
              <w:rPr>
                <w:rFonts w:ascii="Arial"/>
                <w:sz w:val="21"/>
              </w:rPr>
            </w:pPr>
          </w:p>
          <w:p w14:paraId="6B26FADC">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476" w:type="dxa"/>
            <w:vAlign w:val="top"/>
          </w:tcPr>
          <w:p w14:paraId="38EA2512">
            <w:pPr>
              <w:pStyle w:val="6"/>
              <w:spacing w:before="32" w:line="228" w:lineRule="auto"/>
              <w:ind w:left="136"/>
              <w:rPr>
                <w:sz w:val="20"/>
                <w:szCs w:val="20"/>
              </w:rPr>
            </w:pPr>
            <w:r>
              <w:rPr>
                <w:spacing w:val="4"/>
                <w:sz w:val="20"/>
                <w:szCs w:val="20"/>
              </w:rPr>
              <w:t>内蒙古同辉天</w:t>
            </w:r>
          </w:p>
          <w:p w14:paraId="168E34CC">
            <w:pPr>
              <w:pStyle w:val="6"/>
              <w:spacing w:before="24" w:line="227" w:lineRule="auto"/>
              <w:ind w:left="111"/>
              <w:rPr>
                <w:sz w:val="20"/>
                <w:szCs w:val="20"/>
              </w:rPr>
            </w:pPr>
            <w:r>
              <w:rPr>
                <w:spacing w:val="8"/>
                <w:sz w:val="20"/>
                <w:szCs w:val="20"/>
              </w:rPr>
              <w:t>科气体有限公</w:t>
            </w:r>
          </w:p>
          <w:p w14:paraId="4F70802A">
            <w:pPr>
              <w:pStyle w:val="6"/>
              <w:spacing w:before="25" w:line="218" w:lineRule="auto"/>
              <w:ind w:left="645"/>
              <w:rPr>
                <w:sz w:val="20"/>
                <w:szCs w:val="20"/>
              </w:rPr>
            </w:pPr>
            <w:r>
              <w:rPr>
                <w:sz w:val="20"/>
                <w:szCs w:val="20"/>
              </w:rPr>
              <w:t>司</w:t>
            </w:r>
          </w:p>
        </w:tc>
        <w:tc>
          <w:tcPr>
            <w:tcW w:w="1384" w:type="dxa"/>
            <w:vAlign w:val="top"/>
          </w:tcPr>
          <w:p w14:paraId="3623C831">
            <w:pPr>
              <w:pStyle w:val="6"/>
              <w:spacing w:before="303" w:line="227" w:lineRule="auto"/>
              <w:ind w:left="280"/>
              <w:rPr>
                <w:sz w:val="20"/>
                <w:szCs w:val="20"/>
              </w:rPr>
            </w:pPr>
            <w:r>
              <w:rPr>
                <w:spacing w:val="6"/>
                <w:sz w:val="20"/>
                <w:szCs w:val="20"/>
              </w:rPr>
              <w:t>二氧化碳</w:t>
            </w:r>
          </w:p>
        </w:tc>
        <w:tc>
          <w:tcPr>
            <w:tcW w:w="1037" w:type="dxa"/>
            <w:vAlign w:val="top"/>
          </w:tcPr>
          <w:p w14:paraId="08AD5EC6">
            <w:pPr>
              <w:spacing w:line="276" w:lineRule="auto"/>
              <w:rPr>
                <w:rFonts w:ascii="Arial"/>
                <w:sz w:val="21"/>
              </w:rPr>
            </w:pPr>
          </w:p>
          <w:p w14:paraId="7EB69A1A">
            <w:pPr>
              <w:spacing w:before="5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7406E46">
            <w:pPr>
              <w:spacing w:line="280" w:lineRule="auto"/>
              <w:rPr>
                <w:rFonts w:ascii="Arial"/>
                <w:sz w:val="21"/>
              </w:rPr>
            </w:pPr>
          </w:p>
          <w:p w14:paraId="789EE5FD">
            <w:pPr>
              <w:spacing w:before="5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100000</w:t>
            </w:r>
          </w:p>
        </w:tc>
        <w:tc>
          <w:tcPr>
            <w:tcW w:w="784" w:type="dxa"/>
            <w:vAlign w:val="top"/>
          </w:tcPr>
          <w:p w14:paraId="5505B74A">
            <w:pPr>
              <w:pStyle w:val="6"/>
              <w:spacing w:before="303" w:line="229" w:lineRule="auto"/>
              <w:ind w:left="191"/>
              <w:rPr>
                <w:sz w:val="20"/>
                <w:szCs w:val="20"/>
              </w:rPr>
            </w:pPr>
            <w:r>
              <w:rPr>
                <w:spacing w:val="4"/>
                <w:sz w:val="20"/>
                <w:szCs w:val="20"/>
              </w:rPr>
              <w:t>气态</w:t>
            </w:r>
          </w:p>
        </w:tc>
        <w:tc>
          <w:tcPr>
            <w:tcW w:w="876" w:type="dxa"/>
            <w:vAlign w:val="top"/>
          </w:tcPr>
          <w:p w14:paraId="7B9E86A8">
            <w:pPr>
              <w:pStyle w:val="6"/>
              <w:spacing w:before="166" w:line="254"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443CED6E">
            <w:pPr>
              <w:pStyle w:val="6"/>
              <w:spacing w:before="303"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DA430BF">
            <w:pPr>
              <w:rPr>
                <w:rFonts w:ascii="Arial"/>
                <w:sz w:val="21"/>
              </w:rPr>
            </w:pPr>
          </w:p>
        </w:tc>
      </w:tr>
      <w:tr w14:paraId="645E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7B42C798">
            <w:pPr>
              <w:rPr>
                <w:rFonts w:ascii="Arial"/>
                <w:sz w:val="21"/>
              </w:rPr>
            </w:pPr>
          </w:p>
        </w:tc>
        <w:tc>
          <w:tcPr>
            <w:tcW w:w="113" w:type="dxa"/>
            <w:tcBorders>
              <w:top w:val="nil"/>
              <w:bottom w:val="nil"/>
            </w:tcBorders>
            <w:vAlign w:val="top"/>
          </w:tcPr>
          <w:p w14:paraId="2AAF727A">
            <w:pPr>
              <w:rPr>
                <w:rFonts w:ascii="Arial"/>
                <w:sz w:val="21"/>
              </w:rPr>
            </w:pPr>
          </w:p>
        </w:tc>
        <w:tc>
          <w:tcPr>
            <w:tcW w:w="494" w:type="dxa"/>
            <w:vAlign w:val="top"/>
          </w:tcPr>
          <w:p w14:paraId="7AF1B2BB">
            <w:pPr>
              <w:spacing w:line="415" w:lineRule="auto"/>
              <w:rPr>
                <w:rFonts w:ascii="Arial"/>
                <w:sz w:val="21"/>
              </w:rPr>
            </w:pPr>
          </w:p>
          <w:p w14:paraId="3246EE43">
            <w:pPr>
              <w:spacing w:before="5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476" w:type="dxa"/>
            <w:vAlign w:val="top"/>
          </w:tcPr>
          <w:p w14:paraId="7F71920A">
            <w:pPr>
              <w:pStyle w:val="6"/>
              <w:spacing w:before="31" w:line="228" w:lineRule="auto"/>
              <w:ind w:left="111"/>
              <w:rPr>
                <w:sz w:val="20"/>
                <w:szCs w:val="20"/>
              </w:rPr>
            </w:pPr>
            <w:r>
              <w:rPr>
                <w:spacing w:val="8"/>
                <w:sz w:val="20"/>
                <w:szCs w:val="20"/>
              </w:rPr>
              <w:t>鄂尔多斯高新</w:t>
            </w:r>
          </w:p>
          <w:p w14:paraId="2EFE7D23">
            <w:pPr>
              <w:pStyle w:val="6"/>
              <w:spacing w:before="23" w:line="253" w:lineRule="auto"/>
              <w:ind w:left="226" w:right="110" w:hanging="115"/>
              <w:rPr>
                <w:sz w:val="20"/>
                <w:szCs w:val="20"/>
              </w:rPr>
            </w:pPr>
            <w:r>
              <w:rPr>
                <w:spacing w:val="8"/>
                <w:sz w:val="20"/>
                <w:szCs w:val="20"/>
              </w:rPr>
              <w:t>材料有限公司</w:t>
            </w:r>
            <w:r>
              <w:rPr>
                <w:sz w:val="20"/>
                <w:szCs w:val="20"/>
              </w:rPr>
              <w:t xml:space="preserve"> </w:t>
            </w:r>
            <w:r>
              <w:rPr>
                <w:spacing w:val="5"/>
                <w:sz w:val="20"/>
                <w:szCs w:val="20"/>
              </w:rPr>
              <w:t>（电力三公</w:t>
            </w:r>
          </w:p>
          <w:p w14:paraId="22718D73">
            <w:pPr>
              <w:pStyle w:val="6"/>
              <w:spacing w:line="214" w:lineRule="auto"/>
              <w:ind w:left="539"/>
              <w:rPr>
                <w:sz w:val="20"/>
                <w:szCs w:val="20"/>
              </w:rPr>
            </w:pPr>
            <w:r>
              <w:rPr>
                <w:spacing w:val="-4"/>
                <w:sz w:val="20"/>
                <w:szCs w:val="20"/>
              </w:rPr>
              <w:t>司）</w:t>
            </w:r>
          </w:p>
        </w:tc>
        <w:tc>
          <w:tcPr>
            <w:tcW w:w="1384" w:type="dxa"/>
            <w:vAlign w:val="top"/>
          </w:tcPr>
          <w:p w14:paraId="17A83E34">
            <w:pPr>
              <w:spacing w:line="373" w:lineRule="auto"/>
              <w:rPr>
                <w:rFonts w:ascii="Arial"/>
                <w:sz w:val="21"/>
              </w:rPr>
            </w:pPr>
          </w:p>
          <w:p w14:paraId="413ADF38">
            <w:pPr>
              <w:pStyle w:val="6"/>
              <w:spacing w:before="65" w:line="228" w:lineRule="auto"/>
              <w:ind w:left="487"/>
              <w:rPr>
                <w:sz w:val="20"/>
                <w:szCs w:val="20"/>
              </w:rPr>
            </w:pPr>
            <w:r>
              <w:rPr>
                <w:spacing w:val="3"/>
                <w:sz w:val="20"/>
                <w:szCs w:val="20"/>
              </w:rPr>
              <w:t>液氨</w:t>
            </w:r>
          </w:p>
        </w:tc>
        <w:tc>
          <w:tcPr>
            <w:tcW w:w="1037" w:type="dxa"/>
            <w:vAlign w:val="top"/>
          </w:tcPr>
          <w:p w14:paraId="32F16CD1">
            <w:pPr>
              <w:spacing w:line="415" w:lineRule="auto"/>
              <w:rPr>
                <w:rFonts w:ascii="Arial"/>
                <w:sz w:val="21"/>
              </w:rPr>
            </w:pPr>
          </w:p>
          <w:p w14:paraId="266DF6FD">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992" w:type="dxa"/>
            <w:vAlign w:val="top"/>
          </w:tcPr>
          <w:p w14:paraId="224B4872">
            <w:pPr>
              <w:spacing w:line="412" w:lineRule="auto"/>
              <w:rPr>
                <w:rFonts w:ascii="Arial"/>
                <w:sz w:val="21"/>
              </w:rPr>
            </w:pPr>
          </w:p>
          <w:p w14:paraId="27C06F89">
            <w:pPr>
              <w:spacing w:before="5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0C428529">
            <w:pPr>
              <w:spacing w:line="373" w:lineRule="auto"/>
              <w:rPr>
                <w:rFonts w:ascii="Arial"/>
                <w:sz w:val="21"/>
              </w:rPr>
            </w:pPr>
          </w:p>
          <w:p w14:paraId="5C2E75F9">
            <w:pPr>
              <w:pStyle w:val="6"/>
              <w:spacing w:before="65" w:line="228" w:lineRule="auto"/>
              <w:ind w:left="192"/>
              <w:rPr>
                <w:sz w:val="20"/>
                <w:szCs w:val="20"/>
              </w:rPr>
            </w:pPr>
            <w:r>
              <w:rPr>
                <w:spacing w:val="3"/>
                <w:sz w:val="20"/>
                <w:szCs w:val="20"/>
              </w:rPr>
              <w:t>液态</w:t>
            </w:r>
          </w:p>
        </w:tc>
        <w:tc>
          <w:tcPr>
            <w:tcW w:w="876" w:type="dxa"/>
            <w:vAlign w:val="top"/>
          </w:tcPr>
          <w:p w14:paraId="108555D2">
            <w:pPr>
              <w:spacing w:line="372" w:lineRule="auto"/>
              <w:rPr>
                <w:rFonts w:ascii="Arial"/>
                <w:sz w:val="21"/>
              </w:rPr>
            </w:pPr>
          </w:p>
          <w:p w14:paraId="1415059A">
            <w:pPr>
              <w:pStyle w:val="6"/>
              <w:spacing w:before="65" w:line="228" w:lineRule="auto"/>
              <w:ind w:left="238"/>
              <w:rPr>
                <w:sz w:val="20"/>
                <w:szCs w:val="20"/>
              </w:rPr>
            </w:pPr>
            <w:r>
              <w:rPr>
                <w:spacing w:val="3"/>
                <w:sz w:val="20"/>
                <w:szCs w:val="20"/>
              </w:rPr>
              <w:t>罐车</w:t>
            </w:r>
          </w:p>
        </w:tc>
        <w:tc>
          <w:tcPr>
            <w:tcW w:w="723" w:type="dxa"/>
            <w:vAlign w:val="top"/>
          </w:tcPr>
          <w:p w14:paraId="789386C4">
            <w:pPr>
              <w:spacing w:line="373" w:lineRule="auto"/>
              <w:rPr>
                <w:rFonts w:ascii="Arial"/>
                <w:sz w:val="21"/>
              </w:rPr>
            </w:pPr>
          </w:p>
          <w:p w14:paraId="1D8727FC">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0791640">
            <w:pPr>
              <w:rPr>
                <w:rFonts w:ascii="Arial"/>
                <w:sz w:val="21"/>
              </w:rPr>
            </w:pPr>
          </w:p>
        </w:tc>
      </w:tr>
      <w:tr w14:paraId="2530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44D7AC34">
            <w:pPr>
              <w:rPr>
                <w:rFonts w:ascii="Arial"/>
                <w:sz w:val="21"/>
              </w:rPr>
            </w:pPr>
          </w:p>
        </w:tc>
        <w:tc>
          <w:tcPr>
            <w:tcW w:w="113" w:type="dxa"/>
            <w:tcBorders>
              <w:top w:val="nil"/>
              <w:bottom w:val="nil"/>
            </w:tcBorders>
            <w:vAlign w:val="top"/>
          </w:tcPr>
          <w:p w14:paraId="274D0483">
            <w:pPr>
              <w:rPr>
                <w:rFonts w:ascii="Arial"/>
                <w:sz w:val="21"/>
              </w:rPr>
            </w:pPr>
          </w:p>
        </w:tc>
        <w:tc>
          <w:tcPr>
            <w:tcW w:w="494" w:type="dxa"/>
            <w:vAlign w:val="top"/>
          </w:tcPr>
          <w:p w14:paraId="59B60F6E">
            <w:pPr>
              <w:spacing w:before="20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76" w:type="dxa"/>
            <w:vMerge w:val="restart"/>
            <w:tcBorders>
              <w:bottom w:val="nil"/>
            </w:tcBorders>
            <w:vAlign w:val="top"/>
          </w:tcPr>
          <w:p w14:paraId="7DAFAD94">
            <w:pPr>
              <w:spacing w:line="296" w:lineRule="auto"/>
              <w:rPr>
                <w:rFonts w:ascii="Arial"/>
                <w:sz w:val="21"/>
              </w:rPr>
            </w:pPr>
          </w:p>
          <w:p w14:paraId="1E820E25">
            <w:pPr>
              <w:spacing w:line="297" w:lineRule="auto"/>
              <w:rPr>
                <w:rFonts w:ascii="Arial"/>
                <w:sz w:val="21"/>
              </w:rPr>
            </w:pPr>
          </w:p>
          <w:p w14:paraId="0A368FBF">
            <w:pPr>
              <w:pStyle w:val="6"/>
              <w:spacing w:before="65" w:line="228" w:lineRule="auto"/>
              <w:ind w:left="111"/>
              <w:rPr>
                <w:sz w:val="20"/>
                <w:szCs w:val="20"/>
              </w:rPr>
            </w:pPr>
            <w:r>
              <w:rPr>
                <w:spacing w:val="8"/>
                <w:sz w:val="20"/>
                <w:szCs w:val="20"/>
              </w:rPr>
              <w:t>鄂托克旗红缨</w:t>
            </w:r>
          </w:p>
          <w:p w14:paraId="543DCB13">
            <w:pPr>
              <w:pStyle w:val="6"/>
              <w:spacing w:before="24" w:line="228" w:lineRule="auto"/>
              <w:ind w:left="112"/>
              <w:rPr>
                <w:sz w:val="20"/>
                <w:szCs w:val="20"/>
              </w:rPr>
            </w:pPr>
            <w:r>
              <w:rPr>
                <w:spacing w:val="8"/>
                <w:sz w:val="20"/>
                <w:szCs w:val="20"/>
              </w:rPr>
              <w:t>煤焦化有限责</w:t>
            </w:r>
          </w:p>
          <w:p w14:paraId="3CA33214">
            <w:pPr>
              <w:pStyle w:val="6"/>
              <w:spacing w:before="23" w:line="228" w:lineRule="auto"/>
              <w:ind w:left="424"/>
              <w:rPr>
                <w:sz w:val="20"/>
                <w:szCs w:val="20"/>
              </w:rPr>
            </w:pPr>
            <w:r>
              <w:rPr>
                <w:spacing w:val="7"/>
                <w:sz w:val="20"/>
                <w:szCs w:val="20"/>
              </w:rPr>
              <w:t>任公司</w:t>
            </w:r>
          </w:p>
        </w:tc>
        <w:tc>
          <w:tcPr>
            <w:tcW w:w="1384" w:type="dxa"/>
            <w:vAlign w:val="top"/>
          </w:tcPr>
          <w:p w14:paraId="05B3954B">
            <w:pPr>
              <w:pStyle w:val="6"/>
              <w:spacing w:before="33" w:line="229" w:lineRule="auto"/>
              <w:ind w:left="484"/>
              <w:rPr>
                <w:sz w:val="20"/>
                <w:szCs w:val="20"/>
              </w:rPr>
            </w:pPr>
            <w:r>
              <w:rPr>
                <w:spacing w:val="5"/>
                <w:sz w:val="20"/>
                <w:szCs w:val="20"/>
              </w:rPr>
              <w:t>硫酸</w:t>
            </w:r>
          </w:p>
          <w:p w14:paraId="4B452438">
            <w:pPr>
              <w:pStyle w:val="6"/>
              <w:spacing w:before="25" w:line="215" w:lineRule="auto"/>
              <w:ind w:left="227"/>
              <w:rPr>
                <w:sz w:val="20"/>
                <w:szCs w:val="20"/>
              </w:rPr>
            </w:pPr>
            <w:r>
              <w:rPr>
                <w:spacing w:val="2"/>
                <w:sz w:val="20"/>
                <w:szCs w:val="20"/>
              </w:rPr>
              <w:t>（</w:t>
            </w:r>
            <w:r>
              <w:rPr>
                <w:rFonts w:ascii="Times New Roman" w:hAnsi="Times New Roman" w:eastAsia="Times New Roman" w:cs="Times New Roman"/>
                <w:spacing w:val="2"/>
                <w:sz w:val="20"/>
                <w:szCs w:val="20"/>
              </w:rPr>
              <w:t>92.5%</w:t>
            </w:r>
            <w:r>
              <w:rPr>
                <w:spacing w:val="2"/>
                <w:sz w:val="20"/>
                <w:szCs w:val="20"/>
              </w:rPr>
              <w:t>）</w:t>
            </w:r>
          </w:p>
        </w:tc>
        <w:tc>
          <w:tcPr>
            <w:tcW w:w="1037" w:type="dxa"/>
            <w:vAlign w:val="top"/>
          </w:tcPr>
          <w:p w14:paraId="5E154B44">
            <w:pPr>
              <w:spacing w:before="20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11544</w:t>
            </w:r>
          </w:p>
        </w:tc>
        <w:tc>
          <w:tcPr>
            <w:tcW w:w="992" w:type="dxa"/>
            <w:vAlign w:val="top"/>
          </w:tcPr>
          <w:p w14:paraId="5AF418A0">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9095B94">
            <w:pPr>
              <w:pStyle w:val="6"/>
              <w:spacing w:before="170" w:line="228" w:lineRule="auto"/>
              <w:ind w:left="192"/>
              <w:rPr>
                <w:sz w:val="20"/>
                <w:szCs w:val="20"/>
              </w:rPr>
            </w:pPr>
            <w:r>
              <w:rPr>
                <w:spacing w:val="3"/>
                <w:sz w:val="20"/>
                <w:szCs w:val="20"/>
              </w:rPr>
              <w:t>液态</w:t>
            </w:r>
          </w:p>
        </w:tc>
        <w:tc>
          <w:tcPr>
            <w:tcW w:w="876" w:type="dxa"/>
            <w:vAlign w:val="top"/>
          </w:tcPr>
          <w:p w14:paraId="7DE0CE1A">
            <w:pPr>
              <w:pStyle w:val="6"/>
              <w:spacing w:before="169" w:line="228" w:lineRule="auto"/>
              <w:ind w:left="238"/>
              <w:rPr>
                <w:sz w:val="20"/>
                <w:szCs w:val="20"/>
              </w:rPr>
            </w:pPr>
            <w:r>
              <w:rPr>
                <w:spacing w:val="3"/>
                <w:sz w:val="20"/>
                <w:szCs w:val="20"/>
              </w:rPr>
              <w:t>罐车</w:t>
            </w:r>
          </w:p>
        </w:tc>
        <w:tc>
          <w:tcPr>
            <w:tcW w:w="723" w:type="dxa"/>
            <w:vAlign w:val="top"/>
          </w:tcPr>
          <w:p w14:paraId="56109E44">
            <w:pPr>
              <w:pStyle w:val="6"/>
              <w:spacing w:before="170"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7C5AA259">
            <w:pPr>
              <w:rPr>
                <w:rFonts w:ascii="Arial"/>
                <w:sz w:val="21"/>
              </w:rPr>
            </w:pPr>
          </w:p>
        </w:tc>
      </w:tr>
      <w:tr w14:paraId="5AA95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4D003524">
            <w:pPr>
              <w:rPr>
                <w:rFonts w:ascii="Arial"/>
                <w:sz w:val="21"/>
              </w:rPr>
            </w:pPr>
          </w:p>
        </w:tc>
        <w:tc>
          <w:tcPr>
            <w:tcW w:w="113" w:type="dxa"/>
            <w:tcBorders>
              <w:top w:val="nil"/>
              <w:bottom w:val="nil"/>
            </w:tcBorders>
            <w:vAlign w:val="top"/>
          </w:tcPr>
          <w:p w14:paraId="5802F0BB">
            <w:pPr>
              <w:rPr>
                <w:rFonts w:ascii="Arial"/>
                <w:sz w:val="21"/>
              </w:rPr>
            </w:pPr>
          </w:p>
        </w:tc>
        <w:tc>
          <w:tcPr>
            <w:tcW w:w="494" w:type="dxa"/>
            <w:vAlign w:val="top"/>
          </w:tcPr>
          <w:p w14:paraId="7807266D">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476" w:type="dxa"/>
            <w:vMerge w:val="continue"/>
            <w:tcBorders>
              <w:top w:val="nil"/>
              <w:bottom w:val="nil"/>
            </w:tcBorders>
            <w:vAlign w:val="top"/>
          </w:tcPr>
          <w:p w14:paraId="683AC3E8">
            <w:pPr>
              <w:rPr>
                <w:rFonts w:ascii="Arial"/>
                <w:sz w:val="21"/>
              </w:rPr>
            </w:pPr>
          </w:p>
        </w:tc>
        <w:tc>
          <w:tcPr>
            <w:tcW w:w="1384" w:type="dxa"/>
            <w:vAlign w:val="top"/>
          </w:tcPr>
          <w:p w14:paraId="39CB6F90">
            <w:pPr>
              <w:pStyle w:val="6"/>
              <w:spacing w:before="46" w:line="229" w:lineRule="auto"/>
              <w:ind w:right="8"/>
              <w:jc w:val="right"/>
              <w:rPr>
                <w:sz w:val="20"/>
                <w:szCs w:val="20"/>
              </w:rPr>
            </w:pPr>
            <w:r>
              <w:rPr>
                <w:rFonts w:ascii="Times New Roman" w:hAnsi="Times New Roman" w:eastAsia="Times New Roman" w:cs="Times New Roman"/>
                <w:spacing w:val="-3"/>
                <w:sz w:val="20"/>
                <w:szCs w:val="20"/>
              </w:rPr>
              <w:t>NaOH</w:t>
            </w:r>
            <w:r>
              <w:rPr>
                <w:spacing w:val="-3"/>
                <w:sz w:val="20"/>
                <w:szCs w:val="20"/>
              </w:rPr>
              <w:t>（</w:t>
            </w:r>
            <w:r>
              <w:rPr>
                <w:rFonts w:ascii="Times New Roman" w:hAnsi="Times New Roman" w:eastAsia="Times New Roman" w:cs="Times New Roman"/>
                <w:spacing w:val="-3"/>
                <w:sz w:val="20"/>
                <w:szCs w:val="20"/>
              </w:rPr>
              <w:t>32%</w:t>
            </w:r>
            <w:r>
              <w:rPr>
                <w:spacing w:val="-3"/>
                <w:sz w:val="20"/>
                <w:szCs w:val="20"/>
              </w:rPr>
              <w:t>）</w:t>
            </w:r>
          </w:p>
        </w:tc>
        <w:tc>
          <w:tcPr>
            <w:tcW w:w="1037" w:type="dxa"/>
            <w:vAlign w:val="top"/>
          </w:tcPr>
          <w:p w14:paraId="3472E12F">
            <w:pPr>
              <w:spacing w:before="8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1578</w:t>
            </w:r>
          </w:p>
        </w:tc>
        <w:tc>
          <w:tcPr>
            <w:tcW w:w="992" w:type="dxa"/>
            <w:vAlign w:val="top"/>
          </w:tcPr>
          <w:p w14:paraId="6F2B5C15">
            <w:pPr>
              <w:spacing w:before="79"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C777191">
            <w:pPr>
              <w:pStyle w:val="6"/>
              <w:spacing w:before="47" w:line="228" w:lineRule="auto"/>
              <w:ind w:left="192"/>
              <w:rPr>
                <w:sz w:val="20"/>
                <w:szCs w:val="20"/>
              </w:rPr>
            </w:pPr>
            <w:r>
              <w:rPr>
                <w:spacing w:val="3"/>
                <w:sz w:val="20"/>
                <w:szCs w:val="20"/>
              </w:rPr>
              <w:t>液态</w:t>
            </w:r>
          </w:p>
        </w:tc>
        <w:tc>
          <w:tcPr>
            <w:tcW w:w="876" w:type="dxa"/>
            <w:vAlign w:val="top"/>
          </w:tcPr>
          <w:p w14:paraId="5075A412">
            <w:pPr>
              <w:pStyle w:val="6"/>
              <w:spacing w:before="46" w:line="228" w:lineRule="auto"/>
              <w:ind w:left="238"/>
              <w:rPr>
                <w:sz w:val="20"/>
                <w:szCs w:val="20"/>
              </w:rPr>
            </w:pPr>
            <w:r>
              <w:rPr>
                <w:spacing w:val="3"/>
                <w:sz w:val="20"/>
                <w:szCs w:val="20"/>
              </w:rPr>
              <w:t>罐车</w:t>
            </w:r>
          </w:p>
        </w:tc>
        <w:tc>
          <w:tcPr>
            <w:tcW w:w="723" w:type="dxa"/>
            <w:vAlign w:val="top"/>
          </w:tcPr>
          <w:p w14:paraId="24E44950">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2AAD1FA">
            <w:pPr>
              <w:rPr>
                <w:rFonts w:ascii="Arial"/>
                <w:sz w:val="21"/>
              </w:rPr>
            </w:pPr>
          </w:p>
        </w:tc>
      </w:tr>
      <w:tr w14:paraId="2BF23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2A705BEB">
            <w:pPr>
              <w:rPr>
                <w:rFonts w:ascii="Arial"/>
                <w:sz w:val="21"/>
              </w:rPr>
            </w:pPr>
          </w:p>
        </w:tc>
        <w:tc>
          <w:tcPr>
            <w:tcW w:w="113" w:type="dxa"/>
            <w:tcBorders>
              <w:top w:val="nil"/>
              <w:bottom w:val="nil"/>
            </w:tcBorders>
            <w:vAlign w:val="top"/>
          </w:tcPr>
          <w:p w14:paraId="10E297B9">
            <w:pPr>
              <w:rPr>
                <w:rFonts w:ascii="Arial"/>
                <w:sz w:val="21"/>
              </w:rPr>
            </w:pPr>
          </w:p>
        </w:tc>
        <w:tc>
          <w:tcPr>
            <w:tcW w:w="494" w:type="dxa"/>
            <w:vAlign w:val="top"/>
          </w:tcPr>
          <w:p w14:paraId="12E02AE9">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476" w:type="dxa"/>
            <w:vMerge w:val="continue"/>
            <w:tcBorders>
              <w:top w:val="nil"/>
              <w:bottom w:val="nil"/>
            </w:tcBorders>
            <w:vAlign w:val="top"/>
          </w:tcPr>
          <w:p w14:paraId="49FA1FF3">
            <w:pPr>
              <w:rPr>
                <w:rFonts w:ascii="Arial"/>
                <w:sz w:val="21"/>
              </w:rPr>
            </w:pPr>
          </w:p>
        </w:tc>
        <w:tc>
          <w:tcPr>
            <w:tcW w:w="1384" w:type="dxa"/>
            <w:vAlign w:val="top"/>
          </w:tcPr>
          <w:p w14:paraId="43A47BA2">
            <w:pPr>
              <w:pStyle w:val="6"/>
              <w:spacing w:before="46" w:line="228" w:lineRule="auto"/>
              <w:ind w:left="113"/>
              <w:rPr>
                <w:sz w:val="20"/>
                <w:szCs w:val="20"/>
              </w:rPr>
            </w:pPr>
            <w:r>
              <w:rPr>
                <w:spacing w:val="5"/>
                <w:sz w:val="20"/>
                <w:szCs w:val="20"/>
              </w:rPr>
              <w:t>氨水（</w:t>
            </w:r>
            <w:r>
              <w:rPr>
                <w:rFonts w:ascii="Times New Roman" w:hAnsi="Times New Roman" w:eastAsia="Times New Roman" w:cs="Times New Roman"/>
                <w:spacing w:val="5"/>
                <w:sz w:val="20"/>
                <w:szCs w:val="20"/>
              </w:rPr>
              <w:t>18%</w:t>
            </w:r>
            <w:r>
              <w:rPr>
                <w:spacing w:val="5"/>
                <w:sz w:val="20"/>
                <w:szCs w:val="20"/>
              </w:rPr>
              <w:t>）</w:t>
            </w:r>
          </w:p>
        </w:tc>
        <w:tc>
          <w:tcPr>
            <w:tcW w:w="1037" w:type="dxa"/>
            <w:vAlign w:val="top"/>
          </w:tcPr>
          <w:p w14:paraId="0DD3BF14">
            <w:pPr>
              <w:spacing w:before="82"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92" w:type="dxa"/>
            <w:vAlign w:val="top"/>
          </w:tcPr>
          <w:p w14:paraId="56ADB4AF">
            <w:pPr>
              <w:spacing w:before="7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44E11DB2">
            <w:pPr>
              <w:pStyle w:val="6"/>
              <w:spacing w:before="47" w:line="228" w:lineRule="auto"/>
              <w:ind w:left="192"/>
              <w:rPr>
                <w:sz w:val="20"/>
                <w:szCs w:val="20"/>
              </w:rPr>
            </w:pPr>
            <w:r>
              <w:rPr>
                <w:spacing w:val="3"/>
                <w:sz w:val="20"/>
                <w:szCs w:val="20"/>
              </w:rPr>
              <w:t>液态</w:t>
            </w:r>
          </w:p>
        </w:tc>
        <w:tc>
          <w:tcPr>
            <w:tcW w:w="876" w:type="dxa"/>
            <w:vAlign w:val="top"/>
          </w:tcPr>
          <w:p w14:paraId="372D71FF">
            <w:pPr>
              <w:pStyle w:val="6"/>
              <w:spacing w:before="46" w:line="228" w:lineRule="auto"/>
              <w:ind w:left="238"/>
              <w:rPr>
                <w:sz w:val="20"/>
                <w:szCs w:val="20"/>
              </w:rPr>
            </w:pPr>
            <w:r>
              <w:rPr>
                <w:spacing w:val="3"/>
                <w:sz w:val="20"/>
                <w:szCs w:val="20"/>
              </w:rPr>
              <w:t>罐车</w:t>
            </w:r>
          </w:p>
        </w:tc>
        <w:tc>
          <w:tcPr>
            <w:tcW w:w="723" w:type="dxa"/>
            <w:vAlign w:val="top"/>
          </w:tcPr>
          <w:p w14:paraId="4FC897E8">
            <w:pPr>
              <w:pStyle w:val="6"/>
              <w:spacing w:before="47"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1CE8E602">
            <w:pPr>
              <w:rPr>
                <w:rFonts w:ascii="Arial"/>
                <w:sz w:val="21"/>
              </w:rPr>
            </w:pPr>
          </w:p>
        </w:tc>
      </w:tr>
      <w:tr w14:paraId="345D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6" w:type="dxa"/>
            <w:vMerge w:val="continue"/>
            <w:tcBorders>
              <w:top w:val="nil"/>
              <w:bottom w:val="nil"/>
            </w:tcBorders>
            <w:vAlign w:val="top"/>
          </w:tcPr>
          <w:p w14:paraId="01ED2884">
            <w:pPr>
              <w:rPr>
                <w:rFonts w:ascii="Arial"/>
                <w:sz w:val="21"/>
              </w:rPr>
            </w:pPr>
          </w:p>
        </w:tc>
        <w:tc>
          <w:tcPr>
            <w:tcW w:w="113" w:type="dxa"/>
            <w:tcBorders>
              <w:top w:val="nil"/>
              <w:bottom w:val="nil"/>
            </w:tcBorders>
            <w:vAlign w:val="top"/>
          </w:tcPr>
          <w:p w14:paraId="6BF19A1A">
            <w:pPr>
              <w:rPr>
                <w:rFonts w:ascii="Arial"/>
                <w:sz w:val="21"/>
              </w:rPr>
            </w:pPr>
          </w:p>
        </w:tc>
        <w:tc>
          <w:tcPr>
            <w:tcW w:w="494" w:type="dxa"/>
            <w:vAlign w:val="top"/>
          </w:tcPr>
          <w:p w14:paraId="6089047F">
            <w:pPr>
              <w:spacing w:before="7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476" w:type="dxa"/>
            <w:vMerge w:val="continue"/>
            <w:tcBorders>
              <w:top w:val="nil"/>
              <w:bottom w:val="nil"/>
            </w:tcBorders>
            <w:vAlign w:val="top"/>
          </w:tcPr>
          <w:p w14:paraId="7389A8AB">
            <w:pPr>
              <w:rPr>
                <w:rFonts w:ascii="Arial"/>
                <w:sz w:val="21"/>
              </w:rPr>
            </w:pPr>
          </w:p>
        </w:tc>
        <w:tc>
          <w:tcPr>
            <w:tcW w:w="1384" w:type="dxa"/>
            <w:vAlign w:val="top"/>
          </w:tcPr>
          <w:p w14:paraId="2D2EAE21">
            <w:pPr>
              <w:pStyle w:val="6"/>
              <w:spacing w:before="34" w:line="220" w:lineRule="auto"/>
              <w:ind w:left="485"/>
              <w:rPr>
                <w:sz w:val="20"/>
                <w:szCs w:val="20"/>
              </w:rPr>
            </w:pPr>
            <w:r>
              <w:rPr>
                <w:spacing w:val="4"/>
                <w:sz w:val="20"/>
                <w:szCs w:val="20"/>
              </w:rPr>
              <w:t>焦油</w:t>
            </w:r>
          </w:p>
        </w:tc>
        <w:tc>
          <w:tcPr>
            <w:tcW w:w="1037" w:type="dxa"/>
            <w:vAlign w:val="top"/>
          </w:tcPr>
          <w:p w14:paraId="4FFCF4D7">
            <w:pPr>
              <w:spacing w:before="6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02C4B9C1">
            <w:pPr>
              <w:spacing w:before="7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784" w:type="dxa"/>
            <w:vAlign w:val="top"/>
          </w:tcPr>
          <w:p w14:paraId="5769D14E">
            <w:pPr>
              <w:pStyle w:val="6"/>
              <w:spacing w:before="34" w:line="220" w:lineRule="auto"/>
              <w:ind w:left="192"/>
              <w:rPr>
                <w:sz w:val="20"/>
                <w:szCs w:val="20"/>
              </w:rPr>
            </w:pPr>
            <w:r>
              <w:rPr>
                <w:spacing w:val="3"/>
                <w:sz w:val="20"/>
                <w:szCs w:val="20"/>
              </w:rPr>
              <w:t>液态</w:t>
            </w:r>
          </w:p>
        </w:tc>
        <w:tc>
          <w:tcPr>
            <w:tcW w:w="876" w:type="dxa"/>
            <w:vAlign w:val="top"/>
          </w:tcPr>
          <w:p w14:paraId="26FF7F63">
            <w:pPr>
              <w:pStyle w:val="6"/>
              <w:spacing w:before="34" w:line="220" w:lineRule="auto"/>
              <w:ind w:left="238"/>
              <w:rPr>
                <w:sz w:val="20"/>
                <w:szCs w:val="20"/>
              </w:rPr>
            </w:pPr>
            <w:r>
              <w:rPr>
                <w:spacing w:val="3"/>
                <w:sz w:val="20"/>
                <w:szCs w:val="20"/>
              </w:rPr>
              <w:t>罐车</w:t>
            </w:r>
          </w:p>
        </w:tc>
        <w:tc>
          <w:tcPr>
            <w:tcW w:w="723" w:type="dxa"/>
            <w:vAlign w:val="top"/>
          </w:tcPr>
          <w:p w14:paraId="60F87EDD">
            <w:pPr>
              <w:pStyle w:val="6"/>
              <w:spacing w:before="34" w:line="220" w:lineRule="auto"/>
              <w:ind w:left="159"/>
              <w:rPr>
                <w:sz w:val="20"/>
                <w:szCs w:val="20"/>
              </w:rPr>
            </w:pPr>
            <w:r>
              <w:rPr>
                <w:spacing w:val="4"/>
                <w:sz w:val="20"/>
                <w:szCs w:val="20"/>
              </w:rPr>
              <w:t>产品</w:t>
            </w:r>
          </w:p>
        </w:tc>
        <w:tc>
          <w:tcPr>
            <w:tcW w:w="290" w:type="dxa"/>
            <w:vMerge w:val="continue"/>
            <w:tcBorders>
              <w:top w:val="nil"/>
              <w:bottom w:val="nil"/>
            </w:tcBorders>
            <w:vAlign w:val="top"/>
          </w:tcPr>
          <w:p w14:paraId="6EE24773">
            <w:pPr>
              <w:rPr>
                <w:rFonts w:ascii="Arial"/>
                <w:sz w:val="21"/>
              </w:rPr>
            </w:pPr>
          </w:p>
        </w:tc>
      </w:tr>
      <w:tr w14:paraId="7382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96BC018">
            <w:pPr>
              <w:rPr>
                <w:rFonts w:ascii="Arial"/>
                <w:sz w:val="21"/>
              </w:rPr>
            </w:pPr>
          </w:p>
        </w:tc>
        <w:tc>
          <w:tcPr>
            <w:tcW w:w="113" w:type="dxa"/>
            <w:tcBorders>
              <w:top w:val="nil"/>
              <w:bottom w:val="nil"/>
            </w:tcBorders>
            <w:vAlign w:val="top"/>
          </w:tcPr>
          <w:p w14:paraId="38507BA3">
            <w:pPr>
              <w:rPr>
                <w:rFonts w:ascii="Arial"/>
                <w:sz w:val="21"/>
              </w:rPr>
            </w:pPr>
          </w:p>
        </w:tc>
        <w:tc>
          <w:tcPr>
            <w:tcW w:w="494" w:type="dxa"/>
            <w:vAlign w:val="top"/>
          </w:tcPr>
          <w:p w14:paraId="1BDBD0C5">
            <w:pPr>
              <w:spacing w:before="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476" w:type="dxa"/>
            <w:vMerge w:val="continue"/>
            <w:tcBorders>
              <w:top w:val="nil"/>
              <w:bottom w:val="nil"/>
            </w:tcBorders>
            <w:vAlign w:val="top"/>
          </w:tcPr>
          <w:p w14:paraId="174BBBB3">
            <w:pPr>
              <w:rPr>
                <w:rFonts w:ascii="Arial"/>
                <w:sz w:val="21"/>
              </w:rPr>
            </w:pPr>
          </w:p>
        </w:tc>
        <w:tc>
          <w:tcPr>
            <w:tcW w:w="1384" w:type="dxa"/>
            <w:vAlign w:val="top"/>
          </w:tcPr>
          <w:p w14:paraId="62ECDED3">
            <w:pPr>
              <w:pStyle w:val="6"/>
              <w:spacing w:before="46" w:line="227" w:lineRule="auto"/>
              <w:ind w:left="485"/>
              <w:rPr>
                <w:sz w:val="20"/>
                <w:szCs w:val="20"/>
              </w:rPr>
            </w:pPr>
            <w:r>
              <w:rPr>
                <w:spacing w:val="4"/>
                <w:sz w:val="20"/>
                <w:szCs w:val="20"/>
              </w:rPr>
              <w:t>粗苯</w:t>
            </w:r>
          </w:p>
        </w:tc>
        <w:tc>
          <w:tcPr>
            <w:tcW w:w="1037" w:type="dxa"/>
            <w:vAlign w:val="top"/>
          </w:tcPr>
          <w:p w14:paraId="3C2E8EAF">
            <w:pPr>
              <w:spacing w:before="78"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D11C1E7">
            <w:pPr>
              <w:spacing w:before="82"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784" w:type="dxa"/>
            <w:vAlign w:val="top"/>
          </w:tcPr>
          <w:p w14:paraId="043A41CC">
            <w:pPr>
              <w:pStyle w:val="6"/>
              <w:spacing w:before="46" w:line="228" w:lineRule="auto"/>
              <w:ind w:left="192"/>
              <w:rPr>
                <w:sz w:val="20"/>
                <w:szCs w:val="20"/>
              </w:rPr>
            </w:pPr>
            <w:r>
              <w:rPr>
                <w:spacing w:val="3"/>
                <w:sz w:val="20"/>
                <w:szCs w:val="20"/>
              </w:rPr>
              <w:t>液态</w:t>
            </w:r>
          </w:p>
        </w:tc>
        <w:tc>
          <w:tcPr>
            <w:tcW w:w="876" w:type="dxa"/>
            <w:vAlign w:val="top"/>
          </w:tcPr>
          <w:p w14:paraId="2DB8EEE6">
            <w:pPr>
              <w:pStyle w:val="6"/>
              <w:spacing w:before="45" w:line="228" w:lineRule="auto"/>
              <w:ind w:left="238"/>
              <w:rPr>
                <w:sz w:val="20"/>
                <w:szCs w:val="20"/>
              </w:rPr>
            </w:pPr>
            <w:r>
              <w:rPr>
                <w:spacing w:val="3"/>
                <w:sz w:val="20"/>
                <w:szCs w:val="20"/>
              </w:rPr>
              <w:t>罐车</w:t>
            </w:r>
          </w:p>
        </w:tc>
        <w:tc>
          <w:tcPr>
            <w:tcW w:w="723" w:type="dxa"/>
            <w:vAlign w:val="top"/>
          </w:tcPr>
          <w:p w14:paraId="06DA5DD0">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64FD8950">
            <w:pPr>
              <w:rPr>
                <w:rFonts w:ascii="Arial"/>
                <w:sz w:val="21"/>
              </w:rPr>
            </w:pPr>
          </w:p>
        </w:tc>
      </w:tr>
      <w:tr w14:paraId="39789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8823E2A">
            <w:pPr>
              <w:rPr>
                <w:rFonts w:ascii="Arial"/>
                <w:sz w:val="21"/>
              </w:rPr>
            </w:pPr>
          </w:p>
        </w:tc>
        <w:tc>
          <w:tcPr>
            <w:tcW w:w="113" w:type="dxa"/>
            <w:tcBorders>
              <w:top w:val="nil"/>
              <w:bottom w:val="nil"/>
            </w:tcBorders>
            <w:vAlign w:val="top"/>
          </w:tcPr>
          <w:p w14:paraId="5BDDF337">
            <w:pPr>
              <w:rPr>
                <w:rFonts w:ascii="Arial"/>
                <w:sz w:val="21"/>
              </w:rPr>
            </w:pPr>
          </w:p>
        </w:tc>
        <w:tc>
          <w:tcPr>
            <w:tcW w:w="494" w:type="dxa"/>
            <w:vAlign w:val="top"/>
          </w:tcPr>
          <w:p w14:paraId="27A4FFE8">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76" w:type="dxa"/>
            <w:vMerge w:val="continue"/>
            <w:tcBorders>
              <w:top w:val="nil"/>
            </w:tcBorders>
            <w:vAlign w:val="top"/>
          </w:tcPr>
          <w:p w14:paraId="7325719E">
            <w:pPr>
              <w:rPr>
                <w:rFonts w:ascii="Arial"/>
                <w:sz w:val="21"/>
              </w:rPr>
            </w:pPr>
          </w:p>
        </w:tc>
        <w:tc>
          <w:tcPr>
            <w:tcW w:w="1384" w:type="dxa"/>
            <w:vAlign w:val="top"/>
          </w:tcPr>
          <w:p w14:paraId="743DD346">
            <w:pPr>
              <w:pStyle w:val="6"/>
              <w:spacing w:before="45" w:line="227" w:lineRule="auto"/>
              <w:ind w:left="484"/>
              <w:rPr>
                <w:sz w:val="20"/>
                <w:szCs w:val="20"/>
              </w:rPr>
            </w:pPr>
            <w:r>
              <w:rPr>
                <w:spacing w:val="5"/>
                <w:sz w:val="20"/>
                <w:szCs w:val="20"/>
              </w:rPr>
              <w:t>硫膏</w:t>
            </w:r>
          </w:p>
        </w:tc>
        <w:tc>
          <w:tcPr>
            <w:tcW w:w="1037" w:type="dxa"/>
            <w:vAlign w:val="top"/>
          </w:tcPr>
          <w:p w14:paraId="5A7B3C12">
            <w:pPr>
              <w:spacing w:before="80" w:line="19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25B30321">
            <w:pPr>
              <w:spacing w:before="84"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84" w:type="dxa"/>
            <w:vAlign w:val="top"/>
          </w:tcPr>
          <w:p w14:paraId="38AAB1B6">
            <w:pPr>
              <w:pStyle w:val="6"/>
              <w:spacing w:before="46" w:line="228" w:lineRule="auto"/>
              <w:ind w:left="208"/>
              <w:rPr>
                <w:sz w:val="20"/>
                <w:szCs w:val="20"/>
              </w:rPr>
            </w:pPr>
            <w:r>
              <w:rPr>
                <w:spacing w:val="-5"/>
                <w:sz w:val="20"/>
                <w:szCs w:val="20"/>
              </w:rPr>
              <w:t>固态</w:t>
            </w:r>
          </w:p>
        </w:tc>
        <w:tc>
          <w:tcPr>
            <w:tcW w:w="876" w:type="dxa"/>
            <w:vAlign w:val="top"/>
          </w:tcPr>
          <w:p w14:paraId="62D9B0E4">
            <w:pPr>
              <w:pStyle w:val="6"/>
              <w:spacing w:before="45" w:line="228" w:lineRule="auto"/>
              <w:ind w:left="131"/>
              <w:rPr>
                <w:sz w:val="20"/>
                <w:szCs w:val="20"/>
              </w:rPr>
            </w:pPr>
            <w:r>
              <w:rPr>
                <w:spacing w:val="6"/>
                <w:sz w:val="20"/>
                <w:szCs w:val="20"/>
              </w:rPr>
              <w:t>厢式车</w:t>
            </w:r>
          </w:p>
        </w:tc>
        <w:tc>
          <w:tcPr>
            <w:tcW w:w="723" w:type="dxa"/>
            <w:vAlign w:val="top"/>
          </w:tcPr>
          <w:p w14:paraId="162EAE0F">
            <w:pPr>
              <w:pStyle w:val="6"/>
              <w:spacing w:before="45" w:line="228" w:lineRule="auto"/>
              <w:ind w:left="159"/>
              <w:rPr>
                <w:sz w:val="20"/>
                <w:szCs w:val="20"/>
              </w:rPr>
            </w:pPr>
            <w:r>
              <w:rPr>
                <w:spacing w:val="4"/>
                <w:sz w:val="20"/>
                <w:szCs w:val="20"/>
              </w:rPr>
              <w:t>产品</w:t>
            </w:r>
          </w:p>
        </w:tc>
        <w:tc>
          <w:tcPr>
            <w:tcW w:w="290" w:type="dxa"/>
            <w:vMerge w:val="continue"/>
            <w:tcBorders>
              <w:top w:val="nil"/>
              <w:bottom w:val="nil"/>
            </w:tcBorders>
            <w:vAlign w:val="top"/>
          </w:tcPr>
          <w:p w14:paraId="1D84E923">
            <w:pPr>
              <w:rPr>
                <w:rFonts w:ascii="Arial"/>
                <w:sz w:val="21"/>
              </w:rPr>
            </w:pPr>
          </w:p>
        </w:tc>
      </w:tr>
      <w:tr w14:paraId="7D138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56" w:type="dxa"/>
            <w:vMerge w:val="continue"/>
            <w:tcBorders>
              <w:top w:val="nil"/>
              <w:bottom w:val="nil"/>
            </w:tcBorders>
            <w:vAlign w:val="top"/>
          </w:tcPr>
          <w:p w14:paraId="4E15D980">
            <w:pPr>
              <w:rPr>
                <w:rFonts w:ascii="Arial"/>
                <w:sz w:val="21"/>
              </w:rPr>
            </w:pPr>
          </w:p>
        </w:tc>
        <w:tc>
          <w:tcPr>
            <w:tcW w:w="113" w:type="dxa"/>
            <w:tcBorders>
              <w:top w:val="nil"/>
              <w:bottom w:val="nil"/>
            </w:tcBorders>
            <w:vAlign w:val="top"/>
          </w:tcPr>
          <w:p w14:paraId="7CB37A7D">
            <w:pPr>
              <w:rPr>
                <w:rFonts w:ascii="Arial"/>
                <w:sz w:val="21"/>
              </w:rPr>
            </w:pPr>
          </w:p>
        </w:tc>
        <w:tc>
          <w:tcPr>
            <w:tcW w:w="494" w:type="dxa"/>
            <w:vAlign w:val="top"/>
          </w:tcPr>
          <w:p w14:paraId="7FC8E910">
            <w:pPr>
              <w:spacing w:line="472" w:lineRule="auto"/>
              <w:rPr>
                <w:rFonts w:ascii="Arial"/>
                <w:sz w:val="21"/>
              </w:rPr>
            </w:pPr>
          </w:p>
          <w:p w14:paraId="68CB11A7">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476" w:type="dxa"/>
            <w:vAlign w:val="top"/>
          </w:tcPr>
          <w:p w14:paraId="01430A9D">
            <w:pPr>
              <w:pStyle w:val="6"/>
              <w:spacing w:before="88" w:line="228" w:lineRule="auto"/>
              <w:ind w:left="136"/>
              <w:rPr>
                <w:sz w:val="20"/>
                <w:szCs w:val="20"/>
              </w:rPr>
            </w:pPr>
            <w:r>
              <w:rPr>
                <w:spacing w:val="4"/>
                <w:sz w:val="20"/>
                <w:szCs w:val="20"/>
              </w:rPr>
              <w:t>内蒙古鄂尔多</w:t>
            </w:r>
          </w:p>
          <w:p w14:paraId="3F9D82FA">
            <w:pPr>
              <w:pStyle w:val="6"/>
              <w:spacing w:before="24" w:line="228" w:lineRule="auto"/>
              <w:ind w:left="112"/>
              <w:rPr>
                <w:sz w:val="20"/>
                <w:szCs w:val="20"/>
              </w:rPr>
            </w:pPr>
            <w:r>
              <w:rPr>
                <w:spacing w:val="8"/>
                <w:sz w:val="20"/>
                <w:szCs w:val="20"/>
              </w:rPr>
              <w:t>斯电力有限责</w:t>
            </w:r>
          </w:p>
          <w:p w14:paraId="6966D2F5">
            <w:pPr>
              <w:pStyle w:val="6"/>
              <w:spacing w:before="26" w:line="228" w:lineRule="auto"/>
              <w:ind w:left="110"/>
              <w:rPr>
                <w:sz w:val="20"/>
                <w:szCs w:val="20"/>
              </w:rPr>
            </w:pPr>
            <w:r>
              <w:rPr>
                <w:spacing w:val="8"/>
                <w:sz w:val="20"/>
                <w:szCs w:val="20"/>
              </w:rPr>
              <w:t>任公司（电力</w:t>
            </w:r>
          </w:p>
          <w:p w14:paraId="634137A5">
            <w:pPr>
              <w:pStyle w:val="6"/>
              <w:spacing w:before="24" w:line="230" w:lineRule="auto"/>
              <w:ind w:left="325"/>
              <w:rPr>
                <w:sz w:val="20"/>
                <w:szCs w:val="20"/>
              </w:rPr>
            </w:pPr>
            <w:r>
              <w:rPr>
                <w:spacing w:val="4"/>
                <w:sz w:val="20"/>
                <w:szCs w:val="20"/>
              </w:rPr>
              <w:t>一公司）</w:t>
            </w:r>
          </w:p>
        </w:tc>
        <w:tc>
          <w:tcPr>
            <w:tcW w:w="1384" w:type="dxa"/>
            <w:vAlign w:val="top"/>
          </w:tcPr>
          <w:p w14:paraId="50342518">
            <w:pPr>
              <w:spacing w:line="429" w:lineRule="auto"/>
              <w:rPr>
                <w:rFonts w:ascii="Arial"/>
                <w:sz w:val="21"/>
              </w:rPr>
            </w:pPr>
          </w:p>
          <w:p w14:paraId="2181AB2C">
            <w:pPr>
              <w:pStyle w:val="6"/>
              <w:spacing w:before="65" w:line="228" w:lineRule="auto"/>
              <w:ind w:left="487"/>
              <w:rPr>
                <w:sz w:val="20"/>
                <w:szCs w:val="20"/>
              </w:rPr>
            </w:pPr>
            <w:r>
              <w:rPr>
                <w:spacing w:val="3"/>
                <w:sz w:val="20"/>
                <w:szCs w:val="20"/>
              </w:rPr>
              <w:t>液氨</w:t>
            </w:r>
          </w:p>
        </w:tc>
        <w:tc>
          <w:tcPr>
            <w:tcW w:w="1037" w:type="dxa"/>
            <w:vAlign w:val="top"/>
          </w:tcPr>
          <w:p w14:paraId="7C3C61BE">
            <w:pPr>
              <w:spacing w:line="472" w:lineRule="auto"/>
              <w:rPr>
                <w:rFonts w:ascii="Arial"/>
                <w:sz w:val="21"/>
              </w:rPr>
            </w:pPr>
          </w:p>
          <w:p w14:paraId="60C8F08C">
            <w:pPr>
              <w:spacing w:before="5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992" w:type="dxa"/>
            <w:vAlign w:val="top"/>
          </w:tcPr>
          <w:p w14:paraId="60375688">
            <w:pPr>
              <w:spacing w:line="468" w:lineRule="auto"/>
              <w:rPr>
                <w:rFonts w:ascii="Arial"/>
                <w:sz w:val="21"/>
              </w:rPr>
            </w:pPr>
          </w:p>
          <w:p w14:paraId="7EB3F752">
            <w:pPr>
              <w:spacing w:before="57"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E0EDBC7">
            <w:pPr>
              <w:spacing w:line="429" w:lineRule="auto"/>
              <w:rPr>
                <w:rFonts w:ascii="Arial"/>
                <w:sz w:val="21"/>
              </w:rPr>
            </w:pPr>
          </w:p>
          <w:p w14:paraId="7752BEC0">
            <w:pPr>
              <w:pStyle w:val="6"/>
              <w:spacing w:before="65" w:line="228" w:lineRule="auto"/>
              <w:ind w:left="192"/>
              <w:rPr>
                <w:sz w:val="20"/>
                <w:szCs w:val="20"/>
              </w:rPr>
            </w:pPr>
            <w:r>
              <w:rPr>
                <w:spacing w:val="3"/>
                <w:sz w:val="20"/>
                <w:szCs w:val="20"/>
              </w:rPr>
              <w:t>液态</w:t>
            </w:r>
          </w:p>
        </w:tc>
        <w:tc>
          <w:tcPr>
            <w:tcW w:w="876" w:type="dxa"/>
            <w:vAlign w:val="top"/>
          </w:tcPr>
          <w:p w14:paraId="59ADC521">
            <w:pPr>
              <w:spacing w:line="428" w:lineRule="auto"/>
              <w:rPr>
                <w:rFonts w:ascii="Arial"/>
                <w:sz w:val="21"/>
              </w:rPr>
            </w:pPr>
          </w:p>
          <w:p w14:paraId="7DADF448">
            <w:pPr>
              <w:pStyle w:val="6"/>
              <w:spacing w:before="65" w:line="228" w:lineRule="auto"/>
              <w:ind w:left="238"/>
              <w:rPr>
                <w:sz w:val="20"/>
                <w:szCs w:val="20"/>
              </w:rPr>
            </w:pPr>
            <w:r>
              <w:rPr>
                <w:spacing w:val="3"/>
                <w:sz w:val="20"/>
                <w:szCs w:val="20"/>
              </w:rPr>
              <w:t>罐车</w:t>
            </w:r>
          </w:p>
        </w:tc>
        <w:tc>
          <w:tcPr>
            <w:tcW w:w="723" w:type="dxa"/>
            <w:vAlign w:val="top"/>
          </w:tcPr>
          <w:p w14:paraId="47561E12">
            <w:pPr>
              <w:spacing w:line="429" w:lineRule="auto"/>
              <w:rPr>
                <w:rFonts w:ascii="Arial"/>
                <w:sz w:val="21"/>
              </w:rPr>
            </w:pPr>
          </w:p>
          <w:p w14:paraId="6D7B5BC8">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40CDB5DC">
            <w:pPr>
              <w:rPr>
                <w:rFonts w:ascii="Arial"/>
                <w:sz w:val="21"/>
              </w:rPr>
            </w:pPr>
          </w:p>
        </w:tc>
      </w:tr>
      <w:tr w14:paraId="2851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456" w:type="dxa"/>
            <w:vMerge w:val="continue"/>
            <w:tcBorders>
              <w:top w:val="nil"/>
              <w:bottom w:val="nil"/>
            </w:tcBorders>
            <w:vAlign w:val="top"/>
          </w:tcPr>
          <w:p w14:paraId="30B812F2">
            <w:pPr>
              <w:rPr>
                <w:rFonts w:ascii="Arial"/>
                <w:sz w:val="21"/>
              </w:rPr>
            </w:pPr>
          </w:p>
        </w:tc>
        <w:tc>
          <w:tcPr>
            <w:tcW w:w="113" w:type="dxa"/>
            <w:tcBorders>
              <w:top w:val="nil"/>
              <w:bottom w:val="nil"/>
            </w:tcBorders>
            <w:vAlign w:val="top"/>
          </w:tcPr>
          <w:p w14:paraId="24DD53FE">
            <w:pPr>
              <w:rPr>
                <w:rFonts w:ascii="Arial"/>
                <w:sz w:val="21"/>
              </w:rPr>
            </w:pPr>
          </w:p>
        </w:tc>
        <w:tc>
          <w:tcPr>
            <w:tcW w:w="494" w:type="dxa"/>
            <w:vAlign w:val="top"/>
          </w:tcPr>
          <w:p w14:paraId="3570AC10">
            <w:pPr>
              <w:spacing w:line="472" w:lineRule="auto"/>
              <w:rPr>
                <w:rFonts w:ascii="Arial"/>
                <w:sz w:val="21"/>
              </w:rPr>
            </w:pPr>
          </w:p>
          <w:p w14:paraId="32DDE6E9">
            <w:pPr>
              <w:spacing w:before="5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476" w:type="dxa"/>
            <w:vAlign w:val="top"/>
          </w:tcPr>
          <w:p w14:paraId="262750B0">
            <w:pPr>
              <w:pStyle w:val="6"/>
              <w:spacing w:before="88" w:line="228" w:lineRule="auto"/>
              <w:ind w:left="136"/>
              <w:rPr>
                <w:sz w:val="20"/>
                <w:szCs w:val="20"/>
              </w:rPr>
            </w:pPr>
            <w:r>
              <w:rPr>
                <w:spacing w:val="4"/>
                <w:sz w:val="20"/>
                <w:szCs w:val="20"/>
              </w:rPr>
              <w:t>内蒙古鄂尔多</w:t>
            </w:r>
          </w:p>
          <w:p w14:paraId="69BEBBEB">
            <w:pPr>
              <w:pStyle w:val="6"/>
              <w:spacing w:before="24" w:line="228" w:lineRule="auto"/>
              <w:ind w:left="112"/>
              <w:rPr>
                <w:sz w:val="20"/>
                <w:szCs w:val="20"/>
              </w:rPr>
            </w:pPr>
            <w:r>
              <w:rPr>
                <w:spacing w:val="8"/>
                <w:sz w:val="20"/>
                <w:szCs w:val="20"/>
              </w:rPr>
              <w:t>斯电力有限责</w:t>
            </w:r>
          </w:p>
          <w:p w14:paraId="2ED80627">
            <w:pPr>
              <w:pStyle w:val="6"/>
              <w:spacing w:before="26" w:line="228" w:lineRule="auto"/>
              <w:ind w:left="110"/>
              <w:rPr>
                <w:sz w:val="20"/>
                <w:szCs w:val="20"/>
              </w:rPr>
            </w:pPr>
            <w:r>
              <w:rPr>
                <w:spacing w:val="8"/>
                <w:sz w:val="20"/>
                <w:szCs w:val="20"/>
              </w:rPr>
              <w:t>任公司（电力</w:t>
            </w:r>
          </w:p>
          <w:p w14:paraId="23AD2841">
            <w:pPr>
              <w:pStyle w:val="6"/>
              <w:spacing w:before="24" w:line="230" w:lineRule="auto"/>
              <w:ind w:left="325"/>
              <w:rPr>
                <w:sz w:val="20"/>
                <w:szCs w:val="20"/>
              </w:rPr>
            </w:pPr>
            <w:r>
              <w:rPr>
                <w:spacing w:val="4"/>
                <w:sz w:val="20"/>
                <w:szCs w:val="20"/>
              </w:rPr>
              <w:t>二公司）</w:t>
            </w:r>
          </w:p>
        </w:tc>
        <w:tc>
          <w:tcPr>
            <w:tcW w:w="1384" w:type="dxa"/>
            <w:vAlign w:val="top"/>
          </w:tcPr>
          <w:p w14:paraId="35E7972C">
            <w:pPr>
              <w:spacing w:line="430" w:lineRule="auto"/>
              <w:rPr>
                <w:rFonts w:ascii="Arial"/>
                <w:sz w:val="21"/>
              </w:rPr>
            </w:pPr>
          </w:p>
          <w:p w14:paraId="0F0F7B29">
            <w:pPr>
              <w:pStyle w:val="6"/>
              <w:spacing w:before="65" w:line="228" w:lineRule="auto"/>
              <w:ind w:left="487"/>
              <w:rPr>
                <w:sz w:val="20"/>
                <w:szCs w:val="20"/>
              </w:rPr>
            </w:pPr>
            <w:r>
              <w:rPr>
                <w:spacing w:val="3"/>
                <w:sz w:val="20"/>
                <w:szCs w:val="20"/>
              </w:rPr>
              <w:t>液氨</w:t>
            </w:r>
          </w:p>
        </w:tc>
        <w:tc>
          <w:tcPr>
            <w:tcW w:w="1037" w:type="dxa"/>
            <w:vAlign w:val="top"/>
          </w:tcPr>
          <w:p w14:paraId="25EA56DF">
            <w:pPr>
              <w:spacing w:line="472" w:lineRule="auto"/>
              <w:rPr>
                <w:rFonts w:ascii="Arial"/>
                <w:sz w:val="21"/>
              </w:rPr>
            </w:pPr>
          </w:p>
          <w:p w14:paraId="43C4D89E">
            <w:pPr>
              <w:spacing w:before="58"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992" w:type="dxa"/>
            <w:vAlign w:val="top"/>
          </w:tcPr>
          <w:p w14:paraId="24C17340">
            <w:pPr>
              <w:spacing w:line="468" w:lineRule="auto"/>
              <w:rPr>
                <w:rFonts w:ascii="Arial"/>
                <w:sz w:val="21"/>
              </w:rPr>
            </w:pPr>
          </w:p>
          <w:p w14:paraId="5874E09C">
            <w:pPr>
              <w:spacing w:before="58"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36D6D35C">
            <w:pPr>
              <w:spacing w:line="430" w:lineRule="auto"/>
              <w:rPr>
                <w:rFonts w:ascii="Arial"/>
                <w:sz w:val="21"/>
              </w:rPr>
            </w:pPr>
          </w:p>
          <w:p w14:paraId="7DA2471E">
            <w:pPr>
              <w:pStyle w:val="6"/>
              <w:spacing w:before="65" w:line="228" w:lineRule="auto"/>
              <w:ind w:left="192"/>
              <w:rPr>
                <w:sz w:val="20"/>
                <w:szCs w:val="20"/>
              </w:rPr>
            </w:pPr>
            <w:r>
              <w:rPr>
                <w:spacing w:val="3"/>
                <w:sz w:val="20"/>
                <w:szCs w:val="20"/>
              </w:rPr>
              <w:t>液态</w:t>
            </w:r>
          </w:p>
        </w:tc>
        <w:tc>
          <w:tcPr>
            <w:tcW w:w="876" w:type="dxa"/>
            <w:vAlign w:val="top"/>
          </w:tcPr>
          <w:p w14:paraId="4E049553">
            <w:pPr>
              <w:spacing w:line="429" w:lineRule="auto"/>
              <w:rPr>
                <w:rFonts w:ascii="Arial"/>
                <w:sz w:val="21"/>
              </w:rPr>
            </w:pPr>
          </w:p>
          <w:p w14:paraId="13E1B50B">
            <w:pPr>
              <w:pStyle w:val="6"/>
              <w:spacing w:before="65" w:line="228" w:lineRule="auto"/>
              <w:ind w:left="238"/>
              <w:rPr>
                <w:sz w:val="20"/>
                <w:szCs w:val="20"/>
              </w:rPr>
            </w:pPr>
            <w:r>
              <w:rPr>
                <w:spacing w:val="3"/>
                <w:sz w:val="20"/>
                <w:szCs w:val="20"/>
              </w:rPr>
              <w:t>罐车</w:t>
            </w:r>
          </w:p>
        </w:tc>
        <w:tc>
          <w:tcPr>
            <w:tcW w:w="723" w:type="dxa"/>
            <w:vAlign w:val="top"/>
          </w:tcPr>
          <w:p w14:paraId="7BD95854">
            <w:pPr>
              <w:spacing w:line="430" w:lineRule="auto"/>
              <w:rPr>
                <w:rFonts w:ascii="Arial"/>
                <w:sz w:val="21"/>
              </w:rPr>
            </w:pPr>
          </w:p>
          <w:p w14:paraId="098C19E3">
            <w:pPr>
              <w:pStyle w:val="6"/>
              <w:spacing w:before="65"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6A3B18E1">
            <w:pPr>
              <w:rPr>
                <w:rFonts w:ascii="Arial"/>
                <w:sz w:val="21"/>
              </w:rPr>
            </w:pPr>
          </w:p>
        </w:tc>
      </w:tr>
      <w:tr w14:paraId="381C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32B6EA68">
            <w:pPr>
              <w:rPr>
                <w:rFonts w:ascii="Arial"/>
                <w:sz w:val="21"/>
              </w:rPr>
            </w:pPr>
          </w:p>
        </w:tc>
        <w:tc>
          <w:tcPr>
            <w:tcW w:w="113" w:type="dxa"/>
            <w:tcBorders>
              <w:top w:val="nil"/>
              <w:bottom w:val="nil"/>
            </w:tcBorders>
            <w:vAlign w:val="top"/>
          </w:tcPr>
          <w:p w14:paraId="78E12E55">
            <w:pPr>
              <w:rPr>
                <w:rFonts w:ascii="Arial"/>
                <w:sz w:val="21"/>
              </w:rPr>
            </w:pPr>
          </w:p>
        </w:tc>
        <w:tc>
          <w:tcPr>
            <w:tcW w:w="494" w:type="dxa"/>
            <w:vAlign w:val="top"/>
          </w:tcPr>
          <w:p w14:paraId="3EA9E5CF">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476" w:type="dxa"/>
            <w:vMerge w:val="restart"/>
            <w:tcBorders>
              <w:bottom w:val="nil"/>
            </w:tcBorders>
            <w:vAlign w:val="top"/>
          </w:tcPr>
          <w:p w14:paraId="7F7FB50C">
            <w:pPr>
              <w:pStyle w:val="6"/>
              <w:spacing w:before="68" w:line="228" w:lineRule="auto"/>
              <w:ind w:left="111"/>
              <w:rPr>
                <w:sz w:val="20"/>
                <w:szCs w:val="20"/>
              </w:rPr>
            </w:pPr>
            <w:r>
              <w:rPr>
                <w:spacing w:val="8"/>
                <w:sz w:val="20"/>
                <w:szCs w:val="20"/>
              </w:rPr>
              <w:t>鄂尔多斯双欣</w:t>
            </w:r>
          </w:p>
          <w:p w14:paraId="09ABB910">
            <w:pPr>
              <w:pStyle w:val="6"/>
              <w:spacing w:before="23" w:line="228" w:lineRule="auto"/>
              <w:ind w:left="135"/>
              <w:rPr>
                <w:sz w:val="20"/>
                <w:szCs w:val="20"/>
              </w:rPr>
            </w:pPr>
            <w:r>
              <w:rPr>
                <w:spacing w:val="4"/>
                <w:sz w:val="20"/>
                <w:szCs w:val="20"/>
              </w:rPr>
              <w:t>电力有限公司</w:t>
            </w:r>
          </w:p>
        </w:tc>
        <w:tc>
          <w:tcPr>
            <w:tcW w:w="1384" w:type="dxa"/>
            <w:vAlign w:val="top"/>
          </w:tcPr>
          <w:p w14:paraId="4329C1FD">
            <w:pPr>
              <w:pStyle w:val="6"/>
              <w:spacing w:before="49" w:line="227" w:lineRule="auto"/>
              <w:ind w:left="484"/>
              <w:rPr>
                <w:sz w:val="20"/>
                <w:szCs w:val="20"/>
              </w:rPr>
            </w:pPr>
            <w:r>
              <w:rPr>
                <w:spacing w:val="5"/>
                <w:sz w:val="20"/>
                <w:szCs w:val="20"/>
              </w:rPr>
              <w:t>硫酸</w:t>
            </w:r>
          </w:p>
        </w:tc>
        <w:tc>
          <w:tcPr>
            <w:tcW w:w="1037" w:type="dxa"/>
            <w:vAlign w:val="top"/>
          </w:tcPr>
          <w:p w14:paraId="65207A30">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992" w:type="dxa"/>
            <w:vAlign w:val="top"/>
          </w:tcPr>
          <w:p w14:paraId="49216255">
            <w:pPr>
              <w:spacing w:before="81"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A00E75A">
            <w:pPr>
              <w:pStyle w:val="6"/>
              <w:spacing w:before="49" w:line="227" w:lineRule="auto"/>
              <w:ind w:left="192"/>
              <w:rPr>
                <w:sz w:val="20"/>
                <w:szCs w:val="20"/>
              </w:rPr>
            </w:pPr>
            <w:r>
              <w:rPr>
                <w:spacing w:val="3"/>
                <w:sz w:val="20"/>
                <w:szCs w:val="20"/>
              </w:rPr>
              <w:t>液态</w:t>
            </w:r>
          </w:p>
        </w:tc>
        <w:tc>
          <w:tcPr>
            <w:tcW w:w="876" w:type="dxa"/>
            <w:vAlign w:val="top"/>
          </w:tcPr>
          <w:p w14:paraId="5796F49C">
            <w:pPr>
              <w:pStyle w:val="6"/>
              <w:spacing w:before="49" w:line="227" w:lineRule="auto"/>
              <w:ind w:left="238"/>
              <w:rPr>
                <w:sz w:val="20"/>
                <w:szCs w:val="20"/>
              </w:rPr>
            </w:pPr>
            <w:r>
              <w:rPr>
                <w:spacing w:val="3"/>
                <w:sz w:val="20"/>
                <w:szCs w:val="20"/>
              </w:rPr>
              <w:t>罐车</w:t>
            </w:r>
          </w:p>
        </w:tc>
        <w:tc>
          <w:tcPr>
            <w:tcW w:w="723" w:type="dxa"/>
            <w:vAlign w:val="top"/>
          </w:tcPr>
          <w:p w14:paraId="214FED8F">
            <w:pPr>
              <w:pStyle w:val="6"/>
              <w:spacing w:before="49" w:line="227" w:lineRule="auto"/>
              <w:ind w:left="164"/>
              <w:rPr>
                <w:sz w:val="20"/>
                <w:szCs w:val="20"/>
              </w:rPr>
            </w:pPr>
            <w:r>
              <w:rPr>
                <w:spacing w:val="2"/>
                <w:sz w:val="20"/>
                <w:szCs w:val="20"/>
              </w:rPr>
              <w:t>原料</w:t>
            </w:r>
          </w:p>
        </w:tc>
        <w:tc>
          <w:tcPr>
            <w:tcW w:w="290" w:type="dxa"/>
            <w:vMerge w:val="continue"/>
            <w:tcBorders>
              <w:top w:val="nil"/>
              <w:bottom w:val="nil"/>
            </w:tcBorders>
            <w:vAlign w:val="top"/>
          </w:tcPr>
          <w:p w14:paraId="21C1BD7D">
            <w:pPr>
              <w:rPr>
                <w:rFonts w:ascii="Arial"/>
                <w:sz w:val="21"/>
              </w:rPr>
            </w:pPr>
          </w:p>
        </w:tc>
      </w:tr>
      <w:tr w14:paraId="7EABAEC3">
        <w:tblPrEx>
          <w:tblCellMar>
            <w:top w:w="0" w:type="dxa"/>
            <w:left w:w="0" w:type="dxa"/>
            <w:bottom w:w="0" w:type="dxa"/>
            <w:right w:w="0" w:type="dxa"/>
          </w:tblCellMar>
        </w:tblPrEx>
        <w:trPr>
          <w:trHeight w:val="305" w:hRule="atLeast"/>
        </w:trPr>
        <w:tc>
          <w:tcPr>
            <w:tcW w:w="456" w:type="dxa"/>
            <w:vMerge w:val="continue"/>
            <w:tcBorders>
              <w:top w:val="nil"/>
              <w:bottom w:val="nil"/>
            </w:tcBorders>
            <w:vAlign w:val="top"/>
          </w:tcPr>
          <w:p w14:paraId="578DEAB9">
            <w:pPr>
              <w:rPr>
                <w:rFonts w:ascii="Arial"/>
                <w:sz w:val="21"/>
              </w:rPr>
            </w:pPr>
          </w:p>
        </w:tc>
        <w:tc>
          <w:tcPr>
            <w:tcW w:w="113" w:type="dxa"/>
            <w:tcBorders>
              <w:top w:val="nil"/>
              <w:bottom w:val="nil"/>
            </w:tcBorders>
            <w:vAlign w:val="top"/>
          </w:tcPr>
          <w:p w14:paraId="2CFB0F16">
            <w:pPr>
              <w:rPr>
                <w:rFonts w:ascii="Arial"/>
                <w:sz w:val="21"/>
              </w:rPr>
            </w:pPr>
          </w:p>
        </w:tc>
        <w:tc>
          <w:tcPr>
            <w:tcW w:w="494" w:type="dxa"/>
            <w:vAlign w:val="top"/>
          </w:tcPr>
          <w:p w14:paraId="7454EFF8">
            <w:pPr>
              <w:spacing w:before="8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476" w:type="dxa"/>
            <w:vMerge w:val="continue"/>
            <w:tcBorders>
              <w:top w:val="nil"/>
            </w:tcBorders>
            <w:vAlign w:val="top"/>
          </w:tcPr>
          <w:p w14:paraId="5407D3DC">
            <w:pPr>
              <w:rPr>
                <w:rFonts w:ascii="Arial"/>
                <w:sz w:val="21"/>
              </w:rPr>
            </w:pPr>
          </w:p>
        </w:tc>
        <w:tc>
          <w:tcPr>
            <w:tcW w:w="1384" w:type="dxa"/>
            <w:vAlign w:val="top"/>
          </w:tcPr>
          <w:p w14:paraId="5748622D">
            <w:pPr>
              <w:pStyle w:val="6"/>
              <w:spacing w:before="48" w:line="227" w:lineRule="auto"/>
              <w:ind w:left="276"/>
              <w:rPr>
                <w:sz w:val="20"/>
                <w:szCs w:val="20"/>
              </w:rPr>
            </w:pPr>
            <w:r>
              <w:rPr>
                <w:spacing w:val="7"/>
                <w:sz w:val="20"/>
                <w:szCs w:val="20"/>
              </w:rPr>
              <w:t>氢氧化钠</w:t>
            </w:r>
          </w:p>
        </w:tc>
        <w:tc>
          <w:tcPr>
            <w:tcW w:w="1037" w:type="dxa"/>
            <w:vAlign w:val="top"/>
          </w:tcPr>
          <w:p w14:paraId="69CA8555">
            <w:pPr>
              <w:spacing w:before="8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92" w:type="dxa"/>
            <w:vAlign w:val="top"/>
          </w:tcPr>
          <w:p w14:paraId="33D59A00">
            <w:pPr>
              <w:spacing w:before="80"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1520350">
            <w:pPr>
              <w:pStyle w:val="6"/>
              <w:spacing w:before="49" w:line="227" w:lineRule="auto"/>
              <w:ind w:left="208"/>
              <w:rPr>
                <w:sz w:val="20"/>
                <w:szCs w:val="20"/>
              </w:rPr>
            </w:pPr>
            <w:r>
              <w:rPr>
                <w:spacing w:val="-5"/>
                <w:sz w:val="20"/>
                <w:szCs w:val="20"/>
              </w:rPr>
              <w:t>固态</w:t>
            </w:r>
          </w:p>
        </w:tc>
        <w:tc>
          <w:tcPr>
            <w:tcW w:w="876" w:type="dxa"/>
            <w:vAlign w:val="top"/>
          </w:tcPr>
          <w:p w14:paraId="279B0EC6">
            <w:pPr>
              <w:pStyle w:val="6"/>
              <w:spacing w:before="49" w:line="227" w:lineRule="auto"/>
              <w:ind w:left="131"/>
              <w:rPr>
                <w:sz w:val="20"/>
                <w:szCs w:val="20"/>
              </w:rPr>
            </w:pPr>
            <w:r>
              <w:rPr>
                <w:spacing w:val="6"/>
                <w:sz w:val="20"/>
                <w:szCs w:val="20"/>
              </w:rPr>
              <w:t>厢式车</w:t>
            </w:r>
          </w:p>
        </w:tc>
        <w:tc>
          <w:tcPr>
            <w:tcW w:w="723" w:type="dxa"/>
            <w:vAlign w:val="top"/>
          </w:tcPr>
          <w:p w14:paraId="53F94092">
            <w:pPr>
              <w:pStyle w:val="6"/>
              <w:spacing w:before="49" w:line="227" w:lineRule="auto"/>
              <w:ind w:left="164"/>
              <w:rPr>
                <w:sz w:val="20"/>
                <w:szCs w:val="20"/>
              </w:rPr>
            </w:pPr>
            <w:r>
              <w:rPr>
                <w:spacing w:val="2"/>
                <w:sz w:val="20"/>
                <w:szCs w:val="20"/>
              </w:rPr>
              <w:t>原料</w:t>
            </w:r>
          </w:p>
        </w:tc>
        <w:tc>
          <w:tcPr>
            <w:tcW w:w="290" w:type="dxa"/>
            <w:vMerge w:val="continue"/>
            <w:tcBorders>
              <w:top w:val="nil"/>
              <w:bottom w:val="nil"/>
            </w:tcBorders>
            <w:vAlign w:val="top"/>
          </w:tcPr>
          <w:p w14:paraId="32C340B4">
            <w:pPr>
              <w:rPr>
                <w:rFonts w:ascii="Arial"/>
                <w:sz w:val="21"/>
              </w:rPr>
            </w:pPr>
          </w:p>
        </w:tc>
      </w:tr>
      <w:tr w14:paraId="59D9B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171F079A">
            <w:pPr>
              <w:rPr>
                <w:rFonts w:ascii="Arial"/>
                <w:sz w:val="21"/>
              </w:rPr>
            </w:pPr>
          </w:p>
        </w:tc>
        <w:tc>
          <w:tcPr>
            <w:tcW w:w="113" w:type="dxa"/>
            <w:tcBorders>
              <w:top w:val="nil"/>
              <w:bottom w:val="nil"/>
            </w:tcBorders>
            <w:vAlign w:val="top"/>
          </w:tcPr>
          <w:p w14:paraId="776BE971">
            <w:pPr>
              <w:rPr>
                <w:rFonts w:ascii="Arial"/>
                <w:sz w:val="21"/>
              </w:rPr>
            </w:pPr>
          </w:p>
        </w:tc>
        <w:tc>
          <w:tcPr>
            <w:tcW w:w="494" w:type="dxa"/>
            <w:vAlign w:val="top"/>
          </w:tcPr>
          <w:p w14:paraId="1F95653F">
            <w:pPr>
              <w:spacing w:before="209" w:line="192"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476" w:type="dxa"/>
            <w:vMerge w:val="restart"/>
            <w:tcBorders>
              <w:bottom w:val="nil"/>
            </w:tcBorders>
            <w:vAlign w:val="top"/>
          </w:tcPr>
          <w:p w14:paraId="34BC510B">
            <w:pPr>
              <w:spacing w:line="245" w:lineRule="auto"/>
              <w:rPr>
                <w:rFonts w:ascii="Arial"/>
                <w:sz w:val="21"/>
              </w:rPr>
            </w:pPr>
          </w:p>
          <w:p w14:paraId="52C7AFC3">
            <w:pPr>
              <w:pStyle w:val="6"/>
              <w:spacing w:before="65" w:line="252" w:lineRule="auto"/>
              <w:ind w:left="216" w:right="110" w:hanging="105"/>
              <w:rPr>
                <w:sz w:val="20"/>
                <w:szCs w:val="20"/>
              </w:rPr>
            </w:pPr>
            <w:r>
              <w:rPr>
                <w:spacing w:val="8"/>
                <w:sz w:val="20"/>
                <w:szCs w:val="20"/>
              </w:rPr>
              <w:t>鄂托克旗棋盘</w:t>
            </w:r>
            <w:r>
              <w:rPr>
                <w:sz w:val="20"/>
                <w:szCs w:val="20"/>
              </w:rPr>
              <w:t xml:space="preserve"> </w:t>
            </w:r>
            <w:r>
              <w:rPr>
                <w:spacing w:val="8"/>
                <w:sz w:val="20"/>
                <w:szCs w:val="20"/>
              </w:rPr>
              <w:t>井晶华燃气</w:t>
            </w:r>
          </w:p>
        </w:tc>
        <w:tc>
          <w:tcPr>
            <w:tcW w:w="1384" w:type="dxa"/>
            <w:vAlign w:val="top"/>
          </w:tcPr>
          <w:p w14:paraId="793C1BA2">
            <w:pPr>
              <w:pStyle w:val="6"/>
              <w:spacing w:before="170" w:line="227" w:lineRule="auto"/>
              <w:ind w:left="486"/>
              <w:rPr>
                <w:sz w:val="20"/>
                <w:szCs w:val="20"/>
              </w:rPr>
            </w:pPr>
            <w:r>
              <w:rPr>
                <w:spacing w:val="4"/>
                <w:sz w:val="20"/>
                <w:szCs w:val="20"/>
              </w:rPr>
              <w:t>氧气</w:t>
            </w:r>
          </w:p>
        </w:tc>
        <w:tc>
          <w:tcPr>
            <w:tcW w:w="1037" w:type="dxa"/>
            <w:vAlign w:val="top"/>
          </w:tcPr>
          <w:p w14:paraId="07BB332C">
            <w:pPr>
              <w:spacing w:before="20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1D84184E">
            <w:pPr>
              <w:spacing w:before="202"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09FBBEAB">
            <w:pPr>
              <w:pStyle w:val="6"/>
              <w:spacing w:before="170" w:line="229" w:lineRule="auto"/>
              <w:ind w:left="191"/>
              <w:rPr>
                <w:sz w:val="20"/>
                <w:szCs w:val="20"/>
              </w:rPr>
            </w:pPr>
            <w:r>
              <w:rPr>
                <w:spacing w:val="4"/>
                <w:sz w:val="20"/>
                <w:szCs w:val="20"/>
              </w:rPr>
              <w:t>气态</w:t>
            </w:r>
          </w:p>
        </w:tc>
        <w:tc>
          <w:tcPr>
            <w:tcW w:w="876" w:type="dxa"/>
            <w:vAlign w:val="top"/>
          </w:tcPr>
          <w:p w14:paraId="07B6FD5E">
            <w:pPr>
              <w:pStyle w:val="6"/>
              <w:spacing w:before="37" w:line="232"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700BA113">
            <w:pPr>
              <w:pStyle w:val="6"/>
              <w:spacing w:before="171" w:line="228" w:lineRule="auto"/>
              <w:ind w:left="164"/>
              <w:rPr>
                <w:sz w:val="20"/>
                <w:szCs w:val="20"/>
              </w:rPr>
            </w:pPr>
            <w:r>
              <w:rPr>
                <w:spacing w:val="2"/>
                <w:sz w:val="20"/>
                <w:szCs w:val="20"/>
              </w:rPr>
              <w:t>原料</w:t>
            </w:r>
          </w:p>
        </w:tc>
        <w:tc>
          <w:tcPr>
            <w:tcW w:w="290" w:type="dxa"/>
            <w:vMerge w:val="continue"/>
            <w:tcBorders>
              <w:top w:val="nil"/>
              <w:bottom w:val="nil"/>
            </w:tcBorders>
            <w:vAlign w:val="top"/>
          </w:tcPr>
          <w:p w14:paraId="0635495C">
            <w:pPr>
              <w:rPr>
                <w:rFonts w:ascii="Arial"/>
                <w:sz w:val="21"/>
              </w:rPr>
            </w:pPr>
          </w:p>
        </w:tc>
      </w:tr>
      <w:tr w14:paraId="2086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6" w:type="dxa"/>
            <w:vMerge w:val="continue"/>
            <w:tcBorders>
              <w:top w:val="nil"/>
            </w:tcBorders>
            <w:vAlign w:val="top"/>
          </w:tcPr>
          <w:p w14:paraId="3D5C0686">
            <w:pPr>
              <w:rPr>
                <w:rFonts w:ascii="Arial"/>
                <w:sz w:val="21"/>
              </w:rPr>
            </w:pPr>
          </w:p>
        </w:tc>
        <w:tc>
          <w:tcPr>
            <w:tcW w:w="113" w:type="dxa"/>
            <w:tcBorders>
              <w:top w:val="nil"/>
            </w:tcBorders>
            <w:vAlign w:val="top"/>
          </w:tcPr>
          <w:p w14:paraId="740824AD">
            <w:pPr>
              <w:rPr>
                <w:rFonts w:ascii="Arial"/>
                <w:sz w:val="21"/>
              </w:rPr>
            </w:pPr>
          </w:p>
        </w:tc>
        <w:tc>
          <w:tcPr>
            <w:tcW w:w="494" w:type="dxa"/>
            <w:vAlign w:val="top"/>
          </w:tcPr>
          <w:p w14:paraId="264CAA69">
            <w:pPr>
              <w:spacing w:before="20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476" w:type="dxa"/>
            <w:vMerge w:val="continue"/>
            <w:tcBorders>
              <w:top w:val="nil"/>
            </w:tcBorders>
            <w:vAlign w:val="top"/>
          </w:tcPr>
          <w:p w14:paraId="2E810556">
            <w:pPr>
              <w:rPr>
                <w:rFonts w:ascii="Arial"/>
                <w:sz w:val="21"/>
              </w:rPr>
            </w:pPr>
          </w:p>
        </w:tc>
        <w:tc>
          <w:tcPr>
            <w:tcW w:w="1384" w:type="dxa"/>
            <w:vAlign w:val="top"/>
          </w:tcPr>
          <w:p w14:paraId="5C0E125B">
            <w:pPr>
              <w:pStyle w:val="6"/>
              <w:spacing w:before="169" w:line="227" w:lineRule="auto"/>
              <w:ind w:left="484"/>
              <w:rPr>
                <w:sz w:val="20"/>
                <w:szCs w:val="20"/>
              </w:rPr>
            </w:pPr>
            <w:r>
              <w:rPr>
                <w:spacing w:val="5"/>
                <w:sz w:val="20"/>
                <w:szCs w:val="20"/>
              </w:rPr>
              <w:t>氮气</w:t>
            </w:r>
          </w:p>
        </w:tc>
        <w:tc>
          <w:tcPr>
            <w:tcW w:w="1037" w:type="dxa"/>
            <w:vAlign w:val="top"/>
          </w:tcPr>
          <w:p w14:paraId="0A6A84AD">
            <w:pPr>
              <w:spacing w:before="20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992" w:type="dxa"/>
            <w:vAlign w:val="top"/>
          </w:tcPr>
          <w:p w14:paraId="0E24F487">
            <w:pPr>
              <w:spacing w:before="204" w:line="199"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26CFBE97">
            <w:pPr>
              <w:pStyle w:val="6"/>
              <w:spacing w:before="170" w:line="229" w:lineRule="auto"/>
              <w:ind w:left="191"/>
              <w:rPr>
                <w:sz w:val="20"/>
                <w:szCs w:val="20"/>
              </w:rPr>
            </w:pPr>
            <w:r>
              <w:rPr>
                <w:spacing w:val="4"/>
                <w:sz w:val="20"/>
                <w:szCs w:val="20"/>
              </w:rPr>
              <w:t>气态</w:t>
            </w:r>
          </w:p>
        </w:tc>
        <w:tc>
          <w:tcPr>
            <w:tcW w:w="876" w:type="dxa"/>
            <w:vAlign w:val="top"/>
          </w:tcPr>
          <w:p w14:paraId="7A8054F8">
            <w:pPr>
              <w:pStyle w:val="6"/>
              <w:spacing w:before="36" w:line="233" w:lineRule="auto"/>
              <w:ind w:left="234" w:right="119"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392BA01">
            <w:pPr>
              <w:pStyle w:val="6"/>
              <w:spacing w:before="170" w:line="228" w:lineRule="auto"/>
              <w:ind w:left="164"/>
              <w:rPr>
                <w:sz w:val="20"/>
                <w:szCs w:val="20"/>
              </w:rPr>
            </w:pPr>
            <w:r>
              <w:rPr>
                <w:spacing w:val="2"/>
                <w:sz w:val="20"/>
                <w:szCs w:val="20"/>
              </w:rPr>
              <w:t>原料</w:t>
            </w:r>
          </w:p>
        </w:tc>
        <w:tc>
          <w:tcPr>
            <w:tcW w:w="290" w:type="dxa"/>
            <w:vMerge w:val="continue"/>
            <w:tcBorders>
              <w:top w:val="nil"/>
            </w:tcBorders>
            <w:vAlign w:val="top"/>
          </w:tcPr>
          <w:p w14:paraId="31F6F1A7">
            <w:pPr>
              <w:rPr>
                <w:rFonts w:ascii="Arial"/>
                <w:sz w:val="21"/>
              </w:rPr>
            </w:pPr>
          </w:p>
        </w:tc>
      </w:tr>
    </w:tbl>
    <w:p w14:paraId="41D69563">
      <w:pPr>
        <w:pStyle w:val="2"/>
        <w:spacing w:line="230" w:lineRule="exact"/>
        <w:rPr>
          <w:sz w:val="20"/>
        </w:rPr>
      </w:pPr>
    </w:p>
    <w:p w14:paraId="5F9C65CA">
      <w:pPr>
        <w:spacing w:line="230" w:lineRule="exact"/>
        <w:rPr>
          <w:sz w:val="20"/>
          <w:szCs w:val="20"/>
        </w:rPr>
        <w:sectPr>
          <w:footerReference r:id="rId40" w:type="default"/>
          <w:pgSz w:w="11906" w:h="16839"/>
          <w:pgMar w:top="400" w:right="1588" w:bottom="1259" w:left="1687" w:header="0" w:footer="1097" w:gutter="0"/>
          <w:cols w:space="720" w:num="1"/>
        </w:sectPr>
      </w:pPr>
    </w:p>
    <w:p w14:paraId="77FF8519">
      <w:pPr>
        <w:spacing w:before="19"/>
      </w:pPr>
    </w:p>
    <w:p w14:paraId="613293F8">
      <w:pPr>
        <w:spacing w:before="19"/>
      </w:pPr>
    </w:p>
    <w:p w14:paraId="1329CA04">
      <w:pPr>
        <w:spacing w:before="18"/>
      </w:pPr>
    </w:p>
    <w:p w14:paraId="3A2BA3E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83"/>
        <w:gridCol w:w="800"/>
        <w:gridCol w:w="676"/>
        <w:gridCol w:w="573"/>
        <w:gridCol w:w="811"/>
        <w:gridCol w:w="1037"/>
        <w:gridCol w:w="992"/>
        <w:gridCol w:w="784"/>
        <w:gridCol w:w="876"/>
        <w:gridCol w:w="723"/>
        <w:gridCol w:w="199"/>
        <w:gridCol w:w="102"/>
      </w:tblGrid>
      <w:tr w14:paraId="6A6DE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56" w:type="dxa"/>
            <w:vMerge w:val="restart"/>
            <w:tcBorders>
              <w:bottom w:val="nil"/>
            </w:tcBorders>
            <w:vAlign w:val="top"/>
          </w:tcPr>
          <w:p w14:paraId="221ED767">
            <w:pPr>
              <w:rPr>
                <w:rFonts w:ascii="Arial"/>
                <w:sz w:val="21"/>
              </w:rPr>
            </w:pPr>
          </w:p>
        </w:tc>
        <w:tc>
          <w:tcPr>
            <w:tcW w:w="113" w:type="dxa"/>
            <w:tcBorders>
              <w:bottom w:val="nil"/>
            </w:tcBorders>
            <w:vAlign w:val="top"/>
          </w:tcPr>
          <w:p w14:paraId="7328F8B7">
            <w:pPr>
              <w:rPr>
                <w:rFonts w:ascii="Arial"/>
                <w:sz w:val="21"/>
              </w:rPr>
            </w:pPr>
          </w:p>
        </w:tc>
        <w:tc>
          <w:tcPr>
            <w:tcW w:w="483" w:type="dxa"/>
            <w:vAlign w:val="top"/>
          </w:tcPr>
          <w:p w14:paraId="290DBBFC">
            <w:pPr>
              <w:spacing w:before="220" w:line="192"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476" w:type="dxa"/>
            <w:gridSpan w:val="2"/>
            <w:vMerge w:val="restart"/>
            <w:tcBorders>
              <w:bottom w:val="nil"/>
            </w:tcBorders>
            <w:vAlign w:val="top"/>
          </w:tcPr>
          <w:p w14:paraId="5B7F1ABF">
            <w:pPr>
              <w:rPr>
                <w:rFonts w:ascii="Arial"/>
                <w:sz w:val="21"/>
              </w:rPr>
            </w:pPr>
          </w:p>
        </w:tc>
        <w:tc>
          <w:tcPr>
            <w:tcW w:w="1384" w:type="dxa"/>
            <w:gridSpan w:val="2"/>
            <w:vAlign w:val="top"/>
          </w:tcPr>
          <w:p w14:paraId="0C120B73">
            <w:pPr>
              <w:pStyle w:val="6"/>
              <w:spacing w:before="181" w:line="227" w:lineRule="auto"/>
              <w:ind w:left="291"/>
              <w:rPr>
                <w:sz w:val="20"/>
                <w:szCs w:val="20"/>
              </w:rPr>
            </w:pPr>
            <w:r>
              <w:rPr>
                <w:spacing w:val="6"/>
                <w:sz w:val="20"/>
                <w:szCs w:val="20"/>
              </w:rPr>
              <w:t>二氧化碳</w:t>
            </w:r>
          </w:p>
        </w:tc>
        <w:tc>
          <w:tcPr>
            <w:tcW w:w="1037" w:type="dxa"/>
            <w:vAlign w:val="top"/>
          </w:tcPr>
          <w:p w14:paraId="38D05E28">
            <w:pPr>
              <w:spacing w:before="21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043FB878">
            <w:pPr>
              <w:spacing w:before="213"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C10B452">
            <w:pPr>
              <w:pStyle w:val="6"/>
              <w:spacing w:before="181" w:line="227" w:lineRule="auto"/>
              <w:ind w:left="202"/>
              <w:rPr>
                <w:sz w:val="20"/>
                <w:szCs w:val="20"/>
              </w:rPr>
            </w:pPr>
            <w:r>
              <w:rPr>
                <w:spacing w:val="4"/>
                <w:sz w:val="20"/>
                <w:szCs w:val="20"/>
              </w:rPr>
              <w:t>气态</w:t>
            </w:r>
          </w:p>
        </w:tc>
        <w:tc>
          <w:tcPr>
            <w:tcW w:w="876" w:type="dxa"/>
            <w:vAlign w:val="top"/>
          </w:tcPr>
          <w:p w14:paraId="2644892B">
            <w:pPr>
              <w:pStyle w:val="6"/>
              <w:spacing w:before="47"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67CE1CD4">
            <w:pPr>
              <w:pStyle w:val="6"/>
              <w:spacing w:before="181" w:line="228" w:lineRule="auto"/>
              <w:ind w:left="175"/>
              <w:rPr>
                <w:sz w:val="20"/>
                <w:szCs w:val="20"/>
              </w:rPr>
            </w:pPr>
            <w:r>
              <w:rPr>
                <w:spacing w:val="2"/>
                <w:sz w:val="20"/>
                <w:szCs w:val="20"/>
              </w:rPr>
              <w:t>原料</w:t>
            </w:r>
          </w:p>
        </w:tc>
        <w:tc>
          <w:tcPr>
            <w:tcW w:w="301" w:type="dxa"/>
            <w:gridSpan w:val="2"/>
            <w:vMerge w:val="restart"/>
            <w:tcBorders>
              <w:bottom w:val="nil"/>
            </w:tcBorders>
            <w:vAlign w:val="top"/>
          </w:tcPr>
          <w:p w14:paraId="4A6837D8">
            <w:pPr>
              <w:rPr>
                <w:rFonts w:ascii="Arial"/>
                <w:sz w:val="21"/>
              </w:rPr>
            </w:pPr>
          </w:p>
        </w:tc>
      </w:tr>
      <w:tr w14:paraId="0C3DD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61A8051B">
            <w:pPr>
              <w:rPr>
                <w:rFonts w:ascii="Arial"/>
                <w:sz w:val="21"/>
              </w:rPr>
            </w:pPr>
          </w:p>
        </w:tc>
        <w:tc>
          <w:tcPr>
            <w:tcW w:w="113" w:type="dxa"/>
            <w:tcBorders>
              <w:top w:val="nil"/>
              <w:bottom w:val="nil"/>
            </w:tcBorders>
            <w:vAlign w:val="top"/>
          </w:tcPr>
          <w:p w14:paraId="4EF78BF8">
            <w:pPr>
              <w:rPr>
                <w:rFonts w:ascii="Arial"/>
                <w:sz w:val="21"/>
              </w:rPr>
            </w:pPr>
          </w:p>
        </w:tc>
        <w:tc>
          <w:tcPr>
            <w:tcW w:w="483" w:type="dxa"/>
            <w:vAlign w:val="top"/>
          </w:tcPr>
          <w:p w14:paraId="086AA0E2">
            <w:pPr>
              <w:spacing w:before="202"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476" w:type="dxa"/>
            <w:gridSpan w:val="2"/>
            <w:vMerge w:val="continue"/>
            <w:tcBorders>
              <w:top w:val="nil"/>
              <w:bottom w:val="nil"/>
            </w:tcBorders>
            <w:vAlign w:val="top"/>
          </w:tcPr>
          <w:p w14:paraId="0C6E9CF5">
            <w:pPr>
              <w:rPr>
                <w:rFonts w:ascii="Arial"/>
                <w:sz w:val="21"/>
              </w:rPr>
            </w:pPr>
          </w:p>
        </w:tc>
        <w:tc>
          <w:tcPr>
            <w:tcW w:w="1384" w:type="dxa"/>
            <w:gridSpan w:val="2"/>
            <w:vAlign w:val="top"/>
          </w:tcPr>
          <w:p w14:paraId="4660BB8B">
            <w:pPr>
              <w:pStyle w:val="6"/>
              <w:spacing w:before="166" w:line="227" w:lineRule="auto"/>
              <w:ind w:left="495"/>
              <w:rPr>
                <w:sz w:val="20"/>
                <w:szCs w:val="20"/>
              </w:rPr>
            </w:pPr>
            <w:r>
              <w:rPr>
                <w:spacing w:val="5"/>
                <w:sz w:val="20"/>
                <w:szCs w:val="20"/>
              </w:rPr>
              <w:t>氩气</w:t>
            </w:r>
          </w:p>
        </w:tc>
        <w:tc>
          <w:tcPr>
            <w:tcW w:w="1037" w:type="dxa"/>
            <w:vAlign w:val="top"/>
          </w:tcPr>
          <w:p w14:paraId="55A25126">
            <w:pPr>
              <w:spacing w:before="202"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00CD7403">
            <w:pPr>
              <w:spacing w:before="198"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388F64E">
            <w:pPr>
              <w:pStyle w:val="6"/>
              <w:spacing w:before="166" w:line="227" w:lineRule="auto"/>
              <w:ind w:left="202"/>
              <w:rPr>
                <w:sz w:val="20"/>
                <w:szCs w:val="20"/>
              </w:rPr>
            </w:pPr>
            <w:r>
              <w:rPr>
                <w:spacing w:val="4"/>
                <w:sz w:val="20"/>
                <w:szCs w:val="20"/>
              </w:rPr>
              <w:t>气态</w:t>
            </w:r>
          </w:p>
        </w:tc>
        <w:tc>
          <w:tcPr>
            <w:tcW w:w="876" w:type="dxa"/>
            <w:vAlign w:val="top"/>
          </w:tcPr>
          <w:p w14:paraId="0BD73B85">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7999E59D">
            <w:pPr>
              <w:pStyle w:val="6"/>
              <w:spacing w:before="167" w:line="228" w:lineRule="auto"/>
              <w:ind w:left="175"/>
              <w:rPr>
                <w:sz w:val="20"/>
                <w:szCs w:val="20"/>
              </w:rPr>
            </w:pPr>
            <w:r>
              <w:rPr>
                <w:spacing w:val="2"/>
                <w:sz w:val="20"/>
                <w:szCs w:val="20"/>
              </w:rPr>
              <w:t>原料</w:t>
            </w:r>
          </w:p>
        </w:tc>
        <w:tc>
          <w:tcPr>
            <w:tcW w:w="301" w:type="dxa"/>
            <w:gridSpan w:val="2"/>
            <w:vMerge w:val="continue"/>
            <w:tcBorders>
              <w:top w:val="nil"/>
              <w:bottom w:val="nil"/>
            </w:tcBorders>
            <w:vAlign w:val="top"/>
          </w:tcPr>
          <w:p w14:paraId="777E0131">
            <w:pPr>
              <w:rPr>
                <w:rFonts w:ascii="Arial"/>
                <w:sz w:val="21"/>
              </w:rPr>
            </w:pPr>
          </w:p>
        </w:tc>
      </w:tr>
      <w:tr w14:paraId="62F3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29240467">
            <w:pPr>
              <w:rPr>
                <w:rFonts w:ascii="Arial"/>
                <w:sz w:val="21"/>
              </w:rPr>
            </w:pPr>
          </w:p>
        </w:tc>
        <w:tc>
          <w:tcPr>
            <w:tcW w:w="113" w:type="dxa"/>
            <w:tcBorders>
              <w:top w:val="nil"/>
              <w:bottom w:val="nil"/>
            </w:tcBorders>
            <w:vAlign w:val="top"/>
          </w:tcPr>
          <w:p w14:paraId="2F9D11F6">
            <w:pPr>
              <w:rPr>
                <w:rFonts w:ascii="Arial"/>
                <w:sz w:val="21"/>
              </w:rPr>
            </w:pPr>
          </w:p>
        </w:tc>
        <w:tc>
          <w:tcPr>
            <w:tcW w:w="483" w:type="dxa"/>
            <w:vAlign w:val="top"/>
          </w:tcPr>
          <w:p w14:paraId="44F4334D">
            <w:pPr>
              <w:spacing w:before="205" w:line="195"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476" w:type="dxa"/>
            <w:gridSpan w:val="2"/>
            <w:vMerge w:val="continue"/>
            <w:tcBorders>
              <w:top w:val="nil"/>
            </w:tcBorders>
            <w:vAlign w:val="top"/>
          </w:tcPr>
          <w:p w14:paraId="2313DFF0">
            <w:pPr>
              <w:rPr>
                <w:rFonts w:ascii="Arial"/>
                <w:sz w:val="21"/>
              </w:rPr>
            </w:pPr>
          </w:p>
        </w:tc>
        <w:tc>
          <w:tcPr>
            <w:tcW w:w="1384" w:type="dxa"/>
            <w:gridSpan w:val="2"/>
            <w:vAlign w:val="top"/>
          </w:tcPr>
          <w:p w14:paraId="7D6EA60D">
            <w:pPr>
              <w:pStyle w:val="6"/>
              <w:spacing w:before="167" w:line="228" w:lineRule="auto"/>
              <w:ind w:left="517"/>
              <w:rPr>
                <w:sz w:val="20"/>
                <w:szCs w:val="20"/>
              </w:rPr>
            </w:pPr>
            <w:r>
              <w:rPr>
                <w:spacing w:val="-6"/>
                <w:sz w:val="20"/>
                <w:szCs w:val="20"/>
              </w:rPr>
              <w:t>乙炔</w:t>
            </w:r>
          </w:p>
        </w:tc>
        <w:tc>
          <w:tcPr>
            <w:tcW w:w="1037" w:type="dxa"/>
            <w:vAlign w:val="top"/>
          </w:tcPr>
          <w:p w14:paraId="4784EEAD">
            <w:pPr>
              <w:spacing w:before="205"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c>
          <w:tcPr>
            <w:tcW w:w="992" w:type="dxa"/>
            <w:vAlign w:val="top"/>
          </w:tcPr>
          <w:p w14:paraId="523D715A">
            <w:pPr>
              <w:spacing w:before="201"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1BFF5706">
            <w:pPr>
              <w:pStyle w:val="6"/>
              <w:spacing w:before="166" w:line="227" w:lineRule="auto"/>
              <w:ind w:left="202"/>
              <w:rPr>
                <w:sz w:val="20"/>
                <w:szCs w:val="20"/>
              </w:rPr>
            </w:pPr>
            <w:r>
              <w:rPr>
                <w:spacing w:val="4"/>
                <w:sz w:val="20"/>
                <w:szCs w:val="20"/>
              </w:rPr>
              <w:t>气态</w:t>
            </w:r>
          </w:p>
        </w:tc>
        <w:tc>
          <w:tcPr>
            <w:tcW w:w="876" w:type="dxa"/>
            <w:vAlign w:val="top"/>
          </w:tcPr>
          <w:p w14:paraId="5BECDF18">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0A87A9A4">
            <w:pPr>
              <w:pStyle w:val="6"/>
              <w:spacing w:before="167" w:line="228" w:lineRule="auto"/>
              <w:ind w:left="175"/>
              <w:rPr>
                <w:sz w:val="20"/>
                <w:szCs w:val="20"/>
              </w:rPr>
            </w:pPr>
            <w:r>
              <w:rPr>
                <w:spacing w:val="2"/>
                <w:sz w:val="20"/>
                <w:szCs w:val="20"/>
              </w:rPr>
              <w:t>原料</w:t>
            </w:r>
          </w:p>
        </w:tc>
        <w:tc>
          <w:tcPr>
            <w:tcW w:w="301" w:type="dxa"/>
            <w:gridSpan w:val="2"/>
            <w:vMerge w:val="continue"/>
            <w:tcBorders>
              <w:top w:val="nil"/>
              <w:bottom w:val="nil"/>
            </w:tcBorders>
            <w:vAlign w:val="top"/>
          </w:tcPr>
          <w:p w14:paraId="0DA46B3B">
            <w:pPr>
              <w:rPr>
                <w:rFonts w:ascii="Arial"/>
                <w:sz w:val="21"/>
              </w:rPr>
            </w:pPr>
          </w:p>
        </w:tc>
      </w:tr>
      <w:tr w14:paraId="77527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CBCAEE9">
            <w:pPr>
              <w:rPr>
                <w:rFonts w:ascii="Arial"/>
                <w:sz w:val="21"/>
              </w:rPr>
            </w:pPr>
          </w:p>
        </w:tc>
        <w:tc>
          <w:tcPr>
            <w:tcW w:w="113" w:type="dxa"/>
            <w:tcBorders>
              <w:top w:val="nil"/>
              <w:bottom w:val="nil"/>
            </w:tcBorders>
            <w:vAlign w:val="top"/>
          </w:tcPr>
          <w:p w14:paraId="4DBC0FAC">
            <w:pPr>
              <w:rPr>
                <w:rFonts w:ascii="Arial"/>
                <w:sz w:val="21"/>
              </w:rPr>
            </w:pPr>
          </w:p>
        </w:tc>
        <w:tc>
          <w:tcPr>
            <w:tcW w:w="483" w:type="dxa"/>
            <w:vAlign w:val="top"/>
          </w:tcPr>
          <w:p w14:paraId="7D9834ED">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76" w:type="dxa"/>
            <w:gridSpan w:val="2"/>
            <w:vMerge w:val="restart"/>
            <w:tcBorders>
              <w:bottom w:val="nil"/>
            </w:tcBorders>
            <w:vAlign w:val="top"/>
          </w:tcPr>
          <w:p w14:paraId="44D8398E">
            <w:pPr>
              <w:spacing w:line="329" w:lineRule="auto"/>
              <w:rPr>
                <w:rFonts w:ascii="Arial"/>
                <w:sz w:val="21"/>
              </w:rPr>
            </w:pPr>
          </w:p>
          <w:p w14:paraId="485B8A5C">
            <w:pPr>
              <w:spacing w:line="330" w:lineRule="auto"/>
              <w:rPr>
                <w:rFonts w:ascii="Arial"/>
                <w:sz w:val="21"/>
              </w:rPr>
            </w:pPr>
          </w:p>
          <w:p w14:paraId="3DF8B490">
            <w:pPr>
              <w:pStyle w:val="6"/>
              <w:spacing w:before="65" w:line="226" w:lineRule="auto"/>
              <w:ind w:left="122"/>
              <w:rPr>
                <w:sz w:val="20"/>
                <w:szCs w:val="20"/>
              </w:rPr>
            </w:pPr>
            <w:r>
              <w:rPr>
                <w:spacing w:val="8"/>
                <w:sz w:val="20"/>
                <w:szCs w:val="20"/>
              </w:rPr>
              <w:t>鄂托克旗达峰</w:t>
            </w:r>
          </w:p>
          <w:p w14:paraId="0A6BB220">
            <w:pPr>
              <w:pStyle w:val="6"/>
              <w:spacing w:before="26" w:line="227" w:lineRule="auto"/>
              <w:ind w:left="122"/>
              <w:rPr>
                <w:sz w:val="20"/>
                <w:szCs w:val="20"/>
              </w:rPr>
            </w:pPr>
            <w:r>
              <w:rPr>
                <w:spacing w:val="8"/>
                <w:sz w:val="20"/>
                <w:szCs w:val="20"/>
              </w:rPr>
              <w:t>特种气体有限</w:t>
            </w:r>
          </w:p>
          <w:p w14:paraId="421C68A2">
            <w:pPr>
              <w:pStyle w:val="6"/>
              <w:spacing w:before="25" w:line="225" w:lineRule="auto"/>
              <w:ind w:left="340"/>
              <w:rPr>
                <w:sz w:val="20"/>
                <w:szCs w:val="20"/>
              </w:rPr>
            </w:pPr>
            <w:r>
              <w:rPr>
                <w:spacing w:val="5"/>
                <w:sz w:val="20"/>
                <w:szCs w:val="20"/>
              </w:rPr>
              <w:t>责任公司</w:t>
            </w:r>
          </w:p>
        </w:tc>
        <w:tc>
          <w:tcPr>
            <w:tcW w:w="1384" w:type="dxa"/>
            <w:gridSpan w:val="2"/>
            <w:vAlign w:val="top"/>
          </w:tcPr>
          <w:p w14:paraId="23075ED3">
            <w:pPr>
              <w:pStyle w:val="6"/>
              <w:spacing w:before="166" w:line="227" w:lineRule="auto"/>
              <w:ind w:left="497"/>
              <w:rPr>
                <w:sz w:val="20"/>
                <w:szCs w:val="20"/>
              </w:rPr>
            </w:pPr>
            <w:r>
              <w:rPr>
                <w:spacing w:val="4"/>
                <w:sz w:val="20"/>
                <w:szCs w:val="20"/>
              </w:rPr>
              <w:t>氧气</w:t>
            </w:r>
          </w:p>
        </w:tc>
        <w:tc>
          <w:tcPr>
            <w:tcW w:w="1037" w:type="dxa"/>
            <w:vAlign w:val="top"/>
          </w:tcPr>
          <w:p w14:paraId="65B007A0">
            <w:pPr>
              <w:spacing w:before="20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992" w:type="dxa"/>
            <w:vAlign w:val="top"/>
          </w:tcPr>
          <w:p w14:paraId="5DF8A5CE">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627742DE">
            <w:pPr>
              <w:pStyle w:val="6"/>
              <w:spacing w:before="166" w:line="227" w:lineRule="auto"/>
              <w:ind w:left="202"/>
              <w:rPr>
                <w:sz w:val="20"/>
                <w:szCs w:val="20"/>
              </w:rPr>
            </w:pPr>
            <w:r>
              <w:rPr>
                <w:spacing w:val="4"/>
                <w:sz w:val="20"/>
                <w:szCs w:val="20"/>
              </w:rPr>
              <w:t>气态</w:t>
            </w:r>
          </w:p>
        </w:tc>
        <w:tc>
          <w:tcPr>
            <w:tcW w:w="876" w:type="dxa"/>
            <w:vAlign w:val="top"/>
          </w:tcPr>
          <w:p w14:paraId="36CDE6EC">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593623BD">
            <w:pPr>
              <w:pStyle w:val="6"/>
              <w:spacing w:before="166"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12291637">
            <w:pPr>
              <w:rPr>
                <w:rFonts w:ascii="Arial"/>
                <w:sz w:val="21"/>
              </w:rPr>
            </w:pPr>
          </w:p>
        </w:tc>
      </w:tr>
      <w:tr w14:paraId="36EC9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54435C66">
            <w:pPr>
              <w:rPr>
                <w:rFonts w:ascii="Arial"/>
                <w:sz w:val="21"/>
              </w:rPr>
            </w:pPr>
          </w:p>
        </w:tc>
        <w:tc>
          <w:tcPr>
            <w:tcW w:w="113" w:type="dxa"/>
            <w:tcBorders>
              <w:top w:val="nil"/>
              <w:bottom w:val="nil"/>
            </w:tcBorders>
            <w:vAlign w:val="top"/>
          </w:tcPr>
          <w:p w14:paraId="40B4862B">
            <w:pPr>
              <w:rPr>
                <w:rFonts w:ascii="Arial"/>
                <w:sz w:val="21"/>
              </w:rPr>
            </w:pPr>
          </w:p>
        </w:tc>
        <w:tc>
          <w:tcPr>
            <w:tcW w:w="483" w:type="dxa"/>
            <w:vAlign w:val="top"/>
          </w:tcPr>
          <w:p w14:paraId="2E2AA0BF">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476" w:type="dxa"/>
            <w:gridSpan w:val="2"/>
            <w:vMerge w:val="continue"/>
            <w:tcBorders>
              <w:top w:val="nil"/>
              <w:bottom w:val="nil"/>
            </w:tcBorders>
            <w:vAlign w:val="top"/>
          </w:tcPr>
          <w:p w14:paraId="027F4B62">
            <w:pPr>
              <w:rPr>
                <w:rFonts w:ascii="Arial"/>
                <w:sz w:val="21"/>
              </w:rPr>
            </w:pPr>
          </w:p>
        </w:tc>
        <w:tc>
          <w:tcPr>
            <w:tcW w:w="1384" w:type="dxa"/>
            <w:gridSpan w:val="2"/>
            <w:vAlign w:val="top"/>
          </w:tcPr>
          <w:p w14:paraId="51E946A2">
            <w:pPr>
              <w:pStyle w:val="6"/>
              <w:spacing w:before="166" w:line="228" w:lineRule="auto"/>
              <w:ind w:left="517"/>
              <w:rPr>
                <w:sz w:val="20"/>
                <w:szCs w:val="20"/>
              </w:rPr>
            </w:pPr>
            <w:r>
              <w:rPr>
                <w:spacing w:val="-6"/>
                <w:sz w:val="20"/>
                <w:szCs w:val="20"/>
              </w:rPr>
              <w:t>乙炔</w:t>
            </w:r>
          </w:p>
        </w:tc>
        <w:tc>
          <w:tcPr>
            <w:tcW w:w="1037" w:type="dxa"/>
            <w:vAlign w:val="top"/>
          </w:tcPr>
          <w:p w14:paraId="4280540F">
            <w:pPr>
              <w:spacing w:before="20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32000</w:t>
            </w:r>
          </w:p>
        </w:tc>
        <w:tc>
          <w:tcPr>
            <w:tcW w:w="992" w:type="dxa"/>
            <w:vAlign w:val="top"/>
          </w:tcPr>
          <w:p w14:paraId="15147959">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51D90105">
            <w:pPr>
              <w:pStyle w:val="6"/>
              <w:spacing w:before="165" w:line="227" w:lineRule="auto"/>
              <w:ind w:left="202"/>
              <w:rPr>
                <w:sz w:val="20"/>
                <w:szCs w:val="20"/>
              </w:rPr>
            </w:pPr>
            <w:r>
              <w:rPr>
                <w:spacing w:val="4"/>
                <w:sz w:val="20"/>
                <w:szCs w:val="20"/>
              </w:rPr>
              <w:t>气态</w:t>
            </w:r>
          </w:p>
        </w:tc>
        <w:tc>
          <w:tcPr>
            <w:tcW w:w="876" w:type="dxa"/>
            <w:vAlign w:val="top"/>
          </w:tcPr>
          <w:p w14:paraId="5C358B3A">
            <w:pPr>
              <w:pStyle w:val="6"/>
              <w:spacing w:before="32" w:line="234"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63752742">
            <w:pPr>
              <w:pStyle w:val="6"/>
              <w:spacing w:before="165"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2D8CB567">
            <w:pPr>
              <w:rPr>
                <w:rFonts w:ascii="Arial"/>
                <w:sz w:val="21"/>
              </w:rPr>
            </w:pPr>
          </w:p>
        </w:tc>
      </w:tr>
      <w:tr w14:paraId="25BEC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7FB549D">
            <w:pPr>
              <w:rPr>
                <w:rFonts w:ascii="Arial"/>
                <w:sz w:val="21"/>
              </w:rPr>
            </w:pPr>
          </w:p>
        </w:tc>
        <w:tc>
          <w:tcPr>
            <w:tcW w:w="113" w:type="dxa"/>
            <w:tcBorders>
              <w:top w:val="nil"/>
              <w:bottom w:val="nil"/>
            </w:tcBorders>
            <w:vAlign w:val="top"/>
          </w:tcPr>
          <w:p w14:paraId="5A8B1733">
            <w:pPr>
              <w:rPr>
                <w:rFonts w:ascii="Arial"/>
                <w:sz w:val="21"/>
              </w:rPr>
            </w:pPr>
          </w:p>
        </w:tc>
        <w:tc>
          <w:tcPr>
            <w:tcW w:w="483" w:type="dxa"/>
            <w:vAlign w:val="top"/>
          </w:tcPr>
          <w:p w14:paraId="5AD49ED3">
            <w:pPr>
              <w:spacing w:before="20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476" w:type="dxa"/>
            <w:gridSpan w:val="2"/>
            <w:vMerge w:val="continue"/>
            <w:tcBorders>
              <w:top w:val="nil"/>
              <w:bottom w:val="nil"/>
            </w:tcBorders>
            <w:vAlign w:val="top"/>
          </w:tcPr>
          <w:p w14:paraId="6A75C2D9">
            <w:pPr>
              <w:rPr>
                <w:rFonts w:ascii="Arial"/>
                <w:sz w:val="21"/>
              </w:rPr>
            </w:pPr>
          </w:p>
        </w:tc>
        <w:tc>
          <w:tcPr>
            <w:tcW w:w="1384" w:type="dxa"/>
            <w:gridSpan w:val="2"/>
            <w:vAlign w:val="top"/>
          </w:tcPr>
          <w:p w14:paraId="003C1E98">
            <w:pPr>
              <w:pStyle w:val="6"/>
              <w:spacing w:before="166" w:line="227" w:lineRule="auto"/>
              <w:ind w:left="495"/>
              <w:rPr>
                <w:sz w:val="20"/>
                <w:szCs w:val="20"/>
              </w:rPr>
            </w:pPr>
            <w:r>
              <w:rPr>
                <w:spacing w:val="5"/>
                <w:sz w:val="20"/>
                <w:szCs w:val="20"/>
              </w:rPr>
              <w:t>氩气</w:t>
            </w:r>
          </w:p>
        </w:tc>
        <w:tc>
          <w:tcPr>
            <w:tcW w:w="1037" w:type="dxa"/>
            <w:vAlign w:val="top"/>
          </w:tcPr>
          <w:p w14:paraId="3BD32015">
            <w:pPr>
              <w:spacing w:before="20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92" w:type="dxa"/>
            <w:vAlign w:val="top"/>
          </w:tcPr>
          <w:p w14:paraId="69F19621">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68CD764">
            <w:pPr>
              <w:pStyle w:val="6"/>
              <w:spacing w:before="166" w:line="227" w:lineRule="auto"/>
              <w:ind w:left="202"/>
              <w:rPr>
                <w:sz w:val="20"/>
                <w:szCs w:val="20"/>
              </w:rPr>
            </w:pPr>
            <w:r>
              <w:rPr>
                <w:spacing w:val="4"/>
                <w:sz w:val="20"/>
                <w:szCs w:val="20"/>
              </w:rPr>
              <w:t>气态</w:t>
            </w:r>
          </w:p>
        </w:tc>
        <w:tc>
          <w:tcPr>
            <w:tcW w:w="876" w:type="dxa"/>
            <w:vAlign w:val="top"/>
          </w:tcPr>
          <w:p w14:paraId="76A3A294">
            <w:pPr>
              <w:pStyle w:val="6"/>
              <w:spacing w:before="30" w:line="235"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3FFAEA85">
            <w:pPr>
              <w:pStyle w:val="6"/>
              <w:spacing w:before="165"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7252ED11">
            <w:pPr>
              <w:rPr>
                <w:rFonts w:ascii="Arial"/>
                <w:sz w:val="21"/>
              </w:rPr>
            </w:pPr>
          </w:p>
        </w:tc>
      </w:tr>
      <w:tr w14:paraId="14640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466D89D">
            <w:pPr>
              <w:rPr>
                <w:rFonts w:ascii="Arial"/>
                <w:sz w:val="21"/>
              </w:rPr>
            </w:pPr>
          </w:p>
        </w:tc>
        <w:tc>
          <w:tcPr>
            <w:tcW w:w="113" w:type="dxa"/>
            <w:tcBorders>
              <w:top w:val="nil"/>
              <w:bottom w:val="nil"/>
            </w:tcBorders>
            <w:vAlign w:val="top"/>
          </w:tcPr>
          <w:p w14:paraId="7D933757">
            <w:pPr>
              <w:rPr>
                <w:rFonts w:ascii="Arial"/>
                <w:sz w:val="21"/>
              </w:rPr>
            </w:pPr>
          </w:p>
        </w:tc>
        <w:tc>
          <w:tcPr>
            <w:tcW w:w="483" w:type="dxa"/>
            <w:vAlign w:val="top"/>
          </w:tcPr>
          <w:p w14:paraId="5EA07937">
            <w:pPr>
              <w:spacing w:before="203"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476" w:type="dxa"/>
            <w:gridSpan w:val="2"/>
            <w:vMerge w:val="continue"/>
            <w:tcBorders>
              <w:top w:val="nil"/>
            </w:tcBorders>
            <w:vAlign w:val="top"/>
          </w:tcPr>
          <w:p w14:paraId="337E3655">
            <w:pPr>
              <w:rPr>
                <w:rFonts w:ascii="Arial"/>
                <w:sz w:val="21"/>
              </w:rPr>
            </w:pPr>
          </w:p>
        </w:tc>
        <w:tc>
          <w:tcPr>
            <w:tcW w:w="1384" w:type="dxa"/>
            <w:gridSpan w:val="2"/>
            <w:vAlign w:val="top"/>
          </w:tcPr>
          <w:p w14:paraId="7661314F">
            <w:pPr>
              <w:pStyle w:val="6"/>
              <w:spacing w:before="167" w:line="227" w:lineRule="auto"/>
              <w:ind w:left="291"/>
              <w:rPr>
                <w:sz w:val="20"/>
                <w:szCs w:val="20"/>
              </w:rPr>
            </w:pPr>
            <w:r>
              <w:rPr>
                <w:spacing w:val="6"/>
                <w:sz w:val="20"/>
                <w:szCs w:val="20"/>
              </w:rPr>
              <w:t>二氧化碳</w:t>
            </w:r>
          </w:p>
        </w:tc>
        <w:tc>
          <w:tcPr>
            <w:tcW w:w="1037" w:type="dxa"/>
            <w:vAlign w:val="top"/>
          </w:tcPr>
          <w:p w14:paraId="4FCB13DF">
            <w:pPr>
              <w:spacing w:before="20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992" w:type="dxa"/>
            <w:vAlign w:val="top"/>
          </w:tcPr>
          <w:p w14:paraId="6973264E">
            <w:pPr>
              <w:spacing w:before="200" w:line="199"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4" w:type="dxa"/>
            <w:vAlign w:val="top"/>
          </w:tcPr>
          <w:p w14:paraId="7B3FB13C">
            <w:pPr>
              <w:pStyle w:val="6"/>
              <w:spacing w:before="167" w:line="227" w:lineRule="auto"/>
              <w:ind w:left="202"/>
              <w:rPr>
                <w:sz w:val="20"/>
                <w:szCs w:val="20"/>
              </w:rPr>
            </w:pPr>
            <w:r>
              <w:rPr>
                <w:spacing w:val="4"/>
                <w:sz w:val="20"/>
                <w:szCs w:val="20"/>
              </w:rPr>
              <w:t>气态</w:t>
            </w:r>
          </w:p>
        </w:tc>
        <w:tc>
          <w:tcPr>
            <w:tcW w:w="876" w:type="dxa"/>
            <w:vAlign w:val="top"/>
          </w:tcPr>
          <w:p w14:paraId="0CFA82DB">
            <w:pPr>
              <w:pStyle w:val="6"/>
              <w:spacing w:before="30" w:line="235" w:lineRule="auto"/>
              <w:ind w:left="245" w:right="108" w:hanging="103"/>
              <w:rPr>
                <w:sz w:val="20"/>
                <w:szCs w:val="20"/>
              </w:rPr>
            </w:pPr>
            <w:r>
              <w:rPr>
                <w:spacing w:val="6"/>
                <w:sz w:val="20"/>
                <w:szCs w:val="20"/>
              </w:rPr>
              <w:t>气瓶运</w:t>
            </w:r>
            <w:r>
              <w:rPr>
                <w:sz w:val="20"/>
                <w:szCs w:val="20"/>
              </w:rPr>
              <w:t xml:space="preserve"> </w:t>
            </w:r>
            <w:r>
              <w:rPr>
                <w:spacing w:val="5"/>
                <w:sz w:val="20"/>
                <w:szCs w:val="20"/>
              </w:rPr>
              <w:t>输车</w:t>
            </w:r>
          </w:p>
        </w:tc>
        <w:tc>
          <w:tcPr>
            <w:tcW w:w="723" w:type="dxa"/>
            <w:vAlign w:val="top"/>
          </w:tcPr>
          <w:p w14:paraId="46AB935E">
            <w:pPr>
              <w:pStyle w:val="6"/>
              <w:spacing w:before="167"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5160A34F">
            <w:pPr>
              <w:rPr>
                <w:rFonts w:ascii="Arial"/>
                <w:sz w:val="21"/>
              </w:rPr>
            </w:pPr>
          </w:p>
        </w:tc>
      </w:tr>
      <w:tr w14:paraId="4279B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2871DE4E">
            <w:pPr>
              <w:rPr>
                <w:rFonts w:ascii="Arial"/>
                <w:sz w:val="21"/>
              </w:rPr>
            </w:pPr>
          </w:p>
        </w:tc>
        <w:tc>
          <w:tcPr>
            <w:tcW w:w="113" w:type="dxa"/>
            <w:tcBorders>
              <w:top w:val="nil"/>
              <w:bottom w:val="nil"/>
            </w:tcBorders>
            <w:vAlign w:val="top"/>
          </w:tcPr>
          <w:p w14:paraId="709465F2">
            <w:pPr>
              <w:rPr>
                <w:rFonts w:ascii="Arial"/>
                <w:sz w:val="21"/>
              </w:rPr>
            </w:pPr>
          </w:p>
        </w:tc>
        <w:tc>
          <w:tcPr>
            <w:tcW w:w="483" w:type="dxa"/>
            <w:vAlign w:val="top"/>
          </w:tcPr>
          <w:p w14:paraId="691051D0">
            <w:pPr>
              <w:spacing w:before="66"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476" w:type="dxa"/>
            <w:gridSpan w:val="2"/>
            <w:vMerge w:val="restart"/>
            <w:tcBorders>
              <w:bottom w:val="nil"/>
            </w:tcBorders>
            <w:vAlign w:val="top"/>
          </w:tcPr>
          <w:p w14:paraId="7E6DFA7D">
            <w:pPr>
              <w:pStyle w:val="6"/>
              <w:spacing w:before="30" w:line="226" w:lineRule="auto"/>
              <w:ind w:left="122"/>
              <w:rPr>
                <w:sz w:val="20"/>
                <w:szCs w:val="20"/>
              </w:rPr>
            </w:pPr>
            <w:r>
              <w:rPr>
                <w:spacing w:val="8"/>
                <w:sz w:val="20"/>
                <w:szCs w:val="20"/>
              </w:rPr>
              <w:t>鄂尔多斯碳氢</w:t>
            </w:r>
          </w:p>
          <w:p w14:paraId="6F641A42">
            <w:pPr>
              <w:pStyle w:val="6"/>
              <w:spacing w:before="28" w:line="227" w:lineRule="auto"/>
              <w:ind w:left="130"/>
              <w:rPr>
                <w:sz w:val="20"/>
                <w:szCs w:val="20"/>
              </w:rPr>
            </w:pPr>
            <w:r>
              <w:rPr>
                <w:spacing w:val="6"/>
                <w:sz w:val="20"/>
                <w:szCs w:val="20"/>
              </w:rPr>
              <w:t>能源科技有限</w:t>
            </w:r>
          </w:p>
          <w:p w14:paraId="0169AEAB">
            <w:pPr>
              <w:pStyle w:val="6"/>
              <w:spacing w:before="25" w:line="218" w:lineRule="auto"/>
              <w:ind w:left="548"/>
              <w:rPr>
                <w:sz w:val="20"/>
                <w:szCs w:val="20"/>
              </w:rPr>
            </w:pPr>
            <w:r>
              <w:rPr>
                <w:spacing w:val="1"/>
                <w:sz w:val="20"/>
                <w:szCs w:val="20"/>
              </w:rPr>
              <w:t>公司</w:t>
            </w:r>
          </w:p>
        </w:tc>
        <w:tc>
          <w:tcPr>
            <w:tcW w:w="1384" w:type="dxa"/>
            <w:gridSpan w:val="2"/>
            <w:vAlign w:val="top"/>
          </w:tcPr>
          <w:p w14:paraId="3F8BA6BF">
            <w:pPr>
              <w:pStyle w:val="6"/>
              <w:spacing w:before="30" w:line="218" w:lineRule="auto"/>
              <w:ind w:left="523"/>
              <w:rPr>
                <w:sz w:val="20"/>
                <w:szCs w:val="20"/>
              </w:rPr>
            </w:pPr>
            <w:r>
              <w:rPr>
                <w:spacing w:val="-9"/>
                <w:sz w:val="20"/>
                <w:szCs w:val="20"/>
              </w:rPr>
              <w:t>甲醇</w:t>
            </w:r>
          </w:p>
        </w:tc>
        <w:tc>
          <w:tcPr>
            <w:tcW w:w="1037" w:type="dxa"/>
            <w:vAlign w:val="top"/>
          </w:tcPr>
          <w:p w14:paraId="538CD896">
            <w:pPr>
              <w:spacing w:before="62"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7C83AD58">
            <w:pPr>
              <w:spacing w:before="6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120000</w:t>
            </w:r>
          </w:p>
        </w:tc>
        <w:tc>
          <w:tcPr>
            <w:tcW w:w="784" w:type="dxa"/>
            <w:vAlign w:val="top"/>
          </w:tcPr>
          <w:p w14:paraId="5E48B8BE">
            <w:pPr>
              <w:pStyle w:val="6"/>
              <w:spacing w:before="30" w:line="218" w:lineRule="auto"/>
              <w:ind w:left="203"/>
              <w:rPr>
                <w:sz w:val="20"/>
                <w:szCs w:val="20"/>
              </w:rPr>
            </w:pPr>
            <w:r>
              <w:rPr>
                <w:spacing w:val="3"/>
                <w:sz w:val="20"/>
                <w:szCs w:val="20"/>
              </w:rPr>
              <w:t>液态</w:t>
            </w:r>
          </w:p>
        </w:tc>
        <w:tc>
          <w:tcPr>
            <w:tcW w:w="876" w:type="dxa"/>
            <w:vAlign w:val="top"/>
          </w:tcPr>
          <w:p w14:paraId="5680F6F5">
            <w:pPr>
              <w:pStyle w:val="6"/>
              <w:spacing w:before="30" w:line="218" w:lineRule="auto"/>
              <w:ind w:left="249"/>
              <w:rPr>
                <w:sz w:val="20"/>
                <w:szCs w:val="20"/>
              </w:rPr>
            </w:pPr>
            <w:r>
              <w:rPr>
                <w:spacing w:val="3"/>
                <w:sz w:val="20"/>
                <w:szCs w:val="20"/>
              </w:rPr>
              <w:t>罐车</w:t>
            </w:r>
          </w:p>
        </w:tc>
        <w:tc>
          <w:tcPr>
            <w:tcW w:w="723" w:type="dxa"/>
            <w:vAlign w:val="top"/>
          </w:tcPr>
          <w:p w14:paraId="02CD0E33">
            <w:pPr>
              <w:pStyle w:val="6"/>
              <w:spacing w:before="30" w:line="21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5A22A778">
            <w:pPr>
              <w:rPr>
                <w:rFonts w:ascii="Arial"/>
                <w:sz w:val="21"/>
              </w:rPr>
            </w:pPr>
          </w:p>
        </w:tc>
      </w:tr>
      <w:tr w14:paraId="2AD28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56" w:type="dxa"/>
            <w:vMerge w:val="continue"/>
            <w:tcBorders>
              <w:top w:val="nil"/>
              <w:bottom w:val="nil"/>
            </w:tcBorders>
            <w:vAlign w:val="top"/>
          </w:tcPr>
          <w:p w14:paraId="305F3926">
            <w:pPr>
              <w:rPr>
                <w:rFonts w:ascii="Arial"/>
                <w:sz w:val="21"/>
              </w:rPr>
            </w:pPr>
          </w:p>
        </w:tc>
        <w:tc>
          <w:tcPr>
            <w:tcW w:w="113" w:type="dxa"/>
            <w:tcBorders>
              <w:top w:val="nil"/>
              <w:bottom w:val="nil"/>
            </w:tcBorders>
            <w:vAlign w:val="top"/>
          </w:tcPr>
          <w:p w14:paraId="7F0E220A">
            <w:pPr>
              <w:rPr>
                <w:rFonts w:ascii="Arial"/>
                <w:sz w:val="21"/>
              </w:rPr>
            </w:pPr>
          </w:p>
        </w:tc>
        <w:tc>
          <w:tcPr>
            <w:tcW w:w="483" w:type="dxa"/>
            <w:vAlign w:val="top"/>
          </w:tcPr>
          <w:p w14:paraId="4B429A0C">
            <w:pPr>
              <w:spacing w:before="199"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476" w:type="dxa"/>
            <w:gridSpan w:val="2"/>
            <w:vMerge w:val="continue"/>
            <w:tcBorders>
              <w:top w:val="nil"/>
            </w:tcBorders>
            <w:vAlign w:val="top"/>
          </w:tcPr>
          <w:p w14:paraId="52D933DA">
            <w:pPr>
              <w:rPr>
                <w:rFonts w:ascii="Arial"/>
                <w:sz w:val="21"/>
              </w:rPr>
            </w:pPr>
          </w:p>
        </w:tc>
        <w:tc>
          <w:tcPr>
            <w:tcW w:w="1384" w:type="dxa"/>
            <w:gridSpan w:val="2"/>
            <w:vAlign w:val="top"/>
          </w:tcPr>
          <w:p w14:paraId="28D2BB72">
            <w:pPr>
              <w:pStyle w:val="6"/>
              <w:spacing w:before="161" w:line="228" w:lineRule="auto"/>
              <w:ind w:left="498"/>
              <w:rPr>
                <w:sz w:val="20"/>
                <w:szCs w:val="20"/>
              </w:rPr>
            </w:pPr>
            <w:r>
              <w:rPr>
                <w:spacing w:val="3"/>
                <w:sz w:val="20"/>
                <w:szCs w:val="20"/>
              </w:rPr>
              <w:t>杂醇</w:t>
            </w:r>
          </w:p>
        </w:tc>
        <w:tc>
          <w:tcPr>
            <w:tcW w:w="1037" w:type="dxa"/>
            <w:vAlign w:val="top"/>
          </w:tcPr>
          <w:p w14:paraId="687CF838">
            <w:pPr>
              <w:spacing w:before="195" w:line="199"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92" w:type="dxa"/>
            <w:vAlign w:val="top"/>
          </w:tcPr>
          <w:p w14:paraId="50E0A636">
            <w:pPr>
              <w:spacing w:before="199"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784" w:type="dxa"/>
            <w:vAlign w:val="top"/>
          </w:tcPr>
          <w:p w14:paraId="7524FB4A">
            <w:pPr>
              <w:pStyle w:val="6"/>
              <w:spacing w:before="161" w:line="228" w:lineRule="auto"/>
              <w:ind w:left="203"/>
              <w:rPr>
                <w:sz w:val="20"/>
                <w:szCs w:val="20"/>
              </w:rPr>
            </w:pPr>
            <w:r>
              <w:rPr>
                <w:spacing w:val="3"/>
                <w:sz w:val="20"/>
                <w:szCs w:val="20"/>
              </w:rPr>
              <w:t>液态</w:t>
            </w:r>
          </w:p>
        </w:tc>
        <w:tc>
          <w:tcPr>
            <w:tcW w:w="876" w:type="dxa"/>
            <w:vAlign w:val="top"/>
          </w:tcPr>
          <w:p w14:paraId="7F41A24F">
            <w:pPr>
              <w:pStyle w:val="6"/>
              <w:spacing w:before="161" w:line="228" w:lineRule="auto"/>
              <w:ind w:left="249"/>
              <w:rPr>
                <w:sz w:val="20"/>
                <w:szCs w:val="20"/>
              </w:rPr>
            </w:pPr>
            <w:r>
              <w:rPr>
                <w:spacing w:val="3"/>
                <w:sz w:val="20"/>
                <w:szCs w:val="20"/>
              </w:rPr>
              <w:t>罐车</w:t>
            </w:r>
          </w:p>
        </w:tc>
        <w:tc>
          <w:tcPr>
            <w:tcW w:w="723" w:type="dxa"/>
            <w:vAlign w:val="top"/>
          </w:tcPr>
          <w:p w14:paraId="40F7C2F4">
            <w:pPr>
              <w:pStyle w:val="6"/>
              <w:spacing w:before="161" w:line="228" w:lineRule="auto"/>
              <w:ind w:left="170"/>
              <w:rPr>
                <w:sz w:val="20"/>
                <w:szCs w:val="20"/>
              </w:rPr>
            </w:pPr>
            <w:r>
              <w:rPr>
                <w:spacing w:val="4"/>
                <w:sz w:val="20"/>
                <w:szCs w:val="20"/>
              </w:rPr>
              <w:t>产品</w:t>
            </w:r>
          </w:p>
        </w:tc>
        <w:tc>
          <w:tcPr>
            <w:tcW w:w="301" w:type="dxa"/>
            <w:gridSpan w:val="2"/>
            <w:vMerge w:val="continue"/>
            <w:tcBorders>
              <w:top w:val="nil"/>
              <w:bottom w:val="nil"/>
            </w:tcBorders>
            <w:vAlign w:val="top"/>
          </w:tcPr>
          <w:p w14:paraId="37A6D43B">
            <w:pPr>
              <w:rPr>
                <w:rFonts w:ascii="Arial"/>
                <w:sz w:val="21"/>
              </w:rPr>
            </w:pPr>
          </w:p>
        </w:tc>
      </w:tr>
      <w:tr w14:paraId="78CF2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5" w:hRule="atLeast"/>
        </w:trPr>
        <w:tc>
          <w:tcPr>
            <w:tcW w:w="456" w:type="dxa"/>
            <w:vMerge w:val="continue"/>
            <w:tcBorders>
              <w:top w:val="nil"/>
              <w:bottom w:val="nil"/>
            </w:tcBorders>
            <w:vAlign w:val="top"/>
          </w:tcPr>
          <w:p w14:paraId="2DD960EC">
            <w:pPr>
              <w:rPr>
                <w:rFonts w:ascii="Arial"/>
                <w:sz w:val="21"/>
              </w:rPr>
            </w:pPr>
          </w:p>
        </w:tc>
        <w:tc>
          <w:tcPr>
            <w:tcW w:w="8169" w:type="dxa"/>
            <w:gridSpan w:val="13"/>
            <w:vAlign w:val="top"/>
          </w:tcPr>
          <w:p w14:paraId="570FDB9A">
            <w:pPr>
              <w:pStyle w:val="6"/>
              <w:spacing w:before="192" w:line="219" w:lineRule="auto"/>
              <w:ind w:left="111"/>
              <w:outlineLvl w:val="1"/>
              <w:rPr>
                <w:sz w:val="24"/>
                <w:szCs w:val="24"/>
              </w:rPr>
            </w:pPr>
            <w:r>
              <w:rPr>
                <w:rFonts w:ascii="Times New Roman" w:hAnsi="Times New Roman" w:eastAsia="Times New Roman" w:cs="Times New Roman"/>
                <w:b/>
                <w:bCs/>
                <w:spacing w:val="-5"/>
                <w:sz w:val="24"/>
                <w:szCs w:val="24"/>
              </w:rPr>
              <w:t>8</w:t>
            </w:r>
            <w:r>
              <w:rPr>
                <w:rFonts w:ascii="Times New Roman" w:hAnsi="Times New Roman" w:eastAsia="Times New Roman" w:cs="Times New Roman"/>
                <w:b/>
                <w:bCs/>
                <w:spacing w:val="-33"/>
                <w:sz w:val="24"/>
                <w:szCs w:val="24"/>
              </w:rPr>
              <w:t xml:space="preserve"> </w:t>
            </w:r>
            <w:r>
              <w:rPr>
                <w:b/>
                <w:bCs/>
                <w:spacing w:val="-5"/>
                <w:sz w:val="24"/>
                <w:szCs w:val="24"/>
              </w:rPr>
              <w:t>、危险化学品危险特征</w:t>
            </w:r>
          </w:p>
          <w:p w14:paraId="08999123">
            <w:pPr>
              <w:pStyle w:val="6"/>
              <w:spacing w:before="178" w:line="359" w:lineRule="auto"/>
              <w:ind w:left="113" w:right="27" w:firstLine="479"/>
              <w:rPr>
                <w:sz w:val="24"/>
                <w:szCs w:val="24"/>
              </w:rPr>
            </w:pPr>
            <w:r>
              <w:rPr>
                <w:spacing w:val="1"/>
                <w:sz w:val="24"/>
                <w:szCs w:val="24"/>
              </w:rPr>
              <w:t>根据棋西产业园危险化学品运输情况统计数据</w:t>
            </w:r>
            <w:r>
              <w:rPr>
                <w:sz w:val="24"/>
                <w:szCs w:val="24"/>
              </w:rPr>
              <w:t xml:space="preserve">，运输危险化学品主要有 </w:t>
            </w:r>
            <w:r>
              <w:rPr>
                <w:spacing w:val="1"/>
                <w:sz w:val="24"/>
                <w:szCs w:val="24"/>
              </w:rPr>
              <w:t>甲醇、乙醇、氨水、液氨、液氯、苯、甲苯、二甲苯、次氯酸钠、碳化钙、</w:t>
            </w:r>
            <w:r>
              <w:rPr>
                <w:spacing w:val="15"/>
                <w:sz w:val="24"/>
                <w:szCs w:val="24"/>
              </w:rPr>
              <w:t xml:space="preserve"> </w:t>
            </w:r>
            <w:r>
              <w:rPr>
                <w:spacing w:val="1"/>
                <w:sz w:val="24"/>
                <w:szCs w:val="24"/>
              </w:rPr>
              <w:t>二氯乙烷、过氧化氢、过氧化新癸酸异丙基苯酯、</w:t>
            </w:r>
            <w:r>
              <w:rPr>
                <w:sz w:val="24"/>
                <w:szCs w:val="24"/>
              </w:rPr>
              <w:t xml:space="preserve">过氧化二碳酸二辛酯、甲 </w:t>
            </w:r>
            <w:r>
              <w:rPr>
                <w:spacing w:val="-5"/>
                <w:sz w:val="24"/>
                <w:szCs w:val="24"/>
              </w:rPr>
              <w:t>醛、硫磺、焦油、硫酸、氢氧化钾、氢氧化钠、氯甲酸</w:t>
            </w:r>
            <w:r>
              <w:rPr>
                <w:rFonts w:ascii="Times New Roman" w:hAnsi="Times New Roman" w:eastAsia="Times New Roman" w:cs="Times New Roman"/>
                <w:spacing w:val="-5"/>
                <w:sz w:val="24"/>
                <w:szCs w:val="24"/>
              </w:rPr>
              <w:t>-2-</w:t>
            </w:r>
            <w:r>
              <w:rPr>
                <w:spacing w:val="-5"/>
                <w:sz w:val="24"/>
                <w:szCs w:val="24"/>
              </w:rPr>
              <w:t>乙基己酯、溶剂油、</w:t>
            </w:r>
            <w:r>
              <w:rPr>
                <w:spacing w:val="2"/>
                <w:sz w:val="24"/>
                <w:szCs w:val="24"/>
              </w:rPr>
              <w:t xml:space="preserve"> </w:t>
            </w:r>
            <w:r>
              <w:rPr>
                <w:spacing w:val="-4"/>
                <w:sz w:val="24"/>
                <w:szCs w:val="24"/>
              </w:rPr>
              <w:t>甲醛、三氯化铁、三氯氢硅、四氧化二氮、洗油、硝酸、盐酸、氮气、氩</w:t>
            </w:r>
            <w:r>
              <w:rPr>
                <w:spacing w:val="-5"/>
                <w:sz w:val="24"/>
                <w:szCs w:val="24"/>
              </w:rPr>
              <w:t>气、</w:t>
            </w:r>
            <w:r>
              <w:rPr>
                <w:sz w:val="24"/>
                <w:szCs w:val="24"/>
              </w:rPr>
              <w:t xml:space="preserve"> </w:t>
            </w:r>
            <w:r>
              <w:rPr>
                <w:spacing w:val="-1"/>
                <w:sz w:val="24"/>
                <w:szCs w:val="24"/>
              </w:rPr>
              <w:t>氧气、二氧化碳、乙炔气，各类物质危险特征详见表</w:t>
            </w:r>
            <w:r>
              <w:rPr>
                <w:spacing w:val="-46"/>
                <w:sz w:val="24"/>
                <w:szCs w:val="24"/>
              </w:rPr>
              <w:t xml:space="preserve"> </w:t>
            </w:r>
            <w:r>
              <w:rPr>
                <w:rFonts w:ascii="Times New Roman" w:hAnsi="Times New Roman" w:eastAsia="Times New Roman" w:cs="Times New Roman"/>
                <w:spacing w:val="-1"/>
                <w:sz w:val="24"/>
                <w:szCs w:val="24"/>
              </w:rPr>
              <w:t>2-5</w:t>
            </w:r>
            <w:r>
              <w:rPr>
                <w:spacing w:val="-1"/>
                <w:sz w:val="24"/>
                <w:szCs w:val="24"/>
              </w:rPr>
              <w:t>。</w:t>
            </w:r>
          </w:p>
          <w:p w14:paraId="59D290BA">
            <w:pPr>
              <w:pStyle w:val="6"/>
              <w:spacing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危险化学品危险特征说明</w:t>
            </w:r>
          </w:p>
        </w:tc>
      </w:tr>
      <w:tr w14:paraId="69B85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C688A4F">
            <w:pPr>
              <w:rPr>
                <w:rFonts w:ascii="Arial"/>
                <w:sz w:val="21"/>
              </w:rPr>
            </w:pPr>
          </w:p>
        </w:tc>
        <w:tc>
          <w:tcPr>
            <w:tcW w:w="113" w:type="dxa"/>
            <w:tcBorders>
              <w:top w:val="nil"/>
              <w:bottom w:val="nil"/>
            </w:tcBorders>
            <w:vAlign w:val="top"/>
          </w:tcPr>
          <w:p w14:paraId="797D9D61">
            <w:pPr>
              <w:rPr>
                <w:rFonts w:ascii="Arial"/>
                <w:sz w:val="21"/>
              </w:rPr>
            </w:pPr>
          </w:p>
        </w:tc>
        <w:tc>
          <w:tcPr>
            <w:tcW w:w="483" w:type="dxa"/>
            <w:textDirection w:val="tbRlV"/>
            <w:vAlign w:val="top"/>
          </w:tcPr>
          <w:p w14:paraId="1CAB3A27">
            <w:pPr>
              <w:pStyle w:val="6"/>
              <w:spacing w:before="144" w:line="218" w:lineRule="auto"/>
              <w:ind w:left="34"/>
              <w:rPr>
                <w:sz w:val="20"/>
                <w:szCs w:val="20"/>
              </w:rPr>
            </w:pPr>
            <w:r>
              <w:rPr>
                <w:spacing w:val="8"/>
                <w:sz w:val="20"/>
                <w:szCs w:val="20"/>
              </w:rPr>
              <w:t>序</w:t>
            </w:r>
            <w:r>
              <w:rPr>
                <w:spacing w:val="-38"/>
                <w:sz w:val="20"/>
                <w:szCs w:val="20"/>
              </w:rPr>
              <w:t xml:space="preserve"> </w:t>
            </w:r>
            <w:r>
              <w:rPr>
                <w:spacing w:val="8"/>
                <w:sz w:val="20"/>
                <w:szCs w:val="20"/>
              </w:rPr>
              <w:t>号</w:t>
            </w:r>
          </w:p>
        </w:tc>
        <w:tc>
          <w:tcPr>
            <w:tcW w:w="800" w:type="dxa"/>
            <w:vAlign w:val="top"/>
          </w:tcPr>
          <w:p w14:paraId="254D4221">
            <w:pPr>
              <w:pStyle w:val="6"/>
              <w:spacing w:before="168" w:line="230" w:lineRule="auto"/>
              <w:ind w:left="180"/>
              <w:rPr>
                <w:sz w:val="20"/>
                <w:szCs w:val="20"/>
              </w:rPr>
            </w:pPr>
            <w:r>
              <w:rPr>
                <w:spacing w:val="3"/>
                <w:sz w:val="20"/>
                <w:szCs w:val="20"/>
              </w:rPr>
              <w:t>名称</w:t>
            </w:r>
          </w:p>
        </w:tc>
        <w:tc>
          <w:tcPr>
            <w:tcW w:w="1249" w:type="dxa"/>
            <w:gridSpan w:val="2"/>
            <w:vAlign w:val="top"/>
          </w:tcPr>
          <w:p w14:paraId="19FBD637">
            <w:pPr>
              <w:pStyle w:val="6"/>
              <w:spacing w:before="168" w:line="229" w:lineRule="auto"/>
              <w:ind w:left="276"/>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5422" w:type="dxa"/>
            <w:gridSpan w:val="7"/>
            <w:vAlign w:val="top"/>
          </w:tcPr>
          <w:p w14:paraId="4297FF2F">
            <w:pPr>
              <w:pStyle w:val="6"/>
              <w:spacing w:before="168" w:line="228" w:lineRule="auto"/>
              <w:ind w:left="2285"/>
              <w:rPr>
                <w:sz w:val="20"/>
                <w:szCs w:val="20"/>
              </w:rPr>
            </w:pPr>
            <w:r>
              <w:rPr>
                <w:spacing w:val="6"/>
                <w:sz w:val="20"/>
                <w:szCs w:val="20"/>
              </w:rPr>
              <w:t>危险特征</w:t>
            </w:r>
          </w:p>
        </w:tc>
        <w:tc>
          <w:tcPr>
            <w:tcW w:w="102" w:type="dxa"/>
            <w:tcBorders>
              <w:top w:val="nil"/>
              <w:bottom w:val="nil"/>
            </w:tcBorders>
            <w:vAlign w:val="top"/>
          </w:tcPr>
          <w:p w14:paraId="4869855C">
            <w:pPr>
              <w:rPr>
                <w:rFonts w:ascii="Arial"/>
                <w:sz w:val="21"/>
              </w:rPr>
            </w:pPr>
          </w:p>
        </w:tc>
      </w:tr>
      <w:tr w14:paraId="499E6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7873DBE7">
            <w:pPr>
              <w:rPr>
                <w:rFonts w:ascii="Arial"/>
                <w:sz w:val="21"/>
              </w:rPr>
            </w:pPr>
          </w:p>
        </w:tc>
        <w:tc>
          <w:tcPr>
            <w:tcW w:w="113" w:type="dxa"/>
            <w:tcBorders>
              <w:top w:val="nil"/>
              <w:bottom w:val="nil"/>
            </w:tcBorders>
            <w:vAlign w:val="top"/>
          </w:tcPr>
          <w:p w14:paraId="651FB078">
            <w:pPr>
              <w:rPr>
                <w:rFonts w:ascii="Arial"/>
                <w:sz w:val="21"/>
              </w:rPr>
            </w:pPr>
          </w:p>
        </w:tc>
        <w:tc>
          <w:tcPr>
            <w:tcW w:w="483" w:type="dxa"/>
            <w:vAlign w:val="top"/>
          </w:tcPr>
          <w:p w14:paraId="5E0C318D">
            <w:pPr>
              <w:spacing w:line="417" w:lineRule="auto"/>
              <w:rPr>
                <w:rFonts w:ascii="Arial"/>
                <w:sz w:val="21"/>
              </w:rPr>
            </w:pPr>
          </w:p>
          <w:p w14:paraId="5C63F8C1">
            <w:pPr>
              <w:spacing w:before="5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0" w:type="dxa"/>
            <w:vAlign w:val="top"/>
          </w:tcPr>
          <w:p w14:paraId="4E66C379">
            <w:pPr>
              <w:spacing w:line="374" w:lineRule="auto"/>
              <w:rPr>
                <w:rFonts w:ascii="Arial"/>
                <w:sz w:val="21"/>
              </w:rPr>
            </w:pPr>
          </w:p>
          <w:p w14:paraId="258E5B60">
            <w:pPr>
              <w:pStyle w:val="6"/>
              <w:spacing w:before="65" w:line="228" w:lineRule="auto"/>
              <w:ind w:left="204"/>
              <w:rPr>
                <w:sz w:val="20"/>
                <w:szCs w:val="20"/>
              </w:rPr>
            </w:pPr>
            <w:r>
              <w:rPr>
                <w:spacing w:val="-9"/>
                <w:sz w:val="20"/>
                <w:szCs w:val="20"/>
              </w:rPr>
              <w:t>甲醇</w:t>
            </w:r>
          </w:p>
        </w:tc>
        <w:tc>
          <w:tcPr>
            <w:tcW w:w="1249" w:type="dxa"/>
            <w:gridSpan w:val="2"/>
            <w:vAlign w:val="top"/>
          </w:tcPr>
          <w:p w14:paraId="358F4FD9">
            <w:pPr>
              <w:spacing w:line="417" w:lineRule="auto"/>
              <w:rPr>
                <w:rFonts w:ascii="Arial"/>
                <w:sz w:val="21"/>
              </w:rPr>
            </w:pPr>
          </w:p>
          <w:p w14:paraId="62429420">
            <w:pPr>
              <w:spacing w:before="5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67-56-1</w:t>
            </w:r>
          </w:p>
        </w:tc>
        <w:tc>
          <w:tcPr>
            <w:tcW w:w="5422" w:type="dxa"/>
            <w:gridSpan w:val="7"/>
            <w:vAlign w:val="top"/>
          </w:tcPr>
          <w:p w14:paraId="430EC273">
            <w:pPr>
              <w:pStyle w:val="6"/>
              <w:spacing w:before="35" w:line="242" w:lineRule="auto"/>
              <w:ind w:left="95" w:right="65" w:firstLine="14"/>
              <w:jc w:val="both"/>
              <w:rPr>
                <w:sz w:val="20"/>
                <w:szCs w:val="20"/>
              </w:rPr>
            </w:pPr>
            <w:r>
              <w:rPr>
                <w:spacing w:val="7"/>
                <w:sz w:val="20"/>
                <w:szCs w:val="20"/>
              </w:rPr>
              <w:t>易燃，其蒸气与空气可形成爆炸性混合物。遇明火、高热</w:t>
            </w:r>
            <w:r>
              <w:rPr>
                <w:spacing w:val="10"/>
                <w:sz w:val="20"/>
                <w:szCs w:val="20"/>
              </w:rPr>
              <w:t xml:space="preserve"> </w:t>
            </w:r>
            <w:r>
              <w:rPr>
                <w:spacing w:val="13"/>
                <w:sz w:val="20"/>
                <w:szCs w:val="20"/>
              </w:rPr>
              <w:t>能引起燃烧爆炸。与氧化剂接触发生化学反应或引起燃</w:t>
            </w:r>
            <w:r>
              <w:rPr>
                <w:spacing w:val="1"/>
                <w:sz w:val="20"/>
                <w:szCs w:val="20"/>
              </w:rPr>
              <w:t xml:space="preserve">  </w:t>
            </w:r>
            <w:r>
              <w:rPr>
                <w:spacing w:val="2"/>
                <w:sz w:val="20"/>
                <w:szCs w:val="20"/>
              </w:rPr>
              <w:t xml:space="preserve">烧。在火场中，受热的容器有爆炸危险。其蒸气比空气重， </w:t>
            </w:r>
            <w:r>
              <w:rPr>
                <w:spacing w:val="12"/>
                <w:sz w:val="20"/>
                <w:szCs w:val="20"/>
              </w:rPr>
              <w:t>能在较低处扩散到相当远的地方，遇明火会引着回燃。</w:t>
            </w:r>
          </w:p>
        </w:tc>
        <w:tc>
          <w:tcPr>
            <w:tcW w:w="102" w:type="dxa"/>
            <w:tcBorders>
              <w:top w:val="nil"/>
              <w:bottom w:val="nil"/>
            </w:tcBorders>
            <w:vAlign w:val="top"/>
          </w:tcPr>
          <w:p w14:paraId="69CF02D8">
            <w:pPr>
              <w:rPr>
                <w:rFonts w:ascii="Arial"/>
                <w:sz w:val="21"/>
              </w:rPr>
            </w:pPr>
          </w:p>
        </w:tc>
      </w:tr>
      <w:tr w14:paraId="2A812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456" w:type="dxa"/>
            <w:vMerge w:val="continue"/>
            <w:tcBorders>
              <w:top w:val="nil"/>
              <w:bottom w:val="nil"/>
            </w:tcBorders>
            <w:vAlign w:val="top"/>
          </w:tcPr>
          <w:p w14:paraId="09C280D0">
            <w:pPr>
              <w:rPr>
                <w:rFonts w:ascii="Arial"/>
                <w:sz w:val="21"/>
              </w:rPr>
            </w:pPr>
          </w:p>
        </w:tc>
        <w:tc>
          <w:tcPr>
            <w:tcW w:w="113" w:type="dxa"/>
            <w:tcBorders>
              <w:top w:val="nil"/>
              <w:bottom w:val="nil"/>
            </w:tcBorders>
            <w:vAlign w:val="top"/>
          </w:tcPr>
          <w:p w14:paraId="395DD2B0">
            <w:pPr>
              <w:rPr>
                <w:rFonts w:ascii="Arial"/>
                <w:sz w:val="21"/>
              </w:rPr>
            </w:pPr>
          </w:p>
        </w:tc>
        <w:tc>
          <w:tcPr>
            <w:tcW w:w="483" w:type="dxa"/>
            <w:vAlign w:val="top"/>
          </w:tcPr>
          <w:p w14:paraId="342E61B4">
            <w:pPr>
              <w:spacing w:line="453" w:lineRule="auto"/>
              <w:rPr>
                <w:rFonts w:ascii="Arial"/>
                <w:sz w:val="21"/>
              </w:rPr>
            </w:pPr>
          </w:p>
          <w:p w14:paraId="66F0B3DC">
            <w:pPr>
              <w:spacing w:before="5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00" w:type="dxa"/>
            <w:vAlign w:val="top"/>
          </w:tcPr>
          <w:p w14:paraId="5453B550">
            <w:pPr>
              <w:spacing w:line="410" w:lineRule="auto"/>
              <w:rPr>
                <w:rFonts w:ascii="Arial"/>
                <w:sz w:val="21"/>
              </w:rPr>
            </w:pPr>
          </w:p>
          <w:p w14:paraId="53E58CAF">
            <w:pPr>
              <w:pStyle w:val="6"/>
              <w:spacing w:before="65" w:line="228" w:lineRule="auto"/>
              <w:ind w:left="198"/>
              <w:rPr>
                <w:sz w:val="20"/>
                <w:szCs w:val="20"/>
              </w:rPr>
            </w:pPr>
            <w:r>
              <w:rPr>
                <w:spacing w:val="-6"/>
                <w:sz w:val="20"/>
                <w:szCs w:val="20"/>
              </w:rPr>
              <w:t>乙醇</w:t>
            </w:r>
          </w:p>
        </w:tc>
        <w:tc>
          <w:tcPr>
            <w:tcW w:w="1249" w:type="dxa"/>
            <w:gridSpan w:val="2"/>
            <w:vAlign w:val="top"/>
          </w:tcPr>
          <w:p w14:paraId="5C304D4F">
            <w:pPr>
              <w:spacing w:line="453" w:lineRule="auto"/>
              <w:rPr>
                <w:rFonts w:ascii="Arial"/>
                <w:sz w:val="21"/>
              </w:rPr>
            </w:pPr>
          </w:p>
          <w:p w14:paraId="6324FC9F">
            <w:pPr>
              <w:spacing w:before="5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64-17-5</w:t>
            </w:r>
          </w:p>
        </w:tc>
        <w:tc>
          <w:tcPr>
            <w:tcW w:w="5422" w:type="dxa"/>
            <w:gridSpan w:val="7"/>
            <w:vAlign w:val="top"/>
          </w:tcPr>
          <w:p w14:paraId="777A05B9">
            <w:pPr>
              <w:pStyle w:val="6"/>
              <w:spacing w:before="65" w:line="251" w:lineRule="auto"/>
              <w:ind w:left="95" w:right="65" w:firstLine="14"/>
              <w:jc w:val="both"/>
              <w:rPr>
                <w:sz w:val="20"/>
                <w:szCs w:val="20"/>
              </w:rPr>
            </w:pPr>
            <w:r>
              <w:rPr>
                <w:spacing w:val="7"/>
                <w:sz w:val="20"/>
                <w:szCs w:val="20"/>
              </w:rPr>
              <w:t>易燃，其蒸气与空气可形成爆炸性混合物。遇明火、高热</w:t>
            </w:r>
            <w:r>
              <w:rPr>
                <w:spacing w:val="10"/>
                <w:sz w:val="20"/>
                <w:szCs w:val="20"/>
              </w:rPr>
              <w:t xml:space="preserve"> </w:t>
            </w:r>
            <w:r>
              <w:rPr>
                <w:spacing w:val="13"/>
                <w:sz w:val="20"/>
                <w:szCs w:val="20"/>
              </w:rPr>
              <w:t>能引起燃烧爆炸。与氧化剂接触发生化学反应或引起燃</w:t>
            </w:r>
            <w:r>
              <w:rPr>
                <w:spacing w:val="1"/>
                <w:sz w:val="20"/>
                <w:szCs w:val="20"/>
              </w:rPr>
              <w:t xml:space="preserve">  </w:t>
            </w:r>
            <w:r>
              <w:rPr>
                <w:spacing w:val="2"/>
                <w:sz w:val="20"/>
                <w:szCs w:val="20"/>
              </w:rPr>
              <w:t xml:space="preserve">烧。在火场中，受热的容器有爆炸危险。其蒸气比空气重， </w:t>
            </w:r>
            <w:r>
              <w:rPr>
                <w:spacing w:val="12"/>
                <w:sz w:val="20"/>
                <w:szCs w:val="20"/>
              </w:rPr>
              <w:t>能在较低处扩散到相当远的地方，遇明火会引着回燃。</w:t>
            </w:r>
          </w:p>
        </w:tc>
        <w:tc>
          <w:tcPr>
            <w:tcW w:w="102" w:type="dxa"/>
            <w:tcBorders>
              <w:top w:val="nil"/>
              <w:bottom w:val="nil"/>
            </w:tcBorders>
            <w:vAlign w:val="top"/>
          </w:tcPr>
          <w:p w14:paraId="269A88DC">
            <w:pPr>
              <w:rPr>
                <w:rFonts w:ascii="Arial"/>
                <w:sz w:val="21"/>
              </w:rPr>
            </w:pPr>
          </w:p>
        </w:tc>
      </w:tr>
      <w:tr w14:paraId="51DC42CD">
        <w:tblPrEx>
          <w:tblCellMar>
            <w:top w:w="0" w:type="dxa"/>
            <w:left w:w="0" w:type="dxa"/>
            <w:bottom w:w="0" w:type="dxa"/>
            <w:right w:w="0" w:type="dxa"/>
          </w:tblCellMar>
        </w:tblPrEx>
        <w:trPr>
          <w:trHeight w:val="549" w:hRule="atLeast"/>
        </w:trPr>
        <w:tc>
          <w:tcPr>
            <w:tcW w:w="456" w:type="dxa"/>
            <w:vMerge w:val="continue"/>
            <w:tcBorders>
              <w:top w:val="nil"/>
              <w:bottom w:val="nil"/>
            </w:tcBorders>
            <w:vAlign w:val="top"/>
          </w:tcPr>
          <w:p w14:paraId="33E9E0A5">
            <w:pPr>
              <w:rPr>
                <w:rFonts w:ascii="Arial"/>
                <w:sz w:val="21"/>
              </w:rPr>
            </w:pPr>
          </w:p>
        </w:tc>
        <w:tc>
          <w:tcPr>
            <w:tcW w:w="113" w:type="dxa"/>
            <w:tcBorders>
              <w:top w:val="nil"/>
              <w:bottom w:val="nil"/>
            </w:tcBorders>
            <w:vAlign w:val="top"/>
          </w:tcPr>
          <w:p w14:paraId="4DC91E9E">
            <w:pPr>
              <w:rPr>
                <w:rFonts w:ascii="Arial"/>
                <w:sz w:val="21"/>
              </w:rPr>
            </w:pPr>
          </w:p>
        </w:tc>
        <w:tc>
          <w:tcPr>
            <w:tcW w:w="483" w:type="dxa"/>
            <w:vAlign w:val="top"/>
          </w:tcPr>
          <w:p w14:paraId="5E66E547">
            <w:pPr>
              <w:spacing w:before="20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00" w:type="dxa"/>
            <w:vAlign w:val="top"/>
          </w:tcPr>
          <w:p w14:paraId="4AB22242">
            <w:pPr>
              <w:pStyle w:val="6"/>
              <w:spacing w:before="171" w:line="225" w:lineRule="auto"/>
              <w:ind w:left="177"/>
              <w:rPr>
                <w:sz w:val="20"/>
                <w:szCs w:val="20"/>
              </w:rPr>
            </w:pPr>
            <w:r>
              <w:rPr>
                <w:spacing w:val="4"/>
                <w:sz w:val="20"/>
                <w:szCs w:val="20"/>
              </w:rPr>
              <w:t>氨水</w:t>
            </w:r>
          </w:p>
        </w:tc>
        <w:tc>
          <w:tcPr>
            <w:tcW w:w="1249" w:type="dxa"/>
            <w:gridSpan w:val="2"/>
            <w:vAlign w:val="top"/>
          </w:tcPr>
          <w:p w14:paraId="6D7DA574">
            <w:pPr>
              <w:spacing w:before="20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1336-21-6</w:t>
            </w:r>
          </w:p>
        </w:tc>
        <w:tc>
          <w:tcPr>
            <w:tcW w:w="5422" w:type="dxa"/>
            <w:gridSpan w:val="7"/>
            <w:vAlign w:val="top"/>
          </w:tcPr>
          <w:p w14:paraId="181A55F3">
            <w:pPr>
              <w:pStyle w:val="6"/>
              <w:spacing w:before="34" w:line="225" w:lineRule="auto"/>
              <w:ind w:left="110"/>
              <w:rPr>
                <w:sz w:val="20"/>
                <w:szCs w:val="20"/>
              </w:rPr>
            </w:pPr>
            <w:r>
              <w:rPr>
                <w:spacing w:val="7"/>
                <w:sz w:val="20"/>
                <w:szCs w:val="20"/>
              </w:rPr>
              <w:t>易分解放出氨气，温度越高，分解速度越快，可形成爆炸</w:t>
            </w:r>
          </w:p>
          <w:p w14:paraId="2D34FF7A">
            <w:pPr>
              <w:pStyle w:val="6"/>
              <w:spacing w:before="29" w:line="213" w:lineRule="auto"/>
              <w:ind w:left="2285"/>
              <w:rPr>
                <w:sz w:val="20"/>
                <w:szCs w:val="20"/>
              </w:rPr>
            </w:pPr>
            <w:r>
              <w:rPr>
                <w:spacing w:val="4"/>
                <w:sz w:val="20"/>
                <w:szCs w:val="20"/>
              </w:rPr>
              <w:t>性气氛。</w:t>
            </w:r>
          </w:p>
        </w:tc>
        <w:tc>
          <w:tcPr>
            <w:tcW w:w="102" w:type="dxa"/>
            <w:tcBorders>
              <w:top w:val="nil"/>
              <w:bottom w:val="nil"/>
            </w:tcBorders>
            <w:vAlign w:val="top"/>
          </w:tcPr>
          <w:p w14:paraId="3846D816">
            <w:pPr>
              <w:rPr>
                <w:rFonts w:ascii="Arial"/>
                <w:sz w:val="21"/>
              </w:rPr>
            </w:pPr>
          </w:p>
        </w:tc>
      </w:tr>
      <w:tr w14:paraId="493A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02BC39FB">
            <w:pPr>
              <w:rPr>
                <w:rFonts w:ascii="Arial"/>
                <w:sz w:val="21"/>
              </w:rPr>
            </w:pPr>
          </w:p>
        </w:tc>
        <w:tc>
          <w:tcPr>
            <w:tcW w:w="113" w:type="dxa"/>
            <w:tcBorders>
              <w:top w:val="nil"/>
              <w:bottom w:val="nil"/>
            </w:tcBorders>
            <w:vAlign w:val="top"/>
          </w:tcPr>
          <w:p w14:paraId="0F2B6B50">
            <w:pPr>
              <w:rPr>
                <w:rFonts w:ascii="Arial"/>
                <w:sz w:val="21"/>
              </w:rPr>
            </w:pPr>
          </w:p>
        </w:tc>
        <w:tc>
          <w:tcPr>
            <w:tcW w:w="483" w:type="dxa"/>
            <w:vAlign w:val="top"/>
          </w:tcPr>
          <w:p w14:paraId="74B898C0">
            <w:pPr>
              <w:spacing w:line="285" w:lineRule="auto"/>
              <w:rPr>
                <w:rFonts w:ascii="Arial"/>
                <w:sz w:val="21"/>
              </w:rPr>
            </w:pPr>
          </w:p>
          <w:p w14:paraId="50A3EF61">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00" w:type="dxa"/>
            <w:vAlign w:val="top"/>
          </w:tcPr>
          <w:p w14:paraId="6BBFC824">
            <w:pPr>
              <w:spacing w:line="242" w:lineRule="auto"/>
              <w:rPr>
                <w:rFonts w:ascii="Arial"/>
                <w:sz w:val="21"/>
              </w:rPr>
            </w:pPr>
          </w:p>
          <w:p w14:paraId="3DBDEDCF">
            <w:pPr>
              <w:pStyle w:val="6"/>
              <w:spacing w:before="65" w:line="225" w:lineRule="auto"/>
              <w:ind w:left="179"/>
              <w:rPr>
                <w:sz w:val="20"/>
                <w:szCs w:val="20"/>
              </w:rPr>
            </w:pPr>
            <w:r>
              <w:rPr>
                <w:spacing w:val="3"/>
                <w:sz w:val="20"/>
                <w:szCs w:val="20"/>
              </w:rPr>
              <w:t>液氨</w:t>
            </w:r>
          </w:p>
        </w:tc>
        <w:tc>
          <w:tcPr>
            <w:tcW w:w="1249" w:type="dxa"/>
            <w:gridSpan w:val="2"/>
            <w:vAlign w:val="top"/>
          </w:tcPr>
          <w:p w14:paraId="15E25059">
            <w:pPr>
              <w:spacing w:line="285" w:lineRule="auto"/>
              <w:rPr>
                <w:rFonts w:ascii="Arial"/>
                <w:sz w:val="21"/>
              </w:rPr>
            </w:pPr>
          </w:p>
          <w:p w14:paraId="13C9AD80">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7664-41-7</w:t>
            </w:r>
          </w:p>
        </w:tc>
        <w:tc>
          <w:tcPr>
            <w:tcW w:w="5422" w:type="dxa"/>
            <w:gridSpan w:val="7"/>
            <w:vAlign w:val="top"/>
          </w:tcPr>
          <w:p w14:paraId="3B03D50A">
            <w:pPr>
              <w:pStyle w:val="6"/>
              <w:spacing w:before="37" w:line="226" w:lineRule="auto"/>
              <w:ind w:left="100"/>
              <w:rPr>
                <w:sz w:val="20"/>
                <w:szCs w:val="20"/>
              </w:rPr>
            </w:pPr>
            <w:r>
              <w:rPr>
                <w:spacing w:val="8"/>
                <w:sz w:val="20"/>
                <w:szCs w:val="20"/>
              </w:rPr>
              <w:t>与空气混合能形成爆炸性混合物。遇明火、</w:t>
            </w:r>
            <w:r>
              <w:rPr>
                <w:spacing w:val="7"/>
                <w:sz w:val="20"/>
                <w:szCs w:val="20"/>
              </w:rPr>
              <w:t>高热能引起燃</w:t>
            </w:r>
          </w:p>
          <w:p w14:paraId="0E3F3440">
            <w:pPr>
              <w:pStyle w:val="6"/>
              <w:spacing w:before="26" w:line="224" w:lineRule="auto"/>
              <w:ind w:left="95"/>
              <w:rPr>
                <w:sz w:val="20"/>
                <w:szCs w:val="20"/>
              </w:rPr>
            </w:pPr>
            <w:r>
              <w:rPr>
                <w:spacing w:val="8"/>
                <w:sz w:val="20"/>
                <w:szCs w:val="20"/>
              </w:rPr>
              <w:t>烧爆炸。与氟、氯等接触会发生剧烈的化学反应。若遇高</w:t>
            </w:r>
          </w:p>
          <w:p w14:paraId="73428C4C">
            <w:pPr>
              <w:pStyle w:val="6"/>
              <w:spacing w:before="29" w:line="214" w:lineRule="auto"/>
              <w:ind w:left="710"/>
              <w:rPr>
                <w:sz w:val="20"/>
                <w:szCs w:val="20"/>
              </w:rPr>
            </w:pPr>
            <w:r>
              <w:rPr>
                <w:spacing w:val="8"/>
                <w:sz w:val="20"/>
                <w:szCs w:val="20"/>
              </w:rPr>
              <w:t>热，容器内压增大，有开裂和爆炸的危险。</w:t>
            </w:r>
          </w:p>
        </w:tc>
        <w:tc>
          <w:tcPr>
            <w:tcW w:w="102" w:type="dxa"/>
            <w:tcBorders>
              <w:top w:val="nil"/>
              <w:bottom w:val="nil"/>
            </w:tcBorders>
            <w:vAlign w:val="top"/>
          </w:tcPr>
          <w:p w14:paraId="6516C356">
            <w:pPr>
              <w:rPr>
                <w:rFonts w:ascii="Arial"/>
                <w:sz w:val="21"/>
              </w:rPr>
            </w:pPr>
          </w:p>
        </w:tc>
      </w:tr>
      <w:tr w14:paraId="5C0FC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56" w:type="dxa"/>
            <w:vMerge w:val="continue"/>
            <w:tcBorders>
              <w:top w:val="nil"/>
            </w:tcBorders>
            <w:vAlign w:val="top"/>
          </w:tcPr>
          <w:p w14:paraId="22119CE3">
            <w:pPr>
              <w:rPr>
                <w:rFonts w:ascii="Arial"/>
                <w:sz w:val="21"/>
              </w:rPr>
            </w:pPr>
          </w:p>
        </w:tc>
        <w:tc>
          <w:tcPr>
            <w:tcW w:w="113" w:type="dxa"/>
            <w:tcBorders>
              <w:top w:val="nil"/>
            </w:tcBorders>
            <w:vAlign w:val="top"/>
          </w:tcPr>
          <w:p w14:paraId="6F98FD48">
            <w:pPr>
              <w:rPr>
                <w:rFonts w:ascii="Arial"/>
                <w:sz w:val="21"/>
              </w:rPr>
            </w:pPr>
          </w:p>
        </w:tc>
        <w:tc>
          <w:tcPr>
            <w:tcW w:w="483" w:type="dxa"/>
            <w:vAlign w:val="top"/>
          </w:tcPr>
          <w:p w14:paraId="1CFEC29F">
            <w:pPr>
              <w:spacing w:line="422" w:lineRule="auto"/>
              <w:rPr>
                <w:rFonts w:ascii="Arial"/>
                <w:sz w:val="21"/>
              </w:rPr>
            </w:pPr>
          </w:p>
          <w:p w14:paraId="7C400B6A">
            <w:pPr>
              <w:spacing w:before="58" w:line="192" w:lineRule="auto"/>
              <w:ind w:left="1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00" w:type="dxa"/>
            <w:vAlign w:val="top"/>
          </w:tcPr>
          <w:p w14:paraId="13BA0BCE">
            <w:pPr>
              <w:spacing w:line="376" w:lineRule="auto"/>
              <w:rPr>
                <w:rFonts w:ascii="Arial"/>
                <w:sz w:val="21"/>
              </w:rPr>
            </w:pPr>
          </w:p>
          <w:p w14:paraId="6EC37B9A">
            <w:pPr>
              <w:pStyle w:val="6"/>
              <w:spacing w:before="65" w:line="228" w:lineRule="auto"/>
              <w:ind w:left="179"/>
              <w:rPr>
                <w:sz w:val="20"/>
                <w:szCs w:val="20"/>
              </w:rPr>
            </w:pPr>
            <w:r>
              <w:rPr>
                <w:spacing w:val="3"/>
                <w:sz w:val="20"/>
                <w:szCs w:val="20"/>
              </w:rPr>
              <w:t>液氯</w:t>
            </w:r>
          </w:p>
        </w:tc>
        <w:tc>
          <w:tcPr>
            <w:tcW w:w="1249" w:type="dxa"/>
            <w:gridSpan w:val="2"/>
            <w:vAlign w:val="top"/>
          </w:tcPr>
          <w:p w14:paraId="7E964B9D">
            <w:pPr>
              <w:spacing w:line="419" w:lineRule="auto"/>
              <w:rPr>
                <w:rFonts w:ascii="Arial"/>
                <w:sz w:val="21"/>
              </w:rPr>
            </w:pPr>
          </w:p>
          <w:p w14:paraId="4D9AE113">
            <w:pPr>
              <w:spacing w:before="58"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7782-50-5</w:t>
            </w:r>
          </w:p>
        </w:tc>
        <w:tc>
          <w:tcPr>
            <w:tcW w:w="5422" w:type="dxa"/>
            <w:gridSpan w:val="7"/>
            <w:vAlign w:val="top"/>
          </w:tcPr>
          <w:p w14:paraId="40316C56">
            <w:pPr>
              <w:pStyle w:val="6"/>
              <w:spacing w:before="33" w:line="243" w:lineRule="auto"/>
              <w:ind w:left="95" w:right="120" w:firstLine="2"/>
              <w:jc w:val="both"/>
              <w:rPr>
                <w:sz w:val="20"/>
                <w:szCs w:val="20"/>
              </w:rPr>
            </w:pPr>
            <w:r>
              <w:rPr>
                <w:spacing w:val="8"/>
                <w:sz w:val="20"/>
                <w:szCs w:val="20"/>
              </w:rPr>
              <w:t>液氯在常温常压下为黄绿色、有刺激性气味的气体</w:t>
            </w:r>
            <w:r>
              <w:rPr>
                <w:spacing w:val="7"/>
                <w:sz w:val="20"/>
                <w:szCs w:val="20"/>
              </w:rPr>
              <w:t>，液态</w:t>
            </w:r>
            <w:r>
              <w:rPr>
                <w:sz w:val="20"/>
                <w:szCs w:val="20"/>
              </w:rPr>
              <w:t xml:space="preserve"> </w:t>
            </w:r>
            <w:r>
              <w:rPr>
                <w:spacing w:val="8"/>
                <w:sz w:val="20"/>
                <w:szCs w:val="20"/>
              </w:rPr>
              <w:t>时为黄绿色的油状液体。液氯不燃但能助燃，密度比空气</w:t>
            </w:r>
            <w:r>
              <w:rPr>
                <w:sz w:val="20"/>
                <w:szCs w:val="20"/>
              </w:rPr>
              <w:t xml:space="preserve"> </w:t>
            </w:r>
            <w:r>
              <w:rPr>
                <w:spacing w:val="9"/>
                <w:sz w:val="20"/>
                <w:szCs w:val="20"/>
              </w:rPr>
              <w:t>大，约为空气的</w:t>
            </w:r>
            <w:r>
              <w:rPr>
                <w:spacing w:val="-43"/>
                <w:sz w:val="20"/>
                <w:szCs w:val="20"/>
              </w:rPr>
              <w:t xml:space="preserve"> </w:t>
            </w:r>
            <w:r>
              <w:rPr>
                <w:rFonts w:ascii="Times New Roman" w:hAnsi="Times New Roman" w:eastAsia="Times New Roman" w:cs="Times New Roman"/>
                <w:spacing w:val="9"/>
                <w:sz w:val="20"/>
                <w:szCs w:val="20"/>
              </w:rPr>
              <w:t xml:space="preserve">2.5 </w:t>
            </w:r>
            <w:r>
              <w:rPr>
                <w:spacing w:val="9"/>
                <w:sz w:val="20"/>
                <w:szCs w:val="20"/>
              </w:rPr>
              <w:t>倍，易溶于水，但</w:t>
            </w:r>
            <w:r>
              <w:rPr>
                <w:spacing w:val="8"/>
                <w:sz w:val="20"/>
                <w:szCs w:val="20"/>
              </w:rPr>
              <w:t>在水分存在下对钢</w:t>
            </w:r>
            <w:r>
              <w:rPr>
                <w:sz w:val="20"/>
                <w:szCs w:val="20"/>
              </w:rPr>
              <w:t xml:space="preserve"> </w:t>
            </w:r>
            <w:r>
              <w:rPr>
                <w:spacing w:val="8"/>
                <w:sz w:val="20"/>
                <w:szCs w:val="20"/>
              </w:rPr>
              <w:t>铁有强烈腐蚀性。液氯对人体有剧毒，主要通过呼吸道吸</w:t>
            </w:r>
          </w:p>
        </w:tc>
        <w:tc>
          <w:tcPr>
            <w:tcW w:w="102" w:type="dxa"/>
            <w:tcBorders>
              <w:top w:val="nil"/>
            </w:tcBorders>
            <w:vAlign w:val="top"/>
          </w:tcPr>
          <w:p w14:paraId="06001ABF">
            <w:pPr>
              <w:rPr>
                <w:rFonts w:ascii="Arial"/>
                <w:sz w:val="21"/>
              </w:rPr>
            </w:pPr>
          </w:p>
        </w:tc>
      </w:tr>
    </w:tbl>
    <w:p w14:paraId="0B90866D">
      <w:pPr>
        <w:pStyle w:val="2"/>
      </w:pPr>
    </w:p>
    <w:p w14:paraId="535694AB">
      <w:pPr>
        <w:sectPr>
          <w:footerReference r:id="rId41" w:type="default"/>
          <w:pgSz w:w="11906" w:h="16839"/>
          <w:pgMar w:top="400" w:right="1588" w:bottom="1259" w:left="1687" w:header="0" w:footer="1097" w:gutter="0"/>
          <w:cols w:space="720" w:num="1"/>
        </w:sectPr>
      </w:pPr>
    </w:p>
    <w:p w14:paraId="54356E80">
      <w:pPr>
        <w:spacing w:before="19"/>
      </w:pPr>
    </w:p>
    <w:p w14:paraId="28122523">
      <w:pPr>
        <w:spacing w:before="19"/>
      </w:pPr>
    </w:p>
    <w:p w14:paraId="59B4EFA2">
      <w:pPr>
        <w:spacing w:before="18"/>
      </w:pPr>
    </w:p>
    <w:p w14:paraId="57343B3B">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5E1E3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456" w:type="dxa"/>
            <w:vMerge w:val="restart"/>
            <w:tcBorders>
              <w:bottom w:val="nil"/>
            </w:tcBorders>
            <w:vAlign w:val="top"/>
          </w:tcPr>
          <w:p w14:paraId="0C997315">
            <w:pPr>
              <w:rPr>
                <w:rFonts w:ascii="Arial"/>
                <w:sz w:val="21"/>
              </w:rPr>
            </w:pPr>
          </w:p>
        </w:tc>
        <w:tc>
          <w:tcPr>
            <w:tcW w:w="113" w:type="dxa"/>
            <w:tcBorders>
              <w:bottom w:val="nil"/>
            </w:tcBorders>
            <w:vAlign w:val="top"/>
          </w:tcPr>
          <w:p w14:paraId="58ECC665">
            <w:pPr>
              <w:rPr>
                <w:rFonts w:ascii="Arial"/>
                <w:sz w:val="21"/>
              </w:rPr>
            </w:pPr>
          </w:p>
        </w:tc>
        <w:tc>
          <w:tcPr>
            <w:tcW w:w="467" w:type="dxa"/>
            <w:vAlign w:val="top"/>
          </w:tcPr>
          <w:p w14:paraId="334D5F85">
            <w:pPr>
              <w:rPr>
                <w:rFonts w:ascii="Arial"/>
                <w:sz w:val="21"/>
              </w:rPr>
            </w:pPr>
          </w:p>
        </w:tc>
        <w:tc>
          <w:tcPr>
            <w:tcW w:w="800" w:type="dxa"/>
            <w:vAlign w:val="top"/>
          </w:tcPr>
          <w:p w14:paraId="0C3520A3">
            <w:pPr>
              <w:rPr>
                <w:rFonts w:ascii="Arial"/>
                <w:sz w:val="21"/>
              </w:rPr>
            </w:pPr>
          </w:p>
        </w:tc>
        <w:tc>
          <w:tcPr>
            <w:tcW w:w="1248" w:type="dxa"/>
            <w:vAlign w:val="top"/>
          </w:tcPr>
          <w:p w14:paraId="34CD1F0B">
            <w:pPr>
              <w:rPr>
                <w:rFonts w:ascii="Arial"/>
                <w:sz w:val="21"/>
              </w:rPr>
            </w:pPr>
          </w:p>
        </w:tc>
        <w:tc>
          <w:tcPr>
            <w:tcW w:w="5423" w:type="dxa"/>
            <w:vAlign w:val="top"/>
          </w:tcPr>
          <w:p w14:paraId="334E566D">
            <w:pPr>
              <w:pStyle w:val="6"/>
              <w:spacing w:before="49" w:line="246" w:lineRule="auto"/>
              <w:ind w:left="113" w:right="33" w:hanging="1"/>
              <w:jc w:val="both"/>
              <w:rPr>
                <w:sz w:val="20"/>
                <w:szCs w:val="20"/>
              </w:rPr>
            </w:pPr>
            <w:r>
              <w:rPr>
                <w:spacing w:val="8"/>
                <w:sz w:val="20"/>
                <w:szCs w:val="20"/>
              </w:rPr>
              <w:t>入和皮肤接触进入人体，对眼、呼吸道粘膜有极强的刺激</w:t>
            </w:r>
            <w:r>
              <w:rPr>
                <w:sz w:val="20"/>
                <w:szCs w:val="20"/>
              </w:rPr>
              <w:t xml:space="preserve"> </w:t>
            </w:r>
            <w:r>
              <w:rPr>
                <w:spacing w:val="2"/>
                <w:sz w:val="20"/>
                <w:szCs w:val="20"/>
              </w:rPr>
              <w:t>性。急性中毒症状包括咽痛、喉收缩、胸闷、气憋、呛咳、</w:t>
            </w:r>
            <w:r>
              <w:rPr>
                <w:spacing w:val="16"/>
                <w:sz w:val="20"/>
                <w:szCs w:val="20"/>
              </w:rPr>
              <w:t xml:space="preserve"> </w:t>
            </w:r>
            <w:r>
              <w:rPr>
                <w:spacing w:val="2"/>
                <w:sz w:val="20"/>
                <w:szCs w:val="20"/>
              </w:rPr>
              <w:t>头痛、头晕、乏力、恶心、呕吐等，严重时可导致肺水肿、</w:t>
            </w:r>
            <w:r>
              <w:rPr>
                <w:spacing w:val="16"/>
                <w:sz w:val="20"/>
                <w:szCs w:val="20"/>
              </w:rPr>
              <w:t xml:space="preserve"> </w:t>
            </w:r>
            <w:r>
              <w:rPr>
                <w:spacing w:val="10"/>
                <w:sz w:val="20"/>
                <w:szCs w:val="20"/>
              </w:rPr>
              <w:t>窒息甚至死亡。长期低浓度接触可能引起慢性支气管炎、</w:t>
            </w:r>
            <w:r>
              <w:rPr>
                <w:spacing w:val="2"/>
                <w:sz w:val="20"/>
                <w:szCs w:val="20"/>
              </w:rPr>
              <w:t xml:space="preserve"> 支气管哮喘等。液氯具有助燃性，能与多种化学品如乙炔、</w:t>
            </w:r>
            <w:r>
              <w:rPr>
                <w:spacing w:val="16"/>
                <w:sz w:val="20"/>
                <w:szCs w:val="20"/>
              </w:rPr>
              <w:t xml:space="preserve"> </w:t>
            </w:r>
            <w:r>
              <w:rPr>
                <w:spacing w:val="10"/>
                <w:sz w:val="20"/>
                <w:szCs w:val="20"/>
              </w:rPr>
              <w:t>松节油、乙醚、氨、烃类、氢气、金属粉末等猛烈反应，</w:t>
            </w:r>
            <w:r>
              <w:rPr>
                <w:spacing w:val="5"/>
                <w:sz w:val="20"/>
                <w:szCs w:val="20"/>
              </w:rPr>
              <w:t xml:space="preserve"> </w:t>
            </w:r>
            <w:r>
              <w:rPr>
                <w:spacing w:val="9"/>
                <w:sz w:val="20"/>
                <w:szCs w:val="20"/>
              </w:rPr>
              <w:t>发生爆炸或生成爆炸性物质。储存容器受热可发生爆炸。</w:t>
            </w:r>
          </w:p>
        </w:tc>
        <w:tc>
          <w:tcPr>
            <w:tcW w:w="118" w:type="dxa"/>
            <w:tcBorders>
              <w:bottom w:val="nil"/>
            </w:tcBorders>
            <w:vAlign w:val="top"/>
          </w:tcPr>
          <w:p w14:paraId="6BB7ADF3">
            <w:pPr>
              <w:rPr>
                <w:rFonts w:ascii="Arial"/>
                <w:sz w:val="21"/>
              </w:rPr>
            </w:pPr>
          </w:p>
        </w:tc>
      </w:tr>
      <w:tr w14:paraId="2F98A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6" w:type="dxa"/>
            <w:vMerge w:val="continue"/>
            <w:tcBorders>
              <w:top w:val="nil"/>
              <w:bottom w:val="nil"/>
            </w:tcBorders>
            <w:vAlign w:val="top"/>
          </w:tcPr>
          <w:p w14:paraId="48734E2E">
            <w:pPr>
              <w:rPr>
                <w:rFonts w:ascii="Arial"/>
                <w:sz w:val="21"/>
              </w:rPr>
            </w:pPr>
          </w:p>
        </w:tc>
        <w:tc>
          <w:tcPr>
            <w:tcW w:w="113" w:type="dxa"/>
            <w:tcBorders>
              <w:top w:val="nil"/>
              <w:bottom w:val="nil"/>
            </w:tcBorders>
            <w:vAlign w:val="top"/>
          </w:tcPr>
          <w:p w14:paraId="220C517F">
            <w:pPr>
              <w:rPr>
                <w:rFonts w:ascii="Arial"/>
                <w:sz w:val="21"/>
              </w:rPr>
            </w:pPr>
          </w:p>
        </w:tc>
        <w:tc>
          <w:tcPr>
            <w:tcW w:w="467" w:type="dxa"/>
            <w:vAlign w:val="top"/>
          </w:tcPr>
          <w:p w14:paraId="07BAC0A6">
            <w:pPr>
              <w:spacing w:line="275" w:lineRule="auto"/>
              <w:rPr>
                <w:rFonts w:ascii="Arial"/>
                <w:sz w:val="21"/>
              </w:rPr>
            </w:pPr>
          </w:p>
          <w:p w14:paraId="63B86976">
            <w:pPr>
              <w:spacing w:line="276" w:lineRule="auto"/>
              <w:rPr>
                <w:rFonts w:ascii="Arial"/>
                <w:sz w:val="21"/>
              </w:rPr>
            </w:pPr>
          </w:p>
          <w:p w14:paraId="2F88297B">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00" w:type="dxa"/>
            <w:vAlign w:val="top"/>
          </w:tcPr>
          <w:p w14:paraId="390493D8">
            <w:pPr>
              <w:spacing w:line="254" w:lineRule="auto"/>
              <w:rPr>
                <w:rFonts w:ascii="Arial"/>
                <w:sz w:val="21"/>
              </w:rPr>
            </w:pPr>
          </w:p>
          <w:p w14:paraId="37DEFC82">
            <w:pPr>
              <w:spacing w:line="254" w:lineRule="auto"/>
              <w:rPr>
                <w:rFonts w:ascii="Arial"/>
                <w:sz w:val="21"/>
              </w:rPr>
            </w:pPr>
          </w:p>
          <w:p w14:paraId="4F059625">
            <w:pPr>
              <w:pStyle w:val="6"/>
              <w:spacing w:before="65" w:line="227" w:lineRule="auto"/>
              <w:ind w:left="301"/>
              <w:rPr>
                <w:sz w:val="20"/>
                <w:szCs w:val="20"/>
              </w:rPr>
            </w:pPr>
            <w:r>
              <w:rPr>
                <w:sz w:val="20"/>
                <w:szCs w:val="20"/>
              </w:rPr>
              <w:t>苯</w:t>
            </w:r>
          </w:p>
        </w:tc>
        <w:tc>
          <w:tcPr>
            <w:tcW w:w="1248" w:type="dxa"/>
            <w:vAlign w:val="top"/>
          </w:tcPr>
          <w:p w14:paraId="2643ED74">
            <w:pPr>
              <w:spacing w:line="275" w:lineRule="auto"/>
              <w:rPr>
                <w:rFonts w:ascii="Arial"/>
                <w:sz w:val="21"/>
              </w:rPr>
            </w:pPr>
          </w:p>
          <w:p w14:paraId="1DC8F055">
            <w:pPr>
              <w:spacing w:line="276" w:lineRule="auto"/>
              <w:rPr>
                <w:rFonts w:ascii="Arial"/>
                <w:sz w:val="21"/>
              </w:rPr>
            </w:pPr>
          </w:p>
          <w:p w14:paraId="6C366842">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71-43-2</w:t>
            </w:r>
          </w:p>
        </w:tc>
        <w:tc>
          <w:tcPr>
            <w:tcW w:w="5423" w:type="dxa"/>
            <w:vAlign w:val="top"/>
          </w:tcPr>
          <w:p w14:paraId="02B1FF5A">
            <w:pPr>
              <w:pStyle w:val="6"/>
              <w:spacing w:before="32" w:line="226" w:lineRule="auto"/>
              <w:ind w:left="202"/>
              <w:rPr>
                <w:sz w:val="20"/>
                <w:szCs w:val="20"/>
              </w:rPr>
            </w:pPr>
            <w:r>
              <w:rPr>
                <w:spacing w:val="9"/>
                <w:sz w:val="20"/>
                <w:szCs w:val="20"/>
              </w:rPr>
              <w:t>苯具有较低的闪点和燃点，易在空气中形成爆炸性混合</w:t>
            </w:r>
          </w:p>
          <w:p w14:paraId="29287DDA">
            <w:pPr>
              <w:pStyle w:val="6"/>
              <w:spacing w:before="26" w:line="226" w:lineRule="auto"/>
              <w:ind w:left="113"/>
              <w:rPr>
                <w:sz w:val="20"/>
                <w:szCs w:val="20"/>
              </w:rPr>
            </w:pPr>
            <w:r>
              <w:rPr>
                <w:spacing w:val="8"/>
                <w:sz w:val="20"/>
                <w:szCs w:val="20"/>
              </w:rPr>
              <w:t>物，遇明火或高温易引发火灾和爆炸事故。苯对人体具有</w:t>
            </w:r>
          </w:p>
          <w:p w14:paraId="67CB8580">
            <w:pPr>
              <w:pStyle w:val="6"/>
              <w:spacing w:before="28" w:line="227" w:lineRule="auto"/>
              <w:ind w:right="7"/>
              <w:jc w:val="right"/>
              <w:rPr>
                <w:sz w:val="20"/>
                <w:szCs w:val="20"/>
              </w:rPr>
            </w:pPr>
            <w:r>
              <w:rPr>
                <w:spacing w:val="3"/>
                <w:sz w:val="20"/>
                <w:szCs w:val="20"/>
              </w:rPr>
              <w:t>毒害作用，长期接触苯可导致神经系统、造血系统等受损，</w:t>
            </w:r>
          </w:p>
          <w:p w14:paraId="31F1BF4B">
            <w:pPr>
              <w:pStyle w:val="6"/>
              <w:spacing w:before="27" w:line="227" w:lineRule="auto"/>
              <w:ind w:left="199"/>
              <w:rPr>
                <w:sz w:val="20"/>
                <w:szCs w:val="20"/>
              </w:rPr>
            </w:pPr>
            <w:r>
              <w:rPr>
                <w:spacing w:val="9"/>
                <w:sz w:val="20"/>
                <w:szCs w:val="20"/>
              </w:rPr>
              <w:t>甚至引发白血病等严重疾病。苯在环境中的残留会对土</w:t>
            </w:r>
          </w:p>
          <w:p w14:paraId="287684FA">
            <w:pPr>
              <w:pStyle w:val="6"/>
              <w:spacing w:before="25" w:line="216" w:lineRule="auto"/>
              <w:ind w:left="408"/>
              <w:rPr>
                <w:sz w:val="20"/>
                <w:szCs w:val="20"/>
              </w:rPr>
            </w:pPr>
            <w:r>
              <w:rPr>
                <w:spacing w:val="9"/>
                <w:sz w:val="20"/>
                <w:szCs w:val="20"/>
              </w:rPr>
              <w:t>壤、水源等造成污染，影响生态环境和人体健康。</w:t>
            </w:r>
          </w:p>
        </w:tc>
        <w:tc>
          <w:tcPr>
            <w:tcW w:w="118" w:type="dxa"/>
            <w:tcBorders>
              <w:top w:val="nil"/>
              <w:bottom w:val="nil"/>
            </w:tcBorders>
            <w:vAlign w:val="top"/>
          </w:tcPr>
          <w:p w14:paraId="632FCEC6">
            <w:pPr>
              <w:rPr>
                <w:rFonts w:ascii="Arial"/>
                <w:sz w:val="21"/>
              </w:rPr>
            </w:pPr>
          </w:p>
        </w:tc>
      </w:tr>
      <w:tr w14:paraId="160A6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70959087">
            <w:pPr>
              <w:rPr>
                <w:rFonts w:ascii="Arial"/>
                <w:sz w:val="21"/>
              </w:rPr>
            </w:pPr>
          </w:p>
        </w:tc>
        <w:tc>
          <w:tcPr>
            <w:tcW w:w="113" w:type="dxa"/>
            <w:tcBorders>
              <w:top w:val="nil"/>
              <w:bottom w:val="nil"/>
            </w:tcBorders>
            <w:vAlign w:val="top"/>
          </w:tcPr>
          <w:p w14:paraId="05BFDC41">
            <w:pPr>
              <w:rPr>
                <w:rFonts w:ascii="Arial"/>
                <w:sz w:val="21"/>
              </w:rPr>
            </w:pPr>
          </w:p>
        </w:tc>
        <w:tc>
          <w:tcPr>
            <w:tcW w:w="467" w:type="dxa"/>
            <w:vAlign w:val="top"/>
          </w:tcPr>
          <w:p w14:paraId="507F1F0A">
            <w:pPr>
              <w:spacing w:line="420" w:lineRule="auto"/>
              <w:rPr>
                <w:rFonts w:ascii="Arial"/>
                <w:sz w:val="21"/>
              </w:rPr>
            </w:pPr>
          </w:p>
          <w:p w14:paraId="0E671C74">
            <w:pPr>
              <w:spacing w:before="58" w:line="192"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800" w:type="dxa"/>
            <w:vAlign w:val="top"/>
          </w:tcPr>
          <w:p w14:paraId="75208F4A">
            <w:pPr>
              <w:spacing w:line="374" w:lineRule="auto"/>
              <w:rPr>
                <w:rFonts w:ascii="Arial"/>
                <w:sz w:val="21"/>
              </w:rPr>
            </w:pPr>
          </w:p>
          <w:p w14:paraId="147E55B7">
            <w:pPr>
              <w:pStyle w:val="6"/>
              <w:spacing w:before="65" w:line="227" w:lineRule="auto"/>
              <w:ind w:left="220"/>
              <w:rPr>
                <w:sz w:val="20"/>
                <w:szCs w:val="20"/>
              </w:rPr>
            </w:pPr>
            <w:r>
              <w:rPr>
                <w:spacing w:val="-9"/>
                <w:sz w:val="20"/>
                <w:szCs w:val="20"/>
              </w:rPr>
              <w:t>甲苯</w:t>
            </w:r>
          </w:p>
        </w:tc>
        <w:tc>
          <w:tcPr>
            <w:tcW w:w="1248" w:type="dxa"/>
            <w:vAlign w:val="top"/>
          </w:tcPr>
          <w:p w14:paraId="07B67274">
            <w:pPr>
              <w:spacing w:line="417" w:lineRule="auto"/>
              <w:rPr>
                <w:rFonts w:ascii="Arial"/>
                <w:sz w:val="21"/>
              </w:rPr>
            </w:pPr>
          </w:p>
          <w:p w14:paraId="6195E105">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108-88-3</w:t>
            </w:r>
          </w:p>
        </w:tc>
        <w:tc>
          <w:tcPr>
            <w:tcW w:w="5423" w:type="dxa"/>
            <w:vAlign w:val="top"/>
          </w:tcPr>
          <w:p w14:paraId="00295E45">
            <w:pPr>
              <w:pStyle w:val="6"/>
              <w:spacing w:before="34" w:line="226" w:lineRule="auto"/>
              <w:ind w:left="127"/>
              <w:rPr>
                <w:sz w:val="20"/>
                <w:szCs w:val="20"/>
              </w:rPr>
            </w:pPr>
            <w:r>
              <w:rPr>
                <w:spacing w:val="7"/>
                <w:sz w:val="20"/>
                <w:szCs w:val="20"/>
              </w:rPr>
              <w:t>易燃，其蒸气与空气可形成爆炸性混合物。遇明火、高热</w:t>
            </w:r>
          </w:p>
          <w:p w14:paraId="7525A1DF">
            <w:pPr>
              <w:pStyle w:val="6"/>
              <w:spacing w:before="26" w:line="226" w:lineRule="auto"/>
              <w:ind w:left="121"/>
              <w:rPr>
                <w:sz w:val="20"/>
                <w:szCs w:val="20"/>
              </w:rPr>
            </w:pPr>
            <w:r>
              <w:rPr>
                <w:spacing w:val="9"/>
                <w:sz w:val="20"/>
                <w:szCs w:val="20"/>
              </w:rPr>
              <w:t>能引起燃烧爆炸。与氧化剂能发生强烈反应。</w:t>
            </w:r>
            <w:r>
              <w:rPr>
                <w:spacing w:val="8"/>
                <w:sz w:val="20"/>
                <w:szCs w:val="20"/>
              </w:rPr>
              <w:t>流速过快，</w:t>
            </w:r>
          </w:p>
          <w:p w14:paraId="56CE1599">
            <w:pPr>
              <w:pStyle w:val="6"/>
              <w:spacing w:before="26" w:line="227" w:lineRule="auto"/>
              <w:ind w:left="116"/>
              <w:rPr>
                <w:sz w:val="20"/>
                <w:szCs w:val="20"/>
              </w:rPr>
            </w:pPr>
            <w:r>
              <w:rPr>
                <w:spacing w:val="8"/>
                <w:sz w:val="20"/>
                <w:szCs w:val="20"/>
              </w:rPr>
              <w:t>容易产生和积聚静电。其蒸气比空气重，能在较</w:t>
            </w:r>
            <w:r>
              <w:rPr>
                <w:spacing w:val="7"/>
                <w:sz w:val="20"/>
                <w:szCs w:val="20"/>
              </w:rPr>
              <w:t>低处扩散</w:t>
            </w:r>
          </w:p>
          <w:p w14:paraId="07DE8ED7">
            <w:pPr>
              <w:pStyle w:val="6"/>
              <w:spacing w:before="27" w:line="216" w:lineRule="auto"/>
              <w:ind w:left="939"/>
              <w:rPr>
                <w:sz w:val="20"/>
                <w:szCs w:val="20"/>
              </w:rPr>
            </w:pPr>
            <w:r>
              <w:rPr>
                <w:spacing w:val="8"/>
                <w:sz w:val="20"/>
                <w:szCs w:val="20"/>
              </w:rPr>
              <w:t>到相当远的地方，遇明火会引着回燃。</w:t>
            </w:r>
          </w:p>
        </w:tc>
        <w:tc>
          <w:tcPr>
            <w:tcW w:w="118" w:type="dxa"/>
            <w:tcBorders>
              <w:top w:val="nil"/>
              <w:bottom w:val="nil"/>
            </w:tcBorders>
            <w:vAlign w:val="top"/>
          </w:tcPr>
          <w:p w14:paraId="4875498A">
            <w:pPr>
              <w:rPr>
                <w:rFonts w:ascii="Arial"/>
                <w:sz w:val="21"/>
              </w:rPr>
            </w:pPr>
          </w:p>
        </w:tc>
      </w:tr>
      <w:tr w14:paraId="19A92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2C4A9186">
            <w:pPr>
              <w:rPr>
                <w:rFonts w:ascii="Arial"/>
                <w:sz w:val="21"/>
              </w:rPr>
            </w:pPr>
          </w:p>
        </w:tc>
        <w:tc>
          <w:tcPr>
            <w:tcW w:w="113" w:type="dxa"/>
            <w:tcBorders>
              <w:top w:val="nil"/>
              <w:bottom w:val="nil"/>
            </w:tcBorders>
            <w:vAlign w:val="top"/>
          </w:tcPr>
          <w:p w14:paraId="2230F9AA">
            <w:pPr>
              <w:rPr>
                <w:rFonts w:ascii="Arial"/>
                <w:sz w:val="21"/>
              </w:rPr>
            </w:pPr>
          </w:p>
        </w:tc>
        <w:tc>
          <w:tcPr>
            <w:tcW w:w="467" w:type="dxa"/>
            <w:vAlign w:val="top"/>
          </w:tcPr>
          <w:p w14:paraId="632289C9">
            <w:pPr>
              <w:spacing w:line="417" w:lineRule="auto"/>
              <w:rPr>
                <w:rFonts w:ascii="Arial"/>
                <w:sz w:val="21"/>
              </w:rPr>
            </w:pPr>
          </w:p>
          <w:p w14:paraId="76932401">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800" w:type="dxa"/>
            <w:vAlign w:val="top"/>
          </w:tcPr>
          <w:p w14:paraId="51288BD5">
            <w:pPr>
              <w:pStyle w:val="6"/>
              <w:spacing w:before="306" w:line="251" w:lineRule="auto"/>
              <w:ind w:left="300" w:right="191" w:hanging="104"/>
              <w:rPr>
                <w:sz w:val="20"/>
                <w:szCs w:val="20"/>
              </w:rPr>
            </w:pPr>
            <w:r>
              <w:rPr>
                <w:spacing w:val="3"/>
                <w:sz w:val="20"/>
                <w:szCs w:val="20"/>
              </w:rPr>
              <w:t>二甲</w:t>
            </w:r>
            <w:r>
              <w:rPr>
                <w:sz w:val="20"/>
                <w:szCs w:val="20"/>
              </w:rPr>
              <w:t xml:space="preserve"> 苯</w:t>
            </w:r>
          </w:p>
        </w:tc>
        <w:tc>
          <w:tcPr>
            <w:tcW w:w="1248" w:type="dxa"/>
            <w:vAlign w:val="top"/>
          </w:tcPr>
          <w:p w14:paraId="7E89923C">
            <w:pPr>
              <w:spacing w:line="395" w:lineRule="auto"/>
              <w:rPr>
                <w:rFonts w:ascii="Arial"/>
                <w:sz w:val="21"/>
              </w:rPr>
            </w:pPr>
          </w:p>
          <w:p w14:paraId="60344A0D">
            <w:pPr>
              <w:spacing w:before="69" w:line="188" w:lineRule="auto"/>
              <w:ind w:left="2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95-47-6</w:t>
            </w:r>
          </w:p>
        </w:tc>
        <w:tc>
          <w:tcPr>
            <w:tcW w:w="5423" w:type="dxa"/>
            <w:vAlign w:val="top"/>
          </w:tcPr>
          <w:p w14:paraId="032EC09C">
            <w:pPr>
              <w:pStyle w:val="6"/>
              <w:spacing w:before="34" w:line="226" w:lineRule="auto"/>
              <w:ind w:left="127"/>
              <w:rPr>
                <w:sz w:val="20"/>
                <w:szCs w:val="20"/>
              </w:rPr>
            </w:pPr>
            <w:r>
              <w:rPr>
                <w:spacing w:val="7"/>
                <w:sz w:val="20"/>
                <w:szCs w:val="20"/>
              </w:rPr>
              <w:t>易燃，其蒸气与空气可形成爆炸性混合物。遇明火、高热</w:t>
            </w:r>
          </w:p>
          <w:p w14:paraId="49018D20">
            <w:pPr>
              <w:pStyle w:val="6"/>
              <w:spacing w:before="26" w:line="226" w:lineRule="auto"/>
              <w:ind w:left="121"/>
              <w:rPr>
                <w:sz w:val="20"/>
                <w:szCs w:val="20"/>
              </w:rPr>
            </w:pPr>
            <w:r>
              <w:rPr>
                <w:spacing w:val="9"/>
                <w:sz w:val="20"/>
                <w:szCs w:val="20"/>
              </w:rPr>
              <w:t>能引起燃烧爆炸。与氧化剂能发生强烈反应。</w:t>
            </w:r>
            <w:r>
              <w:rPr>
                <w:spacing w:val="8"/>
                <w:sz w:val="20"/>
                <w:szCs w:val="20"/>
              </w:rPr>
              <w:t>流速过快，</w:t>
            </w:r>
          </w:p>
          <w:p w14:paraId="1DEA34BC">
            <w:pPr>
              <w:pStyle w:val="6"/>
              <w:spacing w:before="26" w:line="227" w:lineRule="auto"/>
              <w:ind w:left="116"/>
              <w:rPr>
                <w:sz w:val="20"/>
                <w:szCs w:val="20"/>
              </w:rPr>
            </w:pPr>
            <w:r>
              <w:rPr>
                <w:spacing w:val="8"/>
                <w:sz w:val="20"/>
                <w:szCs w:val="20"/>
              </w:rPr>
              <w:t>容易产生和积聚静电。其蒸气比空气重，能在较</w:t>
            </w:r>
            <w:r>
              <w:rPr>
                <w:spacing w:val="7"/>
                <w:sz w:val="20"/>
                <w:szCs w:val="20"/>
              </w:rPr>
              <w:t>低处扩散</w:t>
            </w:r>
          </w:p>
          <w:p w14:paraId="69B292DA">
            <w:pPr>
              <w:pStyle w:val="6"/>
              <w:spacing w:before="27" w:line="216" w:lineRule="auto"/>
              <w:ind w:left="939"/>
              <w:rPr>
                <w:sz w:val="20"/>
                <w:szCs w:val="20"/>
              </w:rPr>
            </w:pPr>
            <w:r>
              <w:rPr>
                <w:spacing w:val="8"/>
                <w:sz w:val="20"/>
                <w:szCs w:val="20"/>
              </w:rPr>
              <w:t>到相当远的地方，遇明火会引着回燃。</w:t>
            </w:r>
          </w:p>
        </w:tc>
        <w:tc>
          <w:tcPr>
            <w:tcW w:w="118" w:type="dxa"/>
            <w:tcBorders>
              <w:top w:val="nil"/>
              <w:bottom w:val="nil"/>
            </w:tcBorders>
            <w:vAlign w:val="top"/>
          </w:tcPr>
          <w:p w14:paraId="634FABA7">
            <w:pPr>
              <w:rPr>
                <w:rFonts w:ascii="Arial"/>
                <w:sz w:val="21"/>
              </w:rPr>
            </w:pPr>
          </w:p>
        </w:tc>
      </w:tr>
      <w:tr w14:paraId="3CEE9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5E03C373">
            <w:pPr>
              <w:rPr>
                <w:rFonts w:ascii="Arial"/>
                <w:sz w:val="21"/>
              </w:rPr>
            </w:pPr>
          </w:p>
        </w:tc>
        <w:tc>
          <w:tcPr>
            <w:tcW w:w="113" w:type="dxa"/>
            <w:tcBorders>
              <w:top w:val="nil"/>
              <w:bottom w:val="nil"/>
            </w:tcBorders>
            <w:vAlign w:val="top"/>
          </w:tcPr>
          <w:p w14:paraId="24C55936">
            <w:pPr>
              <w:rPr>
                <w:rFonts w:ascii="Arial"/>
                <w:sz w:val="21"/>
              </w:rPr>
            </w:pPr>
          </w:p>
        </w:tc>
        <w:tc>
          <w:tcPr>
            <w:tcW w:w="467" w:type="dxa"/>
            <w:vAlign w:val="top"/>
          </w:tcPr>
          <w:p w14:paraId="57A36160">
            <w:pPr>
              <w:spacing w:before="2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00" w:type="dxa"/>
            <w:vAlign w:val="top"/>
          </w:tcPr>
          <w:p w14:paraId="64ED6A11">
            <w:pPr>
              <w:pStyle w:val="6"/>
              <w:spacing w:before="33" w:line="228" w:lineRule="auto"/>
              <w:ind w:left="199"/>
              <w:rPr>
                <w:sz w:val="20"/>
                <w:szCs w:val="20"/>
              </w:rPr>
            </w:pPr>
            <w:r>
              <w:rPr>
                <w:spacing w:val="2"/>
                <w:sz w:val="20"/>
                <w:szCs w:val="20"/>
              </w:rPr>
              <w:t>次氯</w:t>
            </w:r>
          </w:p>
          <w:p w14:paraId="4C0AD86D">
            <w:pPr>
              <w:pStyle w:val="6"/>
              <w:spacing w:before="25" w:line="216" w:lineRule="auto"/>
              <w:ind w:left="194"/>
              <w:rPr>
                <w:sz w:val="20"/>
                <w:szCs w:val="20"/>
              </w:rPr>
            </w:pPr>
            <w:r>
              <w:rPr>
                <w:spacing w:val="4"/>
                <w:sz w:val="20"/>
                <w:szCs w:val="20"/>
              </w:rPr>
              <w:t>酸钠</w:t>
            </w:r>
          </w:p>
        </w:tc>
        <w:tc>
          <w:tcPr>
            <w:tcW w:w="1248" w:type="dxa"/>
            <w:vAlign w:val="top"/>
          </w:tcPr>
          <w:p w14:paraId="40028BDD">
            <w:pPr>
              <w:spacing w:before="204"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7681-52-9</w:t>
            </w:r>
          </w:p>
        </w:tc>
        <w:tc>
          <w:tcPr>
            <w:tcW w:w="5423" w:type="dxa"/>
            <w:vAlign w:val="top"/>
          </w:tcPr>
          <w:p w14:paraId="7B48D296">
            <w:pPr>
              <w:pStyle w:val="6"/>
              <w:spacing w:before="168" w:line="228" w:lineRule="auto"/>
              <w:ind w:left="412"/>
              <w:rPr>
                <w:sz w:val="20"/>
                <w:szCs w:val="20"/>
              </w:rPr>
            </w:pPr>
            <w:r>
              <w:rPr>
                <w:spacing w:val="9"/>
                <w:sz w:val="20"/>
                <w:szCs w:val="20"/>
              </w:rPr>
              <w:t>受高热分解产生有毒的腐蚀性烟气。具有腐</w:t>
            </w:r>
            <w:r>
              <w:rPr>
                <w:spacing w:val="8"/>
                <w:sz w:val="20"/>
                <w:szCs w:val="20"/>
              </w:rPr>
              <w:t>蚀性。</w:t>
            </w:r>
          </w:p>
        </w:tc>
        <w:tc>
          <w:tcPr>
            <w:tcW w:w="118" w:type="dxa"/>
            <w:tcBorders>
              <w:top w:val="nil"/>
              <w:bottom w:val="nil"/>
            </w:tcBorders>
            <w:vAlign w:val="top"/>
          </w:tcPr>
          <w:p w14:paraId="4490C3D8">
            <w:pPr>
              <w:rPr>
                <w:rFonts w:ascii="Arial"/>
                <w:sz w:val="21"/>
              </w:rPr>
            </w:pPr>
          </w:p>
        </w:tc>
      </w:tr>
      <w:tr w14:paraId="00750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59D0CDF9">
            <w:pPr>
              <w:rPr>
                <w:rFonts w:ascii="Arial"/>
                <w:sz w:val="21"/>
              </w:rPr>
            </w:pPr>
          </w:p>
        </w:tc>
        <w:tc>
          <w:tcPr>
            <w:tcW w:w="113" w:type="dxa"/>
            <w:tcBorders>
              <w:top w:val="nil"/>
              <w:bottom w:val="nil"/>
            </w:tcBorders>
            <w:vAlign w:val="top"/>
          </w:tcPr>
          <w:p w14:paraId="561ED3E4">
            <w:pPr>
              <w:rPr>
                <w:rFonts w:ascii="Arial"/>
                <w:sz w:val="21"/>
              </w:rPr>
            </w:pPr>
          </w:p>
        </w:tc>
        <w:tc>
          <w:tcPr>
            <w:tcW w:w="467" w:type="dxa"/>
            <w:vAlign w:val="top"/>
          </w:tcPr>
          <w:p w14:paraId="61CF449E">
            <w:pPr>
              <w:spacing w:line="281" w:lineRule="auto"/>
              <w:rPr>
                <w:rFonts w:ascii="Arial"/>
                <w:sz w:val="21"/>
              </w:rPr>
            </w:pPr>
          </w:p>
          <w:p w14:paraId="4EC29A4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0" w:type="dxa"/>
            <w:vAlign w:val="top"/>
          </w:tcPr>
          <w:p w14:paraId="084AEC38">
            <w:pPr>
              <w:pStyle w:val="6"/>
              <w:spacing w:before="170" w:line="253" w:lineRule="auto"/>
              <w:ind w:left="297" w:right="191" w:hanging="104"/>
              <w:rPr>
                <w:sz w:val="20"/>
                <w:szCs w:val="20"/>
              </w:rPr>
            </w:pPr>
            <w:r>
              <w:rPr>
                <w:spacing w:val="4"/>
                <w:sz w:val="20"/>
                <w:szCs w:val="20"/>
              </w:rPr>
              <w:t>碳化</w:t>
            </w:r>
            <w:r>
              <w:rPr>
                <w:sz w:val="20"/>
                <w:szCs w:val="20"/>
              </w:rPr>
              <w:t xml:space="preserve"> </w:t>
            </w:r>
            <w:r>
              <w:rPr>
                <w:spacing w:val="1"/>
                <w:sz w:val="20"/>
                <w:szCs w:val="20"/>
              </w:rPr>
              <w:t>钙</w:t>
            </w:r>
          </w:p>
        </w:tc>
        <w:tc>
          <w:tcPr>
            <w:tcW w:w="1248" w:type="dxa"/>
            <w:vAlign w:val="top"/>
          </w:tcPr>
          <w:p w14:paraId="3FB7E1BD">
            <w:pPr>
              <w:spacing w:line="281" w:lineRule="auto"/>
              <w:rPr>
                <w:rFonts w:ascii="Arial"/>
                <w:sz w:val="21"/>
              </w:rPr>
            </w:pPr>
          </w:p>
          <w:p w14:paraId="1E8CCB2B">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75-20-7</w:t>
            </w:r>
          </w:p>
        </w:tc>
        <w:tc>
          <w:tcPr>
            <w:tcW w:w="5423" w:type="dxa"/>
            <w:vAlign w:val="top"/>
          </w:tcPr>
          <w:p w14:paraId="66330BA2">
            <w:pPr>
              <w:pStyle w:val="6"/>
              <w:spacing w:before="33" w:line="227" w:lineRule="auto"/>
              <w:ind w:left="199"/>
              <w:rPr>
                <w:sz w:val="20"/>
                <w:szCs w:val="20"/>
              </w:rPr>
            </w:pPr>
            <w:r>
              <w:rPr>
                <w:spacing w:val="9"/>
                <w:sz w:val="20"/>
                <w:szCs w:val="20"/>
              </w:rPr>
              <w:t>干燥时不燃，遇水或湿气能迅速产生高度易燃的乙炔气</w:t>
            </w:r>
          </w:p>
          <w:p w14:paraId="25ECB549">
            <w:pPr>
              <w:pStyle w:val="6"/>
              <w:spacing w:before="25" w:line="226" w:lineRule="auto"/>
              <w:ind w:left="113"/>
              <w:rPr>
                <w:sz w:val="20"/>
                <w:szCs w:val="20"/>
              </w:rPr>
            </w:pPr>
            <w:r>
              <w:rPr>
                <w:spacing w:val="8"/>
                <w:sz w:val="20"/>
                <w:szCs w:val="20"/>
              </w:rPr>
              <w:t>体，在空气中到达一定的浓度时可发生爆炸性灾害。与酸</w:t>
            </w:r>
          </w:p>
          <w:p w14:paraId="5AC84A56">
            <w:pPr>
              <w:pStyle w:val="6"/>
              <w:spacing w:before="28" w:line="216" w:lineRule="auto"/>
              <w:ind w:left="1563"/>
              <w:rPr>
                <w:sz w:val="20"/>
                <w:szCs w:val="20"/>
              </w:rPr>
            </w:pPr>
            <w:r>
              <w:rPr>
                <w:spacing w:val="8"/>
                <w:sz w:val="20"/>
                <w:szCs w:val="20"/>
              </w:rPr>
              <w:t>类物质能发生剧烈反应。</w:t>
            </w:r>
          </w:p>
        </w:tc>
        <w:tc>
          <w:tcPr>
            <w:tcW w:w="118" w:type="dxa"/>
            <w:tcBorders>
              <w:top w:val="nil"/>
              <w:bottom w:val="nil"/>
            </w:tcBorders>
            <w:vAlign w:val="top"/>
          </w:tcPr>
          <w:p w14:paraId="696BE0D0">
            <w:pPr>
              <w:rPr>
                <w:rFonts w:ascii="Arial"/>
                <w:sz w:val="21"/>
              </w:rPr>
            </w:pPr>
          </w:p>
        </w:tc>
      </w:tr>
      <w:tr w14:paraId="2BC2C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13F38C73">
            <w:pPr>
              <w:rPr>
                <w:rFonts w:ascii="Arial"/>
                <w:sz w:val="21"/>
              </w:rPr>
            </w:pPr>
          </w:p>
        </w:tc>
        <w:tc>
          <w:tcPr>
            <w:tcW w:w="113" w:type="dxa"/>
            <w:tcBorders>
              <w:top w:val="nil"/>
              <w:bottom w:val="nil"/>
            </w:tcBorders>
            <w:vAlign w:val="top"/>
          </w:tcPr>
          <w:p w14:paraId="609487AB">
            <w:pPr>
              <w:rPr>
                <w:rFonts w:ascii="Arial"/>
                <w:sz w:val="21"/>
              </w:rPr>
            </w:pPr>
          </w:p>
        </w:tc>
        <w:tc>
          <w:tcPr>
            <w:tcW w:w="467" w:type="dxa"/>
            <w:vAlign w:val="top"/>
          </w:tcPr>
          <w:p w14:paraId="33C1A372">
            <w:pPr>
              <w:spacing w:line="416" w:lineRule="auto"/>
              <w:rPr>
                <w:rFonts w:ascii="Arial"/>
                <w:sz w:val="21"/>
              </w:rPr>
            </w:pPr>
          </w:p>
          <w:p w14:paraId="40CE6587">
            <w:pPr>
              <w:spacing w:before="57"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800" w:type="dxa"/>
            <w:vAlign w:val="top"/>
          </w:tcPr>
          <w:p w14:paraId="475ACF33">
            <w:pPr>
              <w:pStyle w:val="6"/>
              <w:spacing w:before="305" w:line="229" w:lineRule="auto"/>
              <w:ind w:left="196"/>
              <w:rPr>
                <w:sz w:val="20"/>
                <w:szCs w:val="20"/>
              </w:rPr>
            </w:pPr>
            <w:r>
              <w:rPr>
                <w:spacing w:val="3"/>
                <w:sz w:val="20"/>
                <w:szCs w:val="20"/>
              </w:rPr>
              <w:t>二氯</w:t>
            </w:r>
          </w:p>
          <w:p w14:paraId="05D0481C">
            <w:pPr>
              <w:pStyle w:val="6"/>
              <w:spacing w:before="23" w:line="228" w:lineRule="auto"/>
              <w:ind w:left="214"/>
              <w:rPr>
                <w:sz w:val="20"/>
                <w:szCs w:val="20"/>
              </w:rPr>
            </w:pPr>
            <w:r>
              <w:rPr>
                <w:spacing w:val="-6"/>
                <w:sz w:val="20"/>
                <w:szCs w:val="20"/>
              </w:rPr>
              <w:t>乙烷</w:t>
            </w:r>
          </w:p>
        </w:tc>
        <w:tc>
          <w:tcPr>
            <w:tcW w:w="1248" w:type="dxa"/>
            <w:vAlign w:val="top"/>
          </w:tcPr>
          <w:p w14:paraId="56DE6155">
            <w:pPr>
              <w:spacing w:line="416" w:lineRule="auto"/>
              <w:rPr>
                <w:rFonts w:ascii="Arial"/>
                <w:sz w:val="21"/>
              </w:rPr>
            </w:pPr>
          </w:p>
          <w:p w14:paraId="25A2B0D5">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75-34-3</w:t>
            </w:r>
          </w:p>
        </w:tc>
        <w:tc>
          <w:tcPr>
            <w:tcW w:w="5423" w:type="dxa"/>
            <w:vAlign w:val="top"/>
          </w:tcPr>
          <w:p w14:paraId="261D9D14">
            <w:pPr>
              <w:pStyle w:val="6"/>
              <w:spacing w:before="32" w:line="226" w:lineRule="auto"/>
              <w:ind w:left="127"/>
              <w:rPr>
                <w:sz w:val="20"/>
                <w:szCs w:val="20"/>
              </w:rPr>
            </w:pPr>
            <w:r>
              <w:rPr>
                <w:spacing w:val="7"/>
                <w:sz w:val="20"/>
                <w:szCs w:val="20"/>
              </w:rPr>
              <w:t>易燃，其蒸气与空气可形成爆炸性混合物。遇明火、高热</w:t>
            </w:r>
          </w:p>
          <w:p w14:paraId="3584B4D7">
            <w:pPr>
              <w:pStyle w:val="6"/>
              <w:spacing w:before="28" w:line="226" w:lineRule="auto"/>
              <w:ind w:left="121"/>
              <w:rPr>
                <w:sz w:val="20"/>
                <w:szCs w:val="20"/>
              </w:rPr>
            </w:pPr>
            <w:r>
              <w:rPr>
                <w:spacing w:val="8"/>
                <w:sz w:val="20"/>
                <w:szCs w:val="20"/>
              </w:rPr>
              <w:t>能引起燃烧爆炸。受高热分解产生有毒的腐</w:t>
            </w:r>
            <w:r>
              <w:rPr>
                <w:spacing w:val="7"/>
                <w:sz w:val="20"/>
                <w:szCs w:val="20"/>
              </w:rPr>
              <w:t>蚀性烟气。与</w:t>
            </w:r>
          </w:p>
          <w:p w14:paraId="3742B2AB">
            <w:pPr>
              <w:pStyle w:val="6"/>
              <w:spacing w:before="26" w:line="227" w:lineRule="auto"/>
              <w:ind w:left="114"/>
              <w:rPr>
                <w:sz w:val="20"/>
                <w:szCs w:val="20"/>
              </w:rPr>
            </w:pPr>
            <w:r>
              <w:rPr>
                <w:spacing w:val="8"/>
                <w:sz w:val="20"/>
                <w:szCs w:val="20"/>
              </w:rPr>
              <w:t>氧化剂能发生强烈反应。其蒸气比空气重，能在较低</w:t>
            </w:r>
            <w:r>
              <w:rPr>
                <w:spacing w:val="7"/>
                <w:sz w:val="20"/>
                <w:szCs w:val="20"/>
              </w:rPr>
              <w:t>处扩</w:t>
            </w:r>
          </w:p>
          <w:p w14:paraId="593E9079">
            <w:pPr>
              <w:pStyle w:val="6"/>
              <w:spacing w:before="28" w:line="215" w:lineRule="auto"/>
              <w:ind w:left="827"/>
              <w:rPr>
                <w:sz w:val="20"/>
                <w:szCs w:val="20"/>
              </w:rPr>
            </w:pPr>
            <w:r>
              <w:rPr>
                <w:spacing w:val="8"/>
                <w:sz w:val="20"/>
                <w:szCs w:val="20"/>
              </w:rPr>
              <w:t>散到相当远的地方，遇明火会引着回燃。</w:t>
            </w:r>
          </w:p>
        </w:tc>
        <w:tc>
          <w:tcPr>
            <w:tcW w:w="118" w:type="dxa"/>
            <w:tcBorders>
              <w:top w:val="nil"/>
              <w:bottom w:val="nil"/>
            </w:tcBorders>
            <w:vAlign w:val="top"/>
          </w:tcPr>
          <w:p w14:paraId="0472F674">
            <w:pPr>
              <w:rPr>
                <w:rFonts w:ascii="Arial"/>
                <w:sz w:val="21"/>
              </w:rPr>
            </w:pPr>
          </w:p>
        </w:tc>
      </w:tr>
      <w:tr w14:paraId="04C53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456" w:type="dxa"/>
            <w:vMerge w:val="continue"/>
            <w:tcBorders>
              <w:top w:val="nil"/>
              <w:bottom w:val="nil"/>
            </w:tcBorders>
            <w:vAlign w:val="top"/>
          </w:tcPr>
          <w:p w14:paraId="04333F96">
            <w:pPr>
              <w:rPr>
                <w:rFonts w:ascii="Arial"/>
                <w:sz w:val="21"/>
              </w:rPr>
            </w:pPr>
          </w:p>
        </w:tc>
        <w:tc>
          <w:tcPr>
            <w:tcW w:w="113" w:type="dxa"/>
            <w:tcBorders>
              <w:top w:val="nil"/>
              <w:bottom w:val="nil"/>
            </w:tcBorders>
            <w:vAlign w:val="top"/>
          </w:tcPr>
          <w:p w14:paraId="5116F72C">
            <w:pPr>
              <w:rPr>
                <w:rFonts w:ascii="Arial"/>
                <w:sz w:val="21"/>
              </w:rPr>
            </w:pPr>
          </w:p>
        </w:tc>
        <w:tc>
          <w:tcPr>
            <w:tcW w:w="467" w:type="dxa"/>
            <w:vAlign w:val="top"/>
          </w:tcPr>
          <w:p w14:paraId="3EA618BF">
            <w:pPr>
              <w:spacing w:line="272" w:lineRule="auto"/>
              <w:rPr>
                <w:rFonts w:ascii="Arial"/>
                <w:sz w:val="21"/>
              </w:rPr>
            </w:pPr>
          </w:p>
          <w:p w14:paraId="46D57E97">
            <w:pPr>
              <w:spacing w:line="272" w:lineRule="auto"/>
              <w:rPr>
                <w:rFonts w:ascii="Arial"/>
                <w:sz w:val="21"/>
              </w:rPr>
            </w:pPr>
          </w:p>
          <w:p w14:paraId="124EE30C">
            <w:pPr>
              <w:spacing w:line="272" w:lineRule="auto"/>
              <w:rPr>
                <w:rFonts w:ascii="Arial"/>
                <w:sz w:val="21"/>
              </w:rPr>
            </w:pPr>
          </w:p>
          <w:p w14:paraId="1BC61845">
            <w:pPr>
              <w:spacing w:line="273" w:lineRule="auto"/>
              <w:rPr>
                <w:rFonts w:ascii="Arial"/>
                <w:sz w:val="21"/>
              </w:rPr>
            </w:pPr>
          </w:p>
          <w:p w14:paraId="3CA20099">
            <w:pPr>
              <w:spacing w:line="273" w:lineRule="auto"/>
              <w:rPr>
                <w:rFonts w:ascii="Arial"/>
                <w:sz w:val="21"/>
              </w:rPr>
            </w:pPr>
          </w:p>
          <w:p w14:paraId="4A71084B">
            <w:pPr>
              <w:spacing w:line="273" w:lineRule="auto"/>
              <w:rPr>
                <w:rFonts w:ascii="Arial"/>
                <w:sz w:val="21"/>
              </w:rPr>
            </w:pPr>
          </w:p>
          <w:p w14:paraId="5DFBE3D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00" w:type="dxa"/>
            <w:vAlign w:val="top"/>
          </w:tcPr>
          <w:p w14:paraId="4535CC0B">
            <w:pPr>
              <w:spacing w:line="242" w:lineRule="auto"/>
              <w:rPr>
                <w:rFonts w:ascii="Arial"/>
                <w:sz w:val="21"/>
              </w:rPr>
            </w:pPr>
          </w:p>
          <w:p w14:paraId="17CA540E">
            <w:pPr>
              <w:spacing w:line="242" w:lineRule="auto"/>
              <w:rPr>
                <w:rFonts w:ascii="Arial"/>
                <w:sz w:val="21"/>
              </w:rPr>
            </w:pPr>
          </w:p>
          <w:p w14:paraId="2679D2FE">
            <w:pPr>
              <w:spacing w:line="242" w:lineRule="auto"/>
              <w:rPr>
                <w:rFonts w:ascii="Arial"/>
                <w:sz w:val="21"/>
              </w:rPr>
            </w:pPr>
          </w:p>
          <w:p w14:paraId="6DA3E9B4">
            <w:pPr>
              <w:spacing w:line="243" w:lineRule="auto"/>
              <w:rPr>
                <w:rFonts w:ascii="Arial"/>
                <w:sz w:val="21"/>
              </w:rPr>
            </w:pPr>
          </w:p>
          <w:p w14:paraId="1A5DE9EF">
            <w:pPr>
              <w:spacing w:line="243" w:lineRule="auto"/>
              <w:rPr>
                <w:rFonts w:ascii="Arial"/>
                <w:sz w:val="21"/>
              </w:rPr>
            </w:pPr>
          </w:p>
          <w:p w14:paraId="1E35CD47">
            <w:pPr>
              <w:spacing w:line="243" w:lineRule="auto"/>
              <w:rPr>
                <w:rFonts w:ascii="Arial"/>
                <w:sz w:val="21"/>
              </w:rPr>
            </w:pPr>
          </w:p>
          <w:p w14:paraId="0FFEF8B7">
            <w:pPr>
              <w:pStyle w:val="6"/>
              <w:spacing w:before="66" w:line="227" w:lineRule="auto"/>
              <w:ind w:left="194"/>
              <w:rPr>
                <w:sz w:val="20"/>
                <w:szCs w:val="20"/>
              </w:rPr>
            </w:pPr>
            <w:r>
              <w:rPr>
                <w:spacing w:val="4"/>
                <w:sz w:val="20"/>
                <w:szCs w:val="20"/>
              </w:rPr>
              <w:t>过氧</w:t>
            </w:r>
          </w:p>
          <w:p w14:paraId="08282C8D">
            <w:pPr>
              <w:pStyle w:val="6"/>
              <w:spacing w:before="25" w:line="229" w:lineRule="auto"/>
              <w:ind w:left="194"/>
              <w:rPr>
                <w:sz w:val="20"/>
                <w:szCs w:val="20"/>
              </w:rPr>
            </w:pPr>
            <w:r>
              <w:rPr>
                <w:spacing w:val="4"/>
                <w:sz w:val="20"/>
                <w:szCs w:val="20"/>
              </w:rPr>
              <w:t>化氢</w:t>
            </w:r>
          </w:p>
        </w:tc>
        <w:tc>
          <w:tcPr>
            <w:tcW w:w="1248" w:type="dxa"/>
            <w:vAlign w:val="top"/>
          </w:tcPr>
          <w:p w14:paraId="627BE346">
            <w:pPr>
              <w:spacing w:line="272" w:lineRule="auto"/>
              <w:rPr>
                <w:rFonts w:ascii="Arial"/>
                <w:sz w:val="21"/>
              </w:rPr>
            </w:pPr>
          </w:p>
          <w:p w14:paraId="23F4A6CD">
            <w:pPr>
              <w:spacing w:line="272" w:lineRule="auto"/>
              <w:rPr>
                <w:rFonts w:ascii="Arial"/>
                <w:sz w:val="21"/>
              </w:rPr>
            </w:pPr>
          </w:p>
          <w:p w14:paraId="29DE6B6F">
            <w:pPr>
              <w:spacing w:line="272" w:lineRule="auto"/>
              <w:rPr>
                <w:rFonts w:ascii="Arial"/>
                <w:sz w:val="21"/>
              </w:rPr>
            </w:pPr>
          </w:p>
          <w:p w14:paraId="0BD9CABB">
            <w:pPr>
              <w:spacing w:line="273" w:lineRule="auto"/>
              <w:rPr>
                <w:rFonts w:ascii="Arial"/>
                <w:sz w:val="21"/>
              </w:rPr>
            </w:pPr>
          </w:p>
          <w:p w14:paraId="4A35AA43">
            <w:pPr>
              <w:spacing w:line="273" w:lineRule="auto"/>
              <w:rPr>
                <w:rFonts w:ascii="Arial"/>
                <w:sz w:val="21"/>
              </w:rPr>
            </w:pPr>
          </w:p>
          <w:p w14:paraId="2C6D63C8">
            <w:pPr>
              <w:spacing w:line="273" w:lineRule="auto"/>
              <w:rPr>
                <w:rFonts w:ascii="Arial"/>
                <w:sz w:val="21"/>
              </w:rPr>
            </w:pPr>
          </w:p>
          <w:p w14:paraId="520A277D">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7722-84-1</w:t>
            </w:r>
          </w:p>
        </w:tc>
        <w:tc>
          <w:tcPr>
            <w:tcW w:w="5423" w:type="dxa"/>
            <w:vAlign w:val="top"/>
          </w:tcPr>
          <w:p w14:paraId="2F296E3A">
            <w:pPr>
              <w:pStyle w:val="6"/>
              <w:spacing w:before="32" w:line="226" w:lineRule="auto"/>
              <w:ind w:left="113"/>
              <w:rPr>
                <w:sz w:val="20"/>
                <w:szCs w:val="20"/>
              </w:rPr>
            </w:pPr>
            <w:r>
              <w:rPr>
                <w:spacing w:val="8"/>
                <w:sz w:val="20"/>
                <w:szCs w:val="20"/>
              </w:rPr>
              <w:t>爆炸性强氧化剂。过氧化氢本身不燃，但能与可燃物反应</w:t>
            </w:r>
          </w:p>
          <w:p w14:paraId="3A0071BE">
            <w:pPr>
              <w:pStyle w:val="6"/>
              <w:spacing w:before="28" w:line="221" w:lineRule="auto"/>
              <w:ind w:left="123"/>
              <w:rPr>
                <w:sz w:val="20"/>
                <w:szCs w:val="20"/>
              </w:rPr>
            </w:pPr>
            <w:r>
              <w:rPr>
                <w:spacing w:val="9"/>
                <w:sz w:val="20"/>
                <w:szCs w:val="20"/>
              </w:rPr>
              <w:t>放出大量热量和氧气而引起着火爆炸。过氧化氢在</w:t>
            </w:r>
            <w:r>
              <w:rPr>
                <w:spacing w:val="-31"/>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9"/>
                <w:sz w:val="20"/>
                <w:szCs w:val="20"/>
              </w:rPr>
              <w:t xml:space="preserve"> </w:t>
            </w:r>
            <w:r>
              <w:rPr>
                <w:spacing w:val="9"/>
                <w:sz w:val="20"/>
                <w:szCs w:val="20"/>
              </w:rPr>
              <w:t>值</w:t>
            </w:r>
          </w:p>
          <w:p w14:paraId="123AA2EF">
            <w:pPr>
              <w:pStyle w:val="6"/>
              <w:spacing w:before="31" w:line="228" w:lineRule="auto"/>
              <w:ind w:right="10"/>
              <w:jc w:val="right"/>
              <w:rPr>
                <w:sz w:val="20"/>
                <w:szCs w:val="20"/>
              </w:rPr>
            </w:pPr>
            <w:r>
              <w:rPr>
                <w:spacing w:val="2"/>
                <w:sz w:val="20"/>
                <w:szCs w:val="20"/>
              </w:rPr>
              <w:t>为</w:t>
            </w:r>
            <w:r>
              <w:rPr>
                <w:spacing w:val="-39"/>
                <w:sz w:val="20"/>
                <w:szCs w:val="20"/>
              </w:rPr>
              <w:t xml:space="preserve"> </w:t>
            </w:r>
            <w:r>
              <w:rPr>
                <w:rFonts w:ascii="Times New Roman" w:hAnsi="Times New Roman" w:eastAsia="Times New Roman" w:cs="Times New Roman"/>
                <w:spacing w:val="2"/>
                <w:sz w:val="20"/>
                <w:szCs w:val="20"/>
              </w:rPr>
              <w:t>3.5</w:t>
            </w:r>
            <w:r>
              <w:rPr>
                <w:spacing w:val="2"/>
                <w:sz w:val="20"/>
                <w:szCs w:val="20"/>
              </w:rPr>
              <w:t>～</w:t>
            </w:r>
            <w:r>
              <w:rPr>
                <w:rFonts w:ascii="Times New Roman" w:hAnsi="Times New Roman" w:eastAsia="Times New Roman" w:cs="Times New Roman"/>
                <w:spacing w:val="2"/>
                <w:sz w:val="20"/>
                <w:szCs w:val="20"/>
              </w:rPr>
              <w:t>4.5</w:t>
            </w:r>
            <w:r>
              <w:rPr>
                <w:rFonts w:ascii="Times New Roman" w:hAnsi="Times New Roman" w:eastAsia="Times New Roman" w:cs="Times New Roman"/>
                <w:spacing w:val="21"/>
                <w:w w:val="101"/>
                <w:sz w:val="20"/>
                <w:szCs w:val="20"/>
              </w:rPr>
              <w:t xml:space="preserve"> </w:t>
            </w:r>
            <w:r>
              <w:rPr>
                <w:spacing w:val="2"/>
                <w:sz w:val="20"/>
                <w:szCs w:val="20"/>
              </w:rPr>
              <w:t>时最稳定，在碱性溶液中极易分解，在遇强光，</w:t>
            </w:r>
          </w:p>
          <w:p w14:paraId="7650EB1E">
            <w:pPr>
              <w:pStyle w:val="6"/>
              <w:spacing w:before="26" w:line="228" w:lineRule="auto"/>
              <w:ind w:left="120"/>
              <w:rPr>
                <w:sz w:val="20"/>
                <w:szCs w:val="20"/>
              </w:rPr>
            </w:pPr>
            <w:r>
              <w:rPr>
                <w:spacing w:val="8"/>
                <w:sz w:val="20"/>
                <w:szCs w:val="20"/>
              </w:rPr>
              <w:t>特别是短波射线照射时也能发生分解。当加热到</w:t>
            </w:r>
            <w:r>
              <w:rPr>
                <w:spacing w:val="-21"/>
                <w:sz w:val="20"/>
                <w:szCs w:val="20"/>
              </w:rPr>
              <w:t xml:space="preserve"> </w:t>
            </w:r>
            <w:r>
              <w:rPr>
                <w:rFonts w:ascii="Times New Roman" w:hAnsi="Times New Roman" w:eastAsia="Times New Roman" w:cs="Times New Roman"/>
                <w:spacing w:val="8"/>
                <w:sz w:val="20"/>
                <w:szCs w:val="20"/>
              </w:rPr>
              <w:t>100</w:t>
            </w:r>
            <w:r>
              <w:rPr>
                <w:spacing w:val="8"/>
                <w:sz w:val="20"/>
                <w:szCs w:val="20"/>
              </w:rPr>
              <w:t>℃以</w:t>
            </w:r>
          </w:p>
          <w:p w14:paraId="076A239E">
            <w:pPr>
              <w:pStyle w:val="6"/>
              <w:spacing w:before="24" w:line="227" w:lineRule="auto"/>
              <w:ind w:right="10"/>
              <w:jc w:val="right"/>
              <w:rPr>
                <w:sz w:val="20"/>
                <w:szCs w:val="20"/>
              </w:rPr>
            </w:pPr>
            <w:r>
              <w:rPr>
                <w:spacing w:val="3"/>
                <w:sz w:val="20"/>
                <w:szCs w:val="20"/>
              </w:rPr>
              <w:t>上时，开始急剧分解。它与许多有机物如糖、淀粉、醇类、</w:t>
            </w:r>
          </w:p>
          <w:p w14:paraId="5AEFE848">
            <w:pPr>
              <w:pStyle w:val="6"/>
              <w:spacing w:before="26" w:line="226" w:lineRule="auto"/>
              <w:ind w:left="114"/>
              <w:rPr>
                <w:sz w:val="20"/>
                <w:szCs w:val="20"/>
              </w:rPr>
            </w:pPr>
            <w:r>
              <w:rPr>
                <w:spacing w:val="8"/>
                <w:sz w:val="20"/>
                <w:szCs w:val="20"/>
              </w:rPr>
              <w:t>石油产品等形成爆炸性混合物，在撞击、受热或电火</w:t>
            </w:r>
            <w:r>
              <w:rPr>
                <w:spacing w:val="7"/>
                <w:sz w:val="20"/>
                <w:szCs w:val="20"/>
              </w:rPr>
              <w:t>花作</w:t>
            </w:r>
          </w:p>
          <w:p w14:paraId="7A714E35">
            <w:pPr>
              <w:pStyle w:val="6"/>
              <w:spacing w:before="29" w:line="226" w:lineRule="auto"/>
              <w:ind w:left="115"/>
              <w:rPr>
                <w:sz w:val="20"/>
                <w:szCs w:val="20"/>
              </w:rPr>
            </w:pPr>
            <w:r>
              <w:rPr>
                <w:spacing w:val="8"/>
                <w:sz w:val="20"/>
                <w:szCs w:val="20"/>
              </w:rPr>
              <w:t>用下能发生爆炸。过氧化氢与许多有机化合物或杂</w:t>
            </w:r>
            <w:r>
              <w:rPr>
                <w:spacing w:val="7"/>
                <w:sz w:val="20"/>
                <w:szCs w:val="20"/>
              </w:rPr>
              <w:t>质接触</w:t>
            </w:r>
          </w:p>
          <w:p w14:paraId="1BDD9A0C">
            <w:pPr>
              <w:pStyle w:val="6"/>
              <w:spacing w:before="28" w:line="226" w:lineRule="auto"/>
              <w:ind w:right="7"/>
              <w:jc w:val="right"/>
              <w:rPr>
                <w:sz w:val="20"/>
                <w:szCs w:val="20"/>
              </w:rPr>
            </w:pPr>
            <w:r>
              <w:rPr>
                <w:spacing w:val="3"/>
                <w:sz w:val="20"/>
                <w:szCs w:val="20"/>
              </w:rPr>
              <w:t>后会迅速分解而导致爆炸，放出大量的热量、氧和水蒸气。</w:t>
            </w:r>
          </w:p>
          <w:p w14:paraId="0482AEEC">
            <w:pPr>
              <w:pStyle w:val="6"/>
              <w:spacing w:before="26" w:line="228" w:lineRule="auto"/>
              <w:ind w:right="10"/>
              <w:jc w:val="right"/>
              <w:rPr>
                <w:sz w:val="20"/>
                <w:szCs w:val="20"/>
              </w:rPr>
            </w:pPr>
            <w:r>
              <w:rPr>
                <w:spacing w:val="3"/>
                <w:sz w:val="20"/>
                <w:szCs w:val="20"/>
              </w:rPr>
              <w:t>大多数重金属（如铁、铜、银、铅、汞、锌、钴、镍、铬、</w:t>
            </w:r>
          </w:p>
          <w:p w14:paraId="6871B28D">
            <w:pPr>
              <w:pStyle w:val="6"/>
              <w:spacing w:before="27" w:line="227" w:lineRule="auto"/>
              <w:ind w:right="7"/>
              <w:jc w:val="right"/>
              <w:rPr>
                <w:sz w:val="20"/>
                <w:szCs w:val="20"/>
              </w:rPr>
            </w:pPr>
            <w:r>
              <w:rPr>
                <w:spacing w:val="3"/>
                <w:sz w:val="20"/>
                <w:szCs w:val="20"/>
              </w:rPr>
              <w:t>锰等）及其氧化物和盐类都是活性催化剂，尘土、香烟灰、</w:t>
            </w:r>
          </w:p>
          <w:p w14:paraId="3C7F1DB0">
            <w:pPr>
              <w:pStyle w:val="6"/>
              <w:spacing w:before="25" w:line="227" w:lineRule="auto"/>
              <w:ind w:left="113"/>
              <w:rPr>
                <w:sz w:val="20"/>
                <w:szCs w:val="20"/>
              </w:rPr>
            </w:pPr>
            <w:r>
              <w:rPr>
                <w:spacing w:val="8"/>
                <w:sz w:val="20"/>
                <w:szCs w:val="20"/>
              </w:rPr>
              <w:t>碳粉、铁锈等也能加速分解。浓度超过</w:t>
            </w:r>
            <w:r>
              <w:rPr>
                <w:spacing w:val="-27"/>
                <w:sz w:val="20"/>
                <w:szCs w:val="20"/>
              </w:rPr>
              <w:t xml:space="preserve"> </w:t>
            </w:r>
            <w:r>
              <w:rPr>
                <w:rFonts w:ascii="Times New Roman" w:hAnsi="Times New Roman" w:eastAsia="Times New Roman" w:cs="Times New Roman"/>
                <w:spacing w:val="8"/>
                <w:sz w:val="20"/>
                <w:szCs w:val="20"/>
              </w:rPr>
              <w:t>74</w:t>
            </w:r>
            <w:r>
              <w:rPr>
                <w:spacing w:val="8"/>
                <w:sz w:val="20"/>
                <w:szCs w:val="20"/>
              </w:rPr>
              <w:t>％的过氧化氢，</w:t>
            </w:r>
          </w:p>
          <w:p w14:paraId="4E66ABAD">
            <w:pPr>
              <w:pStyle w:val="6"/>
              <w:spacing w:before="26" w:line="226" w:lineRule="auto"/>
              <w:ind w:left="112"/>
              <w:rPr>
                <w:sz w:val="20"/>
                <w:szCs w:val="20"/>
              </w:rPr>
            </w:pPr>
            <w:r>
              <w:rPr>
                <w:spacing w:val="8"/>
                <w:sz w:val="20"/>
                <w:szCs w:val="20"/>
              </w:rPr>
              <w:t>在具有适当的点火源或温度的密闭容器中，会产生气相爆</w:t>
            </w:r>
          </w:p>
          <w:p w14:paraId="0A6A8CAF">
            <w:pPr>
              <w:pStyle w:val="6"/>
              <w:spacing w:before="28" w:line="215" w:lineRule="auto"/>
              <w:ind w:left="2511"/>
              <w:rPr>
                <w:sz w:val="20"/>
                <w:szCs w:val="20"/>
              </w:rPr>
            </w:pPr>
            <w:r>
              <w:rPr>
                <w:spacing w:val="-1"/>
                <w:sz w:val="20"/>
                <w:szCs w:val="20"/>
              </w:rPr>
              <w:t>炸。</w:t>
            </w:r>
          </w:p>
        </w:tc>
        <w:tc>
          <w:tcPr>
            <w:tcW w:w="118" w:type="dxa"/>
            <w:tcBorders>
              <w:top w:val="nil"/>
              <w:bottom w:val="nil"/>
            </w:tcBorders>
            <w:vAlign w:val="top"/>
          </w:tcPr>
          <w:p w14:paraId="25D347F8">
            <w:pPr>
              <w:rPr>
                <w:rFonts w:ascii="Arial"/>
                <w:sz w:val="21"/>
              </w:rPr>
            </w:pPr>
          </w:p>
        </w:tc>
      </w:tr>
      <w:tr w14:paraId="6C892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456" w:type="dxa"/>
            <w:vMerge w:val="continue"/>
            <w:tcBorders>
              <w:top w:val="nil"/>
              <w:bottom w:val="nil"/>
            </w:tcBorders>
            <w:vAlign w:val="top"/>
          </w:tcPr>
          <w:p w14:paraId="0F2CC6BE">
            <w:pPr>
              <w:rPr>
                <w:rFonts w:ascii="Arial"/>
                <w:sz w:val="21"/>
              </w:rPr>
            </w:pPr>
          </w:p>
        </w:tc>
        <w:tc>
          <w:tcPr>
            <w:tcW w:w="113" w:type="dxa"/>
            <w:tcBorders>
              <w:top w:val="nil"/>
              <w:bottom w:val="nil"/>
            </w:tcBorders>
            <w:vAlign w:val="top"/>
          </w:tcPr>
          <w:p w14:paraId="4322C4AB">
            <w:pPr>
              <w:rPr>
                <w:rFonts w:ascii="Arial"/>
                <w:sz w:val="21"/>
              </w:rPr>
            </w:pPr>
          </w:p>
        </w:tc>
        <w:tc>
          <w:tcPr>
            <w:tcW w:w="467" w:type="dxa"/>
            <w:vAlign w:val="top"/>
          </w:tcPr>
          <w:p w14:paraId="3BB1319F">
            <w:pPr>
              <w:spacing w:line="345" w:lineRule="auto"/>
              <w:rPr>
                <w:rFonts w:ascii="Arial"/>
                <w:sz w:val="21"/>
              </w:rPr>
            </w:pPr>
          </w:p>
          <w:p w14:paraId="4A26CF67">
            <w:pPr>
              <w:spacing w:line="346" w:lineRule="auto"/>
              <w:rPr>
                <w:rFonts w:ascii="Arial"/>
                <w:sz w:val="21"/>
              </w:rPr>
            </w:pPr>
          </w:p>
          <w:p w14:paraId="1E5FABB0">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800" w:type="dxa"/>
            <w:vAlign w:val="top"/>
          </w:tcPr>
          <w:p w14:paraId="4C53A8F6">
            <w:pPr>
              <w:pStyle w:val="6"/>
              <w:spacing w:before="35" w:line="227" w:lineRule="auto"/>
              <w:ind w:left="194"/>
              <w:rPr>
                <w:sz w:val="20"/>
                <w:szCs w:val="20"/>
              </w:rPr>
            </w:pPr>
            <w:r>
              <w:rPr>
                <w:spacing w:val="4"/>
                <w:sz w:val="20"/>
                <w:szCs w:val="20"/>
              </w:rPr>
              <w:t>过氧</w:t>
            </w:r>
          </w:p>
          <w:p w14:paraId="581A672E">
            <w:pPr>
              <w:pStyle w:val="6"/>
              <w:spacing w:before="25" w:line="228" w:lineRule="auto"/>
              <w:ind w:left="194"/>
              <w:rPr>
                <w:sz w:val="20"/>
                <w:szCs w:val="20"/>
              </w:rPr>
            </w:pPr>
            <w:r>
              <w:rPr>
                <w:spacing w:val="4"/>
                <w:sz w:val="20"/>
                <w:szCs w:val="20"/>
              </w:rPr>
              <w:t>化新</w:t>
            </w:r>
          </w:p>
          <w:p w14:paraId="65C884B6">
            <w:pPr>
              <w:pStyle w:val="6"/>
              <w:spacing w:before="26" w:line="228" w:lineRule="auto"/>
              <w:ind w:left="193"/>
              <w:rPr>
                <w:sz w:val="20"/>
                <w:szCs w:val="20"/>
              </w:rPr>
            </w:pPr>
            <w:r>
              <w:rPr>
                <w:spacing w:val="4"/>
                <w:sz w:val="20"/>
                <w:szCs w:val="20"/>
              </w:rPr>
              <w:t>癸酸</w:t>
            </w:r>
          </w:p>
          <w:p w14:paraId="7CAF568D">
            <w:pPr>
              <w:pStyle w:val="6"/>
              <w:spacing w:before="23" w:line="228" w:lineRule="auto"/>
              <w:ind w:left="196"/>
              <w:rPr>
                <w:sz w:val="20"/>
                <w:szCs w:val="20"/>
              </w:rPr>
            </w:pPr>
            <w:r>
              <w:rPr>
                <w:spacing w:val="3"/>
                <w:sz w:val="20"/>
                <w:szCs w:val="20"/>
              </w:rPr>
              <w:t>异丙</w:t>
            </w:r>
          </w:p>
          <w:p w14:paraId="288F4631">
            <w:pPr>
              <w:pStyle w:val="6"/>
              <w:spacing w:before="26" w:line="233" w:lineRule="auto"/>
              <w:ind w:left="300" w:right="191" w:hanging="107"/>
              <w:rPr>
                <w:sz w:val="20"/>
                <w:szCs w:val="20"/>
              </w:rPr>
            </w:pPr>
            <w:r>
              <w:rPr>
                <w:spacing w:val="4"/>
                <w:sz w:val="20"/>
                <w:szCs w:val="20"/>
              </w:rPr>
              <w:t>基苯</w:t>
            </w:r>
            <w:r>
              <w:rPr>
                <w:sz w:val="20"/>
                <w:szCs w:val="20"/>
              </w:rPr>
              <w:t xml:space="preserve"> 酯</w:t>
            </w:r>
          </w:p>
        </w:tc>
        <w:tc>
          <w:tcPr>
            <w:tcW w:w="1248" w:type="dxa"/>
            <w:vAlign w:val="top"/>
          </w:tcPr>
          <w:p w14:paraId="1C2EB2FD">
            <w:pPr>
              <w:spacing w:line="345" w:lineRule="auto"/>
              <w:rPr>
                <w:rFonts w:ascii="Arial"/>
                <w:sz w:val="21"/>
              </w:rPr>
            </w:pPr>
          </w:p>
          <w:p w14:paraId="500E2196">
            <w:pPr>
              <w:spacing w:line="346" w:lineRule="auto"/>
              <w:rPr>
                <w:rFonts w:ascii="Arial"/>
                <w:sz w:val="21"/>
              </w:rPr>
            </w:pPr>
          </w:p>
          <w:p w14:paraId="6B0CB473">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26748-47-0</w:t>
            </w:r>
          </w:p>
        </w:tc>
        <w:tc>
          <w:tcPr>
            <w:tcW w:w="5423" w:type="dxa"/>
            <w:vAlign w:val="top"/>
          </w:tcPr>
          <w:p w14:paraId="7A8F216D">
            <w:pPr>
              <w:spacing w:line="376" w:lineRule="auto"/>
              <w:rPr>
                <w:rFonts w:ascii="Arial"/>
                <w:sz w:val="21"/>
              </w:rPr>
            </w:pPr>
          </w:p>
          <w:p w14:paraId="3112770D">
            <w:pPr>
              <w:pStyle w:val="6"/>
              <w:spacing w:before="65" w:line="227" w:lineRule="auto"/>
              <w:ind w:left="115"/>
              <w:rPr>
                <w:sz w:val="20"/>
                <w:szCs w:val="20"/>
              </w:rPr>
            </w:pPr>
            <w:r>
              <w:rPr>
                <w:spacing w:val="5"/>
                <w:sz w:val="20"/>
                <w:szCs w:val="20"/>
              </w:rPr>
              <w:t>属于有机过氧化物类别</w:t>
            </w:r>
            <w:r>
              <w:rPr>
                <w:spacing w:val="-40"/>
                <w:sz w:val="20"/>
                <w:szCs w:val="20"/>
              </w:rPr>
              <w:t xml:space="preserve"> </w:t>
            </w:r>
            <w:r>
              <w:rPr>
                <w:rFonts w:ascii="Times New Roman" w:hAnsi="Times New Roman" w:eastAsia="Times New Roman" w:cs="Times New Roman"/>
                <w:spacing w:val="5"/>
                <w:sz w:val="20"/>
                <w:szCs w:val="20"/>
              </w:rPr>
              <w:t>D</w:t>
            </w:r>
            <w:r>
              <w:rPr>
                <w:rFonts w:ascii="Times New Roman" w:hAnsi="Times New Roman" w:eastAsia="Times New Roman" w:cs="Times New Roman"/>
                <w:spacing w:val="17"/>
                <w:w w:val="101"/>
                <w:sz w:val="20"/>
                <w:szCs w:val="20"/>
              </w:rPr>
              <w:t xml:space="preserve"> </w:t>
            </w:r>
            <w:r>
              <w:rPr>
                <w:spacing w:val="5"/>
                <w:sz w:val="20"/>
                <w:szCs w:val="20"/>
              </w:rPr>
              <w:t>型，加热可能起火，具有较高的</w:t>
            </w:r>
          </w:p>
          <w:p w14:paraId="46F19B2B">
            <w:pPr>
              <w:pStyle w:val="6"/>
              <w:spacing w:before="25" w:line="227" w:lineRule="auto"/>
              <w:ind w:right="7"/>
              <w:jc w:val="right"/>
              <w:rPr>
                <w:sz w:val="20"/>
                <w:szCs w:val="20"/>
              </w:rPr>
            </w:pPr>
            <w:r>
              <w:rPr>
                <w:spacing w:val="3"/>
                <w:sz w:val="20"/>
                <w:szCs w:val="20"/>
              </w:rPr>
              <w:t>火灾风险。此外，该物质与可燃物质接触可能会引起火灾，</w:t>
            </w:r>
          </w:p>
          <w:p w14:paraId="467E7470">
            <w:pPr>
              <w:pStyle w:val="6"/>
              <w:spacing w:before="27" w:line="227" w:lineRule="auto"/>
              <w:ind w:left="1879"/>
              <w:rPr>
                <w:sz w:val="20"/>
                <w:szCs w:val="20"/>
              </w:rPr>
            </w:pPr>
            <w:r>
              <w:rPr>
                <w:spacing w:val="8"/>
                <w:sz w:val="20"/>
                <w:szCs w:val="20"/>
              </w:rPr>
              <w:t>且对眼睛有刺激性</w:t>
            </w:r>
          </w:p>
        </w:tc>
        <w:tc>
          <w:tcPr>
            <w:tcW w:w="118" w:type="dxa"/>
            <w:tcBorders>
              <w:top w:val="nil"/>
              <w:bottom w:val="nil"/>
            </w:tcBorders>
            <w:vAlign w:val="top"/>
          </w:tcPr>
          <w:p w14:paraId="055DB516">
            <w:pPr>
              <w:rPr>
                <w:rFonts w:ascii="Arial"/>
                <w:sz w:val="21"/>
              </w:rPr>
            </w:pPr>
          </w:p>
        </w:tc>
      </w:tr>
      <w:tr w14:paraId="7D17C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6" w:type="dxa"/>
            <w:vMerge w:val="continue"/>
            <w:tcBorders>
              <w:top w:val="nil"/>
            </w:tcBorders>
            <w:vAlign w:val="top"/>
          </w:tcPr>
          <w:p w14:paraId="1812C6C5">
            <w:pPr>
              <w:rPr>
                <w:rFonts w:ascii="Arial"/>
                <w:sz w:val="21"/>
              </w:rPr>
            </w:pPr>
          </w:p>
        </w:tc>
        <w:tc>
          <w:tcPr>
            <w:tcW w:w="113" w:type="dxa"/>
            <w:tcBorders>
              <w:top w:val="nil"/>
            </w:tcBorders>
            <w:vAlign w:val="top"/>
          </w:tcPr>
          <w:p w14:paraId="03D3B4A3">
            <w:pPr>
              <w:rPr>
                <w:rFonts w:ascii="Arial"/>
                <w:sz w:val="21"/>
              </w:rPr>
            </w:pPr>
          </w:p>
        </w:tc>
        <w:tc>
          <w:tcPr>
            <w:tcW w:w="467" w:type="dxa"/>
            <w:vAlign w:val="top"/>
          </w:tcPr>
          <w:p w14:paraId="1BCE453A">
            <w:pPr>
              <w:spacing w:before="20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00" w:type="dxa"/>
            <w:vAlign w:val="top"/>
          </w:tcPr>
          <w:p w14:paraId="79E5C812">
            <w:pPr>
              <w:pStyle w:val="6"/>
              <w:spacing w:before="35" w:line="227" w:lineRule="auto"/>
              <w:ind w:left="194"/>
              <w:rPr>
                <w:sz w:val="20"/>
                <w:szCs w:val="20"/>
              </w:rPr>
            </w:pPr>
            <w:r>
              <w:rPr>
                <w:spacing w:val="4"/>
                <w:sz w:val="20"/>
                <w:szCs w:val="20"/>
              </w:rPr>
              <w:t>过氧</w:t>
            </w:r>
          </w:p>
          <w:p w14:paraId="67625672">
            <w:pPr>
              <w:pStyle w:val="6"/>
              <w:spacing w:before="25" w:line="216" w:lineRule="auto"/>
              <w:ind w:left="194"/>
              <w:rPr>
                <w:sz w:val="20"/>
                <w:szCs w:val="20"/>
              </w:rPr>
            </w:pPr>
            <w:r>
              <w:rPr>
                <w:spacing w:val="4"/>
                <w:sz w:val="20"/>
                <w:szCs w:val="20"/>
              </w:rPr>
              <w:t>化二</w:t>
            </w:r>
          </w:p>
        </w:tc>
        <w:tc>
          <w:tcPr>
            <w:tcW w:w="1248" w:type="dxa"/>
            <w:vAlign w:val="top"/>
          </w:tcPr>
          <w:p w14:paraId="576B12EC">
            <w:pPr>
              <w:spacing w:before="20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26748-47-0</w:t>
            </w:r>
          </w:p>
        </w:tc>
        <w:tc>
          <w:tcPr>
            <w:tcW w:w="5423" w:type="dxa"/>
            <w:vAlign w:val="top"/>
          </w:tcPr>
          <w:p w14:paraId="7884F568">
            <w:pPr>
              <w:pStyle w:val="6"/>
              <w:spacing w:before="36" w:line="233" w:lineRule="auto"/>
              <w:ind w:left="114" w:right="104"/>
              <w:rPr>
                <w:sz w:val="20"/>
                <w:szCs w:val="20"/>
              </w:rPr>
            </w:pPr>
            <w:r>
              <w:rPr>
                <w:spacing w:val="8"/>
                <w:sz w:val="20"/>
                <w:szCs w:val="20"/>
              </w:rPr>
              <w:t>有爆炸性，易燃，且对温度、撞击及酸碱等化学药品</w:t>
            </w:r>
            <w:r>
              <w:rPr>
                <w:spacing w:val="7"/>
                <w:sz w:val="20"/>
                <w:szCs w:val="20"/>
              </w:rPr>
              <w:t>非常</w:t>
            </w:r>
            <w:r>
              <w:rPr>
                <w:sz w:val="20"/>
                <w:szCs w:val="20"/>
              </w:rPr>
              <w:t xml:space="preserve"> </w:t>
            </w:r>
            <w:r>
              <w:rPr>
                <w:spacing w:val="8"/>
                <w:sz w:val="20"/>
                <w:szCs w:val="20"/>
              </w:rPr>
              <w:t>敏感，加热存在潜在的爆炸风险，可能与有机材料发</w:t>
            </w:r>
            <w:r>
              <w:rPr>
                <w:spacing w:val="7"/>
                <w:sz w:val="20"/>
                <w:szCs w:val="20"/>
              </w:rPr>
              <w:t>生剧</w:t>
            </w:r>
          </w:p>
        </w:tc>
        <w:tc>
          <w:tcPr>
            <w:tcW w:w="118" w:type="dxa"/>
            <w:tcBorders>
              <w:top w:val="nil"/>
            </w:tcBorders>
            <w:vAlign w:val="top"/>
          </w:tcPr>
          <w:p w14:paraId="509FA58C">
            <w:pPr>
              <w:rPr>
                <w:rFonts w:ascii="Arial"/>
                <w:sz w:val="21"/>
              </w:rPr>
            </w:pPr>
          </w:p>
        </w:tc>
      </w:tr>
    </w:tbl>
    <w:p w14:paraId="65258295">
      <w:pPr>
        <w:pStyle w:val="2"/>
      </w:pPr>
    </w:p>
    <w:p w14:paraId="6407DD23">
      <w:pPr>
        <w:sectPr>
          <w:footerReference r:id="rId42" w:type="default"/>
          <w:pgSz w:w="11906" w:h="16839"/>
          <w:pgMar w:top="400" w:right="1588" w:bottom="1259" w:left="1687" w:header="0" w:footer="1097" w:gutter="0"/>
          <w:cols w:space="720" w:num="1"/>
        </w:sectPr>
      </w:pPr>
    </w:p>
    <w:p w14:paraId="7CF2BCC1">
      <w:pPr>
        <w:spacing w:before="19"/>
      </w:pPr>
    </w:p>
    <w:p w14:paraId="5C79D48C">
      <w:pPr>
        <w:spacing w:before="19"/>
      </w:pPr>
    </w:p>
    <w:p w14:paraId="3DD8A866">
      <w:pPr>
        <w:spacing w:before="18"/>
      </w:pPr>
    </w:p>
    <w:p w14:paraId="75538DD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30175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56" w:type="dxa"/>
            <w:vMerge w:val="restart"/>
            <w:tcBorders>
              <w:bottom w:val="nil"/>
            </w:tcBorders>
            <w:vAlign w:val="top"/>
          </w:tcPr>
          <w:p w14:paraId="4F03539F">
            <w:pPr>
              <w:rPr>
                <w:rFonts w:ascii="Arial"/>
                <w:sz w:val="21"/>
              </w:rPr>
            </w:pPr>
          </w:p>
        </w:tc>
        <w:tc>
          <w:tcPr>
            <w:tcW w:w="113" w:type="dxa"/>
            <w:tcBorders>
              <w:bottom w:val="nil"/>
            </w:tcBorders>
            <w:vAlign w:val="top"/>
          </w:tcPr>
          <w:p w14:paraId="3EF57964">
            <w:pPr>
              <w:rPr>
                <w:rFonts w:ascii="Arial"/>
                <w:sz w:val="21"/>
              </w:rPr>
            </w:pPr>
          </w:p>
        </w:tc>
        <w:tc>
          <w:tcPr>
            <w:tcW w:w="467" w:type="dxa"/>
            <w:vAlign w:val="top"/>
          </w:tcPr>
          <w:p w14:paraId="7A65E73D">
            <w:pPr>
              <w:rPr>
                <w:rFonts w:ascii="Arial"/>
                <w:sz w:val="21"/>
              </w:rPr>
            </w:pPr>
          </w:p>
        </w:tc>
        <w:tc>
          <w:tcPr>
            <w:tcW w:w="800" w:type="dxa"/>
            <w:vAlign w:val="top"/>
          </w:tcPr>
          <w:p w14:paraId="1723A793">
            <w:pPr>
              <w:pStyle w:val="6"/>
              <w:spacing w:before="47" w:line="228" w:lineRule="auto"/>
              <w:ind w:left="193"/>
              <w:rPr>
                <w:sz w:val="20"/>
                <w:szCs w:val="20"/>
              </w:rPr>
            </w:pPr>
            <w:r>
              <w:rPr>
                <w:spacing w:val="4"/>
                <w:sz w:val="20"/>
                <w:szCs w:val="20"/>
              </w:rPr>
              <w:t>碳酸</w:t>
            </w:r>
          </w:p>
          <w:p w14:paraId="126D3A7F">
            <w:pPr>
              <w:pStyle w:val="6"/>
              <w:spacing w:before="23" w:line="253" w:lineRule="auto"/>
              <w:ind w:left="299" w:right="191" w:hanging="103"/>
              <w:rPr>
                <w:sz w:val="20"/>
                <w:szCs w:val="20"/>
              </w:rPr>
            </w:pPr>
            <w:r>
              <w:rPr>
                <w:spacing w:val="3"/>
                <w:sz w:val="20"/>
                <w:szCs w:val="20"/>
              </w:rPr>
              <w:t>二辛</w:t>
            </w:r>
            <w:r>
              <w:rPr>
                <w:sz w:val="20"/>
                <w:szCs w:val="20"/>
              </w:rPr>
              <w:t xml:space="preserve"> 酯</w:t>
            </w:r>
          </w:p>
        </w:tc>
        <w:tc>
          <w:tcPr>
            <w:tcW w:w="1248" w:type="dxa"/>
            <w:vAlign w:val="top"/>
          </w:tcPr>
          <w:p w14:paraId="580A3215">
            <w:pPr>
              <w:rPr>
                <w:rFonts w:ascii="Arial"/>
                <w:sz w:val="21"/>
              </w:rPr>
            </w:pPr>
          </w:p>
        </w:tc>
        <w:tc>
          <w:tcPr>
            <w:tcW w:w="5423" w:type="dxa"/>
            <w:vAlign w:val="top"/>
          </w:tcPr>
          <w:p w14:paraId="414581F3">
            <w:pPr>
              <w:pStyle w:val="6"/>
              <w:spacing w:before="46" w:line="227" w:lineRule="auto"/>
              <w:ind w:left="116"/>
              <w:rPr>
                <w:sz w:val="20"/>
                <w:szCs w:val="20"/>
              </w:rPr>
            </w:pPr>
            <w:r>
              <w:rPr>
                <w:spacing w:val="9"/>
                <w:sz w:val="20"/>
                <w:szCs w:val="20"/>
              </w:rPr>
              <w:t>烈反应，对眼睛、皮肤和粘膜有刺激性，属于低毒物质。</w:t>
            </w:r>
          </w:p>
          <w:p w14:paraId="6143927B">
            <w:pPr>
              <w:pStyle w:val="6"/>
              <w:spacing w:before="25" w:line="227" w:lineRule="auto"/>
              <w:ind w:left="117"/>
              <w:rPr>
                <w:sz w:val="20"/>
                <w:szCs w:val="20"/>
              </w:rPr>
            </w:pPr>
            <w:r>
              <w:rPr>
                <w:spacing w:val="8"/>
                <w:sz w:val="20"/>
                <w:szCs w:val="20"/>
              </w:rPr>
              <w:t>受热分解放出有腐蚀性和刺激性的烟雾，可</w:t>
            </w:r>
            <w:r>
              <w:rPr>
                <w:spacing w:val="7"/>
                <w:sz w:val="20"/>
                <w:szCs w:val="20"/>
              </w:rPr>
              <w:t>能引起皮肤干</w:t>
            </w:r>
          </w:p>
          <w:p w14:paraId="13D051D1">
            <w:pPr>
              <w:pStyle w:val="6"/>
              <w:spacing w:before="24" w:line="228" w:lineRule="auto"/>
              <w:ind w:left="114"/>
              <w:rPr>
                <w:sz w:val="20"/>
                <w:szCs w:val="20"/>
              </w:rPr>
            </w:pPr>
            <w:r>
              <w:rPr>
                <w:spacing w:val="8"/>
                <w:sz w:val="20"/>
                <w:szCs w:val="20"/>
              </w:rPr>
              <w:t>燥、毛孔粗大、过敏性皮炎、刺激性皮炎和接触性皮</w:t>
            </w:r>
            <w:r>
              <w:rPr>
                <w:spacing w:val="7"/>
                <w:sz w:val="20"/>
                <w:szCs w:val="20"/>
              </w:rPr>
              <w:t>炎等</w:t>
            </w:r>
          </w:p>
          <w:p w14:paraId="0FE2EB5E">
            <w:pPr>
              <w:pStyle w:val="6"/>
              <w:spacing w:before="27" w:line="217" w:lineRule="auto"/>
              <w:ind w:left="2508"/>
              <w:rPr>
                <w:sz w:val="20"/>
                <w:szCs w:val="20"/>
              </w:rPr>
            </w:pPr>
            <w:r>
              <w:rPr>
                <w:spacing w:val="4"/>
                <w:sz w:val="20"/>
                <w:szCs w:val="20"/>
              </w:rPr>
              <w:t>症状</w:t>
            </w:r>
          </w:p>
        </w:tc>
        <w:tc>
          <w:tcPr>
            <w:tcW w:w="118" w:type="dxa"/>
            <w:tcBorders>
              <w:bottom w:val="nil"/>
            </w:tcBorders>
            <w:vAlign w:val="top"/>
          </w:tcPr>
          <w:p w14:paraId="2DFE67E9">
            <w:pPr>
              <w:rPr>
                <w:rFonts w:ascii="Arial"/>
                <w:sz w:val="21"/>
              </w:rPr>
            </w:pPr>
          </w:p>
        </w:tc>
      </w:tr>
      <w:tr w14:paraId="64E3A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15DC0EAC">
            <w:pPr>
              <w:rPr>
                <w:rFonts w:ascii="Arial"/>
                <w:sz w:val="21"/>
              </w:rPr>
            </w:pPr>
          </w:p>
        </w:tc>
        <w:tc>
          <w:tcPr>
            <w:tcW w:w="113" w:type="dxa"/>
            <w:tcBorders>
              <w:top w:val="nil"/>
              <w:bottom w:val="nil"/>
            </w:tcBorders>
            <w:vAlign w:val="top"/>
          </w:tcPr>
          <w:p w14:paraId="01B7702D">
            <w:pPr>
              <w:rPr>
                <w:rFonts w:ascii="Arial"/>
                <w:sz w:val="21"/>
              </w:rPr>
            </w:pPr>
          </w:p>
        </w:tc>
        <w:tc>
          <w:tcPr>
            <w:tcW w:w="467" w:type="dxa"/>
            <w:vAlign w:val="top"/>
          </w:tcPr>
          <w:p w14:paraId="5704C238">
            <w:pPr>
              <w:spacing w:before="2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00" w:type="dxa"/>
            <w:vAlign w:val="top"/>
          </w:tcPr>
          <w:p w14:paraId="461B0BB1">
            <w:pPr>
              <w:pStyle w:val="6"/>
              <w:spacing w:before="166" w:line="231" w:lineRule="auto"/>
              <w:ind w:left="220"/>
              <w:rPr>
                <w:sz w:val="20"/>
                <w:szCs w:val="20"/>
              </w:rPr>
            </w:pPr>
            <w:r>
              <w:rPr>
                <w:spacing w:val="-9"/>
                <w:sz w:val="20"/>
                <w:szCs w:val="20"/>
              </w:rPr>
              <w:t>甲醛</w:t>
            </w:r>
          </w:p>
        </w:tc>
        <w:tc>
          <w:tcPr>
            <w:tcW w:w="1248" w:type="dxa"/>
            <w:vAlign w:val="top"/>
          </w:tcPr>
          <w:p w14:paraId="5B96DBC6">
            <w:pPr>
              <w:spacing w:before="20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5423" w:type="dxa"/>
            <w:vAlign w:val="top"/>
          </w:tcPr>
          <w:p w14:paraId="7C391A0F">
            <w:pPr>
              <w:pStyle w:val="6"/>
              <w:spacing w:before="33" w:line="226" w:lineRule="auto"/>
              <w:ind w:left="114"/>
              <w:rPr>
                <w:sz w:val="20"/>
                <w:szCs w:val="20"/>
              </w:rPr>
            </w:pPr>
            <w:r>
              <w:rPr>
                <w:spacing w:val="8"/>
                <w:sz w:val="20"/>
                <w:szCs w:val="20"/>
              </w:rPr>
              <w:t>其蒸气与空气可形成爆炸性混合物。遇明火、高热能</w:t>
            </w:r>
            <w:r>
              <w:rPr>
                <w:spacing w:val="7"/>
                <w:sz w:val="20"/>
                <w:szCs w:val="20"/>
              </w:rPr>
              <w:t>引起</w:t>
            </w:r>
          </w:p>
          <w:p w14:paraId="6C9236A9">
            <w:pPr>
              <w:pStyle w:val="6"/>
              <w:spacing w:before="25" w:line="218" w:lineRule="auto"/>
              <w:ind w:left="935"/>
              <w:rPr>
                <w:sz w:val="20"/>
                <w:szCs w:val="20"/>
              </w:rPr>
            </w:pPr>
            <w:r>
              <w:rPr>
                <w:spacing w:val="8"/>
                <w:sz w:val="20"/>
                <w:szCs w:val="20"/>
              </w:rPr>
              <w:t>燃烧爆炸。与氧化剂接触会猛烈反应。</w:t>
            </w:r>
          </w:p>
        </w:tc>
        <w:tc>
          <w:tcPr>
            <w:tcW w:w="118" w:type="dxa"/>
            <w:tcBorders>
              <w:top w:val="nil"/>
              <w:bottom w:val="nil"/>
            </w:tcBorders>
            <w:vAlign w:val="top"/>
          </w:tcPr>
          <w:p w14:paraId="26E1DFB1">
            <w:pPr>
              <w:rPr>
                <w:rFonts w:ascii="Arial"/>
                <w:sz w:val="21"/>
              </w:rPr>
            </w:pPr>
          </w:p>
        </w:tc>
      </w:tr>
      <w:tr w14:paraId="1833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F1B64BD">
            <w:pPr>
              <w:rPr>
                <w:rFonts w:ascii="Arial"/>
                <w:sz w:val="21"/>
              </w:rPr>
            </w:pPr>
          </w:p>
        </w:tc>
        <w:tc>
          <w:tcPr>
            <w:tcW w:w="113" w:type="dxa"/>
            <w:tcBorders>
              <w:top w:val="nil"/>
              <w:bottom w:val="nil"/>
            </w:tcBorders>
            <w:vAlign w:val="top"/>
          </w:tcPr>
          <w:p w14:paraId="4024EA69">
            <w:pPr>
              <w:rPr>
                <w:rFonts w:ascii="Arial"/>
                <w:sz w:val="21"/>
              </w:rPr>
            </w:pPr>
          </w:p>
        </w:tc>
        <w:tc>
          <w:tcPr>
            <w:tcW w:w="467" w:type="dxa"/>
            <w:vAlign w:val="top"/>
          </w:tcPr>
          <w:p w14:paraId="08E7206D">
            <w:pPr>
              <w:spacing w:line="280" w:lineRule="auto"/>
              <w:rPr>
                <w:rFonts w:ascii="Arial"/>
                <w:sz w:val="21"/>
              </w:rPr>
            </w:pPr>
          </w:p>
          <w:p w14:paraId="6EF6EF9E">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800" w:type="dxa"/>
            <w:vAlign w:val="top"/>
          </w:tcPr>
          <w:p w14:paraId="02D62277">
            <w:pPr>
              <w:pStyle w:val="6"/>
              <w:spacing w:before="303" w:line="229" w:lineRule="auto"/>
              <w:ind w:left="192"/>
              <w:rPr>
                <w:sz w:val="20"/>
                <w:szCs w:val="20"/>
              </w:rPr>
            </w:pPr>
            <w:r>
              <w:rPr>
                <w:spacing w:val="5"/>
                <w:sz w:val="20"/>
                <w:szCs w:val="20"/>
              </w:rPr>
              <w:t>硫磺</w:t>
            </w:r>
          </w:p>
        </w:tc>
        <w:tc>
          <w:tcPr>
            <w:tcW w:w="1248" w:type="dxa"/>
            <w:vAlign w:val="top"/>
          </w:tcPr>
          <w:p w14:paraId="74074EBF">
            <w:pPr>
              <w:spacing w:line="280" w:lineRule="auto"/>
              <w:rPr>
                <w:rFonts w:ascii="Arial"/>
                <w:sz w:val="21"/>
              </w:rPr>
            </w:pPr>
          </w:p>
          <w:p w14:paraId="283D70E1">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7704-34-9</w:t>
            </w:r>
          </w:p>
        </w:tc>
        <w:tc>
          <w:tcPr>
            <w:tcW w:w="5423" w:type="dxa"/>
            <w:vAlign w:val="top"/>
          </w:tcPr>
          <w:p w14:paraId="68416296">
            <w:pPr>
              <w:pStyle w:val="6"/>
              <w:spacing w:before="32" w:line="228" w:lineRule="auto"/>
              <w:ind w:left="117"/>
              <w:rPr>
                <w:sz w:val="20"/>
                <w:szCs w:val="20"/>
              </w:rPr>
            </w:pPr>
            <w:r>
              <w:rPr>
                <w:spacing w:val="8"/>
                <w:sz w:val="20"/>
                <w:szCs w:val="20"/>
              </w:rPr>
              <w:t>与卤素、金属粉末等接触剧烈反应。硫磺为</w:t>
            </w:r>
            <w:r>
              <w:rPr>
                <w:spacing w:val="7"/>
                <w:sz w:val="20"/>
                <w:szCs w:val="20"/>
              </w:rPr>
              <w:t>不良导体，在</w:t>
            </w:r>
          </w:p>
          <w:p w14:paraId="26344737">
            <w:pPr>
              <w:pStyle w:val="6"/>
              <w:spacing w:before="24" w:line="227" w:lineRule="auto"/>
              <w:ind w:left="112"/>
              <w:rPr>
                <w:sz w:val="20"/>
                <w:szCs w:val="20"/>
              </w:rPr>
            </w:pPr>
            <w:r>
              <w:rPr>
                <w:spacing w:val="8"/>
                <w:sz w:val="20"/>
                <w:szCs w:val="20"/>
              </w:rPr>
              <w:t>储运过程中易产生静电荷，可导致硫尘起火。粉尘或蒸气</w:t>
            </w:r>
          </w:p>
          <w:p w14:paraId="52566B85">
            <w:pPr>
              <w:pStyle w:val="6"/>
              <w:spacing w:before="27" w:line="217" w:lineRule="auto"/>
              <w:ind w:left="832"/>
              <w:rPr>
                <w:sz w:val="20"/>
                <w:szCs w:val="20"/>
              </w:rPr>
            </w:pPr>
            <w:r>
              <w:rPr>
                <w:spacing w:val="8"/>
                <w:sz w:val="20"/>
                <w:szCs w:val="20"/>
              </w:rPr>
              <w:t>与空气或氧化剂混合形成爆炸性混合物。</w:t>
            </w:r>
          </w:p>
        </w:tc>
        <w:tc>
          <w:tcPr>
            <w:tcW w:w="118" w:type="dxa"/>
            <w:tcBorders>
              <w:top w:val="nil"/>
              <w:bottom w:val="nil"/>
            </w:tcBorders>
            <w:vAlign w:val="top"/>
          </w:tcPr>
          <w:p w14:paraId="265714DB">
            <w:pPr>
              <w:rPr>
                <w:rFonts w:ascii="Arial"/>
                <w:sz w:val="21"/>
              </w:rPr>
            </w:pPr>
          </w:p>
        </w:tc>
      </w:tr>
      <w:tr w14:paraId="416D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3800E7CA">
            <w:pPr>
              <w:rPr>
                <w:rFonts w:ascii="Arial"/>
                <w:sz w:val="21"/>
              </w:rPr>
            </w:pPr>
          </w:p>
        </w:tc>
        <w:tc>
          <w:tcPr>
            <w:tcW w:w="113" w:type="dxa"/>
            <w:tcBorders>
              <w:top w:val="nil"/>
              <w:bottom w:val="nil"/>
            </w:tcBorders>
            <w:vAlign w:val="top"/>
          </w:tcPr>
          <w:p w14:paraId="423CC9F2">
            <w:pPr>
              <w:rPr>
                <w:rFonts w:ascii="Arial"/>
                <w:sz w:val="21"/>
              </w:rPr>
            </w:pPr>
          </w:p>
        </w:tc>
        <w:tc>
          <w:tcPr>
            <w:tcW w:w="467" w:type="dxa"/>
            <w:vAlign w:val="top"/>
          </w:tcPr>
          <w:p w14:paraId="52CCB0D5">
            <w:pPr>
              <w:spacing w:line="281" w:lineRule="auto"/>
              <w:rPr>
                <w:rFonts w:ascii="Arial"/>
                <w:sz w:val="21"/>
              </w:rPr>
            </w:pPr>
          </w:p>
          <w:p w14:paraId="6AB46671">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00" w:type="dxa"/>
            <w:vAlign w:val="top"/>
          </w:tcPr>
          <w:p w14:paraId="24ECAA28">
            <w:pPr>
              <w:pStyle w:val="6"/>
              <w:spacing w:before="304" w:line="229" w:lineRule="auto"/>
              <w:ind w:left="193"/>
              <w:rPr>
                <w:sz w:val="20"/>
                <w:szCs w:val="20"/>
              </w:rPr>
            </w:pPr>
            <w:r>
              <w:rPr>
                <w:spacing w:val="4"/>
                <w:sz w:val="20"/>
                <w:szCs w:val="20"/>
              </w:rPr>
              <w:t>焦油</w:t>
            </w:r>
          </w:p>
        </w:tc>
        <w:tc>
          <w:tcPr>
            <w:tcW w:w="1248" w:type="dxa"/>
            <w:vAlign w:val="top"/>
          </w:tcPr>
          <w:p w14:paraId="221F0669">
            <w:pPr>
              <w:spacing w:line="281" w:lineRule="auto"/>
              <w:rPr>
                <w:rFonts w:ascii="Arial"/>
                <w:sz w:val="21"/>
              </w:rPr>
            </w:pPr>
          </w:p>
          <w:p w14:paraId="2B1AEA8B">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8007-45-2</w:t>
            </w:r>
          </w:p>
        </w:tc>
        <w:tc>
          <w:tcPr>
            <w:tcW w:w="5423" w:type="dxa"/>
            <w:vAlign w:val="top"/>
          </w:tcPr>
          <w:p w14:paraId="21DD81F1">
            <w:pPr>
              <w:pStyle w:val="6"/>
              <w:spacing w:before="33" w:line="228" w:lineRule="auto"/>
              <w:ind w:left="200"/>
              <w:rPr>
                <w:sz w:val="20"/>
                <w:szCs w:val="20"/>
              </w:rPr>
            </w:pPr>
            <w:r>
              <w:rPr>
                <w:spacing w:val="9"/>
                <w:sz w:val="20"/>
                <w:szCs w:val="20"/>
              </w:rPr>
              <w:t>煤焦油是煤焦化过程中得到的一种黑色或黑褐色粘稠状</w:t>
            </w:r>
          </w:p>
          <w:p w14:paraId="703DB5D8">
            <w:pPr>
              <w:pStyle w:val="6"/>
              <w:spacing w:before="24" w:line="228" w:lineRule="auto"/>
              <w:ind w:left="115"/>
              <w:rPr>
                <w:sz w:val="20"/>
                <w:szCs w:val="20"/>
              </w:rPr>
            </w:pPr>
            <w:r>
              <w:rPr>
                <w:spacing w:val="8"/>
                <w:sz w:val="20"/>
                <w:szCs w:val="20"/>
              </w:rPr>
              <w:t>液体，比重大于水，具有一定溶性和特殊的臭味，</w:t>
            </w:r>
            <w:r>
              <w:rPr>
                <w:spacing w:val="7"/>
                <w:sz w:val="20"/>
                <w:szCs w:val="20"/>
              </w:rPr>
              <w:t>易燃易</w:t>
            </w:r>
          </w:p>
          <w:p w14:paraId="40028C67">
            <w:pPr>
              <w:pStyle w:val="6"/>
              <w:spacing w:before="24" w:line="218" w:lineRule="auto"/>
              <w:ind w:left="1983"/>
              <w:rPr>
                <w:sz w:val="20"/>
                <w:szCs w:val="20"/>
              </w:rPr>
            </w:pPr>
            <w:r>
              <w:rPr>
                <w:spacing w:val="7"/>
                <w:sz w:val="20"/>
                <w:szCs w:val="20"/>
              </w:rPr>
              <w:t>爆并有腐蚀性。</w:t>
            </w:r>
          </w:p>
        </w:tc>
        <w:tc>
          <w:tcPr>
            <w:tcW w:w="118" w:type="dxa"/>
            <w:tcBorders>
              <w:top w:val="nil"/>
              <w:bottom w:val="nil"/>
            </w:tcBorders>
            <w:vAlign w:val="top"/>
          </w:tcPr>
          <w:p w14:paraId="6F7B6378">
            <w:pPr>
              <w:rPr>
                <w:rFonts w:ascii="Arial"/>
                <w:sz w:val="21"/>
              </w:rPr>
            </w:pPr>
          </w:p>
        </w:tc>
      </w:tr>
      <w:tr w14:paraId="02C8F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6" w:type="dxa"/>
            <w:vMerge w:val="continue"/>
            <w:tcBorders>
              <w:top w:val="nil"/>
              <w:bottom w:val="nil"/>
            </w:tcBorders>
            <w:vAlign w:val="top"/>
          </w:tcPr>
          <w:p w14:paraId="498592FB">
            <w:pPr>
              <w:rPr>
                <w:rFonts w:ascii="Arial"/>
                <w:sz w:val="21"/>
              </w:rPr>
            </w:pPr>
          </w:p>
        </w:tc>
        <w:tc>
          <w:tcPr>
            <w:tcW w:w="113" w:type="dxa"/>
            <w:tcBorders>
              <w:top w:val="nil"/>
              <w:bottom w:val="nil"/>
            </w:tcBorders>
            <w:vAlign w:val="top"/>
          </w:tcPr>
          <w:p w14:paraId="28A3E80B">
            <w:pPr>
              <w:rPr>
                <w:rFonts w:ascii="Arial"/>
                <w:sz w:val="21"/>
              </w:rPr>
            </w:pPr>
          </w:p>
        </w:tc>
        <w:tc>
          <w:tcPr>
            <w:tcW w:w="467" w:type="dxa"/>
            <w:vAlign w:val="top"/>
          </w:tcPr>
          <w:p w14:paraId="2A8571CC">
            <w:pPr>
              <w:spacing w:line="275" w:lineRule="auto"/>
              <w:rPr>
                <w:rFonts w:ascii="Arial"/>
                <w:sz w:val="21"/>
              </w:rPr>
            </w:pPr>
          </w:p>
          <w:p w14:paraId="63D9622D">
            <w:pPr>
              <w:spacing w:line="276" w:lineRule="auto"/>
              <w:rPr>
                <w:rFonts w:ascii="Arial"/>
                <w:sz w:val="21"/>
              </w:rPr>
            </w:pPr>
          </w:p>
          <w:p w14:paraId="45B4E3AF">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00" w:type="dxa"/>
            <w:vAlign w:val="top"/>
          </w:tcPr>
          <w:p w14:paraId="09A4C8AB">
            <w:pPr>
              <w:spacing w:line="254" w:lineRule="auto"/>
              <w:rPr>
                <w:rFonts w:ascii="Arial"/>
                <w:sz w:val="21"/>
              </w:rPr>
            </w:pPr>
          </w:p>
          <w:p w14:paraId="2335194A">
            <w:pPr>
              <w:spacing w:line="254" w:lineRule="auto"/>
              <w:rPr>
                <w:rFonts w:ascii="Arial"/>
                <w:sz w:val="21"/>
              </w:rPr>
            </w:pPr>
          </w:p>
          <w:p w14:paraId="71F24B94">
            <w:pPr>
              <w:pStyle w:val="6"/>
              <w:spacing w:before="65" w:line="229" w:lineRule="auto"/>
              <w:ind w:left="192"/>
              <w:rPr>
                <w:sz w:val="20"/>
                <w:szCs w:val="20"/>
              </w:rPr>
            </w:pPr>
            <w:r>
              <w:rPr>
                <w:spacing w:val="5"/>
                <w:sz w:val="20"/>
                <w:szCs w:val="20"/>
              </w:rPr>
              <w:t>硫酸</w:t>
            </w:r>
          </w:p>
        </w:tc>
        <w:tc>
          <w:tcPr>
            <w:tcW w:w="1248" w:type="dxa"/>
            <w:vAlign w:val="top"/>
          </w:tcPr>
          <w:p w14:paraId="7880D55E">
            <w:pPr>
              <w:spacing w:line="275" w:lineRule="auto"/>
              <w:rPr>
                <w:rFonts w:ascii="Arial"/>
                <w:sz w:val="21"/>
              </w:rPr>
            </w:pPr>
          </w:p>
          <w:p w14:paraId="148BEF1C">
            <w:pPr>
              <w:spacing w:line="276" w:lineRule="auto"/>
              <w:rPr>
                <w:rFonts w:ascii="Arial"/>
                <w:sz w:val="21"/>
              </w:rPr>
            </w:pPr>
          </w:p>
          <w:p w14:paraId="7F680A76">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7664-93-9</w:t>
            </w:r>
          </w:p>
        </w:tc>
        <w:tc>
          <w:tcPr>
            <w:tcW w:w="5423" w:type="dxa"/>
            <w:vAlign w:val="top"/>
          </w:tcPr>
          <w:p w14:paraId="0C1D6CD4">
            <w:pPr>
              <w:pStyle w:val="6"/>
              <w:spacing w:before="32" w:line="226" w:lineRule="auto"/>
              <w:ind w:left="112"/>
              <w:rPr>
                <w:sz w:val="20"/>
                <w:szCs w:val="20"/>
              </w:rPr>
            </w:pPr>
            <w:r>
              <w:rPr>
                <w:spacing w:val="8"/>
                <w:sz w:val="20"/>
                <w:szCs w:val="20"/>
              </w:rPr>
              <w:t>遇水大量放热，可发生沸溅。与易燃物（如苯）和可燃物</w:t>
            </w:r>
          </w:p>
          <w:p w14:paraId="7D1911A1">
            <w:pPr>
              <w:pStyle w:val="6"/>
              <w:spacing w:before="26" w:line="227" w:lineRule="auto"/>
              <w:ind w:right="10"/>
              <w:jc w:val="right"/>
              <w:rPr>
                <w:sz w:val="20"/>
                <w:szCs w:val="20"/>
              </w:rPr>
            </w:pPr>
            <w:r>
              <w:rPr>
                <w:spacing w:val="3"/>
                <w:sz w:val="20"/>
                <w:szCs w:val="20"/>
              </w:rPr>
              <w:t>（如糖、纤维素等）接触会发生剧烈反应，甚至引起燃烧。</w:t>
            </w:r>
          </w:p>
          <w:p w14:paraId="2FADFC46">
            <w:pPr>
              <w:pStyle w:val="6"/>
              <w:spacing w:before="27" w:line="228" w:lineRule="auto"/>
              <w:ind w:left="112"/>
              <w:rPr>
                <w:sz w:val="20"/>
                <w:szCs w:val="20"/>
              </w:rPr>
            </w:pPr>
            <w:r>
              <w:rPr>
                <w:spacing w:val="8"/>
                <w:sz w:val="20"/>
                <w:szCs w:val="20"/>
              </w:rPr>
              <w:t>遇电石、高氯酸盐、雷酸盐、硝酸盐、苦味酸盐、金属粉</w:t>
            </w:r>
          </w:p>
          <w:p w14:paraId="2EFA7015">
            <w:pPr>
              <w:pStyle w:val="6"/>
              <w:spacing w:before="27" w:line="226" w:lineRule="auto"/>
              <w:ind w:left="113"/>
              <w:rPr>
                <w:sz w:val="20"/>
                <w:szCs w:val="20"/>
              </w:rPr>
            </w:pPr>
            <w:r>
              <w:rPr>
                <w:spacing w:val="8"/>
                <w:sz w:val="20"/>
                <w:szCs w:val="20"/>
              </w:rPr>
              <w:t>末等猛烈反应，发生爆炸或燃烧。有强烈的腐蚀性和</w:t>
            </w:r>
            <w:r>
              <w:rPr>
                <w:spacing w:val="7"/>
                <w:sz w:val="20"/>
                <w:szCs w:val="20"/>
              </w:rPr>
              <w:t>吸水</w:t>
            </w:r>
          </w:p>
          <w:p w14:paraId="5BAA567A">
            <w:pPr>
              <w:pStyle w:val="6"/>
              <w:spacing w:before="26" w:line="216" w:lineRule="auto"/>
              <w:ind w:left="2511"/>
              <w:rPr>
                <w:sz w:val="20"/>
                <w:szCs w:val="20"/>
              </w:rPr>
            </w:pPr>
            <w:r>
              <w:rPr>
                <w:spacing w:val="-1"/>
                <w:sz w:val="20"/>
                <w:szCs w:val="20"/>
              </w:rPr>
              <w:t>性。</w:t>
            </w:r>
          </w:p>
        </w:tc>
        <w:tc>
          <w:tcPr>
            <w:tcW w:w="118" w:type="dxa"/>
            <w:tcBorders>
              <w:top w:val="nil"/>
              <w:bottom w:val="nil"/>
            </w:tcBorders>
            <w:vAlign w:val="top"/>
          </w:tcPr>
          <w:p w14:paraId="4C497DFC">
            <w:pPr>
              <w:rPr>
                <w:rFonts w:ascii="Arial"/>
                <w:sz w:val="21"/>
              </w:rPr>
            </w:pPr>
          </w:p>
        </w:tc>
      </w:tr>
      <w:tr w14:paraId="5D338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269EE802">
            <w:pPr>
              <w:rPr>
                <w:rFonts w:ascii="Arial"/>
                <w:sz w:val="21"/>
              </w:rPr>
            </w:pPr>
          </w:p>
        </w:tc>
        <w:tc>
          <w:tcPr>
            <w:tcW w:w="113" w:type="dxa"/>
            <w:tcBorders>
              <w:top w:val="nil"/>
              <w:bottom w:val="nil"/>
            </w:tcBorders>
            <w:vAlign w:val="top"/>
          </w:tcPr>
          <w:p w14:paraId="110FAAAF">
            <w:pPr>
              <w:rPr>
                <w:rFonts w:ascii="Arial"/>
                <w:sz w:val="21"/>
              </w:rPr>
            </w:pPr>
          </w:p>
        </w:tc>
        <w:tc>
          <w:tcPr>
            <w:tcW w:w="467" w:type="dxa"/>
            <w:vAlign w:val="top"/>
          </w:tcPr>
          <w:p w14:paraId="5127EBF9">
            <w:pPr>
              <w:spacing w:before="20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800" w:type="dxa"/>
            <w:vAlign w:val="top"/>
          </w:tcPr>
          <w:p w14:paraId="32577F1F">
            <w:pPr>
              <w:pStyle w:val="6"/>
              <w:spacing w:before="31" w:line="227" w:lineRule="auto"/>
              <w:ind w:left="193"/>
              <w:rPr>
                <w:sz w:val="20"/>
                <w:szCs w:val="20"/>
              </w:rPr>
            </w:pPr>
            <w:r>
              <w:rPr>
                <w:spacing w:val="4"/>
                <w:sz w:val="20"/>
                <w:szCs w:val="20"/>
              </w:rPr>
              <w:t>氢氧</w:t>
            </w:r>
          </w:p>
          <w:p w14:paraId="2B4E7E98">
            <w:pPr>
              <w:pStyle w:val="6"/>
              <w:spacing w:before="27" w:line="217" w:lineRule="auto"/>
              <w:ind w:left="194"/>
              <w:rPr>
                <w:sz w:val="20"/>
                <w:szCs w:val="20"/>
              </w:rPr>
            </w:pPr>
            <w:r>
              <w:rPr>
                <w:spacing w:val="4"/>
                <w:sz w:val="20"/>
                <w:szCs w:val="20"/>
              </w:rPr>
              <w:t>化钾</w:t>
            </w:r>
          </w:p>
        </w:tc>
        <w:tc>
          <w:tcPr>
            <w:tcW w:w="1248" w:type="dxa"/>
            <w:vAlign w:val="top"/>
          </w:tcPr>
          <w:p w14:paraId="3F6BA966">
            <w:pPr>
              <w:spacing w:before="20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1310-58-3</w:t>
            </w:r>
          </w:p>
        </w:tc>
        <w:tc>
          <w:tcPr>
            <w:tcW w:w="5423" w:type="dxa"/>
            <w:vAlign w:val="top"/>
          </w:tcPr>
          <w:p w14:paraId="47D6B043">
            <w:pPr>
              <w:pStyle w:val="6"/>
              <w:spacing w:before="31" w:line="227" w:lineRule="auto"/>
              <w:ind w:left="117"/>
              <w:rPr>
                <w:sz w:val="20"/>
                <w:szCs w:val="20"/>
              </w:rPr>
            </w:pPr>
            <w:r>
              <w:rPr>
                <w:spacing w:val="8"/>
                <w:sz w:val="20"/>
                <w:szCs w:val="20"/>
              </w:rPr>
              <w:t>与酸发生中和反应并放热。本品不会燃烧，</w:t>
            </w:r>
            <w:r>
              <w:rPr>
                <w:spacing w:val="7"/>
                <w:sz w:val="20"/>
                <w:szCs w:val="20"/>
              </w:rPr>
              <w:t>遇水和水蒸气</w:t>
            </w:r>
          </w:p>
          <w:p w14:paraId="594E4220">
            <w:pPr>
              <w:pStyle w:val="6"/>
              <w:spacing w:before="27" w:line="217" w:lineRule="auto"/>
              <w:ind w:left="622"/>
              <w:rPr>
                <w:sz w:val="20"/>
                <w:szCs w:val="20"/>
              </w:rPr>
            </w:pPr>
            <w:r>
              <w:rPr>
                <w:spacing w:val="8"/>
                <w:sz w:val="20"/>
                <w:szCs w:val="20"/>
              </w:rPr>
              <w:t>大量放热，形成腐蚀性溶液，具有强腐蚀性。</w:t>
            </w:r>
          </w:p>
        </w:tc>
        <w:tc>
          <w:tcPr>
            <w:tcW w:w="118" w:type="dxa"/>
            <w:tcBorders>
              <w:top w:val="nil"/>
              <w:bottom w:val="nil"/>
            </w:tcBorders>
            <w:vAlign w:val="top"/>
          </w:tcPr>
          <w:p w14:paraId="7A2B9749">
            <w:pPr>
              <w:rPr>
                <w:rFonts w:ascii="Arial"/>
                <w:sz w:val="21"/>
              </w:rPr>
            </w:pPr>
          </w:p>
        </w:tc>
      </w:tr>
      <w:tr w14:paraId="4928B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52D6E155">
            <w:pPr>
              <w:rPr>
                <w:rFonts w:ascii="Arial"/>
                <w:sz w:val="21"/>
              </w:rPr>
            </w:pPr>
          </w:p>
        </w:tc>
        <w:tc>
          <w:tcPr>
            <w:tcW w:w="113" w:type="dxa"/>
            <w:tcBorders>
              <w:top w:val="nil"/>
              <w:bottom w:val="nil"/>
            </w:tcBorders>
            <w:vAlign w:val="top"/>
          </w:tcPr>
          <w:p w14:paraId="6CF4A2C5">
            <w:pPr>
              <w:rPr>
                <w:rFonts w:ascii="Arial"/>
                <w:sz w:val="21"/>
              </w:rPr>
            </w:pPr>
          </w:p>
        </w:tc>
        <w:tc>
          <w:tcPr>
            <w:tcW w:w="467" w:type="dxa"/>
            <w:vAlign w:val="top"/>
          </w:tcPr>
          <w:p w14:paraId="7952D7FC">
            <w:pPr>
              <w:spacing w:line="281" w:lineRule="auto"/>
              <w:rPr>
                <w:rFonts w:ascii="Arial"/>
                <w:sz w:val="21"/>
              </w:rPr>
            </w:pPr>
          </w:p>
          <w:p w14:paraId="48641C40">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00" w:type="dxa"/>
            <w:vAlign w:val="top"/>
          </w:tcPr>
          <w:p w14:paraId="2DEED92E">
            <w:pPr>
              <w:pStyle w:val="6"/>
              <w:spacing w:before="167" w:line="227" w:lineRule="auto"/>
              <w:ind w:left="193"/>
              <w:rPr>
                <w:sz w:val="20"/>
                <w:szCs w:val="20"/>
              </w:rPr>
            </w:pPr>
            <w:r>
              <w:rPr>
                <w:spacing w:val="4"/>
                <w:sz w:val="20"/>
                <w:szCs w:val="20"/>
              </w:rPr>
              <w:t>氢氧</w:t>
            </w:r>
          </w:p>
          <w:p w14:paraId="784B81D3">
            <w:pPr>
              <w:pStyle w:val="6"/>
              <w:spacing w:before="27" w:line="229" w:lineRule="auto"/>
              <w:ind w:left="194"/>
              <w:rPr>
                <w:sz w:val="20"/>
                <w:szCs w:val="20"/>
              </w:rPr>
            </w:pPr>
            <w:r>
              <w:rPr>
                <w:spacing w:val="4"/>
                <w:sz w:val="20"/>
                <w:szCs w:val="20"/>
              </w:rPr>
              <w:t>化钠</w:t>
            </w:r>
          </w:p>
        </w:tc>
        <w:tc>
          <w:tcPr>
            <w:tcW w:w="1248" w:type="dxa"/>
            <w:vAlign w:val="top"/>
          </w:tcPr>
          <w:p w14:paraId="17577DBC">
            <w:pPr>
              <w:spacing w:line="281" w:lineRule="auto"/>
              <w:rPr>
                <w:rFonts w:ascii="Arial"/>
                <w:sz w:val="21"/>
              </w:rPr>
            </w:pPr>
          </w:p>
          <w:p w14:paraId="1EEF80BC">
            <w:pPr>
              <w:spacing w:before="5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1310-73-2</w:t>
            </w:r>
          </w:p>
        </w:tc>
        <w:tc>
          <w:tcPr>
            <w:tcW w:w="5423" w:type="dxa"/>
            <w:vAlign w:val="top"/>
          </w:tcPr>
          <w:p w14:paraId="032BF36A">
            <w:pPr>
              <w:pStyle w:val="6"/>
              <w:spacing w:before="32" w:line="228" w:lineRule="auto"/>
              <w:ind w:right="7"/>
              <w:jc w:val="right"/>
              <w:rPr>
                <w:sz w:val="20"/>
                <w:szCs w:val="20"/>
              </w:rPr>
            </w:pPr>
            <w:r>
              <w:rPr>
                <w:spacing w:val="3"/>
                <w:sz w:val="20"/>
                <w:szCs w:val="20"/>
              </w:rPr>
              <w:t>与酸发生中和反应并放热。遇潮时对铝、锌和锡有腐蚀性，</w:t>
            </w:r>
          </w:p>
          <w:p w14:paraId="666E0510">
            <w:pPr>
              <w:pStyle w:val="6"/>
              <w:spacing w:before="24" w:line="226" w:lineRule="auto"/>
              <w:ind w:left="118"/>
              <w:rPr>
                <w:sz w:val="20"/>
                <w:szCs w:val="20"/>
              </w:rPr>
            </w:pPr>
            <w:r>
              <w:rPr>
                <w:spacing w:val="7"/>
                <w:sz w:val="20"/>
                <w:szCs w:val="20"/>
              </w:rPr>
              <w:t>并放出易燃易爆的氢气。本品不会燃烧，遇水和水蒸气大</w:t>
            </w:r>
          </w:p>
          <w:p w14:paraId="44EFD3A1">
            <w:pPr>
              <w:pStyle w:val="6"/>
              <w:spacing w:before="26" w:line="218" w:lineRule="auto"/>
              <w:ind w:left="723"/>
              <w:rPr>
                <w:sz w:val="20"/>
                <w:szCs w:val="20"/>
              </w:rPr>
            </w:pPr>
            <w:r>
              <w:rPr>
                <w:spacing w:val="8"/>
                <w:sz w:val="20"/>
                <w:szCs w:val="20"/>
              </w:rPr>
              <w:t>量放热，形成腐蚀性溶液，具有强腐蚀性。</w:t>
            </w:r>
          </w:p>
        </w:tc>
        <w:tc>
          <w:tcPr>
            <w:tcW w:w="118" w:type="dxa"/>
            <w:tcBorders>
              <w:top w:val="nil"/>
              <w:bottom w:val="nil"/>
            </w:tcBorders>
            <w:vAlign w:val="top"/>
          </w:tcPr>
          <w:p w14:paraId="3C4F8676">
            <w:pPr>
              <w:rPr>
                <w:rFonts w:ascii="Arial"/>
                <w:sz w:val="21"/>
              </w:rPr>
            </w:pPr>
          </w:p>
        </w:tc>
      </w:tr>
      <w:tr w14:paraId="429C1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6" w:type="dxa"/>
            <w:vMerge w:val="continue"/>
            <w:tcBorders>
              <w:top w:val="nil"/>
              <w:bottom w:val="nil"/>
            </w:tcBorders>
            <w:vAlign w:val="top"/>
          </w:tcPr>
          <w:p w14:paraId="069EA0BB">
            <w:pPr>
              <w:rPr>
                <w:rFonts w:ascii="Arial"/>
                <w:sz w:val="21"/>
              </w:rPr>
            </w:pPr>
          </w:p>
        </w:tc>
        <w:tc>
          <w:tcPr>
            <w:tcW w:w="113" w:type="dxa"/>
            <w:tcBorders>
              <w:top w:val="nil"/>
              <w:bottom w:val="nil"/>
            </w:tcBorders>
            <w:vAlign w:val="top"/>
          </w:tcPr>
          <w:p w14:paraId="627D6DA3">
            <w:pPr>
              <w:rPr>
                <w:rFonts w:ascii="Arial"/>
                <w:sz w:val="21"/>
              </w:rPr>
            </w:pPr>
          </w:p>
        </w:tc>
        <w:tc>
          <w:tcPr>
            <w:tcW w:w="467" w:type="dxa"/>
            <w:vAlign w:val="top"/>
          </w:tcPr>
          <w:p w14:paraId="6E911D6B">
            <w:pPr>
              <w:spacing w:line="415" w:lineRule="auto"/>
              <w:rPr>
                <w:rFonts w:ascii="Arial"/>
                <w:sz w:val="21"/>
              </w:rPr>
            </w:pPr>
          </w:p>
          <w:p w14:paraId="1028688C">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800" w:type="dxa"/>
            <w:vAlign w:val="top"/>
          </w:tcPr>
          <w:p w14:paraId="7431E7FB">
            <w:pPr>
              <w:pStyle w:val="6"/>
              <w:spacing w:before="31" w:line="252" w:lineRule="auto"/>
              <w:ind w:left="177" w:right="172" w:firstLine="19"/>
              <w:jc w:val="both"/>
              <w:rPr>
                <w:sz w:val="20"/>
                <w:szCs w:val="20"/>
              </w:rPr>
            </w:pPr>
            <w:r>
              <w:rPr>
                <w:spacing w:val="3"/>
                <w:sz w:val="20"/>
                <w:szCs w:val="20"/>
              </w:rPr>
              <w:t>氯甲</w:t>
            </w:r>
            <w:r>
              <w:rPr>
                <w:sz w:val="20"/>
                <w:szCs w:val="20"/>
              </w:rPr>
              <w:t xml:space="preserve"> </w:t>
            </w:r>
            <w:r>
              <w:rPr>
                <w:spacing w:val="2"/>
                <w:sz w:val="20"/>
                <w:szCs w:val="20"/>
              </w:rPr>
              <w:t>酸</w:t>
            </w:r>
            <w:r>
              <w:rPr>
                <w:rFonts w:ascii="Times New Roman" w:hAnsi="Times New Roman" w:eastAsia="Times New Roman" w:cs="Times New Roman"/>
                <w:spacing w:val="2"/>
                <w:sz w:val="20"/>
                <w:szCs w:val="20"/>
              </w:rPr>
              <w:t xml:space="preserve">-2- </w:t>
            </w:r>
            <w:r>
              <w:rPr>
                <w:spacing w:val="12"/>
                <w:sz w:val="20"/>
                <w:szCs w:val="20"/>
              </w:rPr>
              <w:t>乙基</w:t>
            </w:r>
          </w:p>
          <w:p w14:paraId="701330E0">
            <w:pPr>
              <w:pStyle w:val="6"/>
              <w:spacing w:line="214" w:lineRule="auto"/>
              <w:ind w:left="214"/>
              <w:rPr>
                <w:sz w:val="20"/>
                <w:szCs w:val="20"/>
              </w:rPr>
            </w:pPr>
            <w:r>
              <w:rPr>
                <w:spacing w:val="-6"/>
                <w:sz w:val="20"/>
                <w:szCs w:val="20"/>
              </w:rPr>
              <w:t>己酯</w:t>
            </w:r>
          </w:p>
        </w:tc>
        <w:tc>
          <w:tcPr>
            <w:tcW w:w="1248" w:type="dxa"/>
            <w:vAlign w:val="top"/>
          </w:tcPr>
          <w:p w14:paraId="7917C91B">
            <w:pPr>
              <w:spacing w:line="415" w:lineRule="auto"/>
              <w:rPr>
                <w:rFonts w:ascii="Arial"/>
                <w:sz w:val="21"/>
              </w:rPr>
            </w:pPr>
          </w:p>
          <w:p w14:paraId="1F45CAB0">
            <w:pPr>
              <w:spacing w:before="5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24468-13-1</w:t>
            </w:r>
          </w:p>
        </w:tc>
        <w:tc>
          <w:tcPr>
            <w:tcW w:w="5423" w:type="dxa"/>
            <w:vAlign w:val="top"/>
          </w:tcPr>
          <w:p w14:paraId="79F76452">
            <w:pPr>
              <w:pStyle w:val="6"/>
              <w:spacing w:before="166" w:line="226" w:lineRule="auto"/>
              <w:ind w:left="114"/>
              <w:rPr>
                <w:sz w:val="20"/>
                <w:szCs w:val="20"/>
              </w:rPr>
            </w:pPr>
            <w:r>
              <w:rPr>
                <w:spacing w:val="8"/>
                <w:sz w:val="20"/>
                <w:szCs w:val="20"/>
              </w:rPr>
              <w:t>其蒸气与空气混合后能形成爆炸性混合物，遇明火、</w:t>
            </w:r>
            <w:r>
              <w:rPr>
                <w:spacing w:val="7"/>
                <w:sz w:val="20"/>
                <w:szCs w:val="20"/>
              </w:rPr>
              <w:t>高热</w:t>
            </w:r>
          </w:p>
          <w:p w14:paraId="38F83F88">
            <w:pPr>
              <w:pStyle w:val="6"/>
              <w:spacing w:before="28" w:line="227" w:lineRule="auto"/>
              <w:ind w:left="115"/>
              <w:rPr>
                <w:sz w:val="20"/>
                <w:szCs w:val="20"/>
              </w:rPr>
            </w:pPr>
            <w:r>
              <w:rPr>
                <w:spacing w:val="8"/>
                <w:sz w:val="20"/>
                <w:szCs w:val="20"/>
              </w:rPr>
              <w:t>可燃，与氧化剂可发生反应，遇水或水蒸气反应放</w:t>
            </w:r>
            <w:r>
              <w:rPr>
                <w:spacing w:val="7"/>
                <w:sz w:val="20"/>
                <w:szCs w:val="20"/>
              </w:rPr>
              <w:t>热并产</w:t>
            </w:r>
          </w:p>
          <w:p w14:paraId="1EFC36D4">
            <w:pPr>
              <w:pStyle w:val="6"/>
              <w:spacing w:before="25" w:line="228" w:lineRule="auto"/>
              <w:ind w:left="1670"/>
              <w:rPr>
                <w:sz w:val="20"/>
                <w:szCs w:val="20"/>
              </w:rPr>
            </w:pPr>
            <w:r>
              <w:rPr>
                <w:spacing w:val="7"/>
                <w:sz w:val="20"/>
                <w:szCs w:val="20"/>
              </w:rPr>
              <w:t>生有毒的腐蚀性气体。</w:t>
            </w:r>
          </w:p>
        </w:tc>
        <w:tc>
          <w:tcPr>
            <w:tcW w:w="118" w:type="dxa"/>
            <w:tcBorders>
              <w:top w:val="nil"/>
              <w:bottom w:val="nil"/>
            </w:tcBorders>
            <w:vAlign w:val="top"/>
          </w:tcPr>
          <w:p w14:paraId="556B510E">
            <w:pPr>
              <w:rPr>
                <w:rFonts w:ascii="Arial"/>
                <w:sz w:val="21"/>
              </w:rPr>
            </w:pPr>
          </w:p>
        </w:tc>
      </w:tr>
      <w:tr w14:paraId="41B9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F6B87A0">
            <w:pPr>
              <w:rPr>
                <w:rFonts w:ascii="Arial"/>
                <w:sz w:val="21"/>
              </w:rPr>
            </w:pPr>
          </w:p>
        </w:tc>
        <w:tc>
          <w:tcPr>
            <w:tcW w:w="113" w:type="dxa"/>
            <w:tcBorders>
              <w:top w:val="nil"/>
              <w:bottom w:val="nil"/>
            </w:tcBorders>
            <w:vAlign w:val="top"/>
          </w:tcPr>
          <w:p w14:paraId="7351E980">
            <w:pPr>
              <w:rPr>
                <w:rFonts w:ascii="Arial"/>
                <w:sz w:val="21"/>
              </w:rPr>
            </w:pPr>
          </w:p>
        </w:tc>
        <w:tc>
          <w:tcPr>
            <w:tcW w:w="467" w:type="dxa"/>
            <w:vAlign w:val="top"/>
          </w:tcPr>
          <w:p w14:paraId="084F2D4E">
            <w:pPr>
              <w:spacing w:line="280" w:lineRule="auto"/>
              <w:rPr>
                <w:rFonts w:ascii="Arial"/>
                <w:sz w:val="21"/>
              </w:rPr>
            </w:pPr>
          </w:p>
          <w:p w14:paraId="1DE8BF7A">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800" w:type="dxa"/>
            <w:vAlign w:val="top"/>
          </w:tcPr>
          <w:p w14:paraId="1FAF8FD1">
            <w:pPr>
              <w:pStyle w:val="6"/>
              <w:spacing w:before="169" w:line="254" w:lineRule="auto"/>
              <w:ind w:left="302" w:right="191" w:hanging="106"/>
              <w:rPr>
                <w:sz w:val="20"/>
                <w:szCs w:val="20"/>
              </w:rPr>
            </w:pPr>
            <w:r>
              <w:rPr>
                <w:spacing w:val="3"/>
                <w:sz w:val="20"/>
                <w:szCs w:val="20"/>
              </w:rPr>
              <w:t>溶剂</w:t>
            </w:r>
            <w:r>
              <w:rPr>
                <w:sz w:val="20"/>
                <w:szCs w:val="20"/>
              </w:rPr>
              <w:t xml:space="preserve"> 油</w:t>
            </w:r>
          </w:p>
        </w:tc>
        <w:tc>
          <w:tcPr>
            <w:tcW w:w="1248" w:type="dxa"/>
            <w:vAlign w:val="top"/>
          </w:tcPr>
          <w:p w14:paraId="3B7A64B6">
            <w:pPr>
              <w:spacing w:line="277" w:lineRule="auto"/>
              <w:rPr>
                <w:rFonts w:ascii="Arial"/>
                <w:sz w:val="21"/>
              </w:rPr>
            </w:pPr>
          </w:p>
          <w:p w14:paraId="2C07EE64">
            <w:pPr>
              <w:spacing w:before="57" w:line="19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23" w:type="dxa"/>
            <w:vAlign w:val="top"/>
          </w:tcPr>
          <w:p w14:paraId="13CBDB4A">
            <w:pPr>
              <w:pStyle w:val="6"/>
              <w:spacing w:before="33" w:line="226" w:lineRule="auto"/>
              <w:ind w:left="116"/>
              <w:rPr>
                <w:sz w:val="20"/>
                <w:szCs w:val="20"/>
              </w:rPr>
            </w:pPr>
            <w:r>
              <w:rPr>
                <w:spacing w:val="9"/>
                <w:sz w:val="20"/>
                <w:szCs w:val="20"/>
              </w:rPr>
              <w:t>溶剂油的蒸气与空气混合后形成爆炸性混合物，遇明火、</w:t>
            </w:r>
          </w:p>
          <w:p w14:paraId="66A9F943">
            <w:pPr>
              <w:pStyle w:val="6"/>
              <w:spacing w:before="26" w:line="226" w:lineRule="auto"/>
              <w:ind w:left="119"/>
              <w:rPr>
                <w:sz w:val="20"/>
                <w:szCs w:val="20"/>
              </w:rPr>
            </w:pPr>
            <w:r>
              <w:rPr>
                <w:spacing w:val="7"/>
                <w:sz w:val="20"/>
                <w:szCs w:val="20"/>
              </w:rPr>
              <w:t>高热能会引起燃烧爆炸。其蒸气比空气重，能在较低处扩</w:t>
            </w:r>
          </w:p>
          <w:p w14:paraId="583CF24A">
            <w:pPr>
              <w:pStyle w:val="6"/>
              <w:spacing w:before="28" w:line="216" w:lineRule="auto"/>
              <w:ind w:left="827"/>
              <w:rPr>
                <w:sz w:val="20"/>
                <w:szCs w:val="20"/>
              </w:rPr>
            </w:pPr>
            <w:r>
              <w:rPr>
                <w:spacing w:val="8"/>
                <w:sz w:val="20"/>
                <w:szCs w:val="20"/>
              </w:rPr>
              <w:t>散到相当远的地方，遇火源会着火回燃。</w:t>
            </w:r>
          </w:p>
        </w:tc>
        <w:tc>
          <w:tcPr>
            <w:tcW w:w="118" w:type="dxa"/>
            <w:tcBorders>
              <w:top w:val="nil"/>
              <w:bottom w:val="nil"/>
            </w:tcBorders>
            <w:vAlign w:val="top"/>
          </w:tcPr>
          <w:p w14:paraId="437D05BB">
            <w:pPr>
              <w:rPr>
                <w:rFonts w:ascii="Arial"/>
                <w:sz w:val="21"/>
              </w:rPr>
            </w:pPr>
          </w:p>
        </w:tc>
      </w:tr>
      <w:tr w14:paraId="6DE86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2C07D402">
            <w:pPr>
              <w:rPr>
                <w:rFonts w:ascii="Arial"/>
                <w:sz w:val="21"/>
              </w:rPr>
            </w:pPr>
          </w:p>
        </w:tc>
        <w:tc>
          <w:tcPr>
            <w:tcW w:w="113" w:type="dxa"/>
            <w:tcBorders>
              <w:top w:val="nil"/>
              <w:bottom w:val="nil"/>
            </w:tcBorders>
            <w:vAlign w:val="top"/>
          </w:tcPr>
          <w:p w14:paraId="3F198661">
            <w:pPr>
              <w:rPr>
                <w:rFonts w:ascii="Arial"/>
                <w:sz w:val="21"/>
              </w:rPr>
            </w:pPr>
          </w:p>
        </w:tc>
        <w:tc>
          <w:tcPr>
            <w:tcW w:w="467" w:type="dxa"/>
            <w:vAlign w:val="top"/>
          </w:tcPr>
          <w:p w14:paraId="2F63E7B1">
            <w:pPr>
              <w:spacing w:line="281" w:lineRule="auto"/>
              <w:rPr>
                <w:rFonts w:ascii="Arial"/>
                <w:sz w:val="21"/>
              </w:rPr>
            </w:pPr>
          </w:p>
          <w:p w14:paraId="727D25C7">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00" w:type="dxa"/>
            <w:vAlign w:val="top"/>
          </w:tcPr>
          <w:p w14:paraId="12E0386F">
            <w:pPr>
              <w:pStyle w:val="6"/>
              <w:spacing w:before="168" w:line="229" w:lineRule="auto"/>
              <w:ind w:left="193"/>
              <w:rPr>
                <w:sz w:val="20"/>
                <w:szCs w:val="20"/>
              </w:rPr>
            </w:pPr>
            <w:r>
              <w:rPr>
                <w:spacing w:val="4"/>
                <w:sz w:val="20"/>
                <w:szCs w:val="20"/>
              </w:rPr>
              <w:t>三氯</w:t>
            </w:r>
          </w:p>
          <w:p w14:paraId="760B2388">
            <w:pPr>
              <w:pStyle w:val="6"/>
              <w:spacing w:before="25" w:line="229" w:lineRule="auto"/>
              <w:ind w:left="194"/>
              <w:rPr>
                <w:sz w:val="20"/>
                <w:szCs w:val="20"/>
              </w:rPr>
            </w:pPr>
            <w:r>
              <w:rPr>
                <w:spacing w:val="4"/>
                <w:sz w:val="20"/>
                <w:szCs w:val="20"/>
              </w:rPr>
              <w:t>化铁</w:t>
            </w:r>
          </w:p>
        </w:tc>
        <w:tc>
          <w:tcPr>
            <w:tcW w:w="1248" w:type="dxa"/>
            <w:vAlign w:val="top"/>
          </w:tcPr>
          <w:p w14:paraId="4443898C">
            <w:pPr>
              <w:spacing w:line="281" w:lineRule="auto"/>
              <w:rPr>
                <w:rFonts w:ascii="Arial"/>
                <w:sz w:val="21"/>
              </w:rPr>
            </w:pPr>
          </w:p>
          <w:p w14:paraId="73785AD1">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7705-08-0</w:t>
            </w:r>
          </w:p>
        </w:tc>
        <w:tc>
          <w:tcPr>
            <w:tcW w:w="5423" w:type="dxa"/>
            <w:vAlign w:val="top"/>
          </w:tcPr>
          <w:p w14:paraId="57A66706">
            <w:pPr>
              <w:pStyle w:val="6"/>
              <w:spacing w:before="33" w:line="228" w:lineRule="auto"/>
              <w:ind w:left="203"/>
              <w:rPr>
                <w:sz w:val="20"/>
                <w:szCs w:val="20"/>
              </w:rPr>
            </w:pPr>
            <w:r>
              <w:rPr>
                <w:spacing w:val="9"/>
                <w:sz w:val="20"/>
                <w:szCs w:val="20"/>
              </w:rPr>
              <w:t>一种黑色晶体或棕色固体，常温下为有刺激气味的结晶</w:t>
            </w:r>
          </w:p>
          <w:p w14:paraId="202AD3D8">
            <w:pPr>
              <w:pStyle w:val="6"/>
              <w:spacing w:before="24" w:line="228" w:lineRule="auto"/>
              <w:ind w:left="113"/>
              <w:rPr>
                <w:sz w:val="20"/>
                <w:szCs w:val="20"/>
              </w:rPr>
            </w:pPr>
            <w:r>
              <w:rPr>
                <w:spacing w:val="8"/>
                <w:sz w:val="20"/>
                <w:szCs w:val="20"/>
              </w:rPr>
              <w:t>体。它可以溶于水和氯化物，并在水中迅速水解，产生黄</w:t>
            </w:r>
          </w:p>
          <w:p w14:paraId="7692DE8C">
            <w:pPr>
              <w:pStyle w:val="6"/>
              <w:spacing w:before="25" w:line="217" w:lineRule="auto"/>
              <w:ind w:left="1247"/>
              <w:rPr>
                <w:sz w:val="20"/>
                <w:szCs w:val="20"/>
              </w:rPr>
            </w:pPr>
            <w:r>
              <w:rPr>
                <w:spacing w:val="8"/>
                <w:sz w:val="20"/>
                <w:szCs w:val="20"/>
              </w:rPr>
              <w:t>棕色溶液，具有高度的腐蚀性。</w:t>
            </w:r>
          </w:p>
        </w:tc>
        <w:tc>
          <w:tcPr>
            <w:tcW w:w="118" w:type="dxa"/>
            <w:tcBorders>
              <w:top w:val="nil"/>
              <w:bottom w:val="nil"/>
            </w:tcBorders>
            <w:vAlign w:val="top"/>
          </w:tcPr>
          <w:p w14:paraId="3804579A">
            <w:pPr>
              <w:rPr>
                <w:rFonts w:ascii="Arial"/>
                <w:sz w:val="21"/>
              </w:rPr>
            </w:pPr>
          </w:p>
        </w:tc>
      </w:tr>
      <w:tr w14:paraId="6B8CA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56" w:type="dxa"/>
            <w:vMerge w:val="continue"/>
            <w:tcBorders>
              <w:top w:val="nil"/>
              <w:bottom w:val="nil"/>
            </w:tcBorders>
            <w:vAlign w:val="top"/>
          </w:tcPr>
          <w:p w14:paraId="43E84694">
            <w:pPr>
              <w:rPr>
                <w:rFonts w:ascii="Arial"/>
                <w:sz w:val="21"/>
              </w:rPr>
            </w:pPr>
          </w:p>
        </w:tc>
        <w:tc>
          <w:tcPr>
            <w:tcW w:w="113" w:type="dxa"/>
            <w:tcBorders>
              <w:top w:val="nil"/>
              <w:bottom w:val="nil"/>
            </w:tcBorders>
            <w:vAlign w:val="top"/>
          </w:tcPr>
          <w:p w14:paraId="7BCFC18C">
            <w:pPr>
              <w:rPr>
                <w:rFonts w:ascii="Arial"/>
                <w:sz w:val="21"/>
              </w:rPr>
            </w:pPr>
          </w:p>
        </w:tc>
        <w:tc>
          <w:tcPr>
            <w:tcW w:w="467" w:type="dxa"/>
            <w:vAlign w:val="top"/>
          </w:tcPr>
          <w:p w14:paraId="364FF5DB">
            <w:pPr>
              <w:rPr>
                <w:rFonts w:ascii="Arial"/>
                <w:sz w:val="21"/>
              </w:rPr>
            </w:pPr>
          </w:p>
          <w:p w14:paraId="2F3A4061">
            <w:pPr>
              <w:rPr>
                <w:rFonts w:ascii="Arial"/>
                <w:sz w:val="21"/>
              </w:rPr>
            </w:pPr>
          </w:p>
          <w:p w14:paraId="54464E4E">
            <w:pPr>
              <w:rPr>
                <w:rFonts w:ascii="Arial"/>
                <w:sz w:val="21"/>
              </w:rPr>
            </w:pPr>
          </w:p>
          <w:p w14:paraId="7E6831CC">
            <w:pPr>
              <w:rPr>
                <w:rFonts w:ascii="Arial"/>
                <w:sz w:val="21"/>
              </w:rPr>
            </w:pPr>
          </w:p>
          <w:p w14:paraId="5D2F0BD8">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00" w:type="dxa"/>
            <w:vAlign w:val="top"/>
          </w:tcPr>
          <w:p w14:paraId="3217C22F">
            <w:pPr>
              <w:spacing w:line="260" w:lineRule="auto"/>
              <w:rPr>
                <w:rFonts w:ascii="Arial"/>
                <w:sz w:val="21"/>
              </w:rPr>
            </w:pPr>
          </w:p>
          <w:p w14:paraId="4F2E8499">
            <w:pPr>
              <w:spacing w:line="260" w:lineRule="auto"/>
              <w:rPr>
                <w:rFonts w:ascii="Arial"/>
                <w:sz w:val="21"/>
              </w:rPr>
            </w:pPr>
          </w:p>
          <w:p w14:paraId="6EBA94E3">
            <w:pPr>
              <w:spacing w:line="261" w:lineRule="auto"/>
              <w:rPr>
                <w:rFonts w:ascii="Arial"/>
                <w:sz w:val="21"/>
              </w:rPr>
            </w:pPr>
          </w:p>
          <w:p w14:paraId="09CCD7C5">
            <w:pPr>
              <w:pStyle w:val="6"/>
              <w:spacing w:before="65" w:line="229" w:lineRule="auto"/>
              <w:ind w:left="193"/>
              <w:rPr>
                <w:sz w:val="20"/>
                <w:szCs w:val="20"/>
              </w:rPr>
            </w:pPr>
            <w:r>
              <w:rPr>
                <w:spacing w:val="4"/>
                <w:sz w:val="20"/>
                <w:szCs w:val="20"/>
              </w:rPr>
              <w:t>三氯</w:t>
            </w:r>
          </w:p>
          <w:p w14:paraId="0E56F7D8">
            <w:pPr>
              <w:pStyle w:val="6"/>
              <w:spacing w:before="23" w:line="229" w:lineRule="auto"/>
              <w:ind w:left="193"/>
              <w:rPr>
                <w:sz w:val="20"/>
                <w:szCs w:val="20"/>
              </w:rPr>
            </w:pPr>
            <w:r>
              <w:rPr>
                <w:spacing w:val="4"/>
                <w:sz w:val="20"/>
                <w:szCs w:val="20"/>
              </w:rPr>
              <w:t>氢硅</w:t>
            </w:r>
          </w:p>
        </w:tc>
        <w:tc>
          <w:tcPr>
            <w:tcW w:w="1248" w:type="dxa"/>
            <w:vAlign w:val="top"/>
          </w:tcPr>
          <w:p w14:paraId="7B21675F">
            <w:pPr>
              <w:rPr>
                <w:rFonts w:ascii="Arial"/>
                <w:sz w:val="21"/>
              </w:rPr>
            </w:pPr>
          </w:p>
          <w:p w14:paraId="74F620B1">
            <w:pPr>
              <w:rPr>
                <w:rFonts w:ascii="Arial"/>
                <w:sz w:val="21"/>
              </w:rPr>
            </w:pPr>
          </w:p>
          <w:p w14:paraId="4BB5C75E">
            <w:pPr>
              <w:rPr>
                <w:rFonts w:ascii="Arial"/>
                <w:sz w:val="21"/>
              </w:rPr>
            </w:pPr>
          </w:p>
          <w:p w14:paraId="2A2B0498">
            <w:pPr>
              <w:rPr>
                <w:rFonts w:ascii="Arial"/>
                <w:sz w:val="21"/>
              </w:rPr>
            </w:pPr>
          </w:p>
          <w:p w14:paraId="11239AD1">
            <w:pPr>
              <w:spacing w:before="57"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10025-78-2</w:t>
            </w:r>
          </w:p>
        </w:tc>
        <w:tc>
          <w:tcPr>
            <w:tcW w:w="5423" w:type="dxa"/>
            <w:vAlign w:val="top"/>
          </w:tcPr>
          <w:p w14:paraId="1D253F9C">
            <w:pPr>
              <w:pStyle w:val="6"/>
              <w:spacing w:before="34" w:line="228" w:lineRule="auto"/>
              <w:ind w:left="118"/>
              <w:rPr>
                <w:sz w:val="20"/>
                <w:szCs w:val="20"/>
              </w:rPr>
            </w:pPr>
            <w:r>
              <w:rPr>
                <w:spacing w:val="8"/>
                <w:sz w:val="20"/>
                <w:szCs w:val="20"/>
              </w:rPr>
              <w:t>常温常压下为具有刺激性恶臭、易流动、易</w:t>
            </w:r>
            <w:r>
              <w:rPr>
                <w:spacing w:val="7"/>
                <w:sz w:val="20"/>
                <w:szCs w:val="20"/>
              </w:rPr>
              <w:t>挥发、易潮解</w:t>
            </w:r>
          </w:p>
          <w:p w14:paraId="09CCF3B1">
            <w:pPr>
              <w:pStyle w:val="6"/>
              <w:spacing w:before="24" w:line="228" w:lineRule="auto"/>
              <w:ind w:left="130"/>
              <w:rPr>
                <w:sz w:val="20"/>
                <w:szCs w:val="20"/>
              </w:rPr>
            </w:pPr>
            <w:r>
              <w:rPr>
                <w:spacing w:val="7"/>
                <w:sz w:val="20"/>
                <w:szCs w:val="20"/>
              </w:rPr>
              <w:t>的无色透明液体，极易水解，遇水或水蒸气能产生热和有</w:t>
            </w:r>
          </w:p>
          <w:p w14:paraId="4C3E3E04">
            <w:pPr>
              <w:pStyle w:val="6"/>
              <w:spacing w:before="24" w:line="226" w:lineRule="auto"/>
              <w:ind w:left="115"/>
              <w:rPr>
                <w:sz w:val="20"/>
                <w:szCs w:val="20"/>
              </w:rPr>
            </w:pPr>
            <w:r>
              <w:rPr>
                <w:spacing w:val="8"/>
                <w:sz w:val="20"/>
                <w:szCs w:val="20"/>
              </w:rPr>
              <w:t>毒的腐蚀性烟雾。三氯硅烷与空气混合后形成爆炸</w:t>
            </w:r>
            <w:r>
              <w:rPr>
                <w:spacing w:val="7"/>
                <w:sz w:val="20"/>
                <w:szCs w:val="20"/>
              </w:rPr>
              <w:t>性混合</w:t>
            </w:r>
          </w:p>
          <w:p w14:paraId="681A58A3">
            <w:pPr>
              <w:pStyle w:val="6"/>
              <w:spacing w:before="28" w:line="226" w:lineRule="auto"/>
              <w:ind w:left="113"/>
              <w:rPr>
                <w:sz w:val="20"/>
                <w:szCs w:val="20"/>
              </w:rPr>
            </w:pPr>
            <w:r>
              <w:rPr>
                <w:spacing w:val="8"/>
                <w:sz w:val="20"/>
                <w:szCs w:val="20"/>
              </w:rPr>
              <w:t>物，遇明火、高热极易燃烧爆炸，其蒸气比空气重，能在</w:t>
            </w:r>
          </w:p>
          <w:p w14:paraId="24F5ABE5">
            <w:pPr>
              <w:pStyle w:val="6"/>
              <w:spacing w:before="26" w:line="228" w:lineRule="auto"/>
              <w:ind w:left="113"/>
              <w:rPr>
                <w:sz w:val="20"/>
                <w:szCs w:val="20"/>
              </w:rPr>
            </w:pPr>
            <w:r>
              <w:rPr>
                <w:spacing w:val="8"/>
                <w:sz w:val="20"/>
                <w:szCs w:val="20"/>
              </w:rPr>
              <w:t>较低处扩散，增加火灾风险。三氯硅烷对眼和呼吸道</w:t>
            </w:r>
            <w:r>
              <w:rPr>
                <w:spacing w:val="7"/>
                <w:sz w:val="20"/>
                <w:szCs w:val="20"/>
              </w:rPr>
              <w:t>黏膜</w:t>
            </w:r>
          </w:p>
          <w:p w14:paraId="2E7816CD">
            <w:pPr>
              <w:pStyle w:val="6"/>
              <w:spacing w:before="27" w:line="227" w:lineRule="auto"/>
              <w:ind w:left="114"/>
              <w:rPr>
                <w:sz w:val="20"/>
                <w:szCs w:val="20"/>
              </w:rPr>
            </w:pPr>
            <w:r>
              <w:rPr>
                <w:spacing w:val="9"/>
                <w:sz w:val="20"/>
                <w:szCs w:val="20"/>
              </w:rPr>
              <w:t>有强烈刺激作用，急性中毒时会出现流泪、咳嗽、气急、</w:t>
            </w:r>
          </w:p>
          <w:p w14:paraId="7EB3ACAA">
            <w:pPr>
              <w:pStyle w:val="6"/>
              <w:spacing w:before="27" w:line="228" w:lineRule="auto"/>
              <w:ind w:left="112"/>
              <w:rPr>
                <w:sz w:val="20"/>
                <w:szCs w:val="20"/>
              </w:rPr>
            </w:pPr>
            <w:r>
              <w:rPr>
                <w:spacing w:val="8"/>
                <w:sz w:val="20"/>
                <w:szCs w:val="20"/>
              </w:rPr>
              <w:t>胸闷等症状，严重时可导致肺水肿。皮肤接触其液体可引</w:t>
            </w:r>
          </w:p>
          <w:p w14:paraId="07792182">
            <w:pPr>
              <w:pStyle w:val="6"/>
              <w:spacing w:before="25" w:line="214" w:lineRule="auto"/>
              <w:ind w:left="2403"/>
              <w:rPr>
                <w:sz w:val="20"/>
                <w:szCs w:val="20"/>
              </w:rPr>
            </w:pPr>
            <w:r>
              <w:rPr>
                <w:spacing w:val="6"/>
                <w:sz w:val="20"/>
                <w:szCs w:val="20"/>
              </w:rPr>
              <w:t>起灼伤</w:t>
            </w:r>
          </w:p>
        </w:tc>
        <w:tc>
          <w:tcPr>
            <w:tcW w:w="118" w:type="dxa"/>
            <w:tcBorders>
              <w:top w:val="nil"/>
              <w:bottom w:val="nil"/>
            </w:tcBorders>
            <w:vAlign w:val="top"/>
          </w:tcPr>
          <w:p w14:paraId="7C03BC62">
            <w:pPr>
              <w:rPr>
                <w:rFonts w:ascii="Arial"/>
                <w:sz w:val="21"/>
              </w:rPr>
            </w:pPr>
          </w:p>
        </w:tc>
      </w:tr>
      <w:tr w14:paraId="2FEE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56" w:type="dxa"/>
            <w:vMerge w:val="continue"/>
            <w:tcBorders>
              <w:top w:val="nil"/>
              <w:bottom w:val="nil"/>
            </w:tcBorders>
            <w:vAlign w:val="top"/>
          </w:tcPr>
          <w:p w14:paraId="72C9A69F">
            <w:pPr>
              <w:rPr>
                <w:rFonts w:ascii="Arial"/>
                <w:sz w:val="21"/>
              </w:rPr>
            </w:pPr>
          </w:p>
        </w:tc>
        <w:tc>
          <w:tcPr>
            <w:tcW w:w="113" w:type="dxa"/>
            <w:tcBorders>
              <w:top w:val="nil"/>
              <w:bottom w:val="nil"/>
            </w:tcBorders>
            <w:vAlign w:val="top"/>
          </w:tcPr>
          <w:p w14:paraId="3235C167">
            <w:pPr>
              <w:rPr>
                <w:rFonts w:ascii="Arial"/>
                <w:sz w:val="21"/>
              </w:rPr>
            </w:pPr>
          </w:p>
        </w:tc>
        <w:tc>
          <w:tcPr>
            <w:tcW w:w="467" w:type="dxa"/>
            <w:vAlign w:val="top"/>
          </w:tcPr>
          <w:p w14:paraId="20F790C9">
            <w:pPr>
              <w:spacing w:line="276" w:lineRule="auto"/>
              <w:rPr>
                <w:rFonts w:ascii="Arial"/>
                <w:sz w:val="21"/>
              </w:rPr>
            </w:pPr>
          </w:p>
          <w:p w14:paraId="14082561">
            <w:pPr>
              <w:spacing w:line="277" w:lineRule="auto"/>
              <w:rPr>
                <w:rFonts w:ascii="Arial"/>
                <w:sz w:val="21"/>
              </w:rPr>
            </w:pPr>
          </w:p>
          <w:p w14:paraId="17B72CB9">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00" w:type="dxa"/>
            <w:vAlign w:val="top"/>
          </w:tcPr>
          <w:p w14:paraId="3E355D33">
            <w:pPr>
              <w:pStyle w:val="6"/>
              <w:spacing w:before="304" w:line="227" w:lineRule="auto"/>
              <w:ind w:left="213"/>
              <w:rPr>
                <w:sz w:val="20"/>
                <w:szCs w:val="20"/>
              </w:rPr>
            </w:pPr>
            <w:r>
              <w:rPr>
                <w:spacing w:val="-5"/>
                <w:sz w:val="20"/>
                <w:szCs w:val="20"/>
              </w:rPr>
              <w:t>四氧</w:t>
            </w:r>
          </w:p>
          <w:p w14:paraId="5EC87400">
            <w:pPr>
              <w:pStyle w:val="6"/>
              <w:spacing w:before="28" w:line="251" w:lineRule="auto"/>
              <w:ind w:left="297" w:right="191" w:hanging="103"/>
              <w:rPr>
                <w:sz w:val="20"/>
                <w:szCs w:val="20"/>
              </w:rPr>
            </w:pPr>
            <w:r>
              <w:rPr>
                <w:spacing w:val="4"/>
                <w:sz w:val="20"/>
                <w:szCs w:val="20"/>
              </w:rPr>
              <w:t>化二</w:t>
            </w:r>
            <w:r>
              <w:rPr>
                <w:sz w:val="20"/>
                <w:szCs w:val="20"/>
              </w:rPr>
              <w:t xml:space="preserve"> </w:t>
            </w:r>
            <w:r>
              <w:rPr>
                <w:spacing w:val="2"/>
                <w:sz w:val="20"/>
                <w:szCs w:val="20"/>
              </w:rPr>
              <w:t>氮</w:t>
            </w:r>
          </w:p>
        </w:tc>
        <w:tc>
          <w:tcPr>
            <w:tcW w:w="1248" w:type="dxa"/>
            <w:vAlign w:val="top"/>
          </w:tcPr>
          <w:p w14:paraId="4CE121F6">
            <w:pPr>
              <w:spacing w:line="276" w:lineRule="auto"/>
              <w:rPr>
                <w:rFonts w:ascii="Arial"/>
                <w:sz w:val="21"/>
              </w:rPr>
            </w:pPr>
          </w:p>
          <w:p w14:paraId="152AA488">
            <w:pPr>
              <w:spacing w:line="277" w:lineRule="auto"/>
              <w:rPr>
                <w:rFonts w:ascii="Arial"/>
                <w:sz w:val="21"/>
              </w:rPr>
            </w:pPr>
          </w:p>
          <w:p w14:paraId="55A05F96">
            <w:pPr>
              <w:spacing w:before="57" w:line="195"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10544-72-6</w:t>
            </w:r>
          </w:p>
        </w:tc>
        <w:tc>
          <w:tcPr>
            <w:tcW w:w="5423" w:type="dxa"/>
            <w:vAlign w:val="top"/>
          </w:tcPr>
          <w:p w14:paraId="74C0F499">
            <w:pPr>
              <w:pStyle w:val="6"/>
              <w:spacing w:before="33" w:line="226" w:lineRule="auto"/>
              <w:ind w:left="219"/>
              <w:rPr>
                <w:sz w:val="20"/>
                <w:szCs w:val="20"/>
              </w:rPr>
            </w:pPr>
            <w:r>
              <w:rPr>
                <w:spacing w:val="8"/>
                <w:sz w:val="20"/>
                <w:szCs w:val="20"/>
              </w:rPr>
              <w:t>四氧化二氮不燃烧但助燃，能与可燃物剧烈反应引发爆</w:t>
            </w:r>
          </w:p>
          <w:p w14:paraId="73C50361">
            <w:pPr>
              <w:pStyle w:val="6"/>
              <w:spacing w:before="28" w:line="227" w:lineRule="auto"/>
              <w:ind w:left="116"/>
              <w:rPr>
                <w:sz w:val="20"/>
                <w:szCs w:val="20"/>
              </w:rPr>
            </w:pPr>
            <w:r>
              <w:rPr>
                <w:spacing w:val="8"/>
                <w:sz w:val="20"/>
                <w:szCs w:val="20"/>
              </w:rPr>
              <w:t>炸，且遇水有腐蚀性。燃烧产物会产生氮氧化物</w:t>
            </w:r>
            <w:r>
              <w:rPr>
                <w:spacing w:val="7"/>
                <w:sz w:val="20"/>
                <w:szCs w:val="20"/>
              </w:rPr>
              <w:t>。通过吸</w:t>
            </w:r>
          </w:p>
          <w:p w14:paraId="74A2FBD8">
            <w:pPr>
              <w:pStyle w:val="6"/>
              <w:spacing w:before="24" w:line="228" w:lineRule="auto"/>
              <w:ind w:left="112"/>
              <w:rPr>
                <w:sz w:val="20"/>
                <w:szCs w:val="20"/>
              </w:rPr>
            </w:pPr>
            <w:r>
              <w:rPr>
                <w:spacing w:val="9"/>
                <w:sz w:val="20"/>
                <w:szCs w:val="20"/>
              </w:rPr>
              <w:t>入进入人体，初期症状包括轻微的眼部和上呼吸道刺激。</w:t>
            </w:r>
          </w:p>
          <w:p w14:paraId="6D127189">
            <w:pPr>
              <w:pStyle w:val="6"/>
              <w:spacing w:before="27" w:line="227" w:lineRule="auto"/>
              <w:ind w:left="114"/>
              <w:rPr>
                <w:sz w:val="20"/>
                <w:szCs w:val="20"/>
              </w:rPr>
            </w:pPr>
            <w:r>
              <w:rPr>
                <w:spacing w:val="9"/>
                <w:sz w:val="20"/>
                <w:szCs w:val="20"/>
              </w:rPr>
              <w:t>长期暴露可能导致迟发性肺水肿、呼吸窘迫等严重后果，</w:t>
            </w:r>
          </w:p>
          <w:p w14:paraId="7DF941BE">
            <w:pPr>
              <w:pStyle w:val="6"/>
              <w:spacing w:before="25" w:line="214" w:lineRule="auto"/>
              <w:ind w:left="1459"/>
              <w:rPr>
                <w:sz w:val="20"/>
                <w:szCs w:val="20"/>
              </w:rPr>
            </w:pPr>
            <w:r>
              <w:rPr>
                <w:spacing w:val="8"/>
                <w:sz w:val="20"/>
                <w:szCs w:val="20"/>
              </w:rPr>
              <w:t>甚至并发气胸和纵隔气肿。</w:t>
            </w:r>
          </w:p>
        </w:tc>
        <w:tc>
          <w:tcPr>
            <w:tcW w:w="118" w:type="dxa"/>
            <w:tcBorders>
              <w:top w:val="nil"/>
              <w:bottom w:val="nil"/>
            </w:tcBorders>
            <w:vAlign w:val="top"/>
          </w:tcPr>
          <w:p w14:paraId="6449D183">
            <w:pPr>
              <w:rPr>
                <w:rFonts w:ascii="Arial"/>
                <w:sz w:val="21"/>
              </w:rPr>
            </w:pPr>
          </w:p>
        </w:tc>
      </w:tr>
      <w:tr w14:paraId="3859A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56" w:type="dxa"/>
            <w:vMerge w:val="continue"/>
            <w:tcBorders>
              <w:top w:val="nil"/>
            </w:tcBorders>
            <w:vAlign w:val="top"/>
          </w:tcPr>
          <w:p w14:paraId="4FA52C9A">
            <w:pPr>
              <w:rPr>
                <w:rFonts w:ascii="Arial"/>
                <w:sz w:val="21"/>
              </w:rPr>
            </w:pPr>
          </w:p>
        </w:tc>
        <w:tc>
          <w:tcPr>
            <w:tcW w:w="113" w:type="dxa"/>
            <w:tcBorders>
              <w:top w:val="nil"/>
            </w:tcBorders>
            <w:vAlign w:val="top"/>
          </w:tcPr>
          <w:p w14:paraId="74B508D3">
            <w:pPr>
              <w:rPr>
                <w:rFonts w:ascii="Arial"/>
                <w:sz w:val="21"/>
              </w:rPr>
            </w:pPr>
          </w:p>
        </w:tc>
        <w:tc>
          <w:tcPr>
            <w:tcW w:w="467" w:type="dxa"/>
            <w:vAlign w:val="top"/>
          </w:tcPr>
          <w:p w14:paraId="6F9257A0">
            <w:pPr>
              <w:spacing w:line="278" w:lineRule="auto"/>
              <w:rPr>
                <w:rFonts w:ascii="Arial"/>
                <w:sz w:val="21"/>
              </w:rPr>
            </w:pPr>
          </w:p>
          <w:p w14:paraId="387C9900">
            <w:pPr>
              <w:spacing w:line="278" w:lineRule="auto"/>
              <w:rPr>
                <w:rFonts w:ascii="Arial"/>
                <w:sz w:val="21"/>
              </w:rPr>
            </w:pPr>
          </w:p>
          <w:p w14:paraId="1BC28A61">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00" w:type="dxa"/>
            <w:vAlign w:val="top"/>
          </w:tcPr>
          <w:p w14:paraId="56D60E53">
            <w:pPr>
              <w:spacing w:line="256" w:lineRule="auto"/>
              <w:rPr>
                <w:rFonts w:ascii="Arial"/>
                <w:sz w:val="21"/>
              </w:rPr>
            </w:pPr>
          </w:p>
          <w:p w14:paraId="2EE06CAD">
            <w:pPr>
              <w:spacing w:line="256" w:lineRule="auto"/>
              <w:rPr>
                <w:rFonts w:ascii="Arial"/>
                <w:sz w:val="21"/>
              </w:rPr>
            </w:pPr>
          </w:p>
          <w:p w14:paraId="13832D56">
            <w:pPr>
              <w:pStyle w:val="6"/>
              <w:spacing w:before="65" w:line="229" w:lineRule="auto"/>
              <w:ind w:left="192"/>
              <w:rPr>
                <w:sz w:val="20"/>
                <w:szCs w:val="20"/>
              </w:rPr>
            </w:pPr>
            <w:r>
              <w:rPr>
                <w:spacing w:val="5"/>
                <w:sz w:val="20"/>
                <w:szCs w:val="20"/>
              </w:rPr>
              <w:t>洗油</w:t>
            </w:r>
          </w:p>
        </w:tc>
        <w:tc>
          <w:tcPr>
            <w:tcW w:w="1248" w:type="dxa"/>
            <w:vAlign w:val="top"/>
          </w:tcPr>
          <w:p w14:paraId="76AA9176">
            <w:pPr>
              <w:spacing w:line="276" w:lineRule="auto"/>
              <w:rPr>
                <w:rFonts w:ascii="Arial"/>
                <w:sz w:val="21"/>
              </w:rPr>
            </w:pPr>
          </w:p>
          <w:p w14:paraId="03147982">
            <w:pPr>
              <w:spacing w:line="276" w:lineRule="auto"/>
              <w:rPr>
                <w:rFonts w:ascii="Arial"/>
                <w:sz w:val="21"/>
              </w:rPr>
            </w:pPr>
          </w:p>
          <w:p w14:paraId="611504CF">
            <w:pPr>
              <w:spacing w:before="57" w:line="199"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5423" w:type="dxa"/>
            <w:vAlign w:val="top"/>
          </w:tcPr>
          <w:p w14:paraId="36DA798A">
            <w:pPr>
              <w:pStyle w:val="6"/>
              <w:spacing w:before="37" w:line="244" w:lineRule="auto"/>
              <w:ind w:left="112" w:right="98"/>
              <w:jc w:val="both"/>
              <w:rPr>
                <w:sz w:val="20"/>
                <w:szCs w:val="20"/>
              </w:rPr>
            </w:pPr>
            <w:r>
              <w:rPr>
                <w:spacing w:val="8"/>
                <w:sz w:val="20"/>
                <w:szCs w:val="20"/>
              </w:rPr>
              <w:t>洗油是一种在煤焦油精馏过程中产生的重要馏分，主要用</w:t>
            </w:r>
            <w:r>
              <w:rPr>
                <w:sz w:val="20"/>
                <w:szCs w:val="20"/>
              </w:rPr>
              <w:t xml:space="preserve"> </w:t>
            </w:r>
            <w:r>
              <w:rPr>
                <w:spacing w:val="8"/>
                <w:sz w:val="20"/>
                <w:szCs w:val="20"/>
              </w:rPr>
              <w:t>于从煤气中洗出苯或萘系化合物，一般为黄褐色或棕</w:t>
            </w:r>
            <w:r>
              <w:rPr>
                <w:spacing w:val="7"/>
                <w:sz w:val="20"/>
                <w:szCs w:val="20"/>
              </w:rPr>
              <w:t>色油</w:t>
            </w:r>
            <w:r>
              <w:rPr>
                <w:sz w:val="20"/>
                <w:szCs w:val="20"/>
              </w:rPr>
              <w:t xml:space="preserve"> </w:t>
            </w:r>
            <w:r>
              <w:rPr>
                <w:spacing w:val="8"/>
                <w:sz w:val="20"/>
                <w:szCs w:val="20"/>
              </w:rPr>
              <w:t>状液体，富含多种有机化合物，如萘类、苊、芴、氧芴、</w:t>
            </w:r>
            <w:r>
              <w:rPr>
                <w:spacing w:val="5"/>
                <w:sz w:val="20"/>
                <w:szCs w:val="20"/>
              </w:rPr>
              <w:t xml:space="preserve"> </w:t>
            </w:r>
            <w:r>
              <w:rPr>
                <w:spacing w:val="8"/>
                <w:sz w:val="20"/>
                <w:szCs w:val="20"/>
              </w:rPr>
              <w:t>酚、氮杂芳环化合物等。具有燃烧性，使用时需谨慎，特</w:t>
            </w:r>
            <w:r>
              <w:rPr>
                <w:sz w:val="20"/>
                <w:szCs w:val="20"/>
              </w:rPr>
              <w:t xml:space="preserve"> </w:t>
            </w:r>
            <w:r>
              <w:rPr>
                <w:spacing w:val="8"/>
                <w:sz w:val="20"/>
                <w:szCs w:val="20"/>
              </w:rPr>
              <w:t>别是在存储、使用和处理时，应远离火源和氧化剂等</w:t>
            </w:r>
            <w:r>
              <w:rPr>
                <w:spacing w:val="7"/>
                <w:sz w:val="20"/>
                <w:szCs w:val="20"/>
              </w:rPr>
              <w:t>易燃</w:t>
            </w:r>
          </w:p>
        </w:tc>
        <w:tc>
          <w:tcPr>
            <w:tcW w:w="118" w:type="dxa"/>
            <w:tcBorders>
              <w:top w:val="nil"/>
            </w:tcBorders>
            <w:vAlign w:val="top"/>
          </w:tcPr>
          <w:p w14:paraId="25B2B674">
            <w:pPr>
              <w:rPr>
                <w:rFonts w:ascii="Arial"/>
                <w:sz w:val="21"/>
              </w:rPr>
            </w:pPr>
          </w:p>
        </w:tc>
      </w:tr>
    </w:tbl>
    <w:p w14:paraId="56D45AC0">
      <w:pPr>
        <w:pStyle w:val="2"/>
      </w:pPr>
    </w:p>
    <w:p w14:paraId="40AF378F">
      <w:pPr>
        <w:sectPr>
          <w:footerReference r:id="rId43" w:type="default"/>
          <w:pgSz w:w="11906" w:h="16839"/>
          <w:pgMar w:top="400" w:right="1588" w:bottom="1259" w:left="1687" w:header="0" w:footer="1097" w:gutter="0"/>
          <w:cols w:space="720" w:num="1"/>
        </w:sectPr>
      </w:pPr>
    </w:p>
    <w:p w14:paraId="09F32D41">
      <w:pPr>
        <w:spacing w:before="19"/>
      </w:pPr>
    </w:p>
    <w:p w14:paraId="785C4796">
      <w:pPr>
        <w:spacing w:before="19"/>
      </w:pPr>
    </w:p>
    <w:p w14:paraId="4357D98E">
      <w:pPr>
        <w:spacing w:before="18"/>
      </w:pPr>
    </w:p>
    <w:p w14:paraId="0C77058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467"/>
        <w:gridCol w:w="800"/>
        <w:gridCol w:w="1248"/>
        <w:gridCol w:w="5423"/>
        <w:gridCol w:w="118"/>
      </w:tblGrid>
      <w:tr w14:paraId="32DCD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56" w:type="dxa"/>
            <w:vMerge w:val="restart"/>
            <w:tcBorders>
              <w:bottom w:val="nil"/>
            </w:tcBorders>
            <w:vAlign w:val="top"/>
          </w:tcPr>
          <w:p w14:paraId="6B833821">
            <w:pPr>
              <w:rPr>
                <w:rFonts w:ascii="Arial"/>
                <w:sz w:val="21"/>
              </w:rPr>
            </w:pPr>
          </w:p>
        </w:tc>
        <w:tc>
          <w:tcPr>
            <w:tcW w:w="113" w:type="dxa"/>
            <w:tcBorders>
              <w:bottom w:val="nil"/>
            </w:tcBorders>
            <w:vAlign w:val="top"/>
          </w:tcPr>
          <w:p w14:paraId="20015225">
            <w:pPr>
              <w:rPr>
                <w:rFonts w:ascii="Arial"/>
                <w:sz w:val="21"/>
              </w:rPr>
            </w:pPr>
          </w:p>
        </w:tc>
        <w:tc>
          <w:tcPr>
            <w:tcW w:w="467" w:type="dxa"/>
            <w:vAlign w:val="top"/>
          </w:tcPr>
          <w:p w14:paraId="64DB2D47">
            <w:pPr>
              <w:rPr>
                <w:rFonts w:ascii="Arial"/>
                <w:sz w:val="21"/>
              </w:rPr>
            </w:pPr>
          </w:p>
        </w:tc>
        <w:tc>
          <w:tcPr>
            <w:tcW w:w="800" w:type="dxa"/>
            <w:vAlign w:val="top"/>
          </w:tcPr>
          <w:p w14:paraId="23351278">
            <w:pPr>
              <w:rPr>
                <w:rFonts w:ascii="Arial"/>
                <w:sz w:val="21"/>
              </w:rPr>
            </w:pPr>
          </w:p>
        </w:tc>
        <w:tc>
          <w:tcPr>
            <w:tcW w:w="1248" w:type="dxa"/>
            <w:vAlign w:val="top"/>
          </w:tcPr>
          <w:p w14:paraId="3923AE6F">
            <w:pPr>
              <w:rPr>
                <w:rFonts w:ascii="Arial"/>
                <w:sz w:val="21"/>
              </w:rPr>
            </w:pPr>
          </w:p>
        </w:tc>
        <w:tc>
          <w:tcPr>
            <w:tcW w:w="5423" w:type="dxa"/>
            <w:vAlign w:val="top"/>
          </w:tcPr>
          <w:p w14:paraId="749B42F0">
            <w:pPr>
              <w:pStyle w:val="6"/>
              <w:spacing w:before="46" w:line="216" w:lineRule="auto"/>
              <w:ind w:left="2403"/>
              <w:rPr>
                <w:sz w:val="20"/>
                <w:szCs w:val="20"/>
              </w:rPr>
            </w:pPr>
            <w:r>
              <w:rPr>
                <w:spacing w:val="3"/>
                <w:sz w:val="20"/>
                <w:szCs w:val="20"/>
              </w:rPr>
              <w:t>物品。</w:t>
            </w:r>
          </w:p>
        </w:tc>
        <w:tc>
          <w:tcPr>
            <w:tcW w:w="118" w:type="dxa"/>
            <w:tcBorders>
              <w:bottom w:val="nil"/>
            </w:tcBorders>
            <w:vAlign w:val="top"/>
          </w:tcPr>
          <w:p w14:paraId="6E39DE58">
            <w:pPr>
              <w:rPr>
                <w:rFonts w:ascii="Arial"/>
                <w:sz w:val="21"/>
              </w:rPr>
            </w:pPr>
          </w:p>
        </w:tc>
      </w:tr>
      <w:tr w14:paraId="684F6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23AB7905">
            <w:pPr>
              <w:rPr>
                <w:rFonts w:ascii="Arial"/>
                <w:sz w:val="21"/>
              </w:rPr>
            </w:pPr>
          </w:p>
        </w:tc>
        <w:tc>
          <w:tcPr>
            <w:tcW w:w="113" w:type="dxa"/>
            <w:tcBorders>
              <w:top w:val="nil"/>
              <w:bottom w:val="nil"/>
            </w:tcBorders>
            <w:vAlign w:val="top"/>
          </w:tcPr>
          <w:p w14:paraId="38E86F41">
            <w:pPr>
              <w:rPr>
                <w:rFonts w:ascii="Arial"/>
                <w:sz w:val="21"/>
              </w:rPr>
            </w:pPr>
          </w:p>
        </w:tc>
        <w:tc>
          <w:tcPr>
            <w:tcW w:w="467" w:type="dxa"/>
            <w:vAlign w:val="top"/>
          </w:tcPr>
          <w:p w14:paraId="536F80C0">
            <w:pPr>
              <w:spacing w:line="415" w:lineRule="auto"/>
              <w:rPr>
                <w:rFonts w:ascii="Arial"/>
                <w:sz w:val="21"/>
              </w:rPr>
            </w:pPr>
          </w:p>
          <w:p w14:paraId="63558043">
            <w:pPr>
              <w:spacing w:before="5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00" w:type="dxa"/>
            <w:vAlign w:val="top"/>
          </w:tcPr>
          <w:p w14:paraId="26E14C04">
            <w:pPr>
              <w:spacing w:line="372" w:lineRule="auto"/>
              <w:rPr>
                <w:rFonts w:ascii="Arial"/>
                <w:sz w:val="21"/>
              </w:rPr>
            </w:pPr>
          </w:p>
          <w:p w14:paraId="0F50B14C">
            <w:pPr>
              <w:pStyle w:val="6"/>
              <w:spacing w:before="65" w:line="229" w:lineRule="auto"/>
              <w:ind w:left="195"/>
              <w:rPr>
                <w:sz w:val="20"/>
                <w:szCs w:val="20"/>
              </w:rPr>
            </w:pPr>
            <w:r>
              <w:rPr>
                <w:spacing w:val="3"/>
                <w:sz w:val="20"/>
                <w:szCs w:val="20"/>
              </w:rPr>
              <w:t>硝酸</w:t>
            </w:r>
          </w:p>
        </w:tc>
        <w:tc>
          <w:tcPr>
            <w:tcW w:w="1248" w:type="dxa"/>
            <w:vAlign w:val="top"/>
          </w:tcPr>
          <w:p w14:paraId="7FE95B5E">
            <w:pPr>
              <w:spacing w:line="415" w:lineRule="auto"/>
              <w:rPr>
                <w:rFonts w:ascii="Arial"/>
                <w:sz w:val="21"/>
              </w:rPr>
            </w:pPr>
          </w:p>
          <w:p w14:paraId="06232E76">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7697-37-2</w:t>
            </w:r>
          </w:p>
        </w:tc>
        <w:tc>
          <w:tcPr>
            <w:tcW w:w="5423" w:type="dxa"/>
            <w:vAlign w:val="top"/>
          </w:tcPr>
          <w:p w14:paraId="2FFDD3DD">
            <w:pPr>
              <w:pStyle w:val="6"/>
              <w:spacing w:before="31" w:line="227" w:lineRule="auto"/>
              <w:ind w:left="118"/>
              <w:rPr>
                <w:sz w:val="20"/>
                <w:szCs w:val="20"/>
              </w:rPr>
            </w:pPr>
            <w:r>
              <w:rPr>
                <w:spacing w:val="8"/>
                <w:sz w:val="20"/>
                <w:szCs w:val="20"/>
              </w:rPr>
              <w:t>强氧化剂。能与多种物质如金属粉末、电石</w:t>
            </w:r>
            <w:r>
              <w:rPr>
                <w:spacing w:val="7"/>
                <w:sz w:val="20"/>
                <w:szCs w:val="20"/>
              </w:rPr>
              <w:t>、硫化氢、松</w:t>
            </w:r>
          </w:p>
          <w:p w14:paraId="48214E35">
            <w:pPr>
              <w:pStyle w:val="6"/>
              <w:spacing w:before="28" w:line="226" w:lineRule="auto"/>
              <w:ind w:right="7"/>
              <w:jc w:val="right"/>
              <w:rPr>
                <w:sz w:val="20"/>
                <w:szCs w:val="20"/>
              </w:rPr>
            </w:pPr>
            <w:r>
              <w:rPr>
                <w:spacing w:val="3"/>
                <w:sz w:val="20"/>
                <w:szCs w:val="20"/>
              </w:rPr>
              <w:t>节油等猛烈反应，甚至发生爆炸。与还原剂、可燃物如糖、</w:t>
            </w:r>
          </w:p>
          <w:p w14:paraId="7CA12E41">
            <w:pPr>
              <w:pStyle w:val="6"/>
              <w:spacing w:before="26" w:line="227" w:lineRule="auto"/>
              <w:ind w:left="118"/>
              <w:rPr>
                <w:sz w:val="20"/>
                <w:szCs w:val="20"/>
              </w:rPr>
            </w:pPr>
            <w:r>
              <w:rPr>
                <w:spacing w:val="8"/>
                <w:sz w:val="20"/>
                <w:szCs w:val="20"/>
              </w:rPr>
              <w:t>纤维素、木屑、棉花、稻草或废纱头接触</w:t>
            </w:r>
            <w:r>
              <w:rPr>
                <w:spacing w:val="7"/>
                <w:sz w:val="20"/>
                <w:szCs w:val="20"/>
              </w:rPr>
              <w:t>，引起燃烧并散</w:t>
            </w:r>
          </w:p>
          <w:p w14:paraId="5864B156">
            <w:pPr>
              <w:pStyle w:val="6"/>
              <w:spacing w:before="27" w:line="216" w:lineRule="auto"/>
              <w:ind w:left="937"/>
              <w:rPr>
                <w:sz w:val="20"/>
                <w:szCs w:val="20"/>
              </w:rPr>
            </w:pPr>
            <w:r>
              <w:rPr>
                <w:spacing w:val="8"/>
                <w:sz w:val="20"/>
                <w:szCs w:val="20"/>
              </w:rPr>
              <w:t>发出剧毒的棕色烟雾。具有强腐蚀性。</w:t>
            </w:r>
          </w:p>
        </w:tc>
        <w:tc>
          <w:tcPr>
            <w:tcW w:w="118" w:type="dxa"/>
            <w:tcBorders>
              <w:top w:val="nil"/>
              <w:bottom w:val="nil"/>
            </w:tcBorders>
            <w:vAlign w:val="top"/>
          </w:tcPr>
          <w:p w14:paraId="02F0A2AB">
            <w:pPr>
              <w:rPr>
                <w:rFonts w:ascii="Arial"/>
                <w:sz w:val="21"/>
              </w:rPr>
            </w:pPr>
          </w:p>
        </w:tc>
      </w:tr>
      <w:tr w14:paraId="377F1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70350489">
            <w:pPr>
              <w:rPr>
                <w:rFonts w:ascii="Arial"/>
                <w:sz w:val="21"/>
              </w:rPr>
            </w:pPr>
          </w:p>
        </w:tc>
        <w:tc>
          <w:tcPr>
            <w:tcW w:w="113" w:type="dxa"/>
            <w:tcBorders>
              <w:top w:val="nil"/>
              <w:bottom w:val="nil"/>
            </w:tcBorders>
            <w:vAlign w:val="top"/>
          </w:tcPr>
          <w:p w14:paraId="3CDD42C0">
            <w:pPr>
              <w:rPr>
                <w:rFonts w:ascii="Arial"/>
                <w:sz w:val="21"/>
              </w:rPr>
            </w:pPr>
          </w:p>
        </w:tc>
        <w:tc>
          <w:tcPr>
            <w:tcW w:w="467" w:type="dxa"/>
            <w:vAlign w:val="top"/>
          </w:tcPr>
          <w:p w14:paraId="4DA5C624">
            <w:pPr>
              <w:spacing w:line="282" w:lineRule="auto"/>
              <w:rPr>
                <w:rFonts w:ascii="Arial"/>
                <w:sz w:val="21"/>
              </w:rPr>
            </w:pPr>
          </w:p>
          <w:p w14:paraId="5656357C">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00" w:type="dxa"/>
            <w:vAlign w:val="top"/>
          </w:tcPr>
          <w:p w14:paraId="509D79DC">
            <w:pPr>
              <w:pStyle w:val="6"/>
              <w:spacing w:before="305" w:line="229" w:lineRule="auto"/>
              <w:ind w:left="195"/>
              <w:rPr>
                <w:sz w:val="20"/>
                <w:szCs w:val="20"/>
              </w:rPr>
            </w:pPr>
            <w:r>
              <w:rPr>
                <w:spacing w:val="3"/>
                <w:sz w:val="20"/>
                <w:szCs w:val="20"/>
              </w:rPr>
              <w:t>盐酸</w:t>
            </w:r>
          </w:p>
        </w:tc>
        <w:tc>
          <w:tcPr>
            <w:tcW w:w="1248" w:type="dxa"/>
            <w:vAlign w:val="top"/>
          </w:tcPr>
          <w:p w14:paraId="02AEA54E">
            <w:pPr>
              <w:spacing w:line="282" w:lineRule="auto"/>
              <w:rPr>
                <w:rFonts w:ascii="Arial"/>
                <w:sz w:val="21"/>
              </w:rPr>
            </w:pPr>
          </w:p>
          <w:p w14:paraId="5605DA01">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7647-01-0</w:t>
            </w:r>
          </w:p>
        </w:tc>
        <w:tc>
          <w:tcPr>
            <w:tcW w:w="5423" w:type="dxa"/>
            <w:vAlign w:val="top"/>
          </w:tcPr>
          <w:p w14:paraId="7C30C974">
            <w:pPr>
              <w:pStyle w:val="6"/>
              <w:spacing w:before="31" w:line="228" w:lineRule="auto"/>
              <w:ind w:left="121"/>
              <w:rPr>
                <w:sz w:val="20"/>
                <w:szCs w:val="20"/>
              </w:rPr>
            </w:pPr>
            <w:r>
              <w:rPr>
                <w:spacing w:val="7"/>
                <w:sz w:val="20"/>
                <w:szCs w:val="20"/>
              </w:rPr>
              <w:t>能与一些活性金属粉末发生反应，放出氢气。遇氰化物能</w:t>
            </w:r>
          </w:p>
          <w:p w14:paraId="4FFB9CE6">
            <w:pPr>
              <w:pStyle w:val="6"/>
              <w:spacing w:before="26" w:line="228" w:lineRule="auto"/>
              <w:ind w:left="113"/>
              <w:rPr>
                <w:sz w:val="20"/>
                <w:szCs w:val="20"/>
              </w:rPr>
            </w:pPr>
            <w:r>
              <w:rPr>
                <w:spacing w:val="8"/>
                <w:sz w:val="20"/>
                <w:szCs w:val="20"/>
              </w:rPr>
              <w:t>产生剧毒的氰化氢气体。与碱发生中合反应，并放出大量</w:t>
            </w:r>
          </w:p>
          <w:p w14:paraId="37140488">
            <w:pPr>
              <w:pStyle w:val="6"/>
              <w:spacing w:before="24" w:line="217" w:lineRule="auto"/>
              <w:ind w:left="1477"/>
              <w:rPr>
                <w:sz w:val="20"/>
                <w:szCs w:val="20"/>
              </w:rPr>
            </w:pPr>
            <w:r>
              <w:rPr>
                <w:spacing w:val="6"/>
                <w:sz w:val="20"/>
                <w:szCs w:val="20"/>
              </w:rPr>
              <w:t>的热。具有较强的腐蚀性。</w:t>
            </w:r>
          </w:p>
        </w:tc>
        <w:tc>
          <w:tcPr>
            <w:tcW w:w="118" w:type="dxa"/>
            <w:tcBorders>
              <w:top w:val="nil"/>
              <w:bottom w:val="nil"/>
            </w:tcBorders>
            <w:vAlign w:val="top"/>
          </w:tcPr>
          <w:p w14:paraId="130A0684">
            <w:pPr>
              <w:rPr>
                <w:rFonts w:ascii="Arial"/>
                <w:sz w:val="21"/>
              </w:rPr>
            </w:pPr>
          </w:p>
        </w:tc>
      </w:tr>
      <w:tr w14:paraId="63587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AABCA5B">
            <w:pPr>
              <w:rPr>
                <w:rFonts w:ascii="Arial"/>
                <w:sz w:val="21"/>
              </w:rPr>
            </w:pPr>
          </w:p>
        </w:tc>
        <w:tc>
          <w:tcPr>
            <w:tcW w:w="113" w:type="dxa"/>
            <w:tcBorders>
              <w:top w:val="nil"/>
              <w:bottom w:val="nil"/>
            </w:tcBorders>
            <w:vAlign w:val="top"/>
          </w:tcPr>
          <w:p w14:paraId="11C5F903">
            <w:pPr>
              <w:rPr>
                <w:rFonts w:ascii="Arial"/>
                <w:sz w:val="21"/>
              </w:rPr>
            </w:pPr>
          </w:p>
        </w:tc>
        <w:tc>
          <w:tcPr>
            <w:tcW w:w="467" w:type="dxa"/>
            <w:vAlign w:val="top"/>
          </w:tcPr>
          <w:p w14:paraId="316EB3C9">
            <w:pPr>
              <w:spacing w:before="6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00" w:type="dxa"/>
            <w:vAlign w:val="top"/>
          </w:tcPr>
          <w:p w14:paraId="449619EB">
            <w:pPr>
              <w:pStyle w:val="6"/>
              <w:spacing w:before="32" w:line="216" w:lineRule="auto"/>
              <w:ind w:left="191"/>
              <w:rPr>
                <w:sz w:val="20"/>
                <w:szCs w:val="20"/>
              </w:rPr>
            </w:pPr>
            <w:r>
              <w:rPr>
                <w:spacing w:val="5"/>
                <w:sz w:val="20"/>
                <w:szCs w:val="20"/>
              </w:rPr>
              <w:t>氮气</w:t>
            </w:r>
          </w:p>
        </w:tc>
        <w:tc>
          <w:tcPr>
            <w:tcW w:w="1248" w:type="dxa"/>
            <w:vAlign w:val="top"/>
          </w:tcPr>
          <w:p w14:paraId="5E92D948">
            <w:pPr>
              <w:spacing w:before="6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7727-37-9</w:t>
            </w:r>
          </w:p>
        </w:tc>
        <w:tc>
          <w:tcPr>
            <w:tcW w:w="5423" w:type="dxa"/>
            <w:vAlign w:val="top"/>
          </w:tcPr>
          <w:p w14:paraId="0FE4F02F">
            <w:pPr>
              <w:pStyle w:val="6"/>
              <w:spacing w:before="32" w:line="216" w:lineRule="auto"/>
              <w:ind w:left="513"/>
              <w:rPr>
                <w:sz w:val="20"/>
                <w:szCs w:val="20"/>
              </w:rPr>
            </w:pPr>
            <w:r>
              <w:rPr>
                <w:spacing w:val="9"/>
                <w:sz w:val="20"/>
                <w:szCs w:val="20"/>
              </w:rPr>
              <w:t>遇高热，容器内压增大，有开裂和爆炸的危险。</w:t>
            </w:r>
          </w:p>
        </w:tc>
        <w:tc>
          <w:tcPr>
            <w:tcW w:w="118" w:type="dxa"/>
            <w:tcBorders>
              <w:top w:val="nil"/>
              <w:bottom w:val="nil"/>
            </w:tcBorders>
            <w:vAlign w:val="top"/>
          </w:tcPr>
          <w:p w14:paraId="1E2CD230">
            <w:pPr>
              <w:rPr>
                <w:rFonts w:ascii="Arial"/>
                <w:sz w:val="21"/>
              </w:rPr>
            </w:pPr>
          </w:p>
        </w:tc>
      </w:tr>
      <w:tr w14:paraId="649D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7D4C40D3">
            <w:pPr>
              <w:rPr>
                <w:rFonts w:ascii="Arial"/>
                <w:sz w:val="21"/>
              </w:rPr>
            </w:pPr>
          </w:p>
        </w:tc>
        <w:tc>
          <w:tcPr>
            <w:tcW w:w="113" w:type="dxa"/>
            <w:tcBorders>
              <w:top w:val="nil"/>
              <w:bottom w:val="nil"/>
            </w:tcBorders>
            <w:vAlign w:val="top"/>
          </w:tcPr>
          <w:p w14:paraId="2C7198CA">
            <w:pPr>
              <w:rPr>
                <w:rFonts w:ascii="Arial"/>
                <w:sz w:val="21"/>
              </w:rPr>
            </w:pPr>
          </w:p>
        </w:tc>
        <w:tc>
          <w:tcPr>
            <w:tcW w:w="467" w:type="dxa"/>
            <w:vAlign w:val="top"/>
          </w:tcPr>
          <w:p w14:paraId="102C6457">
            <w:pPr>
              <w:spacing w:before="69"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00" w:type="dxa"/>
            <w:vAlign w:val="top"/>
          </w:tcPr>
          <w:p w14:paraId="36C2E65C">
            <w:pPr>
              <w:pStyle w:val="6"/>
              <w:spacing w:before="34" w:line="215" w:lineRule="auto"/>
              <w:ind w:left="192"/>
              <w:rPr>
                <w:sz w:val="20"/>
                <w:szCs w:val="20"/>
              </w:rPr>
            </w:pPr>
            <w:r>
              <w:rPr>
                <w:spacing w:val="5"/>
                <w:sz w:val="20"/>
                <w:szCs w:val="20"/>
              </w:rPr>
              <w:t>氩气</w:t>
            </w:r>
          </w:p>
        </w:tc>
        <w:tc>
          <w:tcPr>
            <w:tcW w:w="1248" w:type="dxa"/>
            <w:vAlign w:val="top"/>
          </w:tcPr>
          <w:p w14:paraId="77C839EA">
            <w:pPr>
              <w:spacing w:before="69"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7440-37-1</w:t>
            </w:r>
          </w:p>
        </w:tc>
        <w:tc>
          <w:tcPr>
            <w:tcW w:w="5423" w:type="dxa"/>
            <w:vAlign w:val="top"/>
          </w:tcPr>
          <w:p w14:paraId="463C63F2">
            <w:pPr>
              <w:pStyle w:val="6"/>
              <w:spacing w:before="34" w:line="215" w:lineRule="auto"/>
              <w:ind w:left="409"/>
              <w:rPr>
                <w:sz w:val="20"/>
                <w:szCs w:val="20"/>
              </w:rPr>
            </w:pPr>
            <w:r>
              <w:rPr>
                <w:spacing w:val="9"/>
                <w:sz w:val="20"/>
                <w:szCs w:val="20"/>
              </w:rPr>
              <w:t>若遇高热，容器内压增大，有开裂和爆炸的危险。</w:t>
            </w:r>
          </w:p>
        </w:tc>
        <w:tc>
          <w:tcPr>
            <w:tcW w:w="118" w:type="dxa"/>
            <w:tcBorders>
              <w:top w:val="nil"/>
              <w:bottom w:val="nil"/>
            </w:tcBorders>
            <w:vAlign w:val="top"/>
          </w:tcPr>
          <w:p w14:paraId="6A238DCE">
            <w:pPr>
              <w:rPr>
                <w:rFonts w:ascii="Arial"/>
                <w:sz w:val="21"/>
              </w:rPr>
            </w:pPr>
          </w:p>
        </w:tc>
      </w:tr>
      <w:tr w14:paraId="0611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63C70C62">
            <w:pPr>
              <w:rPr>
                <w:rFonts w:ascii="Arial"/>
                <w:sz w:val="21"/>
              </w:rPr>
            </w:pPr>
          </w:p>
        </w:tc>
        <w:tc>
          <w:tcPr>
            <w:tcW w:w="113" w:type="dxa"/>
            <w:tcBorders>
              <w:top w:val="nil"/>
              <w:bottom w:val="nil"/>
            </w:tcBorders>
            <w:vAlign w:val="top"/>
          </w:tcPr>
          <w:p w14:paraId="5A83F41D">
            <w:pPr>
              <w:rPr>
                <w:rFonts w:ascii="Arial"/>
                <w:sz w:val="21"/>
              </w:rPr>
            </w:pPr>
          </w:p>
        </w:tc>
        <w:tc>
          <w:tcPr>
            <w:tcW w:w="467" w:type="dxa"/>
            <w:vAlign w:val="top"/>
          </w:tcPr>
          <w:p w14:paraId="0C26D7F0">
            <w:pPr>
              <w:spacing w:line="283" w:lineRule="auto"/>
              <w:rPr>
                <w:rFonts w:ascii="Arial"/>
                <w:sz w:val="21"/>
              </w:rPr>
            </w:pPr>
          </w:p>
          <w:p w14:paraId="435F5298">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800" w:type="dxa"/>
            <w:vAlign w:val="top"/>
          </w:tcPr>
          <w:p w14:paraId="0F5B630A">
            <w:pPr>
              <w:pStyle w:val="6"/>
              <w:spacing w:before="306" w:line="227" w:lineRule="auto"/>
              <w:ind w:left="194"/>
              <w:rPr>
                <w:sz w:val="20"/>
                <w:szCs w:val="20"/>
              </w:rPr>
            </w:pPr>
            <w:r>
              <w:rPr>
                <w:spacing w:val="4"/>
                <w:sz w:val="20"/>
                <w:szCs w:val="20"/>
              </w:rPr>
              <w:t>氧气</w:t>
            </w:r>
          </w:p>
        </w:tc>
        <w:tc>
          <w:tcPr>
            <w:tcW w:w="1248" w:type="dxa"/>
            <w:vAlign w:val="top"/>
          </w:tcPr>
          <w:p w14:paraId="20CE4B3F">
            <w:pPr>
              <w:spacing w:line="283" w:lineRule="auto"/>
              <w:rPr>
                <w:rFonts w:ascii="Arial"/>
                <w:sz w:val="21"/>
              </w:rPr>
            </w:pPr>
          </w:p>
          <w:p w14:paraId="35A7594F">
            <w:pPr>
              <w:spacing w:before="5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7782-44-7</w:t>
            </w:r>
          </w:p>
        </w:tc>
        <w:tc>
          <w:tcPr>
            <w:tcW w:w="5423" w:type="dxa"/>
            <w:vAlign w:val="top"/>
          </w:tcPr>
          <w:p w14:paraId="774C3955">
            <w:pPr>
              <w:pStyle w:val="6"/>
              <w:spacing w:before="33" w:line="226" w:lineRule="auto"/>
              <w:ind w:left="116"/>
              <w:rPr>
                <w:sz w:val="20"/>
                <w:szCs w:val="20"/>
              </w:rPr>
            </w:pPr>
            <w:r>
              <w:rPr>
                <w:spacing w:val="8"/>
                <w:sz w:val="20"/>
                <w:szCs w:val="20"/>
              </w:rPr>
              <w:t>是易燃物、可燃物燃烧爆炸的基本要素之一，</w:t>
            </w:r>
            <w:r>
              <w:rPr>
                <w:spacing w:val="7"/>
                <w:sz w:val="20"/>
                <w:szCs w:val="20"/>
              </w:rPr>
              <w:t>能氧化大多</w:t>
            </w:r>
          </w:p>
          <w:p w14:paraId="38074887">
            <w:pPr>
              <w:pStyle w:val="6"/>
              <w:spacing w:before="28" w:line="226" w:lineRule="auto"/>
              <w:ind w:left="115"/>
              <w:rPr>
                <w:sz w:val="20"/>
                <w:szCs w:val="20"/>
              </w:rPr>
            </w:pPr>
            <w:r>
              <w:rPr>
                <w:spacing w:val="8"/>
                <w:sz w:val="20"/>
                <w:szCs w:val="20"/>
              </w:rPr>
              <w:t>数活性物质。与易燃物（如乙炔、甲烷等）形成有</w:t>
            </w:r>
            <w:r>
              <w:rPr>
                <w:spacing w:val="7"/>
                <w:sz w:val="20"/>
                <w:szCs w:val="20"/>
              </w:rPr>
              <w:t>爆炸性</w:t>
            </w:r>
          </w:p>
          <w:p w14:paraId="49EA862F">
            <w:pPr>
              <w:pStyle w:val="6"/>
              <w:spacing w:before="26" w:line="216" w:lineRule="auto"/>
              <w:ind w:left="2211"/>
              <w:rPr>
                <w:sz w:val="20"/>
                <w:szCs w:val="20"/>
              </w:rPr>
            </w:pPr>
            <w:r>
              <w:rPr>
                <w:spacing w:val="2"/>
                <w:sz w:val="20"/>
                <w:szCs w:val="20"/>
              </w:rPr>
              <w:t>的混合物。</w:t>
            </w:r>
          </w:p>
        </w:tc>
        <w:tc>
          <w:tcPr>
            <w:tcW w:w="118" w:type="dxa"/>
            <w:tcBorders>
              <w:top w:val="nil"/>
              <w:bottom w:val="nil"/>
            </w:tcBorders>
            <w:vAlign w:val="top"/>
          </w:tcPr>
          <w:p w14:paraId="2B543294">
            <w:pPr>
              <w:rPr>
                <w:rFonts w:ascii="Arial"/>
                <w:sz w:val="21"/>
              </w:rPr>
            </w:pPr>
          </w:p>
        </w:tc>
      </w:tr>
      <w:tr w14:paraId="2FCF5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6" w:type="dxa"/>
            <w:vMerge w:val="continue"/>
            <w:tcBorders>
              <w:top w:val="nil"/>
              <w:bottom w:val="nil"/>
            </w:tcBorders>
            <w:vAlign w:val="top"/>
          </w:tcPr>
          <w:p w14:paraId="3A2748C4">
            <w:pPr>
              <w:rPr>
                <w:rFonts w:ascii="Arial"/>
                <w:sz w:val="21"/>
              </w:rPr>
            </w:pPr>
          </w:p>
        </w:tc>
        <w:tc>
          <w:tcPr>
            <w:tcW w:w="113" w:type="dxa"/>
            <w:tcBorders>
              <w:top w:val="nil"/>
              <w:bottom w:val="nil"/>
            </w:tcBorders>
            <w:vAlign w:val="top"/>
          </w:tcPr>
          <w:p w14:paraId="7FCF064F">
            <w:pPr>
              <w:rPr>
                <w:rFonts w:ascii="Arial"/>
                <w:sz w:val="21"/>
              </w:rPr>
            </w:pPr>
          </w:p>
        </w:tc>
        <w:tc>
          <w:tcPr>
            <w:tcW w:w="467" w:type="dxa"/>
            <w:vAlign w:val="top"/>
          </w:tcPr>
          <w:p w14:paraId="7CA7BB89">
            <w:pPr>
              <w:spacing w:before="20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800" w:type="dxa"/>
            <w:vAlign w:val="top"/>
          </w:tcPr>
          <w:p w14:paraId="494BDD3E">
            <w:pPr>
              <w:pStyle w:val="6"/>
              <w:spacing w:before="33" w:line="227" w:lineRule="auto"/>
              <w:ind w:left="196"/>
              <w:rPr>
                <w:sz w:val="20"/>
                <w:szCs w:val="20"/>
              </w:rPr>
            </w:pPr>
            <w:r>
              <w:rPr>
                <w:spacing w:val="3"/>
                <w:sz w:val="20"/>
                <w:szCs w:val="20"/>
              </w:rPr>
              <w:t>二氧</w:t>
            </w:r>
          </w:p>
          <w:p w14:paraId="4EE94EEC">
            <w:pPr>
              <w:pStyle w:val="6"/>
              <w:spacing w:before="25" w:line="217" w:lineRule="auto"/>
              <w:ind w:left="194"/>
              <w:rPr>
                <w:sz w:val="20"/>
                <w:szCs w:val="20"/>
              </w:rPr>
            </w:pPr>
            <w:r>
              <w:rPr>
                <w:spacing w:val="4"/>
                <w:sz w:val="20"/>
                <w:szCs w:val="20"/>
              </w:rPr>
              <w:t>化碳</w:t>
            </w:r>
          </w:p>
        </w:tc>
        <w:tc>
          <w:tcPr>
            <w:tcW w:w="1248" w:type="dxa"/>
            <w:vAlign w:val="top"/>
          </w:tcPr>
          <w:p w14:paraId="59A2E86B">
            <w:pPr>
              <w:spacing w:before="20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124-38-9</w:t>
            </w:r>
          </w:p>
        </w:tc>
        <w:tc>
          <w:tcPr>
            <w:tcW w:w="5423" w:type="dxa"/>
            <w:vAlign w:val="top"/>
          </w:tcPr>
          <w:p w14:paraId="1EEACB23">
            <w:pPr>
              <w:pStyle w:val="6"/>
              <w:spacing w:before="168" w:line="226" w:lineRule="auto"/>
              <w:ind w:left="488"/>
              <w:rPr>
                <w:rFonts w:ascii="Times New Roman" w:hAnsi="Times New Roman" w:eastAsia="Times New Roman" w:cs="Times New Roman"/>
                <w:sz w:val="20"/>
                <w:szCs w:val="20"/>
              </w:rPr>
            </w:pPr>
            <w:r>
              <w:rPr>
                <w:spacing w:val="9"/>
                <w:sz w:val="20"/>
                <w:szCs w:val="20"/>
              </w:rPr>
              <w:t>若遇高热，容器内压增大，有开裂和爆炸的危险</w:t>
            </w:r>
            <w:r>
              <w:rPr>
                <w:rFonts w:ascii="Times New Roman" w:hAnsi="Times New Roman" w:eastAsia="Times New Roman" w:cs="Times New Roman"/>
                <w:spacing w:val="9"/>
                <w:sz w:val="20"/>
                <w:szCs w:val="20"/>
              </w:rPr>
              <w:t>.</w:t>
            </w:r>
          </w:p>
        </w:tc>
        <w:tc>
          <w:tcPr>
            <w:tcW w:w="118" w:type="dxa"/>
            <w:tcBorders>
              <w:top w:val="nil"/>
              <w:bottom w:val="nil"/>
            </w:tcBorders>
            <w:vAlign w:val="top"/>
          </w:tcPr>
          <w:p w14:paraId="18C34CC1">
            <w:pPr>
              <w:rPr>
                <w:rFonts w:ascii="Arial"/>
                <w:sz w:val="21"/>
              </w:rPr>
            </w:pPr>
          </w:p>
        </w:tc>
      </w:tr>
      <w:tr w14:paraId="501BC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6" w:type="dxa"/>
            <w:vMerge w:val="continue"/>
            <w:tcBorders>
              <w:top w:val="nil"/>
              <w:bottom w:val="nil"/>
            </w:tcBorders>
            <w:vAlign w:val="top"/>
          </w:tcPr>
          <w:p w14:paraId="66B946B2">
            <w:pPr>
              <w:rPr>
                <w:rFonts w:ascii="Arial"/>
                <w:sz w:val="21"/>
              </w:rPr>
            </w:pPr>
          </w:p>
        </w:tc>
        <w:tc>
          <w:tcPr>
            <w:tcW w:w="113" w:type="dxa"/>
            <w:tcBorders>
              <w:top w:val="nil"/>
              <w:bottom w:val="nil"/>
            </w:tcBorders>
            <w:vAlign w:val="top"/>
          </w:tcPr>
          <w:p w14:paraId="592583BF">
            <w:pPr>
              <w:rPr>
                <w:rFonts w:ascii="Arial"/>
                <w:sz w:val="21"/>
              </w:rPr>
            </w:pPr>
          </w:p>
        </w:tc>
        <w:tc>
          <w:tcPr>
            <w:tcW w:w="467" w:type="dxa"/>
            <w:vAlign w:val="top"/>
          </w:tcPr>
          <w:p w14:paraId="6F322391">
            <w:pPr>
              <w:spacing w:line="417" w:lineRule="auto"/>
              <w:rPr>
                <w:rFonts w:ascii="Arial"/>
                <w:sz w:val="21"/>
              </w:rPr>
            </w:pPr>
          </w:p>
          <w:p w14:paraId="2A0BED2D">
            <w:pPr>
              <w:spacing w:before="57"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800" w:type="dxa"/>
            <w:vAlign w:val="top"/>
          </w:tcPr>
          <w:p w14:paraId="2C9D678B">
            <w:pPr>
              <w:spacing w:line="374" w:lineRule="auto"/>
              <w:rPr>
                <w:rFonts w:ascii="Arial"/>
                <w:sz w:val="21"/>
              </w:rPr>
            </w:pPr>
          </w:p>
          <w:p w14:paraId="50038BBC">
            <w:pPr>
              <w:pStyle w:val="6"/>
              <w:spacing w:before="65" w:line="228" w:lineRule="auto"/>
              <w:ind w:left="214"/>
              <w:rPr>
                <w:sz w:val="20"/>
                <w:szCs w:val="20"/>
              </w:rPr>
            </w:pPr>
            <w:r>
              <w:rPr>
                <w:spacing w:val="-6"/>
                <w:sz w:val="20"/>
                <w:szCs w:val="20"/>
              </w:rPr>
              <w:t>乙炔</w:t>
            </w:r>
          </w:p>
        </w:tc>
        <w:tc>
          <w:tcPr>
            <w:tcW w:w="1248" w:type="dxa"/>
            <w:vAlign w:val="top"/>
          </w:tcPr>
          <w:p w14:paraId="68BAB9E5">
            <w:pPr>
              <w:spacing w:line="417" w:lineRule="auto"/>
              <w:rPr>
                <w:rFonts w:ascii="Arial"/>
                <w:sz w:val="21"/>
              </w:rPr>
            </w:pPr>
          </w:p>
          <w:p w14:paraId="41FC3D48">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74-86-2</w:t>
            </w:r>
          </w:p>
        </w:tc>
        <w:tc>
          <w:tcPr>
            <w:tcW w:w="5423" w:type="dxa"/>
            <w:vAlign w:val="top"/>
          </w:tcPr>
          <w:p w14:paraId="38C52645">
            <w:pPr>
              <w:pStyle w:val="6"/>
              <w:spacing w:before="33" w:line="226" w:lineRule="auto"/>
              <w:ind w:right="7"/>
              <w:jc w:val="right"/>
              <w:rPr>
                <w:sz w:val="20"/>
                <w:szCs w:val="20"/>
              </w:rPr>
            </w:pPr>
            <w:r>
              <w:rPr>
                <w:spacing w:val="3"/>
                <w:sz w:val="20"/>
                <w:szCs w:val="20"/>
              </w:rPr>
              <w:t>极易燃烧爆炸。与空气混合能形成爆炸性混合物，遇明火、</w:t>
            </w:r>
          </w:p>
          <w:p w14:paraId="0BDEA094">
            <w:pPr>
              <w:pStyle w:val="6"/>
              <w:spacing w:before="26" w:line="226" w:lineRule="auto"/>
              <w:ind w:left="119"/>
              <w:rPr>
                <w:sz w:val="20"/>
                <w:szCs w:val="20"/>
              </w:rPr>
            </w:pPr>
            <w:r>
              <w:rPr>
                <w:spacing w:val="9"/>
                <w:sz w:val="20"/>
                <w:szCs w:val="20"/>
              </w:rPr>
              <w:t>高热能引起燃烧爆炸。与氧化剂接触会猛烈反应。</w:t>
            </w:r>
            <w:r>
              <w:rPr>
                <w:spacing w:val="8"/>
                <w:sz w:val="20"/>
                <w:szCs w:val="20"/>
              </w:rPr>
              <w:t>与氟、</w:t>
            </w:r>
          </w:p>
          <w:p w14:paraId="681FD412">
            <w:pPr>
              <w:pStyle w:val="6"/>
              <w:spacing w:before="28" w:line="227" w:lineRule="auto"/>
              <w:ind w:left="116"/>
              <w:rPr>
                <w:sz w:val="20"/>
                <w:szCs w:val="20"/>
              </w:rPr>
            </w:pPr>
            <w:r>
              <w:rPr>
                <w:spacing w:val="8"/>
                <w:sz w:val="20"/>
                <w:szCs w:val="20"/>
              </w:rPr>
              <w:t>氯等接触会发生剧烈的化学反应。能与铜、银</w:t>
            </w:r>
            <w:r>
              <w:rPr>
                <w:spacing w:val="7"/>
                <w:sz w:val="20"/>
                <w:szCs w:val="20"/>
              </w:rPr>
              <w:t>、汞等的化</w:t>
            </w:r>
          </w:p>
          <w:p w14:paraId="4F5A31AA">
            <w:pPr>
              <w:pStyle w:val="6"/>
              <w:spacing w:before="25" w:line="217" w:lineRule="auto"/>
              <w:ind w:left="1669"/>
              <w:rPr>
                <w:sz w:val="20"/>
                <w:szCs w:val="20"/>
              </w:rPr>
            </w:pPr>
            <w:r>
              <w:rPr>
                <w:spacing w:val="7"/>
                <w:sz w:val="20"/>
                <w:szCs w:val="20"/>
              </w:rPr>
              <w:t>合物生成爆炸性物质。</w:t>
            </w:r>
          </w:p>
        </w:tc>
        <w:tc>
          <w:tcPr>
            <w:tcW w:w="118" w:type="dxa"/>
            <w:tcBorders>
              <w:top w:val="nil"/>
              <w:bottom w:val="nil"/>
            </w:tcBorders>
            <w:vAlign w:val="top"/>
          </w:tcPr>
          <w:p w14:paraId="420DB90A">
            <w:pPr>
              <w:rPr>
                <w:rFonts w:ascii="Arial"/>
                <w:sz w:val="21"/>
              </w:rPr>
            </w:pPr>
          </w:p>
        </w:tc>
      </w:tr>
      <w:tr w14:paraId="3C1D8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4" w:hRule="atLeast"/>
        </w:trPr>
        <w:tc>
          <w:tcPr>
            <w:tcW w:w="456" w:type="dxa"/>
            <w:vMerge w:val="continue"/>
            <w:tcBorders>
              <w:top w:val="nil"/>
            </w:tcBorders>
            <w:vAlign w:val="top"/>
          </w:tcPr>
          <w:p w14:paraId="126C9372">
            <w:pPr>
              <w:rPr>
                <w:rFonts w:ascii="Arial"/>
                <w:sz w:val="21"/>
              </w:rPr>
            </w:pPr>
          </w:p>
        </w:tc>
        <w:tc>
          <w:tcPr>
            <w:tcW w:w="8169" w:type="dxa"/>
            <w:gridSpan w:val="6"/>
            <w:vAlign w:val="top"/>
          </w:tcPr>
          <w:p w14:paraId="4B63CE74">
            <w:pPr>
              <w:pStyle w:val="6"/>
              <w:spacing w:before="194" w:line="219" w:lineRule="auto"/>
              <w:ind w:left="110"/>
              <w:outlineLvl w:val="1"/>
              <w:rPr>
                <w:sz w:val="24"/>
                <w:szCs w:val="24"/>
              </w:rPr>
            </w:pPr>
            <w:r>
              <w:rPr>
                <w:rFonts w:ascii="Times New Roman" w:hAnsi="Times New Roman" w:eastAsia="Times New Roman" w:cs="Times New Roman"/>
                <w:b/>
                <w:bCs/>
                <w:spacing w:val="-5"/>
                <w:sz w:val="24"/>
                <w:szCs w:val="24"/>
              </w:rPr>
              <w:t>9</w:t>
            </w:r>
            <w:r>
              <w:rPr>
                <w:rFonts w:ascii="Times New Roman" w:hAnsi="Times New Roman" w:eastAsia="Times New Roman" w:cs="Times New Roman"/>
                <w:b/>
                <w:bCs/>
                <w:spacing w:val="-25"/>
                <w:sz w:val="24"/>
                <w:szCs w:val="24"/>
              </w:rPr>
              <w:t xml:space="preserve"> </w:t>
            </w:r>
            <w:r>
              <w:rPr>
                <w:b/>
                <w:bCs/>
                <w:spacing w:val="-5"/>
                <w:sz w:val="24"/>
                <w:szCs w:val="24"/>
              </w:rPr>
              <w:t>、危险化学品运输管理规则</w:t>
            </w:r>
          </w:p>
          <w:p w14:paraId="3BF363C8">
            <w:pPr>
              <w:pStyle w:val="6"/>
              <w:spacing w:before="180" w:line="219" w:lineRule="auto"/>
              <w:ind w:left="603"/>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）车辆出入场管理系统</w:t>
            </w:r>
          </w:p>
          <w:p w14:paraId="54BD970C">
            <w:pPr>
              <w:pStyle w:val="6"/>
              <w:spacing w:before="183" w:line="359" w:lineRule="auto"/>
              <w:ind w:left="113" w:right="8" w:firstLine="479"/>
              <w:rPr>
                <w:sz w:val="24"/>
                <w:szCs w:val="24"/>
              </w:rPr>
            </w:pPr>
            <w:r>
              <w:rPr>
                <w:spacing w:val="-3"/>
                <w:sz w:val="24"/>
                <w:szCs w:val="24"/>
              </w:rPr>
              <w:t>根据《化工园区危险品运输车辆停车场建设标准》（</w:t>
            </w:r>
            <w:r>
              <w:rPr>
                <w:rFonts w:ascii="Times New Roman" w:hAnsi="Times New Roman" w:eastAsia="Times New Roman" w:cs="Times New Roman"/>
                <w:spacing w:val="-3"/>
                <w:sz w:val="24"/>
                <w:szCs w:val="24"/>
              </w:rPr>
              <w:t>T/CPCIF0050-2020</w:t>
            </w:r>
            <w:r>
              <w:rPr>
                <w:spacing w:val="-3"/>
                <w:sz w:val="24"/>
                <w:szCs w:val="24"/>
              </w:rPr>
              <w:t>）</w:t>
            </w:r>
            <w:r>
              <w:rPr>
                <w:spacing w:val="2"/>
                <w:sz w:val="24"/>
                <w:szCs w:val="24"/>
              </w:rPr>
              <w:t xml:space="preserve"> </w:t>
            </w:r>
            <w:r>
              <w:rPr>
                <w:spacing w:val="1"/>
                <w:sz w:val="24"/>
                <w:szCs w:val="24"/>
              </w:rPr>
              <w:t>中的规定，本项目配备智慧化管控系统，包括视频</w:t>
            </w:r>
            <w:r>
              <w:rPr>
                <w:sz w:val="24"/>
                <w:szCs w:val="24"/>
              </w:rPr>
              <w:t xml:space="preserve">监控系统和车辆出入场管 </w:t>
            </w:r>
            <w:r>
              <w:rPr>
                <w:spacing w:val="1"/>
                <w:sz w:val="24"/>
                <w:szCs w:val="24"/>
              </w:rPr>
              <w:t>理系统。车辆出入场管理系统是停车场智能管理系</w:t>
            </w:r>
            <w:r>
              <w:rPr>
                <w:sz w:val="24"/>
                <w:szCs w:val="24"/>
              </w:rPr>
              <w:t xml:space="preserve">统规划的核心，该系统由 </w:t>
            </w:r>
            <w:r>
              <w:rPr>
                <w:spacing w:val="-4"/>
                <w:sz w:val="24"/>
                <w:szCs w:val="24"/>
              </w:rPr>
              <w:t>车辆预约管理系统、车辆入场物检管理、车辆入场文检管理、出场收费系统、</w:t>
            </w:r>
            <w:r>
              <w:rPr>
                <w:spacing w:val="17"/>
                <w:sz w:val="24"/>
                <w:szCs w:val="24"/>
              </w:rPr>
              <w:t xml:space="preserve"> </w:t>
            </w:r>
            <w:r>
              <w:rPr>
                <w:spacing w:val="1"/>
                <w:sz w:val="24"/>
                <w:szCs w:val="24"/>
              </w:rPr>
              <w:t>停车位及通道交通信号指示、车辆引导系统、门禁管理、出入口道闸管理、</w:t>
            </w:r>
            <w:r>
              <w:rPr>
                <w:spacing w:val="15"/>
                <w:sz w:val="24"/>
                <w:szCs w:val="24"/>
              </w:rPr>
              <w:t xml:space="preserve"> </w:t>
            </w:r>
            <w:r>
              <w:rPr>
                <w:spacing w:val="-1"/>
                <w:sz w:val="24"/>
                <w:szCs w:val="24"/>
              </w:rPr>
              <w:t>二道门管理、紧急疏散引导系统组成。具体组成如下：</w:t>
            </w:r>
          </w:p>
          <w:p w14:paraId="46120616">
            <w:pPr>
              <w:pStyle w:val="6"/>
              <w:spacing w:before="1" w:line="324" w:lineRule="auto"/>
              <w:ind w:left="112" w:right="107" w:firstLine="479"/>
              <w:rPr>
                <w:sz w:val="24"/>
                <w:szCs w:val="24"/>
              </w:rPr>
            </w:pPr>
            <w:r>
              <w:rPr>
                <w:spacing w:val="1"/>
                <w:sz w:val="24"/>
                <w:szCs w:val="24"/>
              </w:rPr>
              <w:t>①车辆预约管理系统。车辆预约小程序，提供给司机使</w:t>
            </w:r>
            <w:r>
              <w:rPr>
                <w:sz w:val="24"/>
                <w:szCs w:val="24"/>
              </w:rPr>
              <w:t xml:space="preserve">用，司机可使用 </w:t>
            </w:r>
            <w:r>
              <w:rPr>
                <w:spacing w:val="1"/>
                <w:sz w:val="24"/>
                <w:szCs w:val="24"/>
              </w:rPr>
              <w:t>移动设备（手机）远程预约、远程查看停车场车位情</w:t>
            </w:r>
            <w:r>
              <w:rPr>
                <w:sz w:val="24"/>
                <w:szCs w:val="24"/>
              </w:rPr>
              <w:t xml:space="preserve">况、停车场其它信息发 </w:t>
            </w:r>
            <w:r>
              <w:rPr>
                <w:spacing w:val="1"/>
                <w:sz w:val="24"/>
                <w:szCs w:val="24"/>
              </w:rPr>
              <w:t>布情况等。司机可申请远程车辆文检请求、上传有关</w:t>
            </w:r>
            <w:r>
              <w:rPr>
                <w:sz w:val="24"/>
                <w:szCs w:val="24"/>
              </w:rPr>
              <w:t xml:space="preserve">证件、查看文检过程信 </w:t>
            </w:r>
            <w:r>
              <w:rPr>
                <w:spacing w:val="-4"/>
                <w:sz w:val="24"/>
                <w:szCs w:val="24"/>
              </w:rPr>
              <w:t>息等。</w:t>
            </w:r>
          </w:p>
          <w:p w14:paraId="7A854BAA">
            <w:pPr>
              <w:pStyle w:val="6"/>
              <w:spacing w:before="182" w:line="331" w:lineRule="auto"/>
              <w:ind w:left="112" w:right="27" w:firstLine="478"/>
              <w:rPr>
                <w:sz w:val="24"/>
                <w:szCs w:val="24"/>
              </w:rPr>
            </w:pPr>
            <w:r>
              <w:rPr>
                <w:spacing w:val="1"/>
                <w:sz w:val="24"/>
                <w:szCs w:val="24"/>
              </w:rPr>
              <w:t>②车辆入场物检管理。车辆进入一道门后在待检区要经过</w:t>
            </w:r>
            <w:r>
              <w:rPr>
                <w:sz w:val="24"/>
                <w:szCs w:val="24"/>
              </w:rPr>
              <w:t xml:space="preserve">车辆入场物检 </w:t>
            </w:r>
            <w:r>
              <w:rPr>
                <w:spacing w:val="1"/>
                <w:sz w:val="24"/>
                <w:szCs w:val="24"/>
              </w:rPr>
              <w:t>管理合格后才能进入停车场停车，车辆物检小程序，</w:t>
            </w:r>
            <w:r>
              <w:rPr>
                <w:sz w:val="24"/>
                <w:szCs w:val="24"/>
              </w:rPr>
              <w:t xml:space="preserve">提供给停车场管理人员 </w:t>
            </w:r>
            <w:r>
              <w:rPr>
                <w:spacing w:val="-4"/>
                <w:sz w:val="24"/>
                <w:szCs w:val="24"/>
              </w:rPr>
              <w:t>使用，停车场管理人员可使用移动设备（手机）对物检情况进行勾选与记录、</w:t>
            </w:r>
            <w:r>
              <w:rPr>
                <w:sz w:val="24"/>
                <w:szCs w:val="24"/>
              </w:rPr>
              <w:t xml:space="preserve"> </w:t>
            </w:r>
            <w:r>
              <w:rPr>
                <w:spacing w:val="1"/>
                <w:sz w:val="24"/>
                <w:szCs w:val="24"/>
              </w:rPr>
              <w:t>检查完成后经过司机签字，远传给车辆出入场管理系</w:t>
            </w:r>
            <w:r>
              <w:rPr>
                <w:sz w:val="24"/>
                <w:szCs w:val="24"/>
              </w:rPr>
              <w:t>统作为基础数据参与后 续的智能管理。物检不合格的车辆不能进入二道门</w:t>
            </w:r>
            <w:r>
              <w:rPr>
                <w:spacing w:val="-1"/>
                <w:sz w:val="24"/>
                <w:szCs w:val="24"/>
              </w:rPr>
              <w:t>，直接从车场出口出场。</w:t>
            </w:r>
          </w:p>
          <w:p w14:paraId="67D59AB3">
            <w:pPr>
              <w:pStyle w:val="6"/>
              <w:spacing w:before="183" w:line="217" w:lineRule="auto"/>
              <w:ind w:left="590"/>
              <w:rPr>
                <w:sz w:val="24"/>
                <w:szCs w:val="24"/>
              </w:rPr>
            </w:pPr>
            <w:r>
              <w:rPr>
                <w:spacing w:val="1"/>
                <w:sz w:val="24"/>
                <w:szCs w:val="24"/>
              </w:rPr>
              <w:t>③车辆入场文检管理。车辆进入二道门后，将车辆停放在</w:t>
            </w:r>
            <w:r>
              <w:rPr>
                <w:sz w:val="24"/>
                <w:szCs w:val="24"/>
              </w:rPr>
              <w:t>停车场划定的</w:t>
            </w:r>
          </w:p>
        </w:tc>
      </w:tr>
    </w:tbl>
    <w:p w14:paraId="37EB2EAA">
      <w:pPr>
        <w:pStyle w:val="2"/>
      </w:pPr>
    </w:p>
    <w:p w14:paraId="05D3BFA2">
      <w:pPr>
        <w:sectPr>
          <w:footerReference r:id="rId44" w:type="default"/>
          <w:pgSz w:w="11906" w:h="16839"/>
          <w:pgMar w:top="400" w:right="1588" w:bottom="1259" w:left="1687" w:header="0" w:footer="1097" w:gutter="0"/>
          <w:cols w:space="720" w:num="1"/>
        </w:sectPr>
      </w:pPr>
    </w:p>
    <w:p w14:paraId="581939CE">
      <w:pPr>
        <w:spacing w:before="19"/>
      </w:pPr>
    </w:p>
    <w:p w14:paraId="146B3C94">
      <w:pPr>
        <w:spacing w:before="19"/>
      </w:pPr>
    </w:p>
    <w:p w14:paraId="411BC089">
      <w:pPr>
        <w:spacing w:before="18"/>
      </w:pPr>
    </w:p>
    <w:p w14:paraId="7953371C">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113"/>
        <w:gridCol w:w="685"/>
        <w:gridCol w:w="1116"/>
        <w:gridCol w:w="6137"/>
        <w:gridCol w:w="118"/>
      </w:tblGrid>
      <w:tr w14:paraId="70949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9" w:hRule="atLeast"/>
        </w:trPr>
        <w:tc>
          <w:tcPr>
            <w:tcW w:w="456" w:type="dxa"/>
            <w:vMerge w:val="restart"/>
            <w:tcBorders>
              <w:bottom w:val="nil"/>
            </w:tcBorders>
            <w:vAlign w:val="top"/>
          </w:tcPr>
          <w:p w14:paraId="105CFDBD">
            <w:pPr>
              <w:rPr>
                <w:rFonts w:ascii="Arial"/>
                <w:sz w:val="21"/>
              </w:rPr>
            </w:pPr>
          </w:p>
        </w:tc>
        <w:tc>
          <w:tcPr>
            <w:tcW w:w="8169" w:type="dxa"/>
            <w:gridSpan w:val="5"/>
            <w:vAlign w:val="top"/>
          </w:tcPr>
          <w:p w14:paraId="66A3DEBC">
            <w:pPr>
              <w:pStyle w:val="6"/>
              <w:spacing w:before="39" w:line="359" w:lineRule="auto"/>
              <w:ind w:left="111" w:right="107" w:firstLine="18"/>
              <w:jc w:val="both"/>
              <w:rPr>
                <w:sz w:val="24"/>
                <w:szCs w:val="24"/>
              </w:rPr>
            </w:pPr>
            <w:r>
              <w:rPr>
                <w:sz w:val="24"/>
                <w:szCs w:val="24"/>
              </w:rPr>
              <w:t>区域（进行分类分区管理</w:t>
            </w:r>
            <w:r>
              <w:rPr>
                <w:spacing w:val="7"/>
                <w:sz w:val="24"/>
                <w:szCs w:val="24"/>
              </w:rPr>
              <w:t>），</w:t>
            </w:r>
            <w:r>
              <w:rPr>
                <w:sz w:val="24"/>
                <w:szCs w:val="24"/>
              </w:rPr>
              <w:t>便可开始车辆文检工作</w:t>
            </w:r>
            <w:r>
              <w:rPr>
                <w:spacing w:val="-1"/>
                <w:sz w:val="24"/>
                <w:szCs w:val="24"/>
              </w:rPr>
              <w:t>，车辆文检管理可由司</w:t>
            </w:r>
            <w:r>
              <w:rPr>
                <w:spacing w:val="1"/>
                <w:sz w:val="24"/>
                <w:szCs w:val="24"/>
              </w:rPr>
              <w:t xml:space="preserve"> 机远程申请，也可由停车场管理人员代为申请，申请提</w:t>
            </w:r>
            <w:r>
              <w:rPr>
                <w:sz w:val="24"/>
                <w:szCs w:val="24"/>
              </w:rPr>
              <w:t xml:space="preserve">交后，由车场管理人 </w:t>
            </w:r>
            <w:r>
              <w:rPr>
                <w:spacing w:val="1"/>
                <w:sz w:val="24"/>
                <w:szCs w:val="24"/>
              </w:rPr>
              <w:t>员审核或由中控室管理人员审核。审核完成后提交给给</w:t>
            </w:r>
            <w:r>
              <w:rPr>
                <w:sz w:val="24"/>
                <w:szCs w:val="24"/>
              </w:rPr>
              <w:t xml:space="preserve">车辆出入场管理系统 </w:t>
            </w:r>
            <w:r>
              <w:rPr>
                <w:spacing w:val="-1"/>
                <w:sz w:val="24"/>
                <w:szCs w:val="24"/>
              </w:rPr>
              <w:t>作为基础数据参与后续的智能管理。</w:t>
            </w:r>
          </w:p>
          <w:p w14:paraId="051B9090">
            <w:pPr>
              <w:pStyle w:val="6"/>
              <w:spacing w:before="1" w:line="324" w:lineRule="auto"/>
              <w:ind w:left="112" w:right="107" w:firstLine="478"/>
              <w:rPr>
                <w:sz w:val="24"/>
                <w:szCs w:val="24"/>
              </w:rPr>
            </w:pPr>
            <w:r>
              <w:rPr>
                <w:spacing w:val="1"/>
                <w:sz w:val="24"/>
                <w:szCs w:val="24"/>
              </w:rPr>
              <w:t>④出场收费系统。出场收费系统分为两种收费，一道门收</w:t>
            </w:r>
            <w:r>
              <w:rPr>
                <w:sz w:val="24"/>
                <w:szCs w:val="24"/>
              </w:rPr>
              <w:t xml:space="preserve">费管理、二道 </w:t>
            </w:r>
            <w:r>
              <w:rPr>
                <w:spacing w:val="1"/>
                <w:sz w:val="24"/>
                <w:szCs w:val="24"/>
              </w:rPr>
              <w:t>门收费管理，按照设定的规则进行收费。收费模式为</w:t>
            </w:r>
            <w:r>
              <w:rPr>
                <w:sz w:val="24"/>
                <w:szCs w:val="24"/>
              </w:rPr>
              <w:t xml:space="preserve">二维码方式的微信及支 </w:t>
            </w:r>
            <w:r>
              <w:rPr>
                <w:spacing w:val="1"/>
                <w:sz w:val="24"/>
                <w:szCs w:val="24"/>
              </w:rPr>
              <w:t>付宝收费模式。其中一道门收费范围为在待检区停车</w:t>
            </w:r>
            <w:r>
              <w:rPr>
                <w:sz w:val="24"/>
                <w:szCs w:val="24"/>
              </w:rPr>
              <w:t xml:space="preserve">超时的危化品车辆等。 </w:t>
            </w:r>
            <w:r>
              <w:rPr>
                <w:spacing w:val="-1"/>
                <w:sz w:val="24"/>
                <w:szCs w:val="24"/>
              </w:rPr>
              <w:t>二道门收费管理针对停进停车场的车辆进行的收费。</w:t>
            </w:r>
          </w:p>
          <w:p w14:paraId="48C041BB">
            <w:pPr>
              <w:pStyle w:val="6"/>
              <w:spacing w:before="183" w:line="331" w:lineRule="auto"/>
              <w:ind w:left="112" w:right="107" w:firstLine="478"/>
              <w:rPr>
                <w:sz w:val="24"/>
                <w:szCs w:val="24"/>
              </w:rPr>
            </w:pPr>
            <w:r>
              <w:rPr>
                <w:spacing w:val="1"/>
                <w:sz w:val="24"/>
                <w:szCs w:val="24"/>
              </w:rPr>
              <w:t>⑤停车位及通道交通信号指示、车辆引导系统现场设置停</w:t>
            </w:r>
            <w:r>
              <w:rPr>
                <w:sz w:val="24"/>
                <w:szCs w:val="24"/>
              </w:rPr>
              <w:t xml:space="preserve">车引导牌及交 </w:t>
            </w:r>
            <w:r>
              <w:rPr>
                <w:spacing w:val="-3"/>
                <w:sz w:val="24"/>
                <w:szCs w:val="24"/>
              </w:rPr>
              <w:t>通信号指示灯，停车引导牌为</w:t>
            </w:r>
            <w:r>
              <w:rPr>
                <w:spacing w:val="-56"/>
                <w:sz w:val="24"/>
                <w:szCs w:val="24"/>
              </w:rPr>
              <w:t xml:space="preserve"> </w:t>
            </w:r>
            <w:r>
              <w:rPr>
                <w:rFonts w:ascii="Times New Roman" w:hAnsi="Times New Roman" w:eastAsia="Times New Roman" w:cs="Times New Roman"/>
                <w:spacing w:val="-3"/>
                <w:sz w:val="24"/>
                <w:szCs w:val="24"/>
              </w:rPr>
              <w:t>LED</w:t>
            </w:r>
            <w:r>
              <w:rPr>
                <w:rFonts w:ascii="Times New Roman" w:hAnsi="Times New Roman" w:eastAsia="Times New Roman" w:cs="Times New Roman"/>
                <w:spacing w:val="14"/>
                <w:sz w:val="24"/>
                <w:szCs w:val="24"/>
              </w:rPr>
              <w:t xml:space="preserve"> </w:t>
            </w:r>
            <w:r>
              <w:rPr>
                <w:spacing w:val="-3"/>
                <w:sz w:val="24"/>
                <w:szCs w:val="24"/>
              </w:rPr>
              <w:t>显示屏，显示路径及引导信息，交通信号</w:t>
            </w:r>
            <w:r>
              <w:rPr>
                <w:sz w:val="24"/>
                <w:szCs w:val="24"/>
              </w:rPr>
              <w:t xml:space="preserve"> </w:t>
            </w:r>
            <w:r>
              <w:rPr>
                <w:spacing w:val="1"/>
                <w:sz w:val="24"/>
                <w:szCs w:val="24"/>
              </w:rPr>
              <w:t>指示为交通信号灯，这些信号直接引入到车辆出入场</w:t>
            </w:r>
            <w:r>
              <w:rPr>
                <w:sz w:val="24"/>
                <w:szCs w:val="24"/>
              </w:rPr>
              <w:t xml:space="preserve">管理系统，当车辆进入 </w:t>
            </w:r>
            <w:r>
              <w:rPr>
                <w:spacing w:val="1"/>
                <w:sz w:val="24"/>
                <w:szCs w:val="24"/>
              </w:rPr>
              <w:t>待检区后引导车辆直接出场、或引导车辆进场停车到</w:t>
            </w:r>
            <w:r>
              <w:rPr>
                <w:sz w:val="24"/>
                <w:szCs w:val="24"/>
              </w:rPr>
              <w:t xml:space="preserve">达划分好的分区，进行 </w:t>
            </w:r>
            <w:r>
              <w:rPr>
                <w:spacing w:val="-1"/>
                <w:sz w:val="24"/>
                <w:szCs w:val="24"/>
              </w:rPr>
              <w:t>车辆定置管理。实现动态指示、动态引导提高车场管理水平。</w:t>
            </w:r>
          </w:p>
          <w:p w14:paraId="000ADDC1">
            <w:pPr>
              <w:pStyle w:val="6"/>
              <w:spacing w:before="178" w:line="313" w:lineRule="auto"/>
              <w:ind w:left="114" w:right="27" w:firstLine="476"/>
              <w:rPr>
                <w:sz w:val="24"/>
                <w:szCs w:val="24"/>
              </w:rPr>
            </w:pPr>
            <w:r>
              <w:rPr>
                <w:spacing w:val="-4"/>
                <w:sz w:val="24"/>
                <w:szCs w:val="24"/>
              </w:rPr>
              <w:t>⑥紧急疏散引导系统紧急疏散引导系统由“停车位及通道</w:t>
            </w:r>
            <w:r>
              <w:rPr>
                <w:spacing w:val="-5"/>
                <w:sz w:val="24"/>
                <w:szCs w:val="24"/>
              </w:rPr>
              <w:t>交通信号指示、</w:t>
            </w:r>
            <w:r>
              <w:rPr>
                <w:sz w:val="24"/>
                <w:szCs w:val="24"/>
              </w:rPr>
              <w:t xml:space="preserve"> </w:t>
            </w:r>
            <w:r>
              <w:rPr>
                <w:spacing w:val="-4"/>
                <w:sz w:val="24"/>
                <w:szCs w:val="24"/>
              </w:rPr>
              <w:t>车辆引导系统</w:t>
            </w:r>
            <w:r>
              <w:rPr>
                <w:spacing w:val="-89"/>
                <w:sz w:val="24"/>
                <w:szCs w:val="24"/>
              </w:rPr>
              <w:t xml:space="preserve"> </w:t>
            </w:r>
            <w:r>
              <w:rPr>
                <w:spacing w:val="-4"/>
                <w:sz w:val="24"/>
                <w:szCs w:val="24"/>
              </w:rPr>
              <w:t>”</w:t>
            </w:r>
            <w:r>
              <w:rPr>
                <w:rFonts w:ascii="Times New Roman" w:hAnsi="Times New Roman" w:eastAsia="Times New Roman" w:cs="Times New Roman"/>
                <w:spacing w:val="-4"/>
                <w:sz w:val="24"/>
                <w:szCs w:val="24"/>
              </w:rPr>
              <w:t>+</w:t>
            </w:r>
            <w:r>
              <w:rPr>
                <w:spacing w:val="-4"/>
                <w:sz w:val="24"/>
                <w:szCs w:val="24"/>
              </w:rPr>
              <w:t>语音系统组成，在紧急情况下提供语</w:t>
            </w:r>
            <w:r>
              <w:rPr>
                <w:spacing w:val="-5"/>
                <w:sz w:val="24"/>
                <w:szCs w:val="24"/>
              </w:rPr>
              <w:t>音提示及引导提示。该</w:t>
            </w:r>
            <w:r>
              <w:rPr>
                <w:sz w:val="24"/>
                <w:szCs w:val="24"/>
              </w:rPr>
              <w:t xml:space="preserve"> </w:t>
            </w:r>
            <w:r>
              <w:rPr>
                <w:spacing w:val="-1"/>
                <w:sz w:val="24"/>
                <w:szCs w:val="24"/>
              </w:rPr>
              <w:t>系统直接引入到车辆出入场管理系统中，紧急情况下发挥作用。</w:t>
            </w:r>
          </w:p>
          <w:p w14:paraId="29BD3F4F">
            <w:pPr>
              <w:pStyle w:val="6"/>
              <w:spacing w:before="184"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）汽车维修与清洗</w:t>
            </w:r>
          </w:p>
          <w:p w14:paraId="6C9AF4B8">
            <w:pPr>
              <w:pStyle w:val="6"/>
              <w:spacing w:before="180" w:line="359" w:lineRule="auto"/>
              <w:ind w:left="113" w:right="27" w:firstLine="480"/>
              <w:rPr>
                <w:sz w:val="24"/>
                <w:szCs w:val="24"/>
              </w:rPr>
            </w:pPr>
            <w:r>
              <w:rPr>
                <w:spacing w:val="1"/>
                <w:sz w:val="24"/>
                <w:szCs w:val="24"/>
              </w:rPr>
              <w:t>本项目只对有需要的车辆进行外部清洗，不清洗车</w:t>
            </w:r>
            <w:r>
              <w:rPr>
                <w:sz w:val="24"/>
                <w:szCs w:val="24"/>
              </w:rPr>
              <w:t xml:space="preserve">（罐）内壁，对有需 </w:t>
            </w:r>
            <w:r>
              <w:rPr>
                <w:spacing w:val="-4"/>
                <w:sz w:val="24"/>
                <w:szCs w:val="24"/>
              </w:rPr>
              <w:t>要的车辆进行简单维修，如更换机油、换轮胎等，不进行喷漆、焊接等活</w:t>
            </w:r>
            <w:r>
              <w:rPr>
                <w:spacing w:val="-5"/>
                <w:sz w:val="24"/>
                <w:szCs w:val="24"/>
              </w:rPr>
              <w:t>动。</w:t>
            </w:r>
          </w:p>
          <w:p w14:paraId="132C3C4D">
            <w:pPr>
              <w:pStyle w:val="6"/>
              <w:spacing w:before="1" w:line="220" w:lineRule="auto"/>
              <w:ind w:left="118"/>
              <w:outlineLvl w:val="1"/>
              <w:rPr>
                <w:sz w:val="24"/>
                <w:szCs w:val="24"/>
              </w:rPr>
            </w:pP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32"/>
                <w:sz w:val="24"/>
                <w:szCs w:val="24"/>
              </w:rPr>
              <w:t xml:space="preserve"> </w:t>
            </w:r>
            <w:r>
              <w:rPr>
                <w:b/>
                <w:bCs/>
                <w:spacing w:val="-8"/>
                <w:sz w:val="24"/>
                <w:szCs w:val="24"/>
              </w:rPr>
              <w:t>、主要设备</w:t>
            </w:r>
          </w:p>
          <w:p w14:paraId="1BA935AB">
            <w:pPr>
              <w:pStyle w:val="6"/>
              <w:spacing w:before="182" w:line="358" w:lineRule="auto"/>
              <w:ind w:left="112"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设项目，建设内容为危险化学品车辆专用停车场以及</w:t>
            </w:r>
            <w:r>
              <w:rPr>
                <w:sz w:val="24"/>
                <w:szCs w:val="24"/>
              </w:rPr>
              <w:t xml:space="preserve">辅助设施，项目运营使 </w:t>
            </w:r>
            <w:r>
              <w:rPr>
                <w:spacing w:val="-4"/>
                <w:sz w:val="24"/>
                <w:szCs w:val="24"/>
              </w:rPr>
              <w:t>用的主要设备为智慧化管控系统，另外给排水系统、供配电系统、照明系统、</w:t>
            </w:r>
            <w:r>
              <w:rPr>
                <w:sz w:val="24"/>
                <w:szCs w:val="24"/>
              </w:rPr>
              <w:t xml:space="preserve"> 通信电信网络系统等也是重要的辅助系统。项目运</w:t>
            </w:r>
            <w:r>
              <w:rPr>
                <w:spacing w:val="-1"/>
                <w:sz w:val="24"/>
                <w:szCs w:val="24"/>
              </w:rPr>
              <w:t>营使用的主要设备如下：</w:t>
            </w:r>
          </w:p>
          <w:p w14:paraId="3914DFF6">
            <w:pPr>
              <w:pStyle w:val="6"/>
              <w:spacing w:before="1" w:line="227" w:lineRule="auto"/>
              <w:ind w:left="2551"/>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2-6    </w:t>
            </w:r>
            <w:r>
              <w:rPr>
                <w:b/>
                <w:bCs/>
                <w:spacing w:val="5"/>
                <w:sz w:val="20"/>
                <w:szCs w:val="20"/>
              </w:rPr>
              <w:t>主要设备使用情况一览表</w:t>
            </w:r>
          </w:p>
        </w:tc>
      </w:tr>
      <w:tr w14:paraId="7DBC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6" w:type="dxa"/>
            <w:vMerge w:val="continue"/>
            <w:tcBorders>
              <w:top w:val="nil"/>
              <w:bottom w:val="nil"/>
            </w:tcBorders>
            <w:vAlign w:val="top"/>
          </w:tcPr>
          <w:p w14:paraId="64D51475">
            <w:pPr>
              <w:rPr>
                <w:rFonts w:ascii="Arial"/>
                <w:sz w:val="21"/>
              </w:rPr>
            </w:pPr>
          </w:p>
        </w:tc>
        <w:tc>
          <w:tcPr>
            <w:tcW w:w="113" w:type="dxa"/>
            <w:tcBorders>
              <w:top w:val="nil"/>
              <w:bottom w:val="nil"/>
            </w:tcBorders>
            <w:vAlign w:val="top"/>
          </w:tcPr>
          <w:p w14:paraId="30FB1511">
            <w:pPr>
              <w:rPr>
                <w:rFonts w:ascii="Arial"/>
                <w:sz w:val="21"/>
              </w:rPr>
            </w:pPr>
          </w:p>
        </w:tc>
        <w:tc>
          <w:tcPr>
            <w:tcW w:w="685" w:type="dxa"/>
            <w:vAlign w:val="top"/>
          </w:tcPr>
          <w:p w14:paraId="58835762">
            <w:pPr>
              <w:pStyle w:val="6"/>
              <w:spacing w:before="36" w:line="213" w:lineRule="auto"/>
              <w:ind w:left="134"/>
              <w:rPr>
                <w:sz w:val="20"/>
                <w:szCs w:val="20"/>
              </w:rPr>
            </w:pPr>
            <w:r>
              <w:rPr>
                <w:spacing w:val="5"/>
                <w:sz w:val="20"/>
                <w:szCs w:val="20"/>
              </w:rPr>
              <w:t>序号</w:t>
            </w:r>
          </w:p>
        </w:tc>
        <w:tc>
          <w:tcPr>
            <w:tcW w:w="1116" w:type="dxa"/>
            <w:vAlign w:val="top"/>
          </w:tcPr>
          <w:p w14:paraId="1898E486">
            <w:pPr>
              <w:pStyle w:val="6"/>
              <w:spacing w:before="36" w:line="213" w:lineRule="auto"/>
              <w:ind w:left="354"/>
              <w:rPr>
                <w:sz w:val="20"/>
                <w:szCs w:val="20"/>
              </w:rPr>
            </w:pPr>
            <w:r>
              <w:rPr>
                <w:spacing w:val="3"/>
                <w:sz w:val="20"/>
                <w:szCs w:val="20"/>
              </w:rPr>
              <w:t>名称</w:t>
            </w:r>
          </w:p>
        </w:tc>
        <w:tc>
          <w:tcPr>
            <w:tcW w:w="6137" w:type="dxa"/>
            <w:vAlign w:val="top"/>
          </w:tcPr>
          <w:p w14:paraId="2AFE0F1F">
            <w:pPr>
              <w:pStyle w:val="6"/>
              <w:spacing w:before="36" w:line="213" w:lineRule="auto"/>
              <w:ind w:left="2657"/>
              <w:rPr>
                <w:sz w:val="20"/>
                <w:szCs w:val="20"/>
              </w:rPr>
            </w:pPr>
            <w:r>
              <w:rPr>
                <w:spacing w:val="6"/>
                <w:sz w:val="20"/>
                <w:szCs w:val="20"/>
              </w:rPr>
              <w:t>设置情况</w:t>
            </w:r>
          </w:p>
        </w:tc>
        <w:tc>
          <w:tcPr>
            <w:tcW w:w="118" w:type="dxa"/>
            <w:tcBorders>
              <w:top w:val="nil"/>
              <w:bottom w:val="nil"/>
            </w:tcBorders>
            <w:vAlign w:val="top"/>
          </w:tcPr>
          <w:p w14:paraId="36EE6F33">
            <w:pPr>
              <w:rPr>
                <w:rFonts w:ascii="Arial"/>
                <w:sz w:val="21"/>
              </w:rPr>
            </w:pPr>
          </w:p>
        </w:tc>
      </w:tr>
      <w:tr w14:paraId="6D95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6" w:type="dxa"/>
            <w:vMerge w:val="continue"/>
            <w:tcBorders>
              <w:top w:val="nil"/>
              <w:bottom w:val="nil"/>
            </w:tcBorders>
            <w:vAlign w:val="top"/>
          </w:tcPr>
          <w:p w14:paraId="1F5CE125">
            <w:pPr>
              <w:rPr>
                <w:rFonts w:ascii="Arial"/>
                <w:sz w:val="21"/>
              </w:rPr>
            </w:pPr>
          </w:p>
        </w:tc>
        <w:tc>
          <w:tcPr>
            <w:tcW w:w="113" w:type="dxa"/>
            <w:tcBorders>
              <w:top w:val="nil"/>
              <w:bottom w:val="nil"/>
            </w:tcBorders>
            <w:vAlign w:val="top"/>
          </w:tcPr>
          <w:p w14:paraId="74AD8594">
            <w:pPr>
              <w:rPr>
                <w:rFonts w:ascii="Arial"/>
                <w:sz w:val="21"/>
              </w:rPr>
            </w:pPr>
          </w:p>
        </w:tc>
        <w:tc>
          <w:tcPr>
            <w:tcW w:w="685" w:type="dxa"/>
            <w:vAlign w:val="top"/>
          </w:tcPr>
          <w:p w14:paraId="07E799E9">
            <w:pPr>
              <w:spacing w:line="283" w:lineRule="auto"/>
              <w:rPr>
                <w:rFonts w:ascii="Arial"/>
                <w:sz w:val="21"/>
              </w:rPr>
            </w:pPr>
          </w:p>
          <w:p w14:paraId="565B6AAF">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6" w:type="dxa"/>
            <w:vAlign w:val="top"/>
          </w:tcPr>
          <w:p w14:paraId="38B2015A">
            <w:pPr>
              <w:pStyle w:val="6"/>
              <w:spacing w:before="172" w:line="252" w:lineRule="auto"/>
              <w:ind w:left="245" w:right="140" w:hanging="99"/>
              <w:rPr>
                <w:sz w:val="20"/>
                <w:szCs w:val="20"/>
              </w:rPr>
            </w:pPr>
            <w:r>
              <w:rPr>
                <w:spacing w:val="6"/>
                <w:sz w:val="20"/>
                <w:szCs w:val="20"/>
              </w:rPr>
              <w:t>智慧化管</w:t>
            </w:r>
            <w:r>
              <w:rPr>
                <w:sz w:val="20"/>
                <w:szCs w:val="20"/>
              </w:rPr>
              <w:t xml:space="preserve"> </w:t>
            </w:r>
            <w:r>
              <w:rPr>
                <w:spacing w:val="7"/>
                <w:sz w:val="20"/>
                <w:szCs w:val="20"/>
              </w:rPr>
              <w:t>控系统</w:t>
            </w:r>
          </w:p>
        </w:tc>
        <w:tc>
          <w:tcPr>
            <w:tcW w:w="6137" w:type="dxa"/>
            <w:vAlign w:val="top"/>
          </w:tcPr>
          <w:p w14:paraId="76D973CA">
            <w:pPr>
              <w:pStyle w:val="6"/>
              <w:spacing w:before="35" w:line="227" w:lineRule="auto"/>
              <w:ind w:left="133"/>
              <w:rPr>
                <w:sz w:val="20"/>
                <w:szCs w:val="20"/>
              </w:rPr>
            </w:pPr>
            <w:r>
              <w:rPr>
                <w:spacing w:val="9"/>
                <w:sz w:val="20"/>
                <w:szCs w:val="20"/>
              </w:rPr>
              <w:t>包括视频监控系统和车辆出入场管系统，智慧化管控系统机房设</w:t>
            </w:r>
          </w:p>
          <w:p w14:paraId="1369FA4B">
            <w:pPr>
              <w:pStyle w:val="6"/>
              <w:spacing w:before="25" w:line="227" w:lineRule="auto"/>
              <w:ind w:left="132"/>
              <w:rPr>
                <w:sz w:val="20"/>
                <w:szCs w:val="20"/>
              </w:rPr>
            </w:pPr>
            <w:r>
              <w:rPr>
                <w:spacing w:val="8"/>
                <w:sz w:val="20"/>
                <w:szCs w:val="20"/>
              </w:rPr>
              <w:t>置在综合管理用房一层。主要包括门禁、</w:t>
            </w:r>
            <w:r>
              <w:rPr>
                <w:spacing w:val="-54"/>
                <w:sz w:val="20"/>
                <w:szCs w:val="20"/>
              </w:rPr>
              <w:t xml:space="preserve"> </w:t>
            </w:r>
            <w:r>
              <w:rPr>
                <w:spacing w:val="8"/>
                <w:sz w:val="20"/>
                <w:szCs w:val="20"/>
              </w:rPr>
              <w:t>电缆布线、服务器的组</w:t>
            </w:r>
          </w:p>
          <w:p w14:paraId="35E17B7D">
            <w:pPr>
              <w:pStyle w:val="6"/>
              <w:spacing w:before="27" w:line="214" w:lineRule="auto"/>
              <w:ind w:left="2027"/>
              <w:rPr>
                <w:sz w:val="20"/>
                <w:szCs w:val="20"/>
              </w:rPr>
            </w:pPr>
            <w:r>
              <w:rPr>
                <w:spacing w:val="7"/>
                <w:sz w:val="20"/>
                <w:szCs w:val="20"/>
              </w:rPr>
              <w:t>建、系统搭建等内容。</w:t>
            </w:r>
          </w:p>
        </w:tc>
        <w:tc>
          <w:tcPr>
            <w:tcW w:w="118" w:type="dxa"/>
            <w:tcBorders>
              <w:top w:val="nil"/>
              <w:bottom w:val="nil"/>
            </w:tcBorders>
            <w:vAlign w:val="top"/>
          </w:tcPr>
          <w:p w14:paraId="6C561A0F">
            <w:pPr>
              <w:rPr>
                <w:rFonts w:ascii="Arial"/>
                <w:sz w:val="21"/>
              </w:rPr>
            </w:pPr>
          </w:p>
        </w:tc>
      </w:tr>
      <w:tr w14:paraId="053F0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456" w:type="dxa"/>
            <w:vMerge w:val="continue"/>
            <w:tcBorders>
              <w:top w:val="nil"/>
            </w:tcBorders>
            <w:vAlign w:val="top"/>
          </w:tcPr>
          <w:p w14:paraId="3E3545CA">
            <w:pPr>
              <w:rPr>
                <w:rFonts w:ascii="Arial"/>
                <w:sz w:val="21"/>
              </w:rPr>
            </w:pPr>
          </w:p>
        </w:tc>
        <w:tc>
          <w:tcPr>
            <w:tcW w:w="113" w:type="dxa"/>
            <w:tcBorders>
              <w:top w:val="nil"/>
            </w:tcBorders>
            <w:vAlign w:val="top"/>
          </w:tcPr>
          <w:p w14:paraId="583CFA4B">
            <w:pPr>
              <w:rPr>
                <w:rFonts w:ascii="Arial"/>
                <w:sz w:val="21"/>
              </w:rPr>
            </w:pPr>
          </w:p>
        </w:tc>
        <w:tc>
          <w:tcPr>
            <w:tcW w:w="685" w:type="dxa"/>
            <w:vAlign w:val="top"/>
          </w:tcPr>
          <w:p w14:paraId="17878B61">
            <w:pPr>
              <w:spacing w:line="420" w:lineRule="auto"/>
              <w:rPr>
                <w:rFonts w:ascii="Arial"/>
                <w:sz w:val="21"/>
              </w:rPr>
            </w:pPr>
          </w:p>
          <w:p w14:paraId="13B208F3">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6" w:type="dxa"/>
            <w:vAlign w:val="top"/>
          </w:tcPr>
          <w:p w14:paraId="18F0173C">
            <w:pPr>
              <w:rPr>
                <w:rFonts w:ascii="Arial"/>
                <w:sz w:val="21"/>
              </w:rPr>
            </w:pPr>
          </w:p>
          <w:p w14:paraId="6B1711E0">
            <w:pPr>
              <w:pStyle w:val="6"/>
              <w:spacing w:before="65" w:line="228" w:lineRule="auto"/>
              <w:ind w:left="141"/>
              <w:rPr>
                <w:sz w:val="20"/>
                <w:szCs w:val="20"/>
              </w:rPr>
            </w:pPr>
            <w:r>
              <w:rPr>
                <w:spacing w:val="7"/>
                <w:sz w:val="20"/>
                <w:szCs w:val="20"/>
              </w:rPr>
              <w:t>给排水系</w:t>
            </w:r>
          </w:p>
          <w:p w14:paraId="323A23D9">
            <w:pPr>
              <w:pStyle w:val="6"/>
              <w:spacing w:before="24" w:line="229" w:lineRule="auto"/>
              <w:ind w:left="462"/>
              <w:rPr>
                <w:sz w:val="20"/>
                <w:szCs w:val="20"/>
              </w:rPr>
            </w:pPr>
            <w:r>
              <w:rPr>
                <w:sz w:val="20"/>
                <w:szCs w:val="20"/>
              </w:rPr>
              <w:t>统</w:t>
            </w:r>
          </w:p>
        </w:tc>
        <w:tc>
          <w:tcPr>
            <w:tcW w:w="6137" w:type="dxa"/>
            <w:vAlign w:val="top"/>
          </w:tcPr>
          <w:p w14:paraId="2031136F">
            <w:pPr>
              <w:pStyle w:val="6"/>
              <w:spacing w:before="36" w:line="227" w:lineRule="auto"/>
              <w:ind w:left="134"/>
              <w:rPr>
                <w:sz w:val="20"/>
                <w:szCs w:val="20"/>
              </w:rPr>
            </w:pPr>
            <w:r>
              <w:rPr>
                <w:spacing w:val="9"/>
                <w:sz w:val="20"/>
                <w:szCs w:val="20"/>
              </w:rPr>
              <w:t>本项目给水分生活给水系统和消防给水系统，生活给水系统由园</w:t>
            </w:r>
          </w:p>
          <w:p w14:paraId="37B07245">
            <w:pPr>
              <w:pStyle w:val="6"/>
              <w:spacing w:before="25" w:line="227" w:lineRule="auto"/>
              <w:ind w:left="149"/>
              <w:rPr>
                <w:sz w:val="20"/>
                <w:szCs w:val="20"/>
              </w:rPr>
            </w:pPr>
            <w:r>
              <w:rPr>
                <w:spacing w:val="9"/>
                <w:sz w:val="20"/>
                <w:szCs w:val="20"/>
              </w:rPr>
              <w:t>区配套供水厂供水，负责供给生活用水、洗车用水、地面冲洗用</w:t>
            </w:r>
          </w:p>
          <w:p w14:paraId="25D81AA7">
            <w:pPr>
              <w:pStyle w:val="6"/>
              <w:spacing w:before="24" w:line="228" w:lineRule="auto"/>
              <w:ind w:left="976"/>
              <w:rPr>
                <w:sz w:val="20"/>
                <w:szCs w:val="20"/>
              </w:rPr>
            </w:pPr>
            <w:r>
              <w:rPr>
                <w:spacing w:val="8"/>
                <w:sz w:val="20"/>
                <w:szCs w:val="20"/>
              </w:rPr>
              <w:t>水和绿化用水；消防水由园区消防管网补水。</w:t>
            </w:r>
          </w:p>
          <w:p w14:paraId="51F62E35">
            <w:pPr>
              <w:pStyle w:val="6"/>
              <w:spacing w:before="26" w:line="216" w:lineRule="auto"/>
              <w:ind w:left="134"/>
              <w:rPr>
                <w:sz w:val="20"/>
                <w:szCs w:val="20"/>
              </w:rPr>
            </w:pPr>
            <w:r>
              <w:rPr>
                <w:spacing w:val="8"/>
                <w:sz w:val="20"/>
                <w:szCs w:val="20"/>
              </w:rPr>
              <w:t>本项目场区实行“清污分流、雨污分流</w:t>
            </w:r>
            <w:r>
              <w:rPr>
                <w:spacing w:val="-57"/>
                <w:sz w:val="20"/>
                <w:szCs w:val="20"/>
              </w:rPr>
              <w:t xml:space="preserve"> </w:t>
            </w:r>
            <w:r>
              <w:rPr>
                <w:spacing w:val="8"/>
                <w:sz w:val="20"/>
                <w:szCs w:val="20"/>
              </w:rPr>
              <w:t>”，通过初期雨水收集池</w:t>
            </w:r>
          </w:p>
        </w:tc>
        <w:tc>
          <w:tcPr>
            <w:tcW w:w="118" w:type="dxa"/>
            <w:tcBorders>
              <w:top w:val="nil"/>
            </w:tcBorders>
            <w:vAlign w:val="top"/>
          </w:tcPr>
          <w:p w14:paraId="32D82622">
            <w:pPr>
              <w:rPr>
                <w:rFonts w:ascii="Arial"/>
                <w:sz w:val="21"/>
              </w:rPr>
            </w:pPr>
          </w:p>
        </w:tc>
      </w:tr>
    </w:tbl>
    <w:p w14:paraId="0748E9E6">
      <w:pPr>
        <w:pStyle w:val="2"/>
      </w:pPr>
    </w:p>
    <w:p w14:paraId="2312526D">
      <w:pPr>
        <w:sectPr>
          <w:footerReference r:id="rId45" w:type="default"/>
          <w:pgSz w:w="11906" w:h="16839"/>
          <w:pgMar w:top="400" w:right="1588" w:bottom="1259" w:left="1687" w:header="0" w:footer="1097" w:gutter="0"/>
          <w:cols w:space="720" w:num="1"/>
        </w:sectPr>
      </w:pPr>
    </w:p>
    <w:p w14:paraId="36878A71">
      <w:pPr>
        <w:spacing w:before="19"/>
      </w:pPr>
    </w:p>
    <w:p w14:paraId="6821218E">
      <w:pPr>
        <w:spacing w:before="19"/>
      </w:pPr>
    </w:p>
    <w:p w14:paraId="535333F3">
      <w:pPr>
        <w:spacing w:before="18"/>
      </w:pPr>
    </w:p>
    <w:p w14:paraId="57BAFC1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115"/>
        <w:gridCol w:w="685"/>
        <w:gridCol w:w="841"/>
        <w:gridCol w:w="275"/>
        <w:gridCol w:w="993"/>
        <w:gridCol w:w="1074"/>
        <w:gridCol w:w="1268"/>
        <w:gridCol w:w="1527"/>
        <w:gridCol w:w="1271"/>
        <w:gridCol w:w="119"/>
      </w:tblGrid>
      <w:tr w14:paraId="57F90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2" w:hRule="atLeast"/>
        </w:trPr>
        <w:tc>
          <w:tcPr>
            <w:tcW w:w="457" w:type="dxa"/>
            <w:vMerge w:val="restart"/>
            <w:tcBorders>
              <w:bottom w:val="nil"/>
            </w:tcBorders>
            <w:vAlign w:val="top"/>
          </w:tcPr>
          <w:p w14:paraId="0FBD3409">
            <w:pPr>
              <w:rPr>
                <w:rFonts w:ascii="Arial"/>
                <w:sz w:val="21"/>
              </w:rPr>
            </w:pPr>
          </w:p>
        </w:tc>
        <w:tc>
          <w:tcPr>
            <w:tcW w:w="115" w:type="dxa"/>
            <w:tcBorders>
              <w:bottom w:val="nil"/>
            </w:tcBorders>
            <w:vAlign w:val="top"/>
          </w:tcPr>
          <w:p w14:paraId="09CFCB96">
            <w:pPr>
              <w:rPr>
                <w:rFonts w:ascii="Arial"/>
                <w:sz w:val="21"/>
              </w:rPr>
            </w:pPr>
          </w:p>
        </w:tc>
        <w:tc>
          <w:tcPr>
            <w:tcW w:w="685" w:type="dxa"/>
            <w:vAlign w:val="top"/>
          </w:tcPr>
          <w:p w14:paraId="03F97850">
            <w:pPr>
              <w:rPr>
                <w:rFonts w:ascii="Arial"/>
                <w:sz w:val="21"/>
              </w:rPr>
            </w:pPr>
          </w:p>
        </w:tc>
        <w:tc>
          <w:tcPr>
            <w:tcW w:w="1116" w:type="dxa"/>
            <w:gridSpan w:val="2"/>
            <w:vAlign w:val="top"/>
          </w:tcPr>
          <w:p w14:paraId="0C9A6FF1">
            <w:pPr>
              <w:rPr>
                <w:rFonts w:ascii="Arial"/>
                <w:sz w:val="21"/>
              </w:rPr>
            </w:pPr>
          </w:p>
        </w:tc>
        <w:tc>
          <w:tcPr>
            <w:tcW w:w="6133" w:type="dxa"/>
            <w:gridSpan w:val="5"/>
            <w:vAlign w:val="top"/>
          </w:tcPr>
          <w:p w14:paraId="56896966">
            <w:pPr>
              <w:pStyle w:val="6"/>
              <w:spacing w:before="48" w:line="251" w:lineRule="auto"/>
              <w:ind w:left="131" w:right="127" w:firstLine="6"/>
              <w:rPr>
                <w:sz w:val="20"/>
                <w:szCs w:val="20"/>
              </w:rPr>
            </w:pPr>
            <w:r>
              <w:rPr>
                <w:spacing w:val="9"/>
                <w:sz w:val="20"/>
                <w:szCs w:val="20"/>
              </w:rPr>
              <w:t>收集，排入园区市政雨水管网。运营期产生的废水主要有生活污 水、洗车废水、地面冲洗废水和消防废水。生活污水经隔油池、</w:t>
            </w:r>
            <w:r>
              <w:rPr>
                <w:spacing w:val="15"/>
                <w:sz w:val="20"/>
                <w:szCs w:val="20"/>
              </w:rPr>
              <w:t xml:space="preserve"> </w:t>
            </w:r>
            <w:r>
              <w:rPr>
                <w:spacing w:val="9"/>
                <w:sz w:val="20"/>
                <w:szCs w:val="20"/>
              </w:rPr>
              <w:t>化粪池收集停留一段时间后，排入园区污水管网；洗车废水、地</w:t>
            </w:r>
            <w:r>
              <w:rPr>
                <w:spacing w:val="15"/>
                <w:sz w:val="20"/>
                <w:szCs w:val="20"/>
              </w:rPr>
              <w:t xml:space="preserve"> </w:t>
            </w:r>
            <w:r>
              <w:rPr>
                <w:spacing w:val="9"/>
                <w:sz w:val="20"/>
                <w:szCs w:val="20"/>
              </w:rPr>
              <w:t>面冲洗废水经沉淀池、隔油池收集停留后，排入园区污水管网；</w:t>
            </w:r>
          </w:p>
          <w:p w14:paraId="2849CF60">
            <w:pPr>
              <w:pStyle w:val="6"/>
              <w:spacing w:line="227" w:lineRule="auto"/>
              <w:ind w:left="135"/>
              <w:rPr>
                <w:sz w:val="20"/>
                <w:szCs w:val="20"/>
              </w:rPr>
            </w:pPr>
            <w:r>
              <w:rPr>
                <w:spacing w:val="9"/>
                <w:sz w:val="20"/>
                <w:szCs w:val="20"/>
              </w:rPr>
              <w:t>消防废水产生后，收集至事故应急池，由罐车定期拉运至棋西项</w:t>
            </w:r>
          </w:p>
          <w:p w14:paraId="3D7C1400">
            <w:pPr>
              <w:pStyle w:val="6"/>
              <w:spacing w:before="24" w:line="228" w:lineRule="auto"/>
              <w:ind w:left="170"/>
              <w:rPr>
                <w:sz w:val="20"/>
                <w:szCs w:val="20"/>
              </w:rPr>
            </w:pPr>
            <w:r>
              <w:rPr>
                <w:spacing w:val="8"/>
                <w:sz w:val="20"/>
                <w:szCs w:val="20"/>
              </w:rPr>
              <w:t>目区污水处理厂处理，不外排。生活污水经隔油池、化粪池收集</w:t>
            </w:r>
          </w:p>
          <w:p w14:paraId="0274167C">
            <w:pPr>
              <w:pStyle w:val="6"/>
              <w:spacing w:before="26" w:line="228" w:lineRule="auto"/>
              <w:ind w:left="131"/>
              <w:rPr>
                <w:sz w:val="20"/>
                <w:szCs w:val="20"/>
              </w:rPr>
            </w:pPr>
            <w:r>
              <w:rPr>
                <w:spacing w:val="9"/>
                <w:sz w:val="20"/>
                <w:szCs w:val="20"/>
              </w:rPr>
              <w:t>停留一段时间后，排入园区污水管网；洗车废水、地面冲洗废水</w:t>
            </w:r>
          </w:p>
          <w:p w14:paraId="53260D12">
            <w:pPr>
              <w:pStyle w:val="6"/>
              <w:spacing w:before="24" w:line="228" w:lineRule="auto"/>
              <w:ind w:left="132"/>
              <w:rPr>
                <w:sz w:val="20"/>
                <w:szCs w:val="20"/>
              </w:rPr>
            </w:pPr>
            <w:r>
              <w:rPr>
                <w:spacing w:val="8"/>
                <w:sz w:val="20"/>
                <w:szCs w:val="20"/>
              </w:rPr>
              <w:t>经收集池、隔油池停留一段时间后，</w:t>
            </w:r>
            <w:r>
              <w:rPr>
                <w:spacing w:val="-58"/>
                <w:sz w:val="20"/>
                <w:szCs w:val="20"/>
              </w:rPr>
              <w:t xml:space="preserve"> </w:t>
            </w:r>
            <w:r>
              <w:rPr>
                <w:spacing w:val="8"/>
                <w:sz w:val="20"/>
                <w:szCs w:val="20"/>
              </w:rPr>
              <w:t>由罐车定期拉运至园区污水</w:t>
            </w:r>
          </w:p>
          <w:p w14:paraId="61AE39E9">
            <w:pPr>
              <w:pStyle w:val="6"/>
              <w:spacing w:before="24" w:line="228" w:lineRule="auto"/>
              <w:ind w:left="135"/>
              <w:rPr>
                <w:sz w:val="20"/>
                <w:szCs w:val="20"/>
              </w:rPr>
            </w:pPr>
            <w:r>
              <w:rPr>
                <w:spacing w:val="9"/>
                <w:sz w:val="20"/>
                <w:szCs w:val="20"/>
              </w:rPr>
              <w:t>处理厂；消防废水产生后，收集至事故应急池，由罐车定期拉运</w:t>
            </w:r>
          </w:p>
          <w:p w14:paraId="2B221A9C">
            <w:pPr>
              <w:pStyle w:val="6"/>
              <w:spacing w:before="27" w:line="217" w:lineRule="auto"/>
              <w:ind w:left="1709"/>
              <w:rPr>
                <w:sz w:val="20"/>
                <w:szCs w:val="20"/>
              </w:rPr>
            </w:pPr>
            <w:r>
              <w:rPr>
                <w:spacing w:val="8"/>
                <w:sz w:val="20"/>
                <w:szCs w:val="20"/>
              </w:rPr>
              <w:t>至园区污水处理厂，不外排。</w:t>
            </w:r>
          </w:p>
        </w:tc>
        <w:tc>
          <w:tcPr>
            <w:tcW w:w="119" w:type="dxa"/>
            <w:tcBorders>
              <w:bottom w:val="nil"/>
            </w:tcBorders>
            <w:vAlign w:val="top"/>
          </w:tcPr>
          <w:p w14:paraId="0CE4112F">
            <w:pPr>
              <w:rPr>
                <w:rFonts w:ascii="Arial"/>
                <w:sz w:val="21"/>
              </w:rPr>
            </w:pPr>
          </w:p>
        </w:tc>
      </w:tr>
      <w:tr w14:paraId="5B873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7" w:type="dxa"/>
            <w:vMerge w:val="continue"/>
            <w:tcBorders>
              <w:top w:val="nil"/>
              <w:bottom w:val="nil"/>
            </w:tcBorders>
            <w:vAlign w:val="top"/>
          </w:tcPr>
          <w:p w14:paraId="1EC78B19">
            <w:pPr>
              <w:rPr>
                <w:rFonts w:ascii="Arial"/>
                <w:sz w:val="21"/>
              </w:rPr>
            </w:pPr>
          </w:p>
        </w:tc>
        <w:tc>
          <w:tcPr>
            <w:tcW w:w="115" w:type="dxa"/>
            <w:tcBorders>
              <w:top w:val="nil"/>
              <w:bottom w:val="nil"/>
            </w:tcBorders>
            <w:vAlign w:val="top"/>
          </w:tcPr>
          <w:p w14:paraId="43FC38D3">
            <w:pPr>
              <w:rPr>
                <w:rFonts w:ascii="Arial"/>
                <w:sz w:val="21"/>
              </w:rPr>
            </w:pPr>
          </w:p>
        </w:tc>
        <w:tc>
          <w:tcPr>
            <w:tcW w:w="685" w:type="dxa"/>
            <w:vAlign w:val="top"/>
          </w:tcPr>
          <w:p w14:paraId="1FBA4A83">
            <w:pPr>
              <w:spacing w:line="417" w:lineRule="auto"/>
              <w:rPr>
                <w:rFonts w:ascii="Arial"/>
                <w:sz w:val="21"/>
              </w:rPr>
            </w:pPr>
          </w:p>
          <w:p w14:paraId="3233C219">
            <w:pPr>
              <w:spacing w:before="5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6" w:type="dxa"/>
            <w:gridSpan w:val="2"/>
            <w:vAlign w:val="top"/>
          </w:tcPr>
          <w:p w14:paraId="297A063A">
            <w:pPr>
              <w:pStyle w:val="6"/>
              <w:spacing w:before="304" w:line="227" w:lineRule="auto"/>
              <w:ind w:left="138"/>
              <w:rPr>
                <w:sz w:val="20"/>
                <w:szCs w:val="20"/>
              </w:rPr>
            </w:pPr>
            <w:r>
              <w:rPr>
                <w:spacing w:val="7"/>
                <w:sz w:val="20"/>
                <w:szCs w:val="20"/>
              </w:rPr>
              <w:t>供配电系</w:t>
            </w:r>
          </w:p>
          <w:p w14:paraId="129E8D06">
            <w:pPr>
              <w:pStyle w:val="6"/>
              <w:spacing w:before="25" w:line="229" w:lineRule="auto"/>
              <w:ind w:left="459"/>
              <w:rPr>
                <w:sz w:val="20"/>
                <w:szCs w:val="20"/>
              </w:rPr>
            </w:pPr>
            <w:r>
              <w:rPr>
                <w:sz w:val="20"/>
                <w:szCs w:val="20"/>
              </w:rPr>
              <w:t>统</w:t>
            </w:r>
          </w:p>
        </w:tc>
        <w:tc>
          <w:tcPr>
            <w:tcW w:w="6133" w:type="dxa"/>
            <w:gridSpan w:val="5"/>
            <w:vAlign w:val="top"/>
          </w:tcPr>
          <w:p w14:paraId="4DB3A378">
            <w:pPr>
              <w:pStyle w:val="6"/>
              <w:spacing w:before="33" w:line="228" w:lineRule="auto"/>
              <w:ind w:left="130"/>
              <w:rPr>
                <w:sz w:val="20"/>
                <w:szCs w:val="20"/>
              </w:rPr>
            </w:pPr>
            <w:r>
              <w:rPr>
                <w:spacing w:val="9"/>
                <w:sz w:val="20"/>
                <w:szCs w:val="20"/>
              </w:rPr>
              <w:t>根据项目建设需求危险化学品运输车辆专用停车场项目的负荷情</w:t>
            </w:r>
          </w:p>
          <w:p w14:paraId="036F8803">
            <w:pPr>
              <w:pStyle w:val="6"/>
              <w:spacing w:before="24" w:line="228" w:lineRule="auto"/>
              <w:ind w:left="132"/>
              <w:rPr>
                <w:sz w:val="20"/>
                <w:szCs w:val="20"/>
              </w:rPr>
            </w:pPr>
            <w:r>
              <w:rPr>
                <w:spacing w:val="8"/>
                <w:sz w:val="20"/>
                <w:szCs w:val="20"/>
              </w:rPr>
              <w:t>况，在消防泵房内设置配电室，</w:t>
            </w:r>
            <w:r>
              <w:rPr>
                <w:spacing w:val="-58"/>
                <w:sz w:val="20"/>
                <w:szCs w:val="20"/>
              </w:rPr>
              <w:t xml:space="preserve"> </w:t>
            </w:r>
            <w:r>
              <w:rPr>
                <w:spacing w:val="8"/>
                <w:sz w:val="20"/>
                <w:szCs w:val="20"/>
              </w:rPr>
              <w:t>电源引自就近市政低压电源进入</w:t>
            </w:r>
          </w:p>
          <w:p w14:paraId="5F2161C2">
            <w:pPr>
              <w:pStyle w:val="6"/>
              <w:spacing w:before="24" w:line="227" w:lineRule="auto"/>
              <w:ind w:left="109"/>
              <w:rPr>
                <w:sz w:val="20"/>
                <w:szCs w:val="20"/>
              </w:rPr>
            </w:pPr>
            <w:r>
              <w:rPr>
                <w:spacing w:val="8"/>
                <w:sz w:val="20"/>
                <w:szCs w:val="20"/>
              </w:rPr>
              <w:t>配电室为本项目供电，发电机房内设一台</w:t>
            </w:r>
            <w:r>
              <w:rPr>
                <w:spacing w:val="-40"/>
                <w:sz w:val="20"/>
                <w:szCs w:val="20"/>
              </w:rPr>
              <w:t xml:space="preserve"> </w:t>
            </w:r>
            <w:r>
              <w:rPr>
                <w:rFonts w:ascii="Times New Roman" w:hAnsi="Times New Roman" w:eastAsia="Times New Roman" w:cs="Times New Roman"/>
                <w:spacing w:val="8"/>
                <w:sz w:val="20"/>
                <w:szCs w:val="20"/>
              </w:rPr>
              <w:t>200</w:t>
            </w:r>
            <w:r>
              <w:rPr>
                <w:rFonts w:ascii="Times New Roman" w:hAnsi="Times New Roman" w:eastAsia="Times New Roman" w:cs="Times New Roman"/>
                <w:sz w:val="20"/>
                <w:szCs w:val="20"/>
              </w:rPr>
              <w:t>kW</w:t>
            </w:r>
            <w:r>
              <w:rPr>
                <w:rFonts w:ascii="Times New Roman" w:hAnsi="Times New Roman" w:eastAsia="Times New Roman" w:cs="Times New Roman"/>
                <w:spacing w:val="28"/>
                <w:sz w:val="20"/>
                <w:szCs w:val="20"/>
              </w:rPr>
              <w:t xml:space="preserve"> </w:t>
            </w:r>
            <w:r>
              <w:rPr>
                <w:spacing w:val="8"/>
                <w:sz w:val="20"/>
                <w:szCs w:val="20"/>
              </w:rPr>
              <w:t>的柴油发电机，</w:t>
            </w:r>
          </w:p>
          <w:p w14:paraId="742D5B76">
            <w:pPr>
              <w:pStyle w:val="6"/>
              <w:spacing w:before="28" w:line="216" w:lineRule="auto"/>
              <w:ind w:left="1602"/>
              <w:rPr>
                <w:sz w:val="20"/>
                <w:szCs w:val="20"/>
              </w:rPr>
            </w:pPr>
            <w:r>
              <w:rPr>
                <w:spacing w:val="8"/>
                <w:sz w:val="20"/>
                <w:szCs w:val="20"/>
              </w:rPr>
              <w:t>作为本工程二级负荷备用电源。</w:t>
            </w:r>
          </w:p>
        </w:tc>
        <w:tc>
          <w:tcPr>
            <w:tcW w:w="119" w:type="dxa"/>
            <w:tcBorders>
              <w:top w:val="nil"/>
              <w:bottom w:val="nil"/>
            </w:tcBorders>
            <w:vAlign w:val="top"/>
          </w:tcPr>
          <w:p w14:paraId="716BD2C7">
            <w:pPr>
              <w:rPr>
                <w:rFonts w:ascii="Arial"/>
                <w:sz w:val="21"/>
              </w:rPr>
            </w:pPr>
          </w:p>
        </w:tc>
      </w:tr>
      <w:tr w14:paraId="7AA6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7" w:type="dxa"/>
            <w:vMerge w:val="continue"/>
            <w:tcBorders>
              <w:top w:val="nil"/>
              <w:bottom w:val="nil"/>
            </w:tcBorders>
            <w:vAlign w:val="top"/>
          </w:tcPr>
          <w:p w14:paraId="210C69A9">
            <w:pPr>
              <w:rPr>
                <w:rFonts w:ascii="Arial"/>
                <w:sz w:val="21"/>
              </w:rPr>
            </w:pPr>
          </w:p>
        </w:tc>
        <w:tc>
          <w:tcPr>
            <w:tcW w:w="115" w:type="dxa"/>
            <w:tcBorders>
              <w:top w:val="nil"/>
              <w:bottom w:val="nil"/>
            </w:tcBorders>
            <w:vAlign w:val="top"/>
          </w:tcPr>
          <w:p w14:paraId="5FD50667">
            <w:pPr>
              <w:rPr>
                <w:rFonts w:ascii="Arial"/>
                <w:sz w:val="21"/>
              </w:rPr>
            </w:pPr>
          </w:p>
        </w:tc>
        <w:tc>
          <w:tcPr>
            <w:tcW w:w="685" w:type="dxa"/>
            <w:vAlign w:val="top"/>
          </w:tcPr>
          <w:p w14:paraId="6BB1B425">
            <w:pPr>
              <w:spacing w:before="2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6" w:type="dxa"/>
            <w:gridSpan w:val="2"/>
            <w:vAlign w:val="top"/>
          </w:tcPr>
          <w:p w14:paraId="76D9A9DC">
            <w:pPr>
              <w:pStyle w:val="6"/>
              <w:spacing w:before="167" w:line="228" w:lineRule="auto"/>
              <w:ind w:left="144"/>
              <w:rPr>
                <w:sz w:val="20"/>
                <w:szCs w:val="20"/>
              </w:rPr>
            </w:pPr>
            <w:r>
              <w:rPr>
                <w:spacing w:val="5"/>
                <w:sz w:val="20"/>
                <w:szCs w:val="20"/>
              </w:rPr>
              <w:t>照明系统</w:t>
            </w:r>
          </w:p>
        </w:tc>
        <w:tc>
          <w:tcPr>
            <w:tcW w:w="6133" w:type="dxa"/>
            <w:gridSpan w:val="5"/>
            <w:vAlign w:val="top"/>
          </w:tcPr>
          <w:p w14:paraId="562E3B7B">
            <w:pPr>
              <w:pStyle w:val="6"/>
              <w:spacing w:before="31" w:line="227" w:lineRule="auto"/>
              <w:ind w:left="137"/>
              <w:rPr>
                <w:sz w:val="20"/>
                <w:szCs w:val="20"/>
              </w:rPr>
            </w:pPr>
            <w:r>
              <w:rPr>
                <w:spacing w:val="9"/>
                <w:sz w:val="20"/>
                <w:szCs w:val="20"/>
              </w:rPr>
              <w:t>照明灯具采用分区域或自动感应开关控制，按功能不同设置用电</w:t>
            </w:r>
          </w:p>
          <w:p w14:paraId="5A6E4CC7">
            <w:pPr>
              <w:pStyle w:val="6"/>
              <w:spacing w:before="27" w:line="217" w:lineRule="auto"/>
              <w:ind w:left="2547"/>
              <w:rPr>
                <w:sz w:val="20"/>
                <w:szCs w:val="20"/>
              </w:rPr>
            </w:pPr>
            <w:r>
              <w:rPr>
                <w:spacing w:val="5"/>
                <w:sz w:val="20"/>
                <w:szCs w:val="20"/>
              </w:rPr>
              <w:t>计量装置。</w:t>
            </w:r>
          </w:p>
        </w:tc>
        <w:tc>
          <w:tcPr>
            <w:tcW w:w="119" w:type="dxa"/>
            <w:tcBorders>
              <w:top w:val="nil"/>
              <w:bottom w:val="nil"/>
            </w:tcBorders>
            <w:vAlign w:val="top"/>
          </w:tcPr>
          <w:p w14:paraId="4E95BA7C">
            <w:pPr>
              <w:rPr>
                <w:rFonts w:ascii="Arial"/>
                <w:sz w:val="21"/>
              </w:rPr>
            </w:pPr>
          </w:p>
        </w:tc>
      </w:tr>
      <w:tr w14:paraId="5FEB4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7" w:type="dxa"/>
            <w:vMerge w:val="continue"/>
            <w:tcBorders>
              <w:top w:val="nil"/>
              <w:bottom w:val="nil"/>
            </w:tcBorders>
            <w:vAlign w:val="top"/>
          </w:tcPr>
          <w:p w14:paraId="1D2AEE5C">
            <w:pPr>
              <w:rPr>
                <w:rFonts w:ascii="Arial"/>
                <w:sz w:val="21"/>
              </w:rPr>
            </w:pPr>
          </w:p>
        </w:tc>
        <w:tc>
          <w:tcPr>
            <w:tcW w:w="115" w:type="dxa"/>
            <w:tcBorders>
              <w:top w:val="nil"/>
              <w:bottom w:val="nil"/>
            </w:tcBorders>
            <w:vAlign w:val="top"/>
          </w:tcPr>
          <w:p w14:paraId="035697F6">
            <w:pPr>
              <w:rPr>
                <w:rFonts w:ascii="Arial"/>
                <w:sz w:val="21"/>
              </w:rPr>
            </w:pPr>
          </w:p>
        </w:tc>
        <w:tc>
          <w:tcPr>
            <w:tcW w:w="685" w:type="dxa"/>
            <w:vAlign w:val="top"/>
          </w:tcPr>
          <w:p w14:paraId="55782EDA">
            <w:pPr>
              <w:spacing w:before="206"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6" w:type="dxa"/>
            <w:gridSpan w:val="2"/>
            <w:vAlign w:val="top"/>
          </w:tcPr>
          <w:p w14:paraId="27884056">
            <w:pPr>
              <w:pStyle w:val="6"/>
              <w:spacing w:before="32" w:line="228" w:lineRule="auto"/>
              <w:ind w:left="138"/>
              <w:rPr>
                <w:sz w:val="20"/>
                <w:szCs w:val="20"/>
              </w:rPr>
            </w:pPr>
            <w:r>
              <w:rPr>
                <w:spacing w:val="7"/>
                <w:sz w:val="20"/>
                <w:szCs w:val="20"/>
              </w:rPr>
              <w:t>通信电信</w:t>
            </w:r>
          </w:p>
          <w:p w14:paraId="4F7B570C">
            <w:pPr>
              <w:pStyle w:val="6"/>
              <w:spacing w:before="24" w:line="217" w:lineRule="auto"/>
              <w:ind w:left="154"/>
              <w:rPr>
                <w:sz w:val="20"/>
                <w:szCs w:val="20"/>
              </w:rPr>
            </w:pPr>
            <w:r>
              <w:rPr>
                <w:spacing w:val="3"/>
                <w:sz w:val="20"/>
                <w:szCs w:val="20"/>
              </w:rPr>
              <w:t>网络系统</w:t>
            </w:r>
          </w:p>
        </w:tc>
        <w:tc>
          <w:tcPr>
            <w:tcW w:w="6133" w:type="dxa"/>
            <w:gridSpan w:val="5"/>
            <w:vAlign w:val="top"/>
          </w:tcPr>
          <w:p w14:paraId="1434B806">
            <w:pPr>
              <w:pStyle w:val="6"/>
              <w:spacing w:before="167" w:line="228" w:lineRule="auto"/>
              <w:ind w:left="763"/>
              <w:rPr>
                <w:sz w:val="20"/>
                <w:szCs w:val="20"/>
              </w:rPr>
            </w:pPr>
            <w:r>
              <w:rPr>
                <w:spacing w:val="9"/>
                <w:sz w:val="20"/>
                <w:szCs w:val="20"/>
              </w:rPr>
              <w:t>主要设备包括市话中继线接入设备、总配线架等。</w:t>
            </w:r>
          </w:p>
        </w:tc>
        <w:tc>
          <w:tcPr>
            <w:tcW w:w="119" w:type="dxa"/>
            <w:tcBorders>
              <w:top w:val="nil"/>
              <w:bottom w:val="nil"/>
            </w:tcBorders>
            <w:vAlign w:val="top"/>
          </w:tcPr>
          <w:p w14:paraId="1F70E50E">
            <w:pPr>
              <w:rPr>
                <w:rFonts w:ascii="Arial"/>
                <w:sz w:val="21"/>
              </w:rPr>
            </w:pPr>
          </w:p>
        </w:tc>
      </w:tr>
      <w:tr w14:paraId="18F6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7" w:type="dxa"/>
            <w:vMerge w:val="continue"/>
            <w:tcBorders>
              <w:top w:val="nil"/>
              <w:bottom w:val="nil"/>
            </w:tcBorders>
            <w:vAlign w:val="top"/>
          </w:tcPr>
          <w:p w14:paraId="14E28F9C">
            <w:pPr>
              <w:rPr>
                <w:rFonts w:ascii="Arial"/>
                <w:sz w:val="21"/>
              </w:rPr>
            </w:pPr>
          </w:p>
        </w:tc>
        <w:tc>
          <w:tcPr>
            <w:tcW w:w="115" w:type="dxa"/>
            <w:tcBorders>
              <w:top w:val="nil"/>
              <w:bottom w:val="nil"/>
            </w:tcBorders>
            <w:vAlign w:val="top"/>
          </w:tcPr>
          <w:p w14:paraId="28A036C5">
            <w:pPr>
              <w:rPr>
                <w:rFonts w:ascii="Arial"/>
                <w:sz w:val="21"/>
              </w:rPr>
            </w:pPr>
          </w:p>
        </w:tc>
        <w:tc>
          <w:tcPr>
            <w:tcW w:w="685" w:type="dxa"/>
            <w:vAlign w:val="top"/>
          </w:tcPr>
          <w:p w14:paraId="31387341">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16" w:type="dxa"/>
            <w:gridSpan w:val="2"/>
            <w:vAlign w:val="top"/>
          </w:tcPr>
          <w:p w14:paraId="41E1BE86">
            <w:pPr>
              <w:pStyle w:val="6"/>
              <w:spacing w:before="33" w:line="228" w:lineRule="auto"/>
              <w:ind w:left="138"/>
              <w:rPr>
                <w:sz w:val="20"/>
                <w:szCs w:val="20"/>
              </w:rPr>
            </w:pPr>
            <w:r>
              <w:rPr>
                <w:spacing w:val="7"/>
                <w:sz w:val="20"/>
                <w:szCs w:val="20"/>
              </w:rPr>
              <w:t>汽车维修</w:t>
            </w:r>
          </w:p>
          <w:p w14:paraId="1849BFE0">
            <w:pPr>
              <w:pStyle w:val="6"/>
              <w:spacing w:before="24" w:line="217" w:lineRule="auto"/>
              <w:ind w:left="471"/>
              <w:rPr>
                <w:sz w:val="20"/>
                <w:szCs w:val="20"/>
              </w:rPr>
            </w:pPr>
            <w:r>
              <w:rPr>
                <w:sz w:val="20"/>
                <w:szCs w:val="20"/>
              </w:rPr>
              <w:t>间</w:t>
            </w:r>
          </w:p>
        </w:tc>
        <w:tc>
          <w:tcPr>
            <w:tcW w:w="6133" w:type="dxa"/>
            <w:gridSpan w:val="5"/>
            <w:vAlign w:val="top"/>
          </w:tcPr>
          <w:p w14:paraId="6E4B2A7E">
            <w:pPr>
              <w:pStyle w:val="6"/>
              <w:spacing w:before="33" w:line="227" w:lineRule="auto"/>
              <w:ind w:left="130"/>
              <w:rPr>
                <w:sz w:val="20"/>
                <w:szCs w:val="20"/>
              </w:rPr>
            </w:pPr>
            <w:r>
              <w:rPr>
                <w:spacing w:val="9"/>
                <w:sz w:val="20"/>
                <w:szCs w:val="20"/>
              </w:rPr>
              <w:t>配套千斤顶、四柱举升机、套筒扳手组、气动扳手、黄油枪、压</w:t>
            </w:r>
          </w:p>
          <w:p w14:paraId="48C2179B">
            <w:pPr>
              <w:pStyle w:val="6"/>
              <w:spacing w:before="25" w:line="217" w:lineRule="auto"/>
              <w:ind w:left="1814"/>
              <w:rPr>
                <w:sz w:val="20"/>
                <w:szCs w:val="20"/>
              </w:rPr>
            </w:pPr>
            <w:r>
              <w:rPr>
                <w:spacing w:val="8"/>
                <w:sz w:val="20"/>
                <w:szCs w:val="20"/>
              </w:rPr>
              <w:t>力表、万用表等维修设备。</w:t>
            </w:r>
          </w:p>
        </w:tc>
        <w:tc>
          <w:tcPr>
            <w:tcW w:w="119" w:type="dxa"/>
            <w:tcBorders>
              <w:top w:val="nil"/>
              <w:bottom w:val="nil"/>
            </w:tcBorders>
            <w:vAlign w:val="top"/>
          </w:tcPr>
          <w:p w14:paraId="43B3A15C">
            <w:pPr>
              <w:rPr>
                <w:rFonts w:ascii="Arial"/>
                <w:sz w:val="21"/>
              </w:rPr>
            </w:pPr>
          </w:p>
        </w:tc>
      </w:tr>
      <w:tr w14:paraId="1382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613116AC">
            <w:pPr>
              <w:rPr>
                <w:rFonts w:ascii="Arial"/>
                <w:sz w:val="21"/>
              </w:rPr>
            </w:pPr>
          </w:p>
        </w:tc>
        <w:tc>
          <w:tcPr>
            <w:tcW w:w="115" w:type="dxa"/>
            <w:tcBorders>
              <w:top w:val="nil"/>
              <w:bottom w:val="nil"/>
            </w:tcBorders>
            <w:vAlign w:val="top"/>
          </w:tcPr>
          <w:p w14:paraId="6150EFFE">
            <w:pPr>
              <w:rPr>
                <w:rFonts w:ascii="Arial"/>
                <w:sz w:val="21"/>
              </w:rPr>
            </w:pPr>
          </w:p>
        </w:tc>
        <w:tc>
          <w:tcPr>
            <w:tcW w:w="685" w:type="dxa"/>
            <w:vAlign w:val="top"/>
          </w:tcPr>
          <w:p w14:paraId="27C8BAB9">
            <w:pPr>
              <w:spacing w:before="71" w:line="192"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16" w:type="dxa"/>
            <w:gridSpan w:val="2"/>
            <w:vAlign w:val="top"/>
          </w:tcPr>
          <w:p w14:paraId="5C614A65">
            <w:pPr>
              <w:pStyle w:val="6"/>
              <w:spacing w:before="33" w:line="216" w:lineRule="auto"/>
              <w:ind w:left="242"/>
              <w:rPr>
                <w:sz w:val="20"/>
                <w:szCs w:val="20"/>
              </w:rPr>
            </w:pPr>
            <w:r>
              <w:rPr>
                <w:spacing w:val="7"/>
                <w:sz w:val="20"/>
                <w:szCs w:val="20"/>
              </w:rPr>
              <w:t>洗车间</w:t>
            </w:r>
          </w:p>
        </w:tc>
        <w:tc>
          <w:tcPr>
            <w:tcW w:w="6133" w:type="dxa"/>
            <w:gridSpan w:val="5"/>
            <w:vAlign w:val="top"/>
          </w:tcPr>
          <w:p w14:paraId="137B49E6">
            <w:pPr>
              <w:pStyle w:val="6"/>
              <w:spacing w:before="33" w:line="216" w:lineRule="auto"/>
              <w:ind w:left="1707"/>
              <w:rPr>
                <w:sz w:val="20"/>
                <w:szCs w:val="20"/>
              </w:rPr>
            </w:pPr>
            <w:r>
              <w:rPr>
                <w:spacing w:val="8"/>
                <w:sz w:val="20"/>
                <w:szCs w:val="20"/>
              </w:rPr>
              <w:t>配套高压水枪、泡沫发生器。</w:t>
            </w:r>
          </w:p>
        </w:tc>
        <w:tc>
          <w:tcPr>
            <w:tcW w:w="119" w:type="dxa"/>
            <w:tcBorders>
              <w:top w:val="nil"/>
              <w:bottom w:val="nil"/>
            </w:tcBorders>
            <w:vAlign w:val="top"/>
          </w:tcPr>
          <w:p w14:paraId="467E01CE">
            <w:pPr>
              <w:rPr>
                <w:rFonts w:ascii="Arial"/>
                <w:sz w:val="21"/>
              </w:rPr>
            </w:pPr>
          </w:p>
        </w:tc>
      </w:tr>
      <w:tr w14:paraId="6040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3" w:hRule="atLeast"/>
        </w:trPr>
        <w:tc>
          <w:tcPr>
            <w:tcW w:w="457" w:type="dxa"/>
            <w:vMerge w:val="continue"/>
            <w:tcBorders>
              <w:top w:val="nil"/>
              <w:bottom w:val="nil"/>
            </w:tcBorders>
            <w:vAlign w:val="top"/>
          </w:tcPr>
          <w:p w14:paraId="4E275F6A">
            <w:pPr>
              <w:rPr>
                <w:rFonts w:ascii="Arial"/>
                <w:sz w:val="21"/>
              </w:rPr>
            </w:pPr>
          </w:p>
        </w:tc>
        <w:tc>
          <w:tcPr>
            <w:tcW w:w="8168" w:type="dxa"/>
            <w:gridSpan w:val="10"/>
            <w:vAlign w:val="top"/>
          </w:tcPr>
          <w:p w14:paraId="42EA5924">
            <w:pPr>
              <w:pStyle w:val="6"/>
              <w:spacing w:before="194" w:line="219" w:lineRule="auto"/>
              <w:ind w:left="117"/>
              <w:outlineLvl w:val="1"/>
              <w:rPr>
                <w:sz w:val="24"/>
                <w:szCs w:val="24"/>
              </w:rPr>
            </w:pPr>
            <w:r>
              <w:rPr>
                <w:rFonts w:ascii="Times New Roman" w:hAnsi="Times New Roman" w:eastAsia="Times New Roman" w:cs="Times New Roman"/>
                <w:b/>
                <w:bCs/>
                <w:spacing w:val="-5"/>
                <w:sz w:val="24"/>
                <w:szCs w:val="24"/>
              </w:rPr>
              <w:t>11</w:t>
            </w:r>
            <w:r>
              <w:rPr>
                <w:b/>
                <w:bCs/>
                <w:spacing w:val="-5"/>
                <w:sz w:val="24"/>
                <w:szCs w:val="24"/>
              </w:rPr>
              <w:t>、原辅材料及能源消耗</w:t>
            </w:r>
          </w:p>
          <w:p w14:paraId="6B17CB0B">
            <w:pPr>
              <w:pStyle w:val="6"/>
              <w:spacing w:before="178" w:line="359" w:lineRule="auto"/>
              <w:ind w:left="111" w:right="27" w:firstLine="480"/>
              <w:jc w:val="both"/>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设项目，建设内容为危险化学品车辆专用停车场以及</w:t>
            </w:r>
            <w:r>
              <w:rPr>
                <w:sz w:val="24"/>
                <w:szCs w:val="24"/>
              </w:rPr>
              <w:t xml:space="preserve">辅助设施。本项目的主 </w:t>
            </w:r>
            <w:r>
              <w:rPr>
                <w:spacing w:val="1"/>
                <w:sz w:val="24"/>
                <w:szCs w:val="24"/>
              </w:rPr>
              <w:t>要功能包括危险化学品车辆停车、</w:t>
            </w:r>
            <w:r>
              <w:rPr>
                <w:rFonts w:hint="eastAsia"/>
                <w:spacing w:val="1"/>
                <w:sz w:val="24"/>
                <w:szCs w:val="24"/>
                <w:lang w:val="en-US" w:eastAsia="zh-CN"/>
              </w:rPr>
              <w:t>候</w:t>
            </w:r>
            <w:r>
              <w:rPr>
                <w:spacing w:val="1"/>
                <w:sz w:val="24"/>
                <w:szCs w:val="24"/>
              </w:rPr>
              <w:t>检、过磅、车辆</w:t>
            </w:r>
            <w:r>
              <w:rPr>
                <w:sz w:val="24"/>
                <w:szCs w:val="24"/>
              </w:rPr>
              <w:t xml:space="preserve">简单清洗和检修。维修 </w:t>
            </w:r>
            <w:r>
              <w:rPr>
                <w:spacing w:val="1"/>
                <w:sz w:val="24"/>
                <w:szCs w:val="24"/>
              </w:rPr>
              <w:t>车间只进行简单的车辆维修，如更换机油、换胎、补</w:t>
            </w:r>
            <w:r>
              <w:rPr>
                <w:sz w:val="24"/>
                <w:szCs w:val="24"/>
              </w:rPr>
              <w:t xml:space="preserve">胎等简单维修，不进行 </w:t>
            </w:r>
            <w:r>
              <w:rPr>
                <w:spacing w:val="1"/>
                <w:sz w:val="24"/>
                <w:szCs w:val="24"/>
              </w:rPr>
              <w:t>喷漆、焊接等活动；洗车车间仅进行车辆外观</w:t>
            </w:r>
            <w:r>
              <w:rPr>
                <w:sz w:val="24"/>
                <w:szCs w:val="24"/>
              </w:rPr>
              <w:t xml:space="preserve">清洗，不对车（罐）内部进行 </w:t>
            </w:r>
            <w:r>
              <w:rPr>
                <w:spacing w:val="-4"/>
                <w:sz w:val="24"/>
                <w:szCs w:val="24"/>
              </w:rPr>
              <w:t>清洗。项目运营主要的消耗品有洗涤剂、机油、刹车油、变速箱油、冷却液、</w:t>
            </w:r>
            <w:r>
              <w:rPr>
                <w:sz w:val="24"/>
                <w:szCs w:val="24"/>
              </w:rPr>
              <w:t xml:space="preserve"> </w:t>
            </w:r>
            <w:r>
              <w:rPr>
                <w:spacing w:val="-1"/>
                <w:sz w:val="24"/>
                <w:szCs w:val="24"/>
              </w:rPr>
              <w:t>汽车零部件等，具体消耗情况如下表所示：</w:t>
            </w:r>
          </w:p>
          <w:p w14:paraId="748DABCC">
            <w:pPr>
              <w:pStyle w:val="6"/>
              <w:spacing w:line="226" w:lineRule="auto"/>
              <w:ind w:left="2550"/>
              <w:outlineLvl w:val="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2-7    </w:t>
            </w:r>
            <w:r>
              <w:rPr>
                <w:b/>
                <w:bCs/>
                <w:spacing w:val="5"/>
                <w:sz w:val="20"/>
                <w:szCs w:val="20"/>
              </w:rPr>
              <w:t>主要材料消耗情况一览表</w:t>
            </w:r>
          </w:p>
        </w:tc>
      </w:tr>
      <w:tr w14:paraId="4F069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4A0CE137">
            <w:pPr>
              <w:rPr>
                <w:rFonts w:ascii="Arial"/>
                <w:sz w:val="21"/>
              </w:rPr>
            </w:pPr>
          </w:p>
        </w:tc>
        <w:tc>
          <w:tcPr>
            <w:tcW w:w="115" w:type="dxa"/>
            <w:tcBorders>
              <w:top w:val="nil"/>
              <w:bottom w:val="nil"/>
            </w:tcBorders>
            <w:vAlign w:val="top"/>
          </w:tcPr>
          <w:p w14:paraId="2962610E">
            <w:pPr>
              <w:rPr>
                <w:rFonts w:ascii="Arial"/>
                <w:sz w:val="21"/>
              </w:rPr>
            </w:pPr>
          </w:p>
        </w:tc>
        <w:tc>
          <w:tcPr>
            <w:tcW w:w="1526" w:type="dxa"/>
            <w:gridSpan w:val="2"/>
            <w:vAlign w:val="top"/>
          </w:tcPr>
          <w:p w14:paraId="180C0AD0">
            <w:pPr>
              <w:pStyle w:val="6"/>
              <w:spacing w:before="34" w:line="215" w:lineRule="auto"/>
              <w:ind w:left="347"/>
              <w:rPr>
                <w:sz w:val="20"/>
                <w:szCs w:val="20"/>
              </w:rPr>
            </w:pPr>
            <w:r>
              <w:rPr>
                <w:spacing w:val="7"/>
                <w:sz w:val="20"/>
                <w:szCs w:val="20"/>
              </w:rPr>
              <w:t>物质名称</w:t>
            </w:r>
          </w:p>
        </w:tc>
        <w:tc>
          <w:tcPr>
            <w:tcW w:w="1268" w:type="dxa"/>
            <w:gridSpan w:val="2"/>
            <w:vAlign w:val="top"/>
          </w:tcPr>
          <w:p w14:paraId="5E192AC4">
            <w:pPr>
              <w:pStyle w:val="6"/>
              <w:spacing w:before="34" w:line="215" w:lineRule="auto"/>
              <w:ind w:left="431"/>
              <w:rPr>
                <w:sz w:val="20"/>
                <w:szCs w:val="20"/>
              </w:rPr>
            </w:pPr>
            <w:r>
              <w:rPr>
                <w:spacing w:val="3"/>
                <w:sz w:val="20"/>
                <w:szCs w:val="20"/>
              </w:rPr>
              <w:t>用途</w:t>
            </w:r>
          </w:p>
        </w:tc>
        <w:tc>
          <w:tcPr>
            <w:tcW w:w="1074" w:type="dxa"/>
            <w:vAlign w:val="top"/>
          </w:tcPr>
          <w:p w14:paraId="255656BF">
            <w:pPr>
              <w:pStyle w:val="6"/>
              <w:spacing w:before="34" w:line="215" w:lineRule="auto"/>
              <w:ind w:left="228"/>
              <w:rPr>
                <w:sz w:val="20"/>
                <w:szCs w:val="20"/>
              </w:rPr>
            </w:pPr>
            <w:r>
              <w:rPr>
                <w:spacing w:val="6"/>
                <w:sz w:val="20"/>
                <w:szCs w:val="20"/>
              </w:rPr>
              <w:t>年用量</w:t>
            </w:r>
          </w:p>
        </w:tc>
        <w:tc>
          <w:tcPr>
            <w:tcW w:w="1268" w:type="dxa"/>
            <w:vAlign w:val="top"/>
          </w:tcPr>
          <w:p w14:paraId="61576768">
            <w:pPr>
              <w:pStyle w:val="6"/>
              <w:spacing w:before="34" w:line="215" w:lineRule="auto"/>
              <w:ind w:left="220"/>
              <w:rPr>
                <w:sz w:val="20"/>
                <w:szCs w:val="20"/>
              </w:rPr>
            </w:pPr>
            <w:r>
              <w:rPr>
                <w:spacing w:val="7"/>
                <w:sz w:val="20"/>
                <w:szCs w:val="20"/>
              </w:rPr>
              <w:t>储存方式</w:t>
            </w:r>
          </w:p>
        </w:tc>
        <w:tc>
          <w:tcPr>
            <w:tcW w:w="1527" w:type="dxa"/>
            <w:vAlign w:val="top"/>
          </w:tcPr>
          <w:p w14:paraId="7F7CB912">
            <w:pPr>
              <w:pStyle w:val="6"/>
              <w:spacing w:before="34" w:line="215" w:lineRule="auto"/>
              <w:ind w:left="249"/>
              <w:rPr>
                <w:sz w:val="20"/>
                <w:szCs w:val="20"/>
              </w:rPr>
            </w:pPr>
            <w:r>
              <w:rPr>
                <w:spacing w:val="7"/>
                <w:sz w:val="20"/>
                <w:szCs w:val="20"/>
              </w:rPr>
              <w:t>最大储存量</w:t>
            </w:r>
          </w:p>
        </w:tc>
        <w:tc>
          <w:tcPr>
            <w:tcW w:w="1271" w:type="dxa"/>
            <w:vAlign w:val="top"/>
          </w:tcPr>
          <w:p w14:paraId="52136519">
            <w:pPr>
              <w:pStyle w:val="6"/>
              <w:spacing w:before="34" w:line="215" w:lineRule="auto"/>
              <w:ind w:left="436"/>
              <w:rPr>
                <w:sz w:val="20"/>
                <w:szCs w:val="20"/>
              </w:rPr>
            </w:pPr>
            <w:r>
              <w:rPr>
                <w:spacing w:val="3"/>
                <w:sz w:val="20"/>
                <w:szCs w:val="20"/>
              </w:rPr>
              <w:t>备注</w:t>
            </w:r>
          </w:p>
        </w:tc>
        <w:tc>
          <w:tcPr>
            <w:tcW w:w="119" w:type="dxa"/>
            <w:tcBorders>
              <w:top w:val="nil"/>
              <w:bottom w:val="nil"/>
            </w:tcBorders>
            <w:vAlign w:val="top"/>
          </w:tcPr>
          <w:p w14:paraId="645B3C22">
            <w:pPr>
              <w:rPr>
                <w:rFonts w:ascii="Arial"/>
                <w:sz w:val="21"/>
              </w:rPr>
            </w:pPr>
          </w:p>
        </w:tc>
      </w:tr>
      <w:tr w14:paraId="33A82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7" w:type="dxa"/>
            <w:vMerge w:val="continue"/>
            <w:tcBorders>
              <w:top w:val="nil"/>
              <w:bottom w:val="nil"/>
            </w:tcBorders>
            <w:vAlign w:val="top"/>
          </w:tcPr>
          <w:p w14:paraId="0303E8C4">
            <w:pPr>
              <w:rPr>
                <w:rFonts w:ascii="Arial"/>
                <w:sz w:val="21"/>
              </w:rPr>
            </w:pPr>
          </w:p>
        </w:tc>
        <w:tc>
          <w:tcPr>
            <w:tcW w:w="115" w:type="dxa"/>
            <w:tcBorders>
              <w:top w:val="nil"/>
              <w:bottom w:val="nil"/>
            </w:tcBorders>
            <w:vAlign w:val="top"/>
          </w:tcPr>
          <w:p w14:paraId="269E986A">
            <w:pPr>
              <w:rPr>
                <w:rFonts w:ascii="Arial"/>
                <w:sz w:val="21"/>
              </w:rPr>
            </w:pPr>
          </w:p>
        </w:tc>
        <w:tc>
          <w:tcPr>
            <w:tcW w:w="1526" w:type="dxa"/>
            <w:gridSpan w:val="2"/>
            <w:vAlign w:val="top"/>
          </w:tcPr>
          <w:p w14:paraId="15502351">
            <w:pPr>
              <w:pStyle w:val="6"/>
              <w:spacing w:before="35" w:line="214" w:lineRule="auto"/>
              <w:ind w:left="450"/>
              <w:rPr>
                <w:sz w:val="20"/>
                <w:szCs w:val="20"/>
              </w:rPr>
            </w:pPr>
            <w:r>
              <w:rPr>
                <w:spacing w:val="7"/>
                <w:sz w:val="20"/>
                <w:szCs w:val="20"/>
              </w:rPr>
              <w:t>洗涤剂</w:t>
            </w:r>
          </w:p>
        </w:tc>
        <w:tc>
          <w:tcPr>
            <w:tcW w:w="1268" w:type="dxa"/>
            <w:gridSpan w:val="2"/>
            <w:vAlign w:val="top"/>
          </w:tcPr>
          <w:p w14:paraId="1785D9BA">
            <w:pPr>
              <w:pStyle w:val="6"/>
              <w:spacing w:before="35" w:line="214" w:lineRule="auto"/>
              <w:ind w:left="324"/>
              <w:rPr>
                <w:sz w:val="20"/>
                <w:szCs w:val="20"/>
              </w:rPr>
            </w:pPr>
            <w:r>
              <w:rPr>
                <w:spacing w:val="6"/>
                <w:sz w:val="20"/>
                <w:szCs w:val="20"/>
              </w:rPr>
              <w:t>清洗用</w:t>
            </w:r>
          </w:p>
        </w:tc>
        <w:tc>
          <w:tcPr>
            <w:tcW w:w="1074" w:type="dxa"/>
            <w:vAlign w:val="top"/>
          </w:tcPr>
          <w:p w14:paraId="489E1B3F">
            <w:pPr>
              <w:spacing w:before="71"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w:t>
            </w:r>
          </w:p>
        </w:tc>
        <w:tc>
          <w:tcPr>
            <w:tcW w:w="1268" w:type="dxa"/>
            <w:vAlign w:val="top"/>
          </w:tcPr>
          <w:p w14:paraId="703F9569">
            <w:pPr>
              <w:pStyle w:val="6"/>
              <w:spacing w:before="35" w:line="214" w:lineRule="auto"/>
              <w:ind w:left="432"/>
              <w:rPr>
                <w:sz w:val="20"/>
                <w:szCs w:val="20"/>
              </w:rPr>
            </w:pPr>
            <w:r>
              <w:rPr>
                <w:spacing w:val="3"/>
                <w:sz w:val="20"/>
                <w:szCs w:val="20"/>
              </w:rPr>
              <w:t>桶装</w:t>
            </w:r>
          </w:p>
        </w:tc>
        <w:tc>
          <w:tcPr>
            <w:tcW w:w="1527" w:type="dxa"/>
            <w:vAlign w:val="top"/>
          </w:tcPr>
          <w:p w14:paraId="1F3A6A2F">
            <w:pPr>
              <w:spacing w:before="71"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Align w:val="top"/>
          </w:tcPr>
          <w:p w14:paraId="57B7A7B9">
            <w:pPr>
              <w:pStyle w:val="6"/>
              <w:spacing w:before="35" w:line="214" w:lineRule="auto"/>
              <w:ind w:left="221"/>
              <w:rPr>
                <w:sz w:val="20"/>
                <w:szCs w:val="20"/>
              </w:rPr>
            </w:pPr>
            <w:r>
              <w:rPr>
                <w:spacing w:val="7"/>
                <w:sz w:val="20"/>
                <w:szCs w:val="20"/>
              </w:rPr>
              <w:t>洗车车间</w:t>
            </w:r>
          </w:p>
        </w:tc>
        <w:tc>
          <w:tcPr>
            <w:tcW w:w="119" w:type="dxa"/>
            <w:tcBorders>
              <w:top w:val="nil"/>
              <w:bottom w:val="nil"/>
            </w:tcBorders>
            <w:vAlign w:val="top"/>
          </w:tcPr>
          <w:p w14:paraId="2CE3AB3B">
            <w:pPr>
              <w:rPr>
                <w:rFonts w:ascii="Arial"/>
                <w:sz w:val="21"/>
              </w:rPr>
            </w:pPr>
          </w:p>
        </w:tc>
      </w:tr>
      <w:tr w14:paraId="3BF1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457" w:type="dxa"/>
            <w:vMerge w:val="continue"/>
            <w:tcBorders>
              <w:top w:val="nil"/>
              <w:bottom w:val="nil"/>
            </w:tcBorders>
            <w:vAlign w:val="top"/>
          </w:tcPr>
          <w:p w14:paraId="7EFD7A25">
            <w:pPr>
              <w:rPr>
                <w:rFonts w:ascii="Arial"/>
                <w:sz w:val="21"/>
              </w:rPr>
            </w:pPr>
          </w:p>
        </w:tc>
        <w:tc>
          <w:tcPr>
            <w:tcW w:w="115" w:type="dxa"/>
            <w:tcBorders>
              <w:top w:val="nil"/>
              <w:bottom w:val="nil"/>
            </w:tcBorders>
            <w:vAlign w:val="top"/>
          </w:tcPr>
          <w:p w14:paraId="3B530EF3">
            <w:pPr>
              <w:rPr>
                <w:rFonts w:ascii="Arial"/>
                <w:sz w:val="21"/>
              </w:rPr>
            </w:pPr>
          </w:p>
        </w:tc>
        <w:tc>
          <w:tcPr>
            <w:tcW w:w="1526" w:type="dxa"/>
            <w:gridSpan w:val="2"/>
            <w:vAlign w:val="top"/>
          </w:tcPr>
          <w:p w14:paraId="5AFE517A">
            <w:pPr>
              <w:pStyle w:val="6"/>
              <w:spacing w:before="36" w:line="202" w:lineRule="auto"/>
              <w:ind w:left="555"/>
              <w:rPr>
                <w:sz w:val="20"/>
                <w:szCs w:val="20"/>
              </w:rPr>
            </w:pPr>
            <w:r>
              <w:rPr>
                <w:spacing w:val="5"/>
                <w:sz w:val="20"/>
                <w:szCs w:val="20"/>
              </w:rPr>
              <w:t>机油</w:t>
            </w:r>
          </w:p>
        </w:tc>
        <w:tc>
          <w:tcPr>
            <w:tcW w:w="1268" w:type="dxa"/>
            <w:gridSpan w:val="2"/>
            <w:vAlign w:val="top"/>
          </w:tcPr>
          <w:p w14:paraId="031B3761">
            <w:pPr>
              <w:pStyle w:val="6"/>
              <w:spacing w:before="36" w:line="202" w:lineRule="auto"/>
              <w:ind w:left="222"/>
              <w:rPr>
                <w:sz w:val="20"/>
                <w:szCs w:val="20"/>
              </w:rPr>
            </w:pPr>
            <w:r>
              <w:rPr>
                <w:spacing w:val="6"/>
                <w:sz w:val="20"/>
                <w:szCs w:val="20"/>
              </w:rPr>
              <w:t>维修保养</w:t>
            </w:r>
          </w:p>
        </w:tc>
        <w:tc>
          <w:tcPr>
            <w:tcW w:w="1074" w:type="dxa"/>
            <w:vAlign w:val="top"/>
          </w:tcPr>
          <w:p w14:paraId="2DEEB16F">
            <w:pPr>
              <w:spacing w:before="72" w:line="190"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1.6t</w:t>
            </w:r>
          </w:p>
        </w:tc>
        <w:tc>
          <w:tcPr>
            <w:tcW w:w="1268" w:type="dxa"/>
            <w:vAlign w:val="top"/>
          </w:tcPr>
          <w:p w14:paraId="5504459E">
            <w:pPr>
              <w:pStyle w:val="6"/>
              <w:spacing w:before="36" w:line="202" w:lineRule="auto"/>
              <w:ind w:left="432"/>
              <w:rPr>
                <w:sz w:val="20"/>
                <w:szCs w:val="20"/>
              </w:rPr>
            </w:pPr>
            <w:r>
              <w:rPr>
                <w:spacing w:val="3"/>
                <w:sz w:val="20"/>
                <w:szCs w:val="20"/>
              </w:rPr>
              <w:t>桶装</w:t>
            </w:r>
          </w:p>
        </w:tc>
        <w:tc>
          <w:tcPr>
            <w:tcW w:w="1527" w:type="dxa"/>
            <w:vAlign w:val="top"/>
          </w:tcPr>
          <w:p w14:paraId="62987699">
            <w:pPr>
              <w:spacing w:before="72" w:line="190"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Merge w:val="restart"/>
            <w:tcBorders>
              <w:bottom w:val="nil"/>
            </w:tcBorders>
            <w:vAlign w:val="top"/>
          </w:tcPr>
          <w:p w14:paraId="0BFE9D8B">
            <w:pPr>
              <w:spacing w:line="265" w:lineRule="auto"/>
              <w:rPr>
                <w:rFonts w:ascii="Arial"/>
                <w:sz w:val="21"/>
              </w:rPr>
            </w:pPr>
          </w:p>
          <w:p w14:paraId="395E3727">
            <w:pPr>
              <w:spacing w:line="266" w:lineRule="auto"/>
              <w:rPr>
                <w:rFonts w:ascii="Arial"/>
                <w:sz w:val="21"/>
              </w:rPr>
            </w:pPr>
          </w:p>
          <w:p w14:paraId="731008DD">
            <w:pPr>
              <w:pStyle w:val="6"/>
              <w:spacing w:before="65" w:line="228" w:lineRule="auto"/>
              <w:ind w:left="225"/>
              <w:rPr>
                <w:sz w:val="20"/>
                <w:szCs w:val="20"/>
              </w:rPr>
            </w:pPr>
            <w:r>
              <w:rPr>
                <w:spacing w:val="6"/>
                <w:sz w:val="20"/>
                <w:szCs w:val="20"/>
              </w:rPr>
              <w:t>维修车间</w:t>
            </w:r>
          </w:p>
        </w:tc>
        <w:tc>
          <w:tcPr>
            <w:tcW w:w="119" w:type="dxa"/>
            <w:tcBorders>
              <w:top w:val="nil"/>
              <w:bottom w:val="nil"/>
            </w:tcBorders>
            <w:vAlign w:val="top"/>
          </w:tcPr>
          <w:p w14:paraId="36F9C046">
            <w:pPr>
              <w:rPr>
                <w:rFonts w:ascii="Arial"/>
                <w:sz w:val="21"/>
              </w:rPr>
            </w:pPr>
          </w:p>
        </w:tc>
      </w:tr>
      <w:tr w14:paraId="7FFD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7" w:type="dxa"/>
            <w:vMerge w:val="continue"/>
            <w:tcBorders>
              <w:top w:val="nil"/>
              <w:bottom w:val="nil"/>
            </w:tcBorders>
            <w:vAlign w:val="top"/>
          </w:tcPr>
          <w:p w14:paraId="199C96A4">
            <w:pPr>
              <w:rPr>
                <w:rFonts w:ascii="Arial"/>
                <w:sz w:val="21"/>
              </w:rPr>
            </w:pPr>
          </w:p>
        </w:tc>
        <w:tc>
          <w:tcPr>
            <w:tcW w:w="115" w:type="dxa"/>
            <w:tcBorders>
              <w:top w:val="nil"/>
              <w:bottom w:val="nil"/>
            </w:tcBorders>
            <w:vAlign w:val="top"/>
          </w:tcPr>
          <w:p w14:paraId="412C939E">
            <w:pPr>
              <w:rPr>
                <w:rFonts w:ascii="Arial"/>
                <w:sz w:val="21"/>
              </w:rPr>
            </w:pPr>
          </w:p>
        </w:tc>
        <w:tc>
          <w:tcPr>
            <w:tcW w:w="1526" w:type="dxa"/>
            <w:gridSpan w:val="2"/>
            <w:vAlign w:val="top"/>
          </w:tcPr>
          <w:p w14:paraId="7FD7BE97">
            <w:pPr>
              <w:pStyle w:val="6"/>
              <w:spacing w:before="47" w:line="207" w:lineRule="auto"/>
              <w:ind w:left="451"/>
              <w:rPr>
                <w:sz w:val="20"/>
                <w:szCs w:val="20"/>
              </w:rPr>
            </w:pPr>
            <w:r>
              <w:rPr>
                <w:spacing w:val="6"/>
                <w:sz w:val="20"/>
                <w:szCs w:val="20"/>
              </w:rPr>
              <w:t>刹车油</w:t>
            </w:r>
          </w:p>
        </w:tc>
        <w:tc>
          <w:tcPr>
            <w:tcW w:w="1268" w:type="dxa"/>
            <w:gridSpan w:val="2"/>
            <w:vAlign w:val="top"/>
          </w:tcPr>
          <w:p w14:paraId="7CC6D9F5">
            <w:pPr>
              <w:pStyle w:val="6"/>
              <w:spacing w:before="47" w:line="207" w:lineRule="auto"/>
              <w:ind w:left="222"/>
              <w:rPr>
                <w:sz w:val="20"/>
                <w:szCs w:val="20"/>
              </w:rPr>
            </w:pPr>
            <w:r>
              <w:rPr>
                <w:spacing w:val="6"/>
                <w:sz w:val="20"/>
                <w:szCs w:val="20"/>
              </w:rPr>
              <w:t>维修保养</w:t>
            </w:r>
          </w:p>
        </w:tc>
        <w:tc>
          <w:tcPr>
            <w:tcW w:w="1074" w:type="dxa"/>
            <w:vAlign w:val="top"/>
          </w:tcPr>
          <w:p w14:paraId="2FFBDC5F">
            <w:pPr>
              <w:spacing w:before="8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0.8t</w:t>
            </w:r>
          </w:p>
        </w:tc>
        <w:tc>
          <w:tcPr>
            <w:tcW w:w="1268" w:type="dxa"/>
            <w:vAlign w:val="top"/>
          </w:tcPr>
          <w:p w14:paraId="116EE9EE">
            <w:pPr>
              <w:pStyle w:val="6"/>
              <w:spacing w:before="47" w:line="207" w:lineRule="auto"/>
              <w:ind w:left="432"/>
              <w:rPr>
                <w:sz w:val="20"/>
                <w:szCs w:val="20"/>
              </w:rPr>
            </w:pPr>
            <w:r>
              <w:rPr>
                <w:spacing w:val="3"/>
                <w:sz w:val="20"/>
                <w:szCs w:val="20"/>
              </w:rPr>
              <w:t>桶装</w:t>
            </w:r>
          </w:p>
        </w:tc>
        <w:tc>
          <w:tcPr>
            <w:tcW w:w="1527" w:type="dxa"/>
            <w:vAlign w:val="top"/>
          </w:tcPr>
          <w:p w14:paraId="1C8F3A17">
            <w:pPr>
              <w:spacing w:before="8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w:t>
            </w:r>
          </w:p>
        </w:tc>
        <w:tc>
          <w:tcPr>
            <w:tcW w:w="1271" w:type="dxa"/>
            <w:vMerge w:val="continue"/>
            <w:tcBorders>
              <w:top w:val="nil"/>
              <w:bottom w:val="nil"/>
            </w:tcBorders>
            <w:vAlign w:val="top"/>
          </w:tcPr>
          <w:p w14:paraId="2C2C2593">
            <w:pPr>
              <w:rPr>
                <w:rFonts w:ascii="Arial"/>
                <w:sz w:val="21"/>
              </w:rPr>
            </w:pPr>
          </w:p>
        </w:tc>
        <w:tc>
          <w:tcPr>
            <w:tcW w:w="119" w:type="dxa"/>
            <w:tcBorders>
              <w:top w:val="nil"/>
              <w:bottom w:val="nil"/>
            </w:tcBorders>
            <w:vAlign w:val="top"/>
          </w:tcPr>
          <w:p w14:paraId="439CD23E">
            <w:pPr>
              <w:rPr>
                <w:rFonts w:ascii="Arial"/>
                <w:sz w:val="21"/>
              </w:rPr>
            </w:pPr>
          </w:p>
        </w:tc>
      </w:tr>
      <w:tr w14:paraId="10F7E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7" w:type="dxa"/>
            <w:vMerge w:val="continue"/>
            <w:tcBorders>
              <w:top w:val="nil"/>
              <w:bottom w:val="nil"/>
            </w:tcBorders>
            <w:vAlign w:val="top"/>
          </w:tcPr>
          <w:p w14:paraId="711DE828">
            <w:pPr>
              <w:rPr>
                <w:rFonts w:ascii="Arial"/>
                <w:sz w:val="21"/>
              </w:rPr>
            </w:pPr>
          </w:p>
        </w:tc>
        <w:tc>
          <w:tcPr>
            <w:tcW w:w="115" w:type="dxa"/>
            <w:tcBorders>
              <w:top w:val="nil"/>
              <w:bottom w:val="nil"/>
            </w:tcBorders>
            <w:vAlign w:val="top"/>
          </w:tcPr>
          <w:p w14:paraId="215EEFA9">
            <w:pPr>
              <w:rPr>
                <w:rFonts w:ascii="Arial"/>
                <w:sz w:val="21"/>
              </w:rPr>
            </w:pPr>
          </w:p>
        </w:tc>
        <w:tc>
          <w:tcPr>
            <w:tcW w:w="1526" w:type="dxa"/>
            <w:gridSpan w:val="2"/>
            <w:vAlign w:val="top"/>
          </w:tcPr>
          <w:p w14:paraId="6DDDB352">
            <w:pPr>
              <w:pStyle w:val="6"/>
              <w:spacing w:before="43" w:line="211" w:lineRule="auto"/>
              <w:ind w:left="347"/>
              <w:rPr>
                <w:sz w:val="20"/>
                <w:szCs w:val="20"/>
              </w:rPr>
            </w:pPr>
            <w:r>
              <w:rPr>
                <w:spacing w:val="7"/>
                <w:sz w:val="20"/>
                <w:szCs w:val="20"/>
              </w:rPr>
              <w:t>变速箱油</w:t>
            </w:r>
          </w:p>
        </w:tc>
        <w:tc>
          <w:tcPr>
            <w:tcW w:w="1268" w:type="dxa"/>
            <w:gridSpan w:val="2"/>
            <w:vAlign w:val="top"/>
          </w:tcPr>
          <w:p w14:paraId="3C1C0368">
            <w:pPr>
              <w:pStyle w:val="6"/>
              <w:spacing w:before="43" w:line="211" w:lineRule="auto"/>
              <w:ind w:left="222"/>
              <w:rPr>
                <w:sz w:val="20"/>
                <w:szCs w:val="20"/>
              </w:rPr>
            </w:pPr>
            <w:r>
              <w:rPr>
                <w:spacing w:val="6"/>
                <w:sz w:val="20"/>
                <w:szCs w:val="20"/>
              </w:rPr>
              <w:t>维修保养</w:t>
            </w:r>
          </w:p>
        </w:tc>
        <w:tc>
          <w:tcPr>
            <w:tcW w:w="1074" w:type="dxa"/>
            <w:vAlign w:val="top"/>
          </w:tcPr>
          <w:p w14:paraId="6959B217">
            <w:pPr>
              <w:spacing w:before="7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268" w:type="dxa"/>
            <w:vAlign w:val="top"/>
          </w:tcPr>
          <w:p w14:paraId="23D9A231">
            <w:pPr>
              <w:pStyle w:val="6"/>
              <w:spacing w:before="43" w:line="211" w:lineRule="auto"/>
              <w:ind w:left="432"/>
              <w:rPr>
                <w:sz w:val="20"/>
                <w:szCs w:val="20"/>
              </w:rPr>
            </w:pPr>
            <w:r>
              <w:rPr>
                <w:spacing w:val="3"/>
                <w:sz w:val="20"/>
                <w:szCs w:val="20"/>
              </w:rPr>
              <w:t>桶装</w:t>
            </w:r>
          </w:p>
        </w:tc>
        <w:tc>
          <w:tcPr>
            <w:tcW w:w="1527" w:type="dxa"/>
            <w:vAlign w:val="top"/>
          </w:tcPr>
          <w:p w14:paraId="5C2B291F">
            <w:pPr>
              <w:spacing w:before="79"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271" w:type="dxa"/>
            <w:vMerge w:val="continue"/>
            <w:tcBorders>
              <w:top w:val="nil"/>
              <w:bottom w:val="nil"/>
            </w:tcBorders>
            <w:vAlign w:val="top"/>
          </w:tcPr>
          <w:p w14:paraId="38D7E065">
            <w:pPr>
              <w:rPr>
                <w:rFonts w:ascii="Arial"/>
                <w:sz w:val="21"/>
              </w:rPr>
            </w:pPr>
          </w:p>
        </w:tc>
        <w:tc>
          <w:tcPr>
            <w:tcW w:w="119" w:type="dxa"/>
            <w:tcBorders>
              <w:top w:val="nil"/>
              <w:bottom w:val="nil"/>
            </w:tcBorders>
            <w:vAlign w:val="top"/>
          </w:tcPr>
          <w:p w14:paraId="422E879C">
            <w:pPr>
              <w:rPr>
                <w:rFonts w:ascii="Arial"/>
                <w:sz w:val="21"/>
              </w:rPr>
            </w:pPr>
          </w:p>
        </w:tc>
      </w:tr>
      <w:tr w14:paraId="48A26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7" w:type="dxa"/>
            <w:vMerge w:val="continue"/>
            <w:tcBorders>
              <w:top w:val="nil"/>
              <w:bottom w:val="nil"/>
            </w:tcBorders>
            <w:vAlign w:val="top"/>
          </w:tcPr>
          <w:p w14:paraId="0CC03F37">
            <w:pPr>
              <w:rPr>
                <w:rFonts w:ascii="Arial"/>
                <w:sz w:val="21"/>
              </w:rPr>
            </w:pPr>
          </w:p>
        </w:tc>
        <w:tc>
          <w:tcPr>
            <w:tcW w:w="115" w:type="dxa"/>
            <w:tcBorders>
              <w:top w:val="nil"/>
              <w:bottom w:val="nil"/>
            </w:tcBorders>
            <w:vAlign w:val="top"/>
          </w:tcPr>
          <w:p w14:paraId="12CA7DDE">
            <w:pPr>
              <w:rPr>
                <w:rFonts w:ascii="Arial"/>
                <w:sz w:val="21"/>
              </w:rPr>
            </w:pPr>
          </w:p>
        </w:tc>
        <w:tc>
          <w:tcPr>
            <w:tcW w:w="1526" w:type="dxa"/>
            <w:gridSpan w:val="2"/>
            <w:vAlign w:val="top"/>
          </w:tcPr>
          <w:p w14:paraId="326FECD0">
            <w:pPr>
              <w:pStyle w:val="6"/>
              <w:spacing w:before="36" w:line="206" w:lineRule="auto"/>
              <w:ind w:left="452"/>
              <w:rPr>
                <w:sz w:val="20"/>
                <w:szCs w:val="20"/>
              </w:rPr>
            </w:pPr>
            <w:r>
              <w:rPr>
                <w:spacing w:val="6"/>
                <w:sz w:val="20"/>
                <w:szCs w:val="20"/>
              </w:rPr>
              <w:t>冷却液</w:t>
            </w:r>
          </w:p>
        </w:tc>
        <w:tc>
          <w:tcPr>
            <w:tcW w:w="1268" w:type="dxa"/>
            <w:gridSpan w:val="2"/>
            <w:vAlign w:val="top"/>
          </w:tcPr>
          <w:p w14:paraId="6BEC2C5D">
            <w:pPr>
              <w:pStyle w:val="6"/>
              <w:spacing w:before="36" w:line="206" w:lineRule="auto"/>
              <w:ind w:left="222"/>
              <w:rPr>
                <w:sz w:val="20"/>
                <w:szCs w:val="20"/>
              </w:rPr>
            </w:pPr>
            <w:r>
              <w:rPr>
                <w:spacing w:val="6"/>
                <w:sz w:val="20"/>
                <w:szCs w:val="20"/>
              </w:rPr>
              <w:t>维修保养</w:t>
            </w:r>
          </w:p>
        </w:tc>
        <w:tc>
          <w:tcPr>
            <w:tcW w:w="1074" w:type="dxa"/>
            <w:vAlign w:val="top"/>
          </w:tcPr>
          <w:p w14:paraId="6DBAE2CF">
            <w:pPr>
              <w:spacing w:before="7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1268" w:type="dxa"/>
            <w:vAlign w:val="top"/>
          </w:tcPr>
          <w:p w14:paraId="2130D32B">
            <w:pPr>
              <w:pStyle w:val="6"/>
              <w:spacing w:before="36" w:line="206" w:lineRule="auto"/>
              <w:ind w:left="432"/>
              <w:rPr>
                <w:sz w:val="20"/>
                <w:szCs w:val="20"/>
              </w:rPr>
            </w:pPr>
            <w:r>
              <w:rPr>
                <w:spacing w:val="3"/>
                <w:sz w:val="20"/>
                <w:szCs w:val="20"/>
              </w:rPr>
              <w:t>桶装</w:t>
            </w:r>
          </w:p>
        </w:tc>
        <w:tc>
          <w:tcPr>
            <w:tcW w:w="1527" w:type="dxa"/>
            <w:vAlign w:val="top"/>
          </w:tcPr>
          <w:p w14:paraId="556280E0">
            <w:pPr>
              <w:spacing w:before="73"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271" w:type="dxa"/>
            <w:vMerge w:val="continue"/>
            <w:tcBorders>
              <w:top w:val="nil"/>
              <w:bottom w:val="nil"/>
            </w:tcBorders>
            <w:vAlign w:val="top"/>
          </w:tcPr>
          <w:p w14:paraId="4AEEEC43">
            <w:pPr>
              <w:rPr>
                <w:rFonts w:ascii="Arial"/>
                <w:sz w:val="21"/>
              </w:rPr>
            </w:pPr>
          </w:p>
        </w:tc>
        <w:tc>
          <w:tcPr>
            <w:tcW w:w="119" w:type="dxa"/>
            <w:tcBorders>
              <w:top w:val="nil"/>
              <w:bottom w:val="nil"/>
            </w:tcBorders>
            <w:vAlign w:val="top"/>
          </w:tcPr>
          <w:p w14:paraId="51C5A0EC">
            <w:pPr>
              <w:rPr>
                <w:rFonts w:ascii="Arial"/>
                <w:sz w:val="21"/>
              </w:rPr>
            </w:pPr>
          </w:p>
        </w:tc>
      </w:tr>
      <w:tr w14:paraId="3662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57" w:type="dxa"/>
            <w:vMerge w:val="continue"/>
            <w:tcBorders>
              <w:top w:val="nil"/>
              <w:bottom w:val="nil"/>
            </w:tcBorders>
            <w:vAlign w:val="top"/>
          </w:tcPr>
          <w:p w14:paraId="265517DC">
            <w:pPr>
              <w:rPr>
                <w:rFonts w:ascii="Arial"/>
                <w:sz w:val="21"/>
              </w:rPr>
            </w:pPr>
          </w:p>
        </w:tc>
        <w:tc>
          <w:tcPr>
            <w:tcW w:w="115" w:type="dxa"/>
            <w:tcBorders>
              <w:top w:val="nil"/>
              <w:bottom w:val="nil"/>
            </w:tcBorders>
            <w:vAlign w:val="top"/>
          </w:tcPr>
          <w:p w14:paraId="4D859008">
            <w:pPr>
              <w:rPr>
                <w:rFonts w:ascii="Arial"/>
                <w:sz w:val="21"/>
              </w:rPr>
            </w:pPr>
          </w:p>
        </w:tc>
        <w:tc>
          <w:tcPr>
            <w:tcW w:w="1526" w:type="dxa"/>
            <w:gridSpan w:val="2"/>
            <w:vAlign w:val="top"/>
          </w:tcPr>
          <w:p w14:paraId="27599773">
            <w:pPr>
              <w:pStyle w:val="6"/>
              <w:spacing w:before="45" w:line="214" w:lineRule="auto"/>
              <w:ind w:left="242"/>
              <w:rPr>
                <w:sz w:val="20"/>
                <w:szCs w:val="20"/>
              </w:rPr>
            </w:pPr>
            <w:r>
              <w:rPr>
                <w:spacing w:val="8"/>
                <w:sz w:val="20"/>
                <w:szCs w:val="20"/>
              </w:rPr>
              <w:t>汽车零部件</w:t>
            </w:r>
          </w:p>
        </w:tc>
        <w:tc>
          <w:tcPr>
            <w:tcW w:w="1268" w:type="dxa"/>
            <w:gridSpan w:val="2"/>
            <w:vAlign w:val="top"/>
          </w:tcPr>
          <w:p w14:paraId="7C68FD64">
            <w:pPr>
              <w:pStyle w:val="6"/>
              <w:spacing w:before="45" w:line="214" w:lineRule="auto"/>
              <w:ind w:left="222"/>
              <w:rPr>
                <w:sz w:val="20"/>
                <w:szCs w:val="20"/>
              </w:rPr>
            </w:pPr>
            <w:r>
              <w:rPr>
                <w:spacing w:val="6"/>
                <w:sz w:val="20"/>
                <w:szCs w:val="20"/>
              </w:rPr>
              <w:t>维修保养</w:t>
            </w:r>
          </w:p>
        </w:tc>
        <w:tc>
          <w:tcPr>
            <w:tcW w:w="1074" w:type="dxa"/>
            <w:vAlign w:val="top"/>
          </w:tcPr>
          <w:p w14:paraId="4956DF04">
            <w:pPr>
              <w:pStyle w:val="6"/>
              <w:spacing w:before="45" w:line="214" w:lineRule="auto"/>
              <w:ind w:left="217"/>
              <w:rPr>
                <w:sz w:val="20"/>
                <w:szCs w:val="20"/>
              </w:rPr>
            </w:pPr>
            <w:r>
              <w:rPr>
                <w:rFonts w:ascii="Times New Roman" w:hAnsi="Times New Roman" w:eastAsia="Times New Roman" w:cs="Times New Roman"/>
                <w:spacing w:val="-1"/>
                <w:sz w:val="20"/>
                <w:szCs w:val="20"/>
              </w:rPr>
              <w:t>1500</w:t>
            </w:r>
            <w:r>
              <w:rPr>
                <w:rFonts w:ascii="Times New Roman" w:hAnsi="Times New Roman" w:eastAsia="Times New Roman" w:cs="Times New Roman"/>
                <w:spacing w:val="11"/>
                <w:sz w:val="20"/>
                <w:szCs w:val="20"/>
              </w:rPr>
              <w:t xml:space="preserve"> </w:t>
            </w:r>
            <w:r>
              <w:rPr>
                <w:spacing w:val="-1"/>
                <w:sz w:val="20"/>
                <w:szCs w:val="20"/>
              </w:rPr>
              <w:t>个</w:t>
            </w:r>
          </w:p>
        </w:tc>
        <w:tc>
          <w:tcPr>
            <w:tcW w:w="1268" w:type="dxa"/>
            <w:vAlign w:val="top"/>
          </w:tcPr>
          <w:p w14:paraId="33E284F5">
            <w:pPr>
              <w:spacing w:before="77" w:line="199"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27" w:type="dxa"/>
            <w:vAlign w:val="top"/>
          </w:tcPr>
          <w:p w14:paraId="678B5D05">
            <w:pPr>
              <w:pStyle w:val="6"/>
              <w:spacing w:before="45" w:line="214" w:lineRule="auto"/>
              <w:ind w:left="484"/>
              <w:rPr>
                <w:sz w:val="20"/>
                <w:szCs w:val="20"/>
              </w:rPr>
            </w:pPr>
            <w:r>
              <w:rPr>
                <w:rFonts w:ascii="Times New Roman" w:hAnsi="Times New Roman" w:eastAsia="Times New Roman" w:cs="Times New Roman"/>
                <w:spacing w:val="1"/>
                <w:sz w:val="20"/>
                <w:szCs w:val="20"/>
              </w:rPr>
              <w:t>500</w:t>
            </w:r>
            <w:r>
              <w:rPr>
                <w:rFonts w:ascii="Times New Roman" w:hAnsi="Times New Roman" w:eastAsia="Times New Roman" w:cs="Times New Roman"/>
                <w:spacing w:val="11"/>
                <w:sz w:val="20"/>
                <w:szCs w:val="20"/>
              </w:rPr>
              <w:t xml:space="preserve"> </w:t>
            </w:r>
            <w:r>
              <w:rPr>
                <w:spacing w:val="1"/>
                <w:sz w:val="20"/>
                <w:szCs w:val="20"/>
              </w:rPr>
              <w:t>个</w:t>
            </w:r>
          </w:p>
        </w:tc>
        <w:tc>
          <w:tcPr>
            <w:tcW w:w="1271" w:type="dxa"/>
            <w:vMerge w:val="continue"/>
            <w:tcBorders>
              <w:top w:val="nil"/>
            </w:tcBorders>
            <w:vAlign w:val="top"/>
          </w:tcPr>
          <w:p w14:paraId="0BB9A5BD">
            <w:pPr>
              <w:rPr>
                <w:rFonts w:ascii="Arial"/>
                <w:sz w:val="21"/>
              </w:rPr>
            </w:pPr>
          </w:p>
        </w:tc>
        <w:tc>
          <w:tcPr>
            <w:tcW w:w="119" w:type="dxa"/>
            <w:tcBorders>
              <w:top w:val="nil"/>
              <w:bottom w:val="nil"/>
            </w:tcBorders>
            <w:vAlign w:val="top"/>
          </w:tcPr>
          <w:p w14:paraId="14837D02">
            <w:pPr>
              <w:rPr>
                <w:rFonts w:ascii="Arial"/>
                <w:sz w:val="21"/>
              </w:rPr>
            </w:pPr>
          </w:p>
        </w:tc>
      </w:tr>
      <w:tr w14:paraId="38695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457" w:type="dxa"/>
            <w:vMerge w:val="continue"/>
            <w:tcBorders>
              <w:top w:val="nil"/>
            </w:tcBorders>
            <w:vAlign w:val="top"/>
          </w:tcPr>
          <w:p w14:paraId="062BF002">
            <w:pPr>
              <w:rPr>
                <w:rFonts w:ascii="Arial"/>
                <w:sz w:val="21"/>
              </w:rPr>
            </w:pPr>
          </w:p>
        </w:tc>
        <w:tc>
          <w:tcPr>
            <w:tcW w:w="8168" w:type="dxa"/>
            <w:gridSpan w:val="10"/>
            <w:vAlign w:val="top"/>
          </w:tcPr>
          <w:p w14:paraId="79AD04F6">
            <w:pPr>
              <w:pStyle w:val="6"/>
              <w:spacing w:before="196" w:line="219" w:lineRule="auto"/>
              <w:ind w:left="117"/>
              <w:outlineLvl w:val="1"/>
              <w:rPr>
                <w:sz w:val="24"/>
                <w:szCs w:val="24"/>
              </w:rPr>
            </w:pPr>
            <w:r>
              <w:rPr>
                <w:rFonts w:ascii="Times New Roman" w:hAnsi="Times New Roman" w:eastAsia="Times New Roman" w:cs="Times New Roman"/>
                <w:b/>
                <w:bCs/>
                <w:spacing w:val="-8"/>
                <w:sz w:val="24"/>
                <w:szCs w:val="24"/>
              </w:rPr>
              <w:t>12</w:t>
            </w:r>
            <w:r>
              <w:rPr>
                <w:rFonts w:ascii="Times New Roman" w:hAnsi="Times New Roman" w:eastAsia="Times New Roman" w:cs="Times New Roman"/>
                <w:b/>
                <w:bCs/>
                <w:spacing w:val="-32"/>
                <w:sz w:val="24"/>
                <w:szCs w:val="24"/>
              </w:rPr>
              <w:t xml:space="preserve"> </w:t>
            </w:r>
            <w:r>
              <w:rPr>
                <w:b/>
                <w:bCs/>
                <w:spacing w:val="-8"/>
                <w:sz w:val="24"/>
                <w:szCs w:val="24"/>
              </w:rPr>
              <w:t>、平面布置</w:t>
            </w:r>
          </w:p>
          <w:p w14:paraId="6BEBE155">
            <w:pPr>
              <w:pStyle w:val="6"/>
              <w:spacing w:before="180" w:line="343" w:lineRule="auto"/>
              <w:ind w:left="114" w:right="107" w:firstLine="477"/>
              <w:rPr>
                <w:sz w:val="24"/>
                <w:szCs w:val="24"/>
              </w:rPr>
            </w:pPr>
            <w:r>
              <w:rPr>
                <w:spacing w:val="-7"/>
                <w:sz w:val="24"/>
                <w:szCs w:val="24"/>
              </w:rPr>
              <w:t>根据《汽车库、修车库、停车场设计防火规范》（</w:t>
            </w:r>
            <w:r>
              <w:rPr>
                <w:rFonts w:ascii="Times New Roman" w:hAnsi="Times New Roman" w:eastAsia="Times New Roman" w:cs="Times New Roman"/>
                <w:spacing w:val="-7"/>
                <w:sz w:val="24"/>
                <w:szCs w:val="24"/>
              </w:rPr>
              <w:t>GB50067-201</w:t>
            </w:r>
            <w:r>
              <w:rPr>
                <w:rFonts w:ascii="Times New Roman" w:hAnsi="Times New Roman" w:eastAsia="Times New Roman" w:cs="Times New Roman"/>
                <w:spacing w:val="-8"/>
                <w:sz w:val="24"/>
                <w:szCs w:val="24"/>
              </w:rPr>
              <w:t>4</w:t>
            </w:r>
            <w:r>
              <w:rPr>
                <w:spacing w:val="-8"/>
                <w:sz w:val="24"/>
                <w:szCs w:val="24"/>
              </w:rPr>
              <w:t>）和《化</w:t>
            </w:r>
            <w:r>
              <w:rPr>
                <w:sz w:val="24"/>
                <w:szCs w:val="24"/>
              </w:rPr>
              <w:t xml:space="preserve"> 工园区危险品运输车辆停车场建设标准》（</w:t>
            </w:r>
            <w:r>
              <w:rPr>
                <w:rFonts w:ascii="Times New Roman" w:hAnsi="Times New Roman" w:eastAsia="Times New Roman" w:cs="Times New Roman"/>
                <w:sz w:val="24"/>
                <w:szCs w:val="24"/>
              </w:rPr>
              <w:t>T/CPCIF0050-2020</w:t>
            </w:r>
            <w:r>
              <w:rPr>
                <w:sz w:val="24"/>
                <w:szCs w:val="24"/>
              </w:rPr>
              <w:t>）有关要求，</w:t>
            </w:r>
          </w:p>
        </w:tc>
      </w:tr>
    </w:tbl>
    <w:p w14:paraId="4EC7C8F7">
      <w:pPr>
        <w:pStyle w:val="2"/>
      </w:pPr>
    </w:p>
    <w:p w14:paraId="501598B7">
      <w:pPr>
        <w:sectPr>
          <w:footerReference r:id="rId46" w:type="default"/>
          <w:pgSz w:w="11906" w:h="16839"/>
          <w:pgMar w:top="400" w:right="1588" w:bottom="1259" w:left="1687" w:header="0" w:footer="1097" w:gutter="0"/>
          <w:cols w:space="720" w:num="1"/>
        </w:sectPr>
      </w:pPr>
    </w:p>
    <w:p w14:paraId="07A504C5">
      <w:pPr>
        <w:spacing w:before="19"/>
      </w:pPr>
    </w:p>
    <w:p w14:paraId="6465510E">
      <w:pPr>
        <w:spacing w:before="19"/>
      </w:pPr>
    </w:p>
    <w:p w14:paraId="7BE0ACA1">
      <w:pPr>
        <w:spacing w:before="18"/>
      </w:pPr>
    </w:p>
    <w:p w14:paraId="66805D4B">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524CA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6" w:type="dxa"/>
            <w:vAlign w:val="top"/>
          </w:tcPr>
          <w:p w14:paraId="1012B927">
            <w:pPr>
              <w:rPr>
                <w:rFonts w:ascii="Arial"/>
                <w:sz w:val="21"/>
              </w:rPr>
            </w:pPr>
          </w:p>
        </w:tc>
        <w:tc>
          <w:tcPr>
            <w:tcW w:w="8169" w:type="dxa"/>
            <w:vAlign w:val="top"/>
          </w:tcPr>
          <w:p w14:paraId="7CBB7B8C">
            <w:pPr>
              <w:pStyle w:val="6"/>
              <w:spacing w:before="39" w:line="359" w:lineRule="auto"/>
              <w:ind w:left="110" w:right="107" w:firstLine="4"/>
              <w:jc w:val="both"/>
              <w:rPr>
                <w:sz w:val="24"/>
                <w:szCs w:val="24"/>
              </w:rPr>
            </w:pPr>
            <w:r>
              <w:rPr>
                <w:spacing w:val="1"/>
                <w:sz w:val="24"/>
                <w:szCs w:val="24"/>
              </w:rPr>
              <w:t>充分利用站区现有土地资源，确保站区外道路</w:t>
            </w:r>
            <w:r>
              <w:rPr>
                <w:sz w:val="24"/>
                <w:szCs w:val="24"/>
              </w:rPr>
              <w:t xml:space="preserve">及公用工程管线引入顺畅、便 </w:t>
            </w:r>
            <w:r>
              <w:rPr>
                <w:spacing w:val="1"/>
                <w:sz w:val="24"/>
                <w:szCs w:val="24"/>
              </w:rPr>
              <w:t>捷，本着因地制宜、紧凑布置、节约用地的原则，</w:t>
            </w:r>
            <w:r>
              <w:rPr>
                <w:sz w:val="24"/>
                <w:szCs w:val="24"/>
              </w:rPr>
              <w:t xml:space="preserve">尽量保证停车服务有序作 </w:t>
            </w:r>
            <w:r>
              <w:rPr>
                <w:spacing w:val="1"/>
                <w:sz w:val="24"/>
                <w:szCs w:val="24"/>
              </w:rPr>
              <w:t>业，将性质相同、功能相近、联系密切，对环境要求一致</w:t>
            </w:r>
            <w:r>
              <w:rPr>
                <w:sz w:val="24"/>
                <w:szCs w:val="24"/>
              </w:rPr>
              <w:t xml:space="preserve">的建、构筑物布置 </w:t>
            </w:r>
            <w:r>
              <w:rPr>
                <w:spacing w:val="-1"/>
                <w:sz w:val="24"/>
                <w:szCs w:val="24"/>
              </w:rPr>
              <w:t>在相对集中的区域内，功能分区合理。</w:t>
            </w:r>
          </w:p>
          <w:p w14:paraId="4854632F">
            <w:pPr>
              <w:pStyle w:val="6"/>
              <w:spacing w:before="3" w:line="359" w:lineRule="auto"/>
              <w:ind w:left="111" w:right="27" w:firstLine="483"/>
              <w:jc w:val="both"/>
              <w:rPr>
                <w:sz w:val="24"/>
                <w:szCs w:val="24"/>
              </w:rPr>
            </w:pPr>
            <w:r>
              <w:rPr>
                <w:spacing w:val="-3"/>
                <w:sz w:val="24"/>
                <w:szCs w:val="24"/>
              </w:rPr>
              <w:t>危化品停车区在场地的东侧，分为五个停车区域，北面西侧布</w:t>
            </w:r>
            <w:r>
              <w:rPr>
                <w:spacing w:val="-4"/>
                <w:sz w:val="24"/>
                <w:szCs w:val="24"/>
              </w:rPr>
              <w:t>置有</w:t>
            </w:r>
            <w:r>
              <w:rPr>
                <w:spacing w:val="-55"/>
                <w:sz w:val="24"/>
                <w:szCs w:val="24"/>
              </w:rPr>
              <w:t xml:space="preserve"> </w:t>
            </w:r>
            <w:r>
              <w:rPr>
                <w:rFonts w:ascii="Times New Roman" w:hAnsi="Times New Roman" w:eastAsia="Times New Roman" w:cs="Times New Roman"/>
                <w:spacing w:val="-4"/>
                <w:sz w:val="24"/>
                <w:szCs w:val="24"/>
              </w:rPr>
              <w:t xml:space="preserve">28 </w:t>
            </w:r>
            <w:r>
              <w:rPr>
                <w:spacing w:val="-4"/>
                <w:sz w:val="24"/>
                <w:szCs w:val="24"/>
              </w:rPr>
              <w:t>个</w:t>
            </w:r>
            <w:r>
              <w:rPr>
                <w:sz w:val="24"/>
                <w:szCs w:val="24"/>
              </w:rPr>
              <w:t xml:space="preserve"> </w:t>
            </w:r>
            <w:r>
              <w:rPr>
                <w:spacing w:val="-1"/>
                <w:sz w:val="24"/>
                <w:szCs w:val="24"/>
              </w:rPr>
              <w:t>空车停车位，北面东侧</w:t>
            </w:r>
            <w:r>
              <w:rPr>
                <w:spacing w:val="-45"/>
                <w:sz w:val="24"/>
                <w:szCs w:val="24"/>
              </w:rPr>
              <w:t xml:space="preserve"> </w:t>
            </w:r>
            <w:r>
              <w:rPr>
                <w:rFonts w:ascii="Times New Roman" w:hAnsi="Times New Roman" w:eastAsia="Times New Roman" w:cs="Times New Roman"/>
                <w:spacing w:val="-1"/>
                <w:sz w:val="24"/>
                <w:szCs w:val="24"/>
              </w:rPr>
              <w:t xml:space="preserve">8 </w:t>
            </w:r>
            <w:r>
              <w:rPr>
                <w:spacing w:val="-1"/>
                <w:sz w:val="24"/>
                <w:szCs w:val="24"/>
              </w:rPr>
              <w:t>个重车停车位，中部西侧布置有</w:t>
            </w:r>
            <w:r>
              <w:rPr>
                <w:spacing w:val="-50"/>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个空</w:t>
            </w:r>
            <w:r>
              <w:rPr>
                <w:spacing w:val="-2"/>
                <w:sz w:val="24"/>
                <w:szCs w:val="24"/>
              </w:rPr>
              <w:t>车停车位，</w:t>
            </w:r>
            <w:r>
              <w:rPr>
                <w:sz w:val="24"/>
                <w:szCs w:val="24"/>
              </w:rPr>
              <w:t xml:space="preserve"> </w:t>
            </w:r>
            <w:r>
              <w:rPr>
                <w:spacing w:val="1"/>
                <w:sz w:val="24"/>
                <w:szCs w:val="24"/>
              </w:rPr>
              <w:t>南面西侧有</w:t>
            </w:r>
            <w:r>
              <w:rPr>
                <w:spacing w:val="-27"/>
                <w:sz w:val="24"/>
                <w:szCs w:val="24"/>
              </w:rPr>
              <w:t xml:space="preserve"> </w:t>
            </w:r>
            <w:r>
              <w:rPr>
                <w:rFonts w:ascii="Times New Roman" w:hAnsi="Times New Roman" w:eastAsia="Times New Roman" w:cs="Times New Roman"/>
                <w:spacing w:val="1"/>
                <w:sz w:val="24"/>
                <w:szCs w:val="24"/>
              </w:rPr>
              <w:t xml:space="preserve">12 </w:t>
            </w:r>
            <w:r>
              <w:rPr>
                <w:spacing w:val="1"/>
                <w:sz w:val="24"/>
                <w:szCs w:val="24"/>
              </w:rPr>
              <w:t>个空车停车位，南面东侧有</w:t>
            </w:r>
            <w:r>
              <w:rPr>
                <w:spacing w:val="-29"/>
                <w:sz w:val="24"/>
                <w:szCs w:val="24"/>
              </w:rPr>
              <w:t xml:space="preserve"> </w:t>
            </w:r>
            <w:r>
              <w:rPr>
                <w:rFonts w:ascii="Times New Roman" w:hAnsi="Times New Roman" w:eastAsia="Times New Roman" w:cs="Times New Roman"/>
                <w:sz w:val="24"/>
                <w:szCs w:val="24"/>
              </w:rPr>
              <w:t xml:space="preserve">12 </w:t>
            </w:r>
            <w:r>
              <w:rPr>
                <w:sz w:val="24"/>
                <w:szCs w:val="24"/>
              </w:rPr>
              <w:t>个空车停车位、</w:t>
            </w:r>
            <w:r>
              <w:rPr>
                <w:rFonts w:ascii="Times New Roman" w:hAnsi="Times New Roman" w:eastAsia="Times New Roman" w:cs="Times New Roman"/>
                <w:sz w:val="24"/>
                <w:szCs w:val="24"/>
              </w:rPr>
              <w:t xml:space="preserve">2 </w:t>
            </w:r>
            <w:r>
              <w:rPr>
                <w:sz w:val="24"/>
                <w:szCs w:val="24"/>
              </w:rPr>
              <w:t xml:space="preserve">个重车停车 </w:t>
            </w:r>
            <w:r>
              <w:rPr>
                <w:spacing w:val="1"/>
                <w:sz w:val="24"/>
                <w:szCs w:val="24"/>
              </w:rPr>
              <w:t>位。根据园区危险化学品实际情况，考虑到停车设施的</w:t>
            </w:r>
            <w:r>
              <w:rPr>
                <w:sz w:val="24"/>
                <w:szCs w:val="24"/>
              </w:rPr>
              <w:t xml:space="preserve">通用性，所有车位按 </w:t>
            </w:r>
            <w:r>
              <w:rPr>
                <w:spacing w:val="-3"/>
                <w:sz w:val="24"/>
                <w:szCs w:val="24"/>
              </w:rPr>
              <w:t>照投影面积</w:t>
            </w:r>
            <w:r>
              <w:rPr>
                <w:spacing w:val="-31"/>
                <w:sz w:val="24"/>
                <w:szCs w:val="24"/>
              </w:rPr>
              <w:t xml:space="preserve"> </w:t>
            </w:r>
            <w:r>
              <w:rPr>
                <w:rFonts w:ascii="Times New Roman" w:hAnsi="Times New Roman" w:eastAsia="Times New Roman" w:cs="Times New Roman"/>
                <w:spacing w:val="-3"/>
                <w:sz w:val="24"/>
                <w:szCs w:val="24"/>
              </w:rPr>
              <w:t>18m</w:t>
            </w:r>
            <w:r>
              <w:rPr>
                <w:spacing w:val="-3"/>
                <w:sz w:val="24"/>
                <w:szCs w:val="24"/>
              </w:rPr>
              <w:t>×</w:t>
            </w:r>
            <w:r>
              <w:rPr>
                <w:rFonts w:ascii="Times New Roman" w:hAnsi="Times New Roman" w:eastAsia="Times New Roman" w:cs="Times New Roman"/>
                <w:spacing w:val="-3"/>
                <w:sz w:val="24"/>
                <w:szCs w:val="24"/>
              </w:rPr>
              <w:t>3.5m</w:t>
            </w:r>
            <w:r>
              <w:rPr>
                <w:rFonts w:ascii="Times New Roman" w:hAnsi="Times New Roman" w:eastAsia="Times New Roman" w:cs="Times New Roman"/>
                <w:spacing w:val="29"/>
                <w:w w:val="101"/>
                <w:sz w:val="24"/>
                <w:szCs w:val="24"/>
              </w:rPr>
              <w:t xml:space="preserve"> </w:t>
            </w:r>
            <w:r>
              <w:rPr>
                <w:spacing w:val="-3"/>
                <w:sz w:val="24"/>
                <w:szCs w:val="24"/>
              </w:rPr>
              <w:t>的车位设计。服务区位于项目区的西侧，西侧由北向</w:t>
            </w:r>
            <w:r>
              <w:rPr>
                <w:sz w:val="24"/>
                <w:szCs w:val="24"/>
              </w:rPr>
              <w:t xml:space="preserve"> </w:t>
            </w:r>
            <w:r>
              <w:rPr>
                <w:spacing w:val="-4"/>
                <w:sz w:val="24"/>
                <w:szCs w:val="24"/>
              </w:rPr>
              <w:t>南依次布置有汽车维修间、洗车间、污水处理间、危废暂存间、事故应急池、</w:t>
            </w:r>
            <w:r>
              <w:rPr>
                <w:sz w:val="24"/>
                <w:szCs w:val="24"/>
              </w:rPr>
              <w:t xml:space="preserve"> </w:t>
            </w:r>
            <w:r>
              <w:rPr>
                <w:spacing w:val="1"/>
                <w:sz w:val="24"/>
                <w:szCs w:val="24"/>
              </w:rPr>
              <w:t>初期雨水池、消防水泵房、综合管理用房等。停车场的</w:t>
            </w:r>
            <w:r>
              <w:rPr>
                <w:sz w:val="24"/>
                <w:szCs w:val="24"/>
              </w:rPr>
              <w:t xml:space="preserve">出入口设置在场地的 </w:t>
            </w:r>
            <w:r>
              <w:rPr>
                <w:spacing w:val="1"/>
                <w:sz w:val="24"/>
                <w:szCs w:val="24"/>
              </w:rPr>
              <w:t>南侧，全场设置环形消防通道，消防车道宽度为</w:t>
            </w:r>
            <w:r>
              <w:rPr>
                <w:spacing w:val="-44"/>
                <w:sz w:val="24"/>
                <w:szCs w:val="24"/>
              </w:rPr>
              <w:t xml:space="preserve"> </w:t>
            </w:r>
            <w:r>
              <w:rPr>
                <w:rFonts w:ascii="Times New Roman" w:hAnsi="Times New Roman" w:eastAsia="Times New Roman" w:cs="Times New Roman"/>
                <w:spacing w:val="1"/>
                <w:sz w:val="24"/>
                <w:szCs w:val="24"/>
              </w:rPr>
              <w:t xml:space="preserve">9 </w:t>
            </w:r>
            <w:r>
              <w:rPr>
                <w:spacing w:val="1"/>
                <w:sz w:val="24"/>
                <w:szCs w:val="24"/>
              </w:rPr>
              <w:t>米，可以满足消防要求，</w:t>
            </w:r>
            <w:r>
              <w:rPr>
                <w:sz w:val="24"/>
                <w:szCs w:val="24"/>
              </w:rPr>
              <w:t xml:space="preserve"> </w:t>
            </w:r>
            <w:r>
              <w:rPr>
                <w:spacing w:val="1"/>
                <w:sz w:val="24"/>
                <w:szCs w:val="24"/>
              </w:rPr>
              <w:t>南侧西面设人员出入口，危化品车辆由南侧中间两个出</w:t>
            </w:r>
            <w:r>
              <w:rPr>
                <w:sz w:val="24"/>
                <w:szCs w:val="24"/>
              </w:rPr>
              <w:t xml:space="preserve">入口分开进场，南侧 </w:t>
            </w:r>
            <w:r>
              <w:rPr>
                <w:spacing w:val="-1"/>
                <w:sz w:val="24"/>
                <w:szCs w:val="24"/>
              </w:rPr>
              <w:t>东面设有应急出入口。平面布置详见附图。</w:t>
            </w:r>
          </w:p>
          <w:p w14:paraId="15A5BB43">
            <w:pPr>
              <w:pStyle w:val="6"/>
              <w:spacing w:line="220" w:lineRule="auto"/>
              <w:ind w:left="118"/>
              <w:outlineLvl w:val="1"/>
              <w:rPr>
                <w:sz w:val="24"/>
                <w:szCs w:val="24"/>
              </w:rPr>
            </w:pPr>
            <w:r>
              <w:rPr>
                <w:rFonts w:ascii="Times New Roman" w:hAnsi="Times New Roman" w:eastAsia="Times New Roman" w:cs="Times New Roman"/>
                <w:b/>
                <w:bCs/>
                <w:spacing w:val="-8"/>
                <w:sz w:val="24"/>
                <w:szCs w:val="24"/>
              </w:rPr>
              <w:t>13</w:t>
            </w:r>
            <w:r>
              <w:rPr>
                <w:rFonts w:ascii="Times New Roman" w:hAnsi="Times New Roman" w:eastAsia="Times New Roman" w:cs="Times New Roman"/>
                <w:b/>
                <w:bCs/>
                <w:spacing w:val="-32"/>
                <w:sz w:val="24"/>
                <w:szCs w:val="24"/>
              </w:rPr>
              <w:t xml:space="preserve"> </w:t>
            </w:r>
            <w:r>
              <w:rPr>
                <w:b/>
                <w:bCs/>
                <w:spacing w:val="-8"/>
                <w:sz w:val="24"/>
                <w:szCs w:val="24"/>
              </w:rPr>
              <w:t>、公用工程</w:t>
            </w:r>
          </w:p>
          <w:p w14:paraId="3E1AFCE8">
            <w:pPr>
              <w:pStyle w:val="6"/>
              <w:spacing w:before="179"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）给水工程</w:t>
            </w:r>
          </w:p>
          <w:p w14:paraId="3A84D5DB">
            <w:pPr>
              <w:pStyle w:val="6"/>
              <w:spacing w:before="182" w:line="359" w:lineRule="auto"/>
              <w:ind w:left="115" w:right="107" w:firstLine="478"/>
              <w:rPr>
                <w:sz w:val="24"/>
                <w:szCs w:val="24"/>
              </w:rPr>
            </w:pPr>
            <w:r>
              <w:rPr>
                <w:spacing w:val="1"/>
                <w:sz w:val="24"/>
                <w:szCs w:val="24"/>
              </w:rPr>
              <w:t>本项目给水系统分为生活给水系统和消防给水系统</w:t>
            </w:r>
            <w:r>
              <w:rPr>
                <w:sz w:val="24"/>
                <w:szCs w:val="24"/>
              </w:rPr>
              <w:t xml:space="preserve">，生活给水系统由园 </w:t>
            </w:r>
            <w:r>
              <w:rPr>
                <w:spacing w:val="1"/>
                <w:sz w:val="24"/>
                <w:szCs w:val="24"/>
              </w:rPr>
              <w:t>区配套供水厂供水，负责供给生活用水、洗车</w:t>
            </w:r>
            <w:r>
              <w:rPr>
                <w:sz w:val="24"/>
                <w:szCs w:val="24"/>
              </w:rPr>
              <w:t xml:space="preserve">用水、地面冲洗用水和绿化用 </w:t>
            </w:r>
            <w:r>
              <w:rPr>
                <w:spacing w:val="-1"/>
                <w:sz w:val="24"/>
                <w:szCs w:val="24"/>
              </w:rPr>
              <w:t>水；消防水由园区消防管网补水。</w:t>
            </w:r>
          </w:p>
          <w:p w14:paraId="5013CBDE">
            <w:pPr>
              <w:pStyle w:val="6"/>
              <w:spacing w:line="217" w:lineRule="auto"/>
              <w:ind w:left="591"/>
              <w:rPr>
                <w:sz w:val="24"/>
                <w:szCs w:val="24"/>
              </w:rPr>
            </w:pPr>
            <w:r>
              <w:rPr>
                <w:spacing w:val="-2"/>
                <w:sz w:val="24"/>
                <w:szCs w:val="24"/>
              </w:rPr>
              <w:t>①生活用水</w:t>
            </w:r>
          </w:p>
          <w:p w14:paraId="112128A9">
            <w:pPr>
              <w:pStyle w:val="6"/>
              <w:spacing w:before="187" w:line="359" w:lineRule="auto"/>
              <w:ind w:left="118" w:right="107" w:firstLine="477"/>
              <w:rPr>
                <w:sz w:val="24"/>
                <w:szCs w:val="24"/>
              </w:rPr>
            </w:pPr>
            <w:r>
              <w:rPr>
                <w:spacing w:val="-4"/>
                <w:sz w:val="24"/>
                <w:szCs w:val="24"/>
              </w:rPr>
              <w:t>项目劳动定员为</w:t>
            </w:r>
            <w:r>
              <w:rPr>
                <w:spacing w:val="-49"/>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人，员工在场内食宿，年工作日为</w:t>
            </w:r>
            <w:r>
              <w:rPr>
                <w:spacing w:val="-50"/>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4"/>
                <w:sz w:val="24"/>
                <w:szCs w:val="24"/>
              </w:rPr>
              <w:t xml:space="preserve"> </w:t>
            </w:r>
            <w:r>
              <w:rPr>
                <w:spacing w:val="-4"/>
                <w:sz w:val="24"/>
                <w:szCs w:val="24"/>
              </w:rPr>
              <w:t>天，参照《内</w:t>
            </w:r>
            <w:r>
              <w:rPr>
                <w:sz w:val="24"/>
                <w:szCs w:val="24"/>
              </w:rPr>
              <w:t xml:space="preserve"> </w:t>
            </w:r>
            <w:r>
              <w:rPr>
                <w:spacing w:val="2"/>
                <w:sz w:val="24"/>
                <w:szCs w:val="24"/>
              </w:rPr>
              <w:t>蒙古自治区行业用水定额》（</w:t>
            </w:r>
            <w:r>
              <w:rPr>
                <w:rFonts w:ascii="Times New Roman" w:hAnsi="Times New Roman" w:eastAsia="Times New Roman" w:cs="Times New Roman"/>
                <w:sz w:val="24"/>
                <w:szCs w:val="24"/>
              </w:rPr>
              <w:t>DB</w:t>
            </w:r>
            <w:r>
              <w:rPr>
                <w:rFonts w:ascii="Times New Roman" w:hAnsi="Times New Roman" w:eastAsia="Times New Roman" w:cs="Times New Roman"/>
                <w:spacing w:val="2"/>
                <w:sz w:val="24"/>
                <w:szCs w:val="24"/>
              </w:rPr>
              <w:t>15/T385-2020</w:t>
            </w:r>
            <w:r>
              <w:rPr>
                <w:spacing w:val="2"/>
                <w:sz w:val="24"/>
                <w:szCs w:val="24"/>
              </w:rPr>
              <w:t>）中“社会用</w:t>
            </w:r>
            <w:r>
              <w:rPr>
                <w:spacing w:val="1"/>
                <w:sz w:val="24"/>
                <w:szCs w:val="24"/>
              </w:rPr>
              <w:t>水定额</w:t>
            </w:r>
            <w:r>
              <w:rPr>
                <w:rFonts w:ascii="Times New Roman" w:hAnsi="Times New Roman" w:eastAsia="Times New Roman" w:cs="Times New Roman"/>
                <w:spacing w:val="1"/>
                <w:sz w:val="24"/>
                <w:szCs w:val="24"/>
              </w:rPr>
              <w:t>--</w:t>
            </w:r>
            <w:r>
              <w:rPr>
                <w:spacing w:val="1"/>
                <w:sz w:val="24"/>
                <w:szCs w:val="24"/>
              </w:rPr>
              <w:t>城市居</w:t>
            </w:r>
            <w:r>
              <w:rPr>
                <w:sz w:val="24"/>
                <w:szCs w:val="24"/>
              </w:rPr>
              <w:t xml:space="preserve"> </w:t>
            </w:r>
            <w:r>
              <w:rPr>
                <w:spacing w:val="-4"/>
                <w:sz w:val="24"/>
                <w:szCs w:val="24"/>
              </w:rPr>
              <w:t>民</w:t>
            </w:r>
            <w:r>
              <w:rPr>
                <w:spacing w:val="-88"/>
                <w:sz w:val="24"/>
                <w:szCs w:val="24"/>
              </w:rPr>
              <w:t xml:space="preserve"> </w:t>
            </w:r>
            <w:r>
              <w:rPr>
                <w:spacing w:val="-4"/>
                <w:sz w:val="24"/>
                <w:szCs w:val="24"/>
              </w:rPr>
              <w:t>”用水定额值</w:t>
            </w:r>
            <w:r>
              <w:rPr>
                <w:spacing w:val="-51"/>
                <w:sz w:val="24"/>
                <w:szCs w:val="24"/>
              </w:rPr>
              <w:t xml:space="preserve"> </w:t>
            </w:r>
            <w:r>
              <w:rPr>
                <w:rFonts w:ascii="Times New Roman" w:hAnsi="Times New Roman" w:eastAsia="Times New Roman" w:cs="Times New Roman"/>
                <w:spacing w:val="-4"/>
                <w:sz w:val="24"/>
                <w:szCs w:val="24"/>
              </w:rPr>
              <w:t>90L/</w:t>
            </w:r>
            <w:r>
              <w:rPr>
                <w:spacing w:val="-4"/>
                <w:sz w:val="24"/>
                <w:szCs w:val="24"/>
              </w:rPr>
              <w:t>人</w:t>
            </w:r>
            <w:r>
              <w:rPr>
                <w:spacing w:val="-28"/>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1"/>
                <w:sz w:val="24"/>
                <w:szCs w:val="24"/>
              </w:rPr>
              <w:t xml:space="preserve"> </w:t>
            </w:r>
            <w:r>
              <w:rPr>
                <w:spacing w:val="-4"/>
                <w:sz w:val="24"/>
                <w:szCs w:val="24"/>
              </w:rPr>
              <w:t>，员工生活用水量为</w:t>
            </w:r>
            <w:r>
              <w:rPr>
                <w:spacing w:val="-55"/>
                <w:sz w:val="24"/>
                <w:szCs w:val="24"/>
              </w:rPr>
              <w:t xml:space="preserve"> </w:t>
            </w:r>
            <w:r>
              <w:rPr>
                <w:rFonts w:ascii="Times New Roman" w:hAnsi="Times New Roman" w:eastAsia="Times New Roman" w:cs="Times New Roman"/>
                <w:spacing w:val="-4"/>
                <w:sz w:val="24"/>
                <w:szCs w:val="24"/>
              </w:rPr>
              <w:t>2.7m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spacing w:val="-4"/>
                <w:sz w:val="24"/>
                <w:szCs w:val="24"/>
              </w:rPr>
              <w:t>（</w:t>
            </w:r>
            <w:r>
              <w:rPr>
                <w:rFonts w:ascii="Times New Roman" w:hAnsi="Times New Roman" w:eastAsia="Times New Roman" w:cs="Times New Roman"/>
                <w:spacing w:val="-5"/>
                <w:sz w:val="24"/>
                <w:szCs w:val="24"/>
              </w:rPr>
              <w:t>985.5m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/a</w:t>
            </w:r>
            <w:r>
              <w:rPr>
                <w:spacing w:val="-5"/>
                <w:sz w:val="24"/>
                <w:szCs w:val="24"/>
              </w:rPr>
              <w:t>）。</w:t>
            </w:r>
          </w:p>
          <w:p w14:paraId="198AD7E5">
            <w:pPr>
              <w:pStyle w:val="6"/>
              <w:spacing w:line="217" w:lineRule="auto"/>
              <w:ind w:left="590"/>
              <w:rPr>
                <w:sz w:val="24"/>
                <w:szCs w:val="24"/>
              </w:rPr>
            </w:pPr>
            <w:r>
              <w:rPr>
                <w:spacing w:val="-2"/>
                <w:sz w:val="24"/>
                <w:szCs w:val="24"/>
              </w:rPr>
              <w:t>②洗车用水</w:t>
            </w:r>
          </w:p>
          <w:p w14:paraId="0260A994">
            <w:pPr>
              <w:pStyle w:val="6"/>
              <w:spacing w:before="187" w:line="352" w:lineRule="auto"/>
              <w:ind w:left="111" w:right="107" w:firstLine="481"/>
              <w:rPr>
                <w:sz w:val="24"/>
                <w:szCs w:val="24"/>
              </w:rPr>
            </w:pPr>
            <w:r>
              <w:rPr>
                <w:spacing w:val="1"/>
                <w:sz w:val="24"/>
                <w:szCs w:val="24"/>
              </w:rPr>
              <w:t>本项目洗车车间主要对空载车辆进行清洗，只清洗</w:t>
            </w:r>
            <w:r>
              <w:rPr>
                <w:sz w:val="24"/>
                <w:szCs w:val="24"/>
              </w:rPr>
              <w:t xml:space="preserve">外部，不清洗内壁。 </w:t>
            </w:r>
            <w:r>
              <w:rPr>
                <w:spacing w:val="2"/>
                <w:sz w:val="24"/>
                <w:szCs w:val="24"/>
              </w:rPr>
              <w:t>清洗车间为间歇式工作，按一天工作</w:t>
            </w:r>
            <w:r>
              <w:rPr>
                <w:spacing w:val="-38"/>
                <w:sz w:val="24"/>
                <w:szCs w:val="24"/>
              </w:rPr>
              <w:t xml:space="preserve"> </w:t>
            </w:r>
            <w:r>
              <w:rPr>
                <w:rFonts w:ascii="Times New Roman" w:hAnsi="Times New Roman" w:eastAsia="Times New Roman" w:cs="Times New Roman"/>
                <w:spacing w:val="2"/>
                <w:sz w:val="24"/>
                <w:szCs w:val="24"/>
              </w:rPr>
              <w:t>8h</w:t>
            </w:r>
            <w:r>
              <w:rPr>
                <w:rFonts w:ascii="Times New Roman" w:hAnsi="Times New Roman" w:eastAsia="Times New Roman" w:cs="Times New Roman"/>
                <w:spacing w:val="-26"/>
                <w:sz w:val="24"/>
                <w:szCs w:val="24"/>
              </w:rPr>
              <w:t xml:space="preserve"> </w:t>
            </w:r>
            <w:r>
              <w:rPr>
                <w:spacing w:val="2"/>
                <w:sz w:val="24"/>
                <w:szCs w:val="24"/>
              </w:rPr>
              <w:t>，洗车次数按最大的空车停车位</w:t>
            </w:r>
            <w:r>
              <w:rPr>
                <w:spacing w:val="-40"/>
                <w:sz w:val="24"/>
                <w:szCs w:val="24"/>
              </w:rPr>
              <w:t xml:space="preserve"> </w:t>
            </w:r>
            <w:r>
              <w:rPr>
                <w:rFonts w:ascii="Times New Roman" w:hAnsi="Times New Roman" w:eastAsia="Times New Roman" w:cs="Times New Roman"/>
                <w:spacing w:val="2"/>
                <w:sz w:val="24"/>
                <w:szCs w:val="24"/>
              </w:rPr>
              <w:t>82</w:t>
            </w:r>
            <w:r>
              <w:rPr>
                <w:rFonts w:ascii="Times New Roman" w:hAnsi="Times New Roman" w:eastAsia="Times New Roman" w:cs="Times New Roman"/>
                <w:sz w:val="24"/>
                <w:szCs w:val="24"/>
              </w:rPr>
              <w:t xml:space="preserve"> </w:t>
            </w:r>
            <w:r>
              <w:rPr>
                <w:spacing w:val="-13"/>
                <w:sz w:val="24"/>
                <w:szCs w:val="24"/>
              </w:rPr>
              <w:t>辆</w:t>
            </w:r>
            <w:r>
              <w:rPr>
                <w:rFonts w:ascii="Times New Roman" w:hAnsi="Times New Roman" w:eastAsia="Times New Roman" w:cs="Times New Roman"/>
                <w:spacing w:val="-13"/>
                <w:sz w:val="24"/>
                <w:szCs w:val="24"/>
              </w:rPr>
              <w:t xml:space="preserve">/ </w:t>
            </w:r>
            <w:r>
              <w:rPr>
                <w:spacing w:val="-13"/>
                <w:sz w:val="24"/>
                <w:szCs w:val="24"/>
              </w:rPr>
              <w:t>天</w:t>
            </w:r>
            <w:r>
              <w:rPr>
                <w:spacing w:val="-55"/>
                <w:sz w:val="24"/>
                <w:szCs w:val="24"/>
              </w:rPr>
              <w:t xml:space="preserve"> </w:t>
            </w:r>
            <w:r>
              <w:rPr>
                <w:spacing w:val="-13"/>
                <w:sz w:val="24"/>
                <w:szCs w:val="24"/>
              </w:rPr>
              <w:t>进</w:t>
            </w:r>
            <w:r>
              <w:rPr>
                <w:spacing w:val="-64"/>
                <w:sz w:val="24"/>
                <w:szCs w:val="24"/>
              </w:rPr>
              <w:t xml:space="preserve"> </w:t>
            </w:r>
            <w:r>
              <w:rPr>
                <w:spacing w:val="-13"/>
                <w:sz w:val="24"/>
                <w:szCs w:val="24"/>
              </w:rPr>
              <w:t>行</w:t>
            </w:r>
            <w:r>
              <w:rPr>
                <w:spacing w:val="-70"/>
                <w:sz w:val="24"/>
                <w:szCs w:val="24"/>
              </w:rPr>
              <w:t xml:space="preserve"> </w:t>
            </w:r>
            <w:r>
              <w:rPr>
                <w:spacing w:val="-13"/>
                <w:sz w:val="24"/>
                <w:szCs w:val="24"/>
              </w:rPr>
              <w:t>计</w:t>
            </w:r>
            <w:r>
              <w:rPr>
                <w:spacing w:val="-67"/>
                <w:sz w:val="24"/>
                <w:szCs w:val="24"/>
              </w:rPr>
              <w:t xml:space="preserve"> </w:t>
            </w:r>
            <w:r>
              <w:rPr>
                <w:spacing w:val="-13"/>
                <w:sz w:val="24"/>
                <w:szCs w:val="24"/>
              </w:rPr>
              <w:t>算</w:t>
            </w:r>
            <w:r>
              <w:rPr>
                <w:spacing w:val="-48"/>
                <w:sz w:val="24"/>
                <w:szCs w:val="24"/>
              </w:rPr>
              <w:t xml:space="preserve"> </w:t>
            </w:r>
            <w:r>
              <w:rPr>
                <w:spacing w:val="-13"/>
                <w:sz w:val="24"/>
                <w:szCs w:val="24"/>
              </w:rPr>
              <w:t>，</w:t>
            </w:r>
            <w:r>
              <w:rPr>
                <w:spacing w:val="-71"/>
                <w:sz w:val="24"/>
                <w:szCs w:val="24"/>
              </w:rPr>
              <w:t xml:space="preserve"> </w:t>
            </w:r>
            <w:r>
              <w:rPr>
                <w:spacing w:val="-13"/>
                <w:sz w:val="24"/>
                <w:szCs w:val="24"/>
              </w:rPr>
              <w:t>洗</w:t>
            </w:r>
            <w:r>
              <w:rPr>
                <w:spacing w:val="-68"/>
                <w:sz w:val="24"/>
                <w:szCs w:val="24"/>
              </w:rPr>
              <w:t xml:space="preserve"> </w:t>
            </w:r>
            <w:r>
              <w:rPr>
                <w:spacing w:val="-13"/>
                <w:sz w:val="24"/>
                <w:szCs w:val="24"/>
              </w:rPr>
              <w:t>车</w:t>
            </w:r>
            <w:r>
              <w:rPr>
                <w:spacing w:val="-65"/>
                <w:sz w:val="24"/>
                <w:szCs w:val="24"/>
              </w:rPr>
              <w:t xml:space="preserve"> </w:t>
            </w:r>
            <w:r>
              <w:rPr>
                <w:spacing w:val="-13"/>
                <w:sz w:val="24"/>
                <w:szCs w:val="24"/>
              </w:rPr>
              <w:t>用</w:t>
            </w:r>
            <w:r>
              <w:rPr>
                <w:spacing w:val="-67"/>
                <w:sz w:val="24"/>
                <w:szCs w:val="24"/>
              </w:rPr>
              <w:t xml:space="preserve"> </w:t>
            </w:r>
            <w:r>
              <w:rPr>
                <w:spacing w:val="-13"/>
                <w:sz w:val="24"/>
                <w:szCs w:val="24"/>
              </w:rPr>
              <w:t>水</w:t>
            </w:r>
            <w:r>
              <w:rPr>
                <w:spacing w:val="-68"/>
                <w:sz w:val="24"/>
                <w:szCs w:val="24"/>
              </w:rPr>
              <w:t xml:space="preserve"> </w:t>
            </w:r>
            <w:r>
              <w:rPr>
                <w:spacing w:val="-13"/>
                <w:sz w:val="24"/>
                <w:szCs w:val="24"/>
              </w:rPr>
              <w:t>量</w:t>
            </w:r>
            <w:r>
              <w:rPr>
                <w:spacing w:val="-68"/>
                <w:sz w:val="24"/>
                <w:szCs w:val="24"/>
              </w:rPr>
              <w:t xml:space="preserve"> </w:t>
            </w:r>
            <w:r>
              <w:rPr>
                <w:spacing w:val="-13"/>
                <w:sz w:val="24"/>
                <w:szCs w:val="24"/>
              </w:rPr>
              <w:t>参</w:t>
            </w:r>
            <w:r>
              <w:rPr>
                <w:spacing w:val="-62"/>
                <w:sz w:val="24"/>
                <w:szCs w:val="24"/>
              </w:rPr>
              <w:t xml:space="preserve"> </w:t>
            </w:r>
            <w:r>
              <w:rPr>
                <w:spacing w:val="-13"/>
                <w:sz w:val="24"/>
                <w:szCs w:val="24"/>
              </w:rPr>
              <w:t>照《 内</w:t>
            </w:r>
            <w:r>
              <w:rPr>
                <w:spacing w:val="-64"/>
                <w:sz w:val="24"/>
                <w:szCs w:val="24"/>
              </w:rPr>
              <w:t xml:space="preserve"> </w:t>
            </w:r>
            <w:r>
              <w:rPr>
                <w:spacing w:val="-13"/>
                <w:sz w:val="24"/>
                <w:szCs w:val="24"/>
              </w:rPr>
              <w:t>蒙</w:t>
            </w:r>
            <w:r>
              <w:rPr>
                <w:spacing w:val="-61"/>
                <w:sz w:val="24"/>
                <w:szCs w:val="24"/>
              </w:rPr>
              <w:t xml:space="preserve"> </w:t>
            </w:r>
            <w:r>
              <w:rPr>
                <w:spacing w:val="-13"/>
                <w:sz w:val="24"/>
                <w:szCs w:val="24"/>
              </w:rPr>
              <w:t>古</w:t>
            </w:r>
            <w:r>
              <w:rPr>
                <w:spacing w:val="-31"/>
                <w:sz w:val="24"/>
                <w:szCs w:val="24"/>
              </w:rPr>
              <w:t xml:space="preserve"> </w:t>
            </w:r>
            <w:r>
              <w:rPr>
                <w:spacing w:val="-13"/>
                <w:sz w:val="24"/>
                <w:szCs w:val="24"/>
              </w:rPr>
              <w:t>自</w:t>
            </w:r>
            <w:r>
              <w:rPr>
                <w:spacing w:val="-64"/>
                <w:sz w:val="24"/>
                <w:szCs w:val="24"/>
              </w:rPr>
              <w:t xml:space="preserve"> </w:t>
            </w:r>
            <w:r>
              <w:rPr>
                <w:spacing w:val="-13"/>
                <w:sz w:val="24"/>
                <w:szCs w:val="24"/>
              </w:rPr>
              <w:t>治</w:t>
            </w:r>
            <w:r>
              <w:rPr>
                <w:spacing w:val="-49"/>
                <w:sz w:val="24"/>
                <w:szCs w:val="24"/>
              </w:rPr>
              <w:t xml:space="preserve"> </w:t>
            </w:r>
            <w:r>
              <w:rPr>
                <w:spacing w:val="-13"/>
                <w:sz w:val="24"/>
                <w:szCs w:val="24"/>
              </w:rPr>
              <w:t>区</w:t>
            </w:r>
            <w:r>
              <w:rPr>
                <w:spacing w:val="-66"/>
                <w:sz w:val="24"/>
                <w:szCs w:val="24"/>
              </w:rPr>
              <w:t xml:space="preserve"> </w:t>
            </w:r>
            <w:r>
              <w:rPr>
                <w:spacing w:val="-13"/>
                <w:sz w:val="24"/>
                <w:szCs w:val="24"/>
              </w:rPr>
              <w:t>行</w:t>
            </w:r>
            <w:r>
              <w:rPr>
                <w:spacing w:val="-71"/>
                <w:sz w:val="24"/>
                <w:szCs w:val="24"/>
              </w:rPr>
              <w:t xml:space="preserve"> </w:t>
            </w:r>
            <w:r>
              <w:rPr>
                <w:spacing w:val="-13"/>
                <w:sz w:val="24"/>
                <w:szCs w:val="24"/>
              </w:rPr>
              <w:t>业</w:t>
            </w:r>
            <w:r>
              <w:rPr>
                <w:spacing w:val="-66"/>
                <w:sz w:val="24"/>
                <w:szCs w:val="24"/>
              </w:rPr>
              <w:t xml:space="preserve"> </w:t>
            </w:r>
            <w:r>
              <w:rPr>
                <w:spacing w:val="-13"/>
                <w:sz w:val="24"/>
                <w:szCs w:val="24"/>
              </w:rPr>
              <w:t>用</w:t>
            </w:r>
            <w:r>
              <w:rPr>
                <w:spacing w:val="-67"/>
                <w:sz w:val="24"/>
                <w:szCs w:val="24"/>
              </w:rPr>
              <w:t xml:space="preserve"> </w:t>
            </w:r>
            <w:r>
              <w:rPr>
                <w:spacing w:val="-13"/>
                <w:sz w:val="24"/>
                <w:szCs w:val="24"/>
              </w:rPr>
              <w:t>水</w:t>
            </w:r>
            <w:r>
              <w:rPr>
                <w:spacing w:val="-64"/>
                <w:sz w:val="24"/>
                <w:szCs w:val="24"/>
              </w:rPr>
              <w:t xml:space="preserve"> </w:t>
            </w:r>
            <w:r>
              <w:rPr>
                <w:spacing w:val="-13"/>
                <w:sz w:val="24"/>
                <w:szCs w:val="24"/>
              </w:rPr>
              <w:t>定</w:t>
            </w:r>
            <w:r>
              <w:rPr>
                <w:spacing w:val="-67"/>
                <w:sz w:val="24"/>
                <w:szCs w:val="24"/>
              </w:rPr>
              <w:t xml:space="preserve"> </w:t>
            </w:r>
            <w:r>
              <w:rPr>
                <w:spacing w:val="-13"/>
                <w:sz w:val="24"/>
                <w:szCs w:val="24"/>
              </w:rPr>
              <w:t>额</w:t>
            </w:r>
            <w:r>
              <w:rPr>
                <w:spacing w:val="-57"/>
                <w:sz w:val="24"/>
                <w:szCs w:val="24"/>
              </w:rPr>
              <w:t xml:space="preserve"> </w:t>
            </w:r>
            <w:r>
              <w:rPr>
                <w:spacing w:val="-13"/>
                <w:sz w:val="24"/>
                <w:szCs w:val="24"/>
              </w:rPr>
              <w:t>》</w:t>
            </w:r>
            <w:r>
              <w:rPr>
                <w:sz w:val="24"/>
                <w:szCs w:val="24"/>
              </w:rPr>
              <w:t xml:space="preserve"> </w:t>
            </w:r>
            <w:r>
              <w:rPr>
                <w:spacing w:val="-1"/>
                <w:sz w:val="24"/>
                <w:szCs w:val="24"/>
              </w:rPr>
              <w:t>（</w:t>
            </w:r>
            <w:r>
              <w:rPr>
                <w:rFonts w:ascii="Times New Roman" w:hAnsi="Times New Roman" w:eastAsia="Times New Roman" w:cs="Times New Roman"/>
                <w:spacing w:val="-1"/>
                <w:sz w:val="24"/>
                <w:szCs w:val="24"/>
              </w:rPr>
              <w:t>DB15/T385-2020</w:t>
            </w:r>
            <w:r>
              <w:rPr>
                <w:spacing w:val="-1"/>
                <w:sz w:val="24"/>
                <w:szCs w:val="24"/>
              </w:rPr>
              <w:t>）中“社会用水定额</w:t>
            </w:r>
            <w:r>
              <w:rPr>
                <w:rFonts w:ascii="Times New Roman" w:hAnsi="Times New Roman" w:eastAsia="Times New Roman" w:cs="Times New Roman"/>
                <w:spacing w:val="-1"/>
                <w:sz w:val="24"/>
                <w:szCs w:val="24"/>
              </w:rPr>
              <w:t>--</w:t>
            </w:r>
            <w:r>
              <w:rPr>
                <w:spacing w:val="-1"/>
                <w:sz w:val="24"/>
                <w:szCs w:val="24"/>
              </w:rPr>
              <w:t>其他居民服务业</w:t>
            </w:r>
            <w:r>
              <w:rPr>
                <w:rFonts w:ascii="Times New Roman" w:hAnsi="Times New Roman" w:eastAsia="Times New Roman" w:cs="Times New Roman"/>
                <w:spacing w:val="-1"/>
                <w:sz w:val="24"/>
                <w:szCs w:val="24"/>
              </w:rPr>
              <w:t>--</w:t>
            </w:r>
            <w:r>
              <w:rPr>
                <w:spacing w:val="-1"/>
                <w:sz w:val="24"/>
                <w:szCs w:val="24"/>
              </w:rPr>
              <w:t>洗车</w:t>
            </w:r>
            <w:r>
              <w:rPr>
                <w:rFonts w:ascii="Times New Roman" w:hAnsi="Times New Roman" w:eastAsia="Times New Roman" w:cs="Times New Roman"/>
                <w:spacing w:val="-1"/>
                <w:sz w:val="24"/>
                <w:szCs w:val="24"/>
              </w:rPr>
              <w:t>--</w:t>
            </w:r>
            <w:r>
              <w:rPr>
                <w:spacing w:val="-1"/>
                <w:sz w:val="24"/>
                <w:szCs w:val="24"/>
              </w:rPr>
              <w:t>大型车</w:t>
            </w:r>
            <w:r>
              <w:rPr>
                <w:spacing w:val="-78"/>
                <w:sz w:val="24"/>
                <w:szCs w:val="24"/>
              </w:rPr>
              <w:t xml:space="preserve"> </w:t>
            </w:r>
            <w:r>
              <w:rPr>
                <w:spacing w:val="-1"/>
                <w:sz w:val="24"/>
                <w:szCs w:val="24"/>
              </w:rPr>
              <w:t>”用</w:t>
            </w:r>
            <w:r>
              <w:rPr>
                <w:sz w:val="24"/>
                <w:szCs w:val="24"/>
              </w:rPr>
              <w:t xml:space="preserve"> 水定额值</w:t>
            </w:r>
            <w:r>
              <w:rPr>
                <w:spacing w:val="-51"/>
                <w:sz w:val="24"/>
                <w:szCs w:val="24"/>
              </w:rPr>
              <w:t xml:space="preserve"> </w:t>
            </w:r>
            <w:r>
              <w:rPr>
                <w:rFonts w:ascii="Times New Roman" w:hAnsi="Times New Roman" w:eastAsia="Times New Roman" w:cs="Times New Roman"/>
                <w:sz w:val="24"/>
                <w:szCs w:val="24"/>
              </w:rPr>
              <w:t>0.03m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w:t>
            </w:r>
            <w:r>
              <w:rPr>
                <w:sz w:val="24"/>
                <w:szCs w:val="24"/>
              </w:rPr>
              <w:t>车次，则洗车用水量为</w:t>
            </w:r>
            <w:r>
              <w:rPr>
                <w:spacing w:val="-55"/>
                <w:sz w:val="24"/>
                <w:szCs w:val="24"/>
              </w:rPr>
              <w:t xml:space="preserve"> </w:t>
            </w:r>
            <w:r>
              <w:rPr>
                <w:rFonts w:ascii="Times New Roman" w:hAnsi="Times New Roman" w:eastAsia="Times New Roman" w:cs="Times New Roman"/>
                <w:sz w:val="24"/>
                <w:szCs w:val="24"/>
              </w:rPr>
              <w:t>2.46</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spacing w:val="-1"/>
                <w:sz w:val="24"/>
                <w:szCs w:val="24"/>
              </w:rPr>
              <w:t>（</w:t>
            </w:r>
            <w:r>
              <w:rPr>
                <w:rFonts w:ascii="Times New Roman" w:hAnsi="Times New Roman" w:eastAsia="Times New Roman" w:cs="Times New Roman"/>
                <w:spacing w:val="-1"/>
                <w:sz w:val="24"/>
                <w:szCs w:val="24"/>
              </w:rPr>
              <w:t>897.9m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spacing w:val="-1"/>
                <w:sz w:val="24"/>
                <w:szCs w:val="24"/>
              </w:rPr>
              <w:t>）。</w:t>
            </w:r>
          </w:p>
        </w:tc>
      </w:tr>
    </w:tbl>
    <w:p w14:paraId="473E6292">
      <w:pPr>
        <w:pStyle w:val="2"/>
      </w:pPr>
    </w:p>
    <w:p w14:paraId="50A4419D">
      <w:pPr>
        <w:sectPr>
          <w:footerReference r:id="rId47" w:type="default"/>
          <w:pgSz w:w="11906" w:h="16839"/>
          <w:pgMar w:top="400" w:right="1588" w:bottom="1259" w:left="1687" w:header="0" w:footer="1097" w:gutter="0"/>
          <w:cols w:space="720" w:num="1"/>
        </w:sectPr>
      </w:pPr>
    </w:p>
    <w:p w14:paraId="4918AD60">
      <w:pPr>
        <w:spacing w:before="19"/>
      </w:pPr>
    </w:p>
    <w:p w14:paraId="34044E40">
      <w:pPr>
        <w:spacing w:before="19"/>
      </w:pPr>
    </w:p>
    <w:p w14:paraId="40EB2929">
      <w:pPr>
        <w:spacing w:before="18"/>
      </w:pPr>
    </w:p>
    <w:p w14:paraId="2CBA252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61B5B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4" w:hRule="atLeast"/>
        </w:trPr>
        <w:tc>
          <w:tcPr>
            <w:tcW w:w="456" w:type="dxa"/>
            <w:vAlign w:val="top"/>
          </w:tcPr>
          <w:p w14:paraId="57A7E94B">
            <w:pPr>
              <w:rPr>
                <w:rFonts w:ascii="Arial"/>
                <w:sz w:val="21"/>
              </w:rPr>
            </w:pPr>
          </w:p>
        </w:tc>
        <w:tc>
          <w:tcPr>
            <w:tcW w:w="8169" w:type="dxa"/>
            <w:vAlign w:val="top"/>
          </w:tcPr>
          <w:p w14:paraId="0685E64B">
            <w:pPr>
              <w:pStyle w:val="6"/>
              <w:spacing w:before="42" w:line="217" w:lineRule="auto"/>
              <w:ind w:left="590"/>
              <w:rPr>
                <w:sz w:val="24"/>
                <w:szCs w:val="24"/>
              </w:rPr>
            </w:pPr>
            <w:r>
              <w:rPr>
                <w:spacing w:val="-2"/>
                <w:sz w:val="24"/>
                <w:szCs w:val="24"/>
              </w:rPr>
              <w:t>③地面冲洗用水</w:t>
            </w:r>
          </w:p>
          <w:p w14:paraId="70648140">
            <w:pPr>
              <w:pStyle w:val="6"/>
              <w:spacing w:before="183" w:line="359" w:lineRule="auto"/>
              <w:ind w:left="113" w:right="107" w:firstLine="480"/>
              <w:rPr>
                <w:sz w:val="24"/>
                <w:szCs w:val="24"/>
              </w:rPr>
            </w:pPr>
            <w:r>
              <w:rPr>
                <w:spacing w:val="-2"/>
                <w:sz w:val="24"/>
                <w:szCs w:val="24"/>
              </w:rPr>
              <w:t>本项目维修间、洗车间需定期进行地面冲洗，每周清洗</w:t>
            </w:r>
            <w:r>
              <w:rPr>
                <w:spacing w:val="-26"/>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6"/>
                <w:w w:val="101"/>
                <w:sz w:val="24"/>
                <w:szCs w:val="24"/>
              </w:rPr>
              <w:t xml:space="preserve"> </w:t>
            </w:r>
            <w:r>
              <w:rPr>
                <w:spacing w:val="-2"/>
                <w:sz w:val="24"/>
                <w:szCs w:val="24"/>
              </w:rPr>
              <w:t>次，每年清洗</w:t>
            </w:r>
            <w:r>
              <w:rPr>
                <w:sz w:val="24"/>
                <w:szCs w:val="24"/>
              </w:rPr>
              <w:t xml:space="preserve"> </w:t>
            </w:r>
            <w:r>
              <w:rPr>
                <w:rFonts w:ascii="Times New Roman" w:hAnsi="Times New Roman" w:eastAsia="Times New Roman" w:cs="Times New Roman"/>
                <w:spacing w:val="1"/>
                <w:sz w:val="24"/>
                <w:szCs w:val="24"/>
              </w:rPr>
              <w:t>53</w:t>
            </w:r>
            <w:r>
              <w:rPr>
                <w:rFonts w:ascii="Times New Roman" w:hAnsi="Times New Roman" w:eastAsia="Times New Roman" w:cs="Times New Roman"/>
                <w:spacing w:val="21"/>
                <w:sz w:val="24"/>
                <w:szCs w:val="24"/>
              </w:rPr>
              <w:t xml:space="preserve"> </w:t>
            </w:r>
            <w:r>
              <w:rPr>
                <w:spacing w:val="1"/>
                <w:sz w:val="24"/>
                <w:szCs w:val="24"/>
              </w:rPr>
              <w:t>次，建筑面积为</w:t>
            </w:r>
            <w:r>
              <w:rPr>
                <w:spacing w:val="-43"/>
                <w:sz w:val="24"/>
                <w:szCs w:val="24"/>
              </w:rPr>
              <w:t xml:space="preserve"> </w:t>
            </w:r>
            <w:r>
              <w:rPr>
                <w:rFonts w:ascii="Times New Roman" w:hAnsi="Times New Roman" w:eastAsia="Times New Roman" w:cs="Times New Roman"/>
                <w:spacing w:val="1"/>
                <w:sz w:val="24"/>
                <w:szCs w:val="24"/>
              </w:rPr>
              <w:t>644.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16m</w:t>
            </w:r>
            <w:r>
              <w:rPr>
                <w:rFonts w:ascii="Times New Roman" w:hAnsi="Times New Roman" w:eastAsia="Times New Roman" w:cs="Times New Roman"/>
                <w:spacing w:val="1"/>
                <w:position w:val="7"/>
                <w:sz w:val="15"/>
                <w:szCs w:val="15"/>
              </w:rPr>
              <w:t xml:space="preserve">2 </w:t>
            </w:r>
            <w:r>
              <w:rPr>
                <w:spacing w:val="1"/>
                <w:sz w:val="28"/>
                <w:szCs w:val="28"/>
              </w:rPr>
              <w:t>，</w:t>
            </w:r>
            <w:r>
              <w:rPr>
                <w:spacing w:val="1"/>
                <w:sz w:val="24"/>
                <w:szCs w:val="24"/>
              </w:rPr>
              <w:t>用水量参照《内蒙</w:t>
            </w:r>
            <w:r>
              <w:rPr>
                <w:sz w:val="24"/>
                <w:szCs w:val="24"/>
              </w:rPr>
              <w:t xml:space="preserve">古自治区行业用水定额》 </w:t>
            </w:r>
            <w:r>
              <w:rPr>
                <w:spacing w:val="-2"/>
                <w:sz w:val="24"/>
                <w:szCs w:val="24"/>
              </w:rPr>
              <w:t>（</w:t>
            </w:r>
            <w:r>
              <w:rPr>
                <w:rFonts w:ascii="Times New Roman" w:hAnsi="Times New Roman" w:eastAsia="Times New Roman" w:cs="Times New Roman"/>
                <w:spacing w:val="-2"/>
                <w:sz w:val="24"/>
                <w:szCs w:val="24"/>
              </w:rPr>
              <w:t>DB15/T385-2020</w:t>
            </w:r>
            <w:r>
              <w:rPr>
                <w:spacing w:val="-2"/>
                <w:sz w:val="24"/>
                <w:szCs w:val="24"/>
              </w:rPr>
              <w:t>）中“社会用水定额</w:t>
            </w:r>
            <w:r>
              <w:rPr>
                <w:rFonts w:ascii="Times New Roman" w:hAnsi="Times New Roman" w:eastAsia="Times New Roman" w:cs="Times New Roman"/>
                <w:spacing w:val="-2"/>
                <w:sz w:val="24"/>
                <w:szCs w:val="24"/>
              </w:rPr>
              <w:t>--</w:t>
            </w:r>
            <w:r>
              <w:rPr>
                <w:spacing w:val="-2"/>
                <w:sz w:val="24"/>
                <w:szCs w:val="24"/>
              </w:rPr>
              <w:t>其他居民服务业</w:t>
            </w:r>
            <w:r>
              <w:rPr>
                <w:rFonts w:ascii="Times New Roman" w:hAnsi="Times New Roman" w:eastAsia="Times New Roman" w:cs="Times New Roman"/>
                <w:spacing w:val="-2"/>
                <w:sz w:val="24"/>
                <w:szCs w:val="24"/>
              </w:rPr>
              <w:t>--</w:t>
            </w:r>
            <w:r>
              <w:rPr>
                <w:spacing w:val="-2"/>
                <w:sz w:val="24"/>
                <w:szCs w:val="24"/>
              </w:rPr>
              <w:t>停车场、车库地面</w:t>
            </w:r>
            <w:r>
              <w:rPr>
                <w:spacing w:val="2"/>
                <w:sz w:val="24"/>
                <w:szCs w:val="24"/>
              </w:rPr>
              <w:t xml:space="preserve"> </w:t>
            </w:r>
            <w:r>
              <w:rPr>
                <w:spacing w:val="-3"/>
                <w:sz w:val="24"/>
                <w:szCs w:val="24"/>
              </w:rPr>
              <w:t>冲洗</w:t>
            </w:r>
            <w:r>
              <w:rPr>
                <w:spacing w:val="-87"/>
                <w:sz w:val="24"/>
                <w:szCs w:val="24"/>
              </w:rPr>
              <w:t xml:space="preserve"> </w:t>
            </w:r>
            <w:r>
              <w:rPr>
                <w:spacing w:val="-3"/>
                <w:sz w:val="24"/>
                <w:szCs w:val="24"/>
              </w:rPr>
              <w:t>”用水定额值</w:t>
            </w:r>
            <w:r>
              <w:rPr>
                <w:spacing w:val="-55"/>
                <w:sz w:val="24"/>
                <w:szCs w:val="24"/>
              </w:rPr>
              <w:t xml:space="preserve"> </w:t>
            </w:r>
            <w:r>
              <w:rPr>
                <w:rFonts w:ascii="Times New Roman" w:hAnsi="Times New Roman" w:eastAsia="Times New Roman" w:cs="Times New Roman"/>
                <w:spacing w:val="-3"/>
                <w:sz w:val="24"/>
                <w:szCs w:val="24"/>
              </w:rPr>
              <w:t>2L/</w:t>
            </w:r>
            <w:r>
              <w:rPr>
                <w:spacing w:val="-3"/>
                <w:sz w:val="24"/>
                <w:szCs w:val="24"/>
              </w:rPr>
              <w:t>（</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2  </w:t>
            </w:r>
            <w:r>
              <w:rPr>
                <w:spacing w:val="-3"/>
                <w:sz w:val="24"/>
                <w:szCs w:val="24"/>
              </w:rPr>
              <w:t>·次</w:t>
            </w:r>
            <w:r>
              <w:rPr>
                <w:spacing w:val="3"/>
                <w:sz w:val="24"/>
                <w:szCs w:val="24"/>
              </w:rPr>
              <w:t>），</w:t>
            </w:r>
            <w:r>
              <w:rPr>
                <w:spacing w:val="-3"/>
                <w:sz w:val="24"/>
                <w:szCs w:val="24"/>
              </w:rPr>
              <w:t>则地面冲洗用水量为</w:t>
            </w:r>
            <w:r>
              <w:rPr>
                <w:spacing w:val="-49"/>
                <w:sz w:val="24"/>
                <w:szCs w:val="24"/>
              </w:rPr>
              <w:t xml:space="preserve"> </w:t>
            </w:r>
            <w:r>
              <w:rPr>
                <w:rFonts w:ascii="Times New Roman" w:hAnsi="Times New Roman" w:eastAsia="Times New Roman" w:cs="Times New Roman"/>
                <w:spacing w:val="-3"/>
                <w:sz w:val="24"/>
                <w:szCs w:val="24"/>
              </w:rPr>
              <w:t>68.</w:t>
            </w:r>
            <w:r>
              <w:rPr>
                <w:rFonts w:ascii="Times New Roman" w:hAnsi="Times New Roman" w:eastAsia="Times New Roman" w:cs="Times New Roman"/>
                <w:spacing w:val="-4"/>
                <w:sz w:val="24"/>
                <w:szCs w:val="24"/>
              </w:rPr>
              <w:t>28m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/a</w:t>
            </w:r>
            <w:r>
              <w:rPr>
                <w:spacing w:val="-4"/>
                <w:sz w:val="24"/>
                <w:szCs w:val="24"/>
              </w:rPr>
              <w:t>（</w:t>
            </w:r>
            <w:r>
              <w:rPr>
                <w:rFonts w:ascii="Times New Roman" w:hAnsi="Times New Roman" w:eastAsia="Times New Roman" w:cs="Times New Roman"/>
                <w:spacing w:val="-4"/>
                <w:sz w:val="24"/>
                <w:szCs w:val="24"/>
              </w:rPr>
              <w:t>1.29m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w:t>
            </w:r>
            <w:r>
              <w:rPr>
                <w:spacing w:val="-4"/>
                <w:sz w:val="24"/>
                <w:szCs w:val="24"/>
              </w:rPr>
              <w:t>次）。</w:t>
            </w:r>
          </w:p>
          <w:p w14:paraId="707348AD">
            <w:pPr>
              <w:pStyle w:val="6"/>
              <w:spacing w:line="217" w:lineRule="auto"/>
              <w:ind w:left="590"/>
              <w:rPr>
                <w:sz w:val="24"/>
                <w:szCs w:val="24"/>
              </w:rPr>
            </w:pPr>
            <w:r>
              <w:rPr>
                <w:spacing w:val="-2"/>
                <w:sz w:val="24"/>
                <w:szCs w:val="24"/>
              </w:rPr>
              <w:t>④绿化用水</w:t>
            </w:r>
          </w:p>
          <w:p w14:paraId="416A2039">
            <w:pPr>
              <w:pStyle w:val="6"/>
              <w:spacing w:before="184" w:line="359" w:lineRule="auto"/>
              <w:ind w:left="113" w:right="107" w:firstLine="478"/>
              <w:rPr>
                <w:sz w:val="24"/>
                <w:szCs w:val="24"/>
              </w:rPr>
            </w:pPr>
            <w:r>
              <w:rPr>
                <w:sz w:val="24"/>
                <w:szCs w:val="24"/>
              </w:rPr>
              <w:t>场区绿化采取集中于分散相结合的绿化形式，总绿化面积为</w:t>
            </w:r>
            <w:r>
              <w:rPr>
                <w:spacing w:val="-29"/>
                <w:sz w:val="24"/>
                <w:szCs w:val="24"/>
              </w:rPr>
              <w:t xml:space="preserve"> </w:t>
            </w:r>
            <w:r>
              <w:rPr>
                <w:rFonts w:ascii="Times New Roman" w:hAnsi="Times New Roman" w:eastAsia="Times New Roman" w:cs="Times New Roman"/>
                <w:sz w:val="24"/>
                <w:szCs w:val="24"/>
              </w:rPr>
              <w:t>15</w:t>
            </w:r>
            <w:r>
              <w:rPr>
                <w:rFonts w:ascii="Times New Roman" w:hAnsi="Times New Roman" w:eastAsia="Times New Roman" w:cs="Times New Roman"/>
                <w:spacing w:val="-1"/>
                <w:sz w:val="24"/>
                <w:szCs w:val="24"/>
              </w:rPr>
              <w:t>0m</w:t>
            </w:r>
            <w:r>
              <w:rPr>
                <w:rFonts w:ascii="Times New Roman" w:hAnsi="Times New Roman" w:eastAsia="Times New Roman" w:cs="Times New Roman"/>
                <w:spacing w:val="-1"/>
                <w:position w:val="7"/>
                <w:sz w:val="15"/>
                <w:szCs w:val="15"/>
              </w:rPr>
              <w:t xml:space="preserve">2 </w:t>
            </w:r>
            <w:r>
              <w:rPr>
                <w:spacing w:val="-1"/>
                <w:sz w:val="24"/>
                <w:szCs w:val="24"/>
              </w:rPr>
              <w:t>，每</w:t>
            </w:r>
            <w:r>
              <w:rPr>
                <w:sz w:val="24"/>
                <w:szCs w:val="24"/>
              </w:rPr>
              <w:t xml:space="preserve"> </w:t>
            </w:r>
            <w:r>
              <w:rPr>
                <w:spacing w:val="6"/>
                <w:sz w:val="24"/>
                <w:szCs w:val="24"/>
              </w:rPr>
              <w:t>年浇洒天数约为</w:t>
            </w:r>
            <w:r>
              <w:rPr>
                <w:spacing w:val="-22"/>
                <w:sz w:val="24"/>
                <w:szCs w:val="24"/>
              </w:rPr>
              <w:t xml:space="preserve"> </w:t>
            </w:r>
            <w:r>
              <w:rPr>
                <w:rFonts w:ascii="Times New Roman" w:hAnsi="Times New Roman" w:eastAsia="Times New Roman" w:cs="Times New Roman"/>
                <w:spacing w:val="6"/>
                <w:sz w:val="24"/>
                <w:szCs w:val="24"/>
              </w:rPr>
              <w:t>100</w:t>
            </w:r>
            <w:r>
              <w:rPr>
                <w:rFonts w:ascii="Times New Roman" w:hAnsi="Times New Roman" w:eastAsia="Times New Roman" w:cs="Times New Roman"/>
                <w:spacing w:val="21"/>
                <w:sz w:val="24"/>
                <w:szCs w:val="24"/>
              </w:rPr>
              <w:t xml:space="preserve"> </w:t>
            </w:r>
            <w:r>
              <w:rPr>
                <w:spacing w:val="6"/>
                <w:sz w:val="24"/>
                <w:szCs w:val="24"/>
              </w:rPr>
              <w:t>天，绿化用水量参照《内蒙古自治区</w:t>
            </w:r>
            <w:r>
              <w:rPr>
                <w:spacing w:val="5"/>
                <w:sz w:val="24"/>
                <w:szCs w:val="24"/>
              </w:rPr>
              <w:t>行业用水定额》</w:t>
            </w:r>
            <w:r>
              <w:rPr>
                <w:sz w:val="24"/>
                <w:szCs w:val="24"/>
              </w:rPr>
              <w:t xml:space="preserve"> </w:t>
            </w:r>
            <w:r>
              <w:rPr>
                <w:spacing w:val="4"/>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4"/>
                <w:sz w:val="24"/>
                <w:szCs w:val="24"/>
              </w:rPr>
              <w:t xml:space="preserve">15/T385-2020 </w:t>
            </w:r>
            <w:r>
              <w:rPr>
                <w:spacing w:val="4"/>
                <w:sz w:val="24"/>
                <w:szCs w:val="24"/>
              </w:rPr>
              <w:t>）</w:t>
            </w:r>
            <w:r>
              <w:rPr>
                <w:spacing w:val="-52"/>
                <w:sz w:val="24"/>
                <w:szCs w:val="24"/>
              </w:rPr>
              <w:t xml:space="preserve"> </w:t>
            </w:r>
            <w:r>
              <w:rPr>
                <w:spacing w:val="4"/>
                <w:sz w:val="24"/>
                <w:szCs w:val="24"/>
              </w:rPr>
              <w:t>中</w:t>
            </w:r>
            <w:r>
              <w:rPr>
                <w:spacing w:val="-86"/>
                <w:sz w:val="24"/>
                <w:szCs w:val="24"/>
              </w:rPr>
              <w:t xml:space="preserve"> </w:t>
            </w:r>
            <w:r>
              <w:rPr>
                <w:spacing w:val="4"/>
                <w:sz w:val="24"/>
                <w:szCs w:val="24"/>
              </w:rPr>
              <w:t>“</w:t>
            </w:r>
            <w:r>
              <w:rPr>
                <w:spacing w:val="-73"/>
                <w:sz w:val="24"/>
                <w:szCs w:val="24"/>
              </w:rPr>
              <w:t xml:space="preserve"> </w:t>
            </w:r>
            <w:r>
              <w:rPr>
                <w:spacing w:val="4"/>
                <w:sz w:val="24"/>
                <w:szCs w:val="24"/>
              </w:rPr>
              <w:t>社会用</w:t>
            </w:r>
            <w:r>
              <w:rPr>
                <w:spacing w:val="-72"/>
                <w:sz w:val="24"/>
                <w:szCs w:val="24"/>
              </w:rPr>
              <w:t xml:space="preserve"> </w:t>
            </w:r>
            <w:r>
              <w:rPr>
                <w:spacing w:val="3"/>
                <w:sz w:val="24"/>
                <w:szCs w:val="24"/>
              </w:rPr>
              <w:t>水</w:t>
            </w:r>
            <w:r>
              <w:rPr>
                <w:spacing w:val="-71"/>
                <w:sz w:val="24"/>
                <w:szCs w:val="24"/>
              </w:rPr>
              <w:t xml:space="preserve"> </w:t>
            </w:r>
            <w:r>
              <w:rPr>
                <w:spacing w:val="3"/>
                <w:sz w:val="24"/>
                <w:szCs w:val="24"/>
              </w:rPr>
              <w:t>定额</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5"/>
                <w:sz w:val="24"/>
                <w:szCs w:val="24"/>
              </w:rPr>
              <w:t xml:space="preserve"> </w:t>
            </w:r>
            <w:r>
              <w:rPr>
                <w:spacing w:val="3"/>
                <w:sz w:val="24"/>
                <w:szCs w:val="24"/>
              </w:rPr>
              <w:t>城</w:t>
            </w:r>
            <w:r>
              <w:rPr>
                <w:spacing w:val="-68"/>
                <w:sz w:val="24"/>
                <w:szCs w:val="24"/>
              </w:rPr>
              <w:t xml:space="preserve"> </w:t>
            </w:r>
            <w:r>
              <w:rPr>
                <w:spacing w:val="3"/>
                <w:sz w:val="24"/>
                <w:szCs w:val="24"/>
              </w:rPr>
              <w:t>市绿化</w:t>
            </w:r>
            <w:r>
              <w:rPr>
                <w:spacing w:val="-72"/>
                <w:sz w:val="24"/>
                <w:szCs w:val="24"/>
              </w:rPr>
              <w:t xml:space="preserve"> </w:t>
            </w:r>
            <w:r>
              <w:rPr>
                <w:spacing w:val="3"/>
                <w:sz w:val="24"/>
                <w:szCs w:val="24"/>
              </w:rPr>
              <w:t>管</w:t>
            </w:r>
            <w:r>
              <w:rPr>
                <w:spacing w:val="-72"/>
                <w:sz w:val="24"/>
                <w:szCs w:val="24"/>
              </w:rPr>
              <w:t xml:space="preserve"> </w:t>
            </w:r>
            <w:r>
              <w:rPr>
                <w:spacing w:val="3"/>
                <w:sz w:val="24"/>
                <w:szCs w:val="24"/>
              </w:rPr>
              <w:t>理</w:t>
            </w:r>
            <w:r>
              <w:rPr>
                <w:spacing w:val="-52"/>
                <w:sz w:val="24"/>
                <w:szCs w:val="24"/>
              </w:rPr>
              <w:t xml:space="preserve"> </w:t>
            </w:r>
            <w:r>
              <w:rPr>
                <w:spacing w:val="3"/>
                <w:sz w:val="24"/>
                <w:szCs w:val="24"/>
              </w:rPr>
              <w:t>”用</w:t>
            </w:r>
            <w:r>
              <w:rPr>
                <w:spacing w:val="-71"/>
                <w:sz w:val="24"/>
                <w:szCs w:val="24"/>
              </w:rPr>
              <w:t xml:space="preserve"> </w:t>
            </w:r>
            <w:r>
              <w:rPr>
                <w:spacing w:val="3"/>
                <w:sz w:val="24"/>
                <w:szCs w:val="24"/>
              </w:rPr>
              <w:t>水</w:t>
            </w:r>
            <w:r>
              <w:rPr>
                <w:spacing w:val="-72"/>
                <w:sz w:val="24"/>
                <w:szCs w:val="24"/>
              </w:rPr>
              <w:t xml:space="preserve"> </w:t>
            </w:r>
            <w:r>
              <w:rPr>
                <w:spacing w:val="3"/>
                <w:sz w:val="24"/>
                <w:szCs w:val="24"/>
              </w:rPr>
              <w:t>定额值</w:t>
            </w:r>
          </w:p>
          <w:p w14:paraId="79E75E27">
            <w:pPr>
              <w:pStyle w:val="6"/>
              <w:spacing w:line="219" w:lineRule="auto"/>
              <w:ind w:left="112"/>
              <w:rPr>
                <w:sz w:val="24"/>
                <w:szCs w:val="24"/>
              </w:rPr>
            </w:pPr>
            <w:r>
              <w:rPr>
                <w:rFonts w:ascii="Times New Roman" w:hAnsi="Times New Roman" w:eastAsia="Times New Roman" w:cs="Times New Roman"/>
                <w:spacing w:val="-1"/>
                <w:sz w:val="24"/>
                <w:szCs w:val="24"/>
              </w:rPr>
              <w:t>3.3L/m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7"/>
                <w:position w:val="7"/>
                <w:sz w:val="15"/>
                <w:szCs w:val="15"/>
              </w:rPr>
              <w:t xml:space="preserve">  </w:t>
            </w:r>
            <w:r>
              <w:rPr>
                <w:spacing w:val="-7"/>
                <w:sz w:val="24"/>
                <w:szCs w:val="24"/>
              </w:rPr>
              <w:t>·</w:t>
            </w:r>
            <w:r>
              <w:rPr>
                <w:rFonts w:ascii="Times New Roman" w:hAnsi="Times New Roman" w:eastAsia="Times New Roman" w:cs="Times New Roman"/>
                <w:spacing w:val="-7"/>
                <w:sz w:val="24"/>
                <w:szCs w:val="24"/>
              </w:rPr>
              <w:t>d</w:t>
            </w:r>
            <w:r>
              <w:rPr>
                <w:rFonts w:ascii="Times New Roman" w:hAnsi="Times New Roman" w:eastAsia="Times New Roman" w:cs="Times New Roman"/>
                <w:spacing w:val="-32"/>
                <w:sz w:val="24"/>
                <w:szCs w:val="24"/>
              </w:rPr>
              <w:t xml:space="preserve"> </w:t>
            </w:r>
            <w:r>
              <w:rPr>
                <w:spacing w:val="-7"/>
                <w:sz w:val="24"/>
                <w:szCs w:val="24"/>
              </w:rPr>
              <w:t>，则绿化用水量约为</w:t>
            </w:r>
            <w:r>
              <w:rPr>
                <w:spacing w:val="-56"/>
                <w:sz w:val="24"/>
                <w:szCs w:val="24"/>
              </w:rPr>
              <w:t xml:space="preserve"> </w:t>
            </w:r>
            <w:r>
              <w:rPr>
                <w:rFonts w:ascii="Times New Roman" w:hAnsi="Times New Roman" w:eastAsia="Times New Roman" w:cs="Times New Roman"/>
                <w:spacing w:val="-7"/>
                <w:sz w:val="24"/>
                <w:szCs w:val="24"/>
              </w:rPr>
              <w:t>49.5m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/a</w:t>
            </w:r>
            <w:r>
              <w:rPr>
                <w:spacing w:val="-7"/>
                <w:sz w:val="24"/>
                <w:szCs w:val="24"/>
              </w:rPr>
              <w:t>。</w:t>
            </w:r>
          </w:p>
          <w:p w14:paraId="5C32CCA1">
            <w:pPr>
              <w:pStyle w:val="6"/>
              <w:spacing w:before="183" w:line="217" w:lineRule="auto"/>
              <w:ind w:left="590"/>
              <w:rPr>
                <w:sz w:val="24"/>
                <w:szCs w:val="24"/>
              </w:rPr>
            </w:pPr>
            <w:r>
              <w:rPr>
                <w:spacing w:val="-2"/>
                <w:sz w:val="24"/>
                <w:szCs w:val="24"/>
              </w:rPr>
              <w:t>⑤消防用水</w:t>
            </w:r>
          </w:p>
          <w:p w14:paraId="0537B01C">
            <w:pPr>
              <w:pStyle w:val="6"/>
              <w:spacing w:before="184" w:line="359" w:lineRule="auto"/>
              <w:ind w:left="114" w:right="27" w:firstLine="479"/>
              <w:rPr>
                <w:sz w:val="24"/>
                <w:szCs w:val="24"/>
              </w:rPr>
            </w:pPr>
            <w:r>
              <w:rPr>
                <w:spacing w:val="-3"/>
                <w:sz w:val="24"/>
                <w:szCs w:val="24"/>
              </w:rPr>
              <w:t>本项目设置室外消火栓系统，遥控移动消防炮消</w:t>
            </w:r>
            <w:r>
              <w:rPr>
                <w:spacing w:val="-4"/>
                <w:sz w:val="24"/>
                <w:szCs w:val="24"/>
              </w:rPr>
              <w:t>防用水量</w:t>
            </w:r>
            <w:r>
              <w:rPr>
                <w:spacing w:val="-50"/>
                <w:sz w:val="24"/>
                <w:szCs w:val="24"/>
              </w:rPr>
              <w:t xml:space="preserve"> </w:t>
            </w:r>
            <w:r>
              <w:rPr>
                <w:rFonts w:ascii="Times New Roman" w:hAnsi="Times New Roman" w:eastAsia="Times New Roman" w:cs="Times New Roman"/>
                <w:spacing w:val="-4"/>
                <w:sz w:val="24"/>
                <w:szCs w:val="24"/>
              </w:rPr>
              <w:t>60L/s</w:t>
            </w:r>
            <w:r>
              <w:rPr>
                <w:spacing w:val="-4"/>
                <w:sz w:val="24"/>
                <w:szCs w:val="24"/>
              </w:rPr>
              <w:t>，假设发</w:t>
            </w:r>
            <w:r>
              <w:rPr>
                <w:sz w:val="24"/>
                <w:szCs w:val="24"/>
              </w:rPr>
              <w:t xml:space="preserve"> </w:t>
            </w:r>
            <w:r>
              <w:rPr>
                <w:spacing w:val="-3"/>
                <w:sz w:val="24"/>
                <w:szCs w:val="24"/>
              </w:rPr>
              <w:t>生火灾持续喷水时间</w:t>
            </w:r>
            <w:r>
              <w:rPr>
                <w:spacing w:val="-44"/>
                <w:sz w:val="24"/>
                <w:szCs w:val="24"/>
              </w:rPr>
              <w:t xml:space="preserve"> </w:t>
            </w:r>
            <w:r>
              <w:rPr>
                <w:rFonts w:ascii="Times New Roman" w:hAnsi="Times New Roman" w:eastAsia="Times New Roman" w:cs="Times New Roman"/>
                <w:spacing w:val="-3"/>
                <w:sz w:val="24"/>
                <w:szCs w:val="24"/>
              </w:rPr>
              <w:t>2h</w:t>
            </w:r>
            <w:r>
              <w:rPr>
                <w:spacing w:val="-3"/>
                <w:sz w:val="24"/>
                <w:szCs w:val="24"/>
              </w:rPr>
              <w:t>，火灾次数按一次计算，消防设计用水量为</w:t>
            </w:r>
            <w:r>
              <w:rPr>
                <w:spacing w:val="-56"/>
                <w:sz w:val="24"/>
                <w:szCs w:val="24"/>
              </w:rPr>
              <w:t xml:space="preserve"> </w:t>
            </w:r>
            <w:r>
              <w:rPr>
                <w:rFonts w:ascii="Times New Roman" w:hAnsi="Times New Roman" w:eastAsia="Times New Roman" w:cs="Times New Roman"/>
                <w:spacing w:val="-3"/>
                <w:sz w:val="24"/>
                <w:szCs w:val="24"/>
              </w:rPr>
              <w:t>432m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/a</w:t>
            </w:r>
            <w:r>
              <w:rPr>
                <w:spacing w:val="-3"/>
                <w:sz w:val="24"/>
                <w:szCs w:val="24"/>
              </w:rPr>
              <w:t>。</w:t>
            </w:r>
          </w:p>
          <w:p w14:paraId="16F426D3">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）排水工程</w:t>
            </w:r>
          </w:p>
          <w:p w14:paraId="0B5EF819">
            <w:pPr>
              <w:pStyle w:val="6"/>
              <w:spacing w:before="182" w:line="359" w:lineRule="auto"/>
              <w:ind w:left="115" w:right="107" w:firstLine="476"/>
              <w:rPr>
                <w:sz w:val="24"/>
                <w:szCs w:val="24"/>
              </w:rPr>
            </w:pPr>
            <w:r>
              <w:rPr>
                <w:sz w:val="24"/>
                <w:szCs w:val="24"/>
              </w:rPr>
              <w:t>场站排水采用“雨污分流</w:t>
            </w:r>
            <w:r>
              <w:rPr>
                <w:spacing w:val="-85"/>
                <w:sz w:val="24"/>
                <w:szCs w:val="24"/>
              </w:rPr>
              <w:t xml:space="preserve"> </w:t>
            </w:r>
            <w:r>
              <w:rPr>
                <w:sz w:val="24"/>
                <w:szCs w:val="24"/>
              </w:rPr>
              <w:t>”制，雨水通过初期</w:t>
            </w:r>
            <w:r>
              <w:rPr>
                <w:spacing w:val="-1"/>
                <w:sz w:val="24"/>
                <w:szCs w:val="24"/>
              </w:rPr>
              <w:t>雨水池收集，最终排入园</w:t>
            </w:r>
            <w:r>
              <w:rPr>
                <w:sz w:val="24"/>
                <w:szCs w:val="24"/>
              </w:rPr>
              <w:t xml:space="preserve"> </w:t>
            </w:r>
            <w:r>
              <w:rPr>
                <w:spacing w:val="-2"/>
                <w:sz w:val="24"/>
                <w:szCs w:val="24"/>
              </w:rPr>
              <w:t>区市政雨水管网，管径为</w:t>
            </w:r>
            <w:r>
              <w:rPr>
                <w:spacing w:val="-52"/>
                <w:sz w:val="24"/>
                <w:szCs w:val="24"/>
              </w:rPr>
              <w:t xml:space="preserve"> </w:t>
            </w:r>
            <w:r>
              <w:rPr>
                <w:rFonts w:ascii="Times New Roman" w:hAnsi="Times New Roman" w:eastAsia="Times New Roman" w:cs="Times New Roman"/>
                <w:spacing w:val="-2"/>
                <w:sz w:val="24"/>
                <w:szCs w:val="24"/>
              </w:rPr>
              <w:t>DN300</w:t>
            </w:r>
            <w:r>
              <w:rPr>
                <w:rFonts w:ascii="Times New Roman" w:hAnsi="Times New Roman" w:eastAsia="Times New Roman" w:cs="Times New Roman"/>
                <w:spacing w:val="-25"/>
                <w:sz w:val="24"/>
                <w:szCs w:val="24"/>
              </w:rPr>
              <w:t xml:space="preserve"> </w:t>
            </w:r>
            <w:r>
              <w:rPr>
                <w:spacing w:val="-2"/>
                <w:sz w:val="24"/>
                <w:szCs w:val="24"/>
              </w:rPr>
              <w:t>。项目产生的废水主要有生活污水、洗车废</w:t>
            </w:r>
            <w:r>
              <w:rPr>
                <w:sz w:val="24"/>
                <w:szCs w:val="24"/>
              </w:rPr>
              <w:t xml:space="preserve"> </w:t>
            </w:r>
            <w:r>
              <w:rPr>
                <w:spacing w:val="-1"/>
                <w:sz w:val="24"/>
                <w:szCs w:val="24"/>
              </w:rPr>
              <w:t>水、地面冲洗水和消防废水。</w:t>
            </w:r>
          </w:p>
          <w:p w14:paraId="77D631A3">
            <w:pPr>
              <w:pStyle w:val="6"/>
              <w:spacing w:line="217" w:lineRule="auto"/>
              <w:ind w:left="591"/>
              <w:rPr>
                <w:sz w:val="24"/>
                <w:szCs w:val="24"/>
              </w:rPr>
            </w:pPr>
            <w:r>
              <w:rPr>
                <w:spacing w:val="-2"/>
                <w:sz w:val="24"/>
                <w:szCs w:val="24"/>
              </w:rPr>
              <w:t>①生活污水</w:t>
            </w:r>
          </w:p>
          <w:p w14:paraId="02AFCF02">
            <w:pPr>
              <w:pStyle w:val="6"/>
              <w:spacing w:before="186" w:line="359" w:lineRule="auto"/>
              <w:ind w:left="114" w:right="27" w:firstLine="479"/>
              <w:rPr>
                <w:sz w:val="24"/>
                <w:szCs w:val="24"/>
              </w:rPr>
            </w:pPr>
            <w:r>
              <w:rPr>
                <w:spacing w:val="-7"/>
                <w:sz w:val="24"/>
                <w:szCs w:val="24"/>
              </w:rPr>
              <w:t>生活污水按用水量的</w:t>
            </w:r>
            <w:r>
              <w:rPr>
                <w:spacing w:val="-44"/>
                <w:sz w:val="24"/>
                <w:szCs w:val="24"/>
              </w:rPr>
              <w:t xml:space="preserve"> </w:t>
            </w:r>
            <w:r>
              <w:rPr>
                <w:rFonts w:ascii="Times New Roman" w:hAnsi="Times New Roman" w:eastAsia="Times New Roman" w:cs="Times New Roman"/>
                <w:spacing w:val="-7"/>
                <w:sz w:val="24"/>
                <w:szCs w:val="24"/>
              </w:rPr>
              <w:t>80%</w:t>
            </w:r>
            <w:r>
              <w:rPr>
                <w:spacing w:val="-7"/>
                <w:sz w:val="24"/>
                <w:szCs w:val="24"/>
              </w:rPr>
              <w:t>计，则生活污水排放量为</w:t>
            </w:r>
            <w:r>
              <w:rPr>
                <w:spacing w:val="-55"/>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16m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/d</w:t>
            </w:r>
            <w:r>
              <w:rPr>
                <w:spacing w:val="-7"/>
                <w:sz w:val="24"/>
                <w:szCs w:val="24"/>
              </w:rPr>
              <w:t>（</w:t>
            </w:r>
            <w:r>
              <w:rPr>
                <w:rFonts w:ascii="Times New Roman" w:hAnsi="Times New Roman" w:eastAsia="Times New Roman" w:cs="Times New Roman"/>
                <w:spacing w:val="-7"/>
                <w:sz w:val="24"/>
                <w:szCs w:val="24"/>
              </w:rPr>
              <w:t>788.4m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/a</w:t>
            </w:r>
            <w:r>
              <w:rPr>
                <w:spacing w:val="-65"/>
                <w:w w:val="97"/>
                <w:sz w:val="24"/>
                <w:szCs w:val="24"/>
              </w:rPr>
              <w:t>）。</w:t>
            </w:r>
            <w:r>
              <w:rPr>
                <w:sz w:val="24"/>
                <w:szCs w:val="24"/>
              </w:rPr>
              <w:t xml:space="preserve"> </w:t>
            </w:r>
            <w:r>
              <w:rPr>
                <w:spacing w:val="-1"/>
                <w:sz w:val="24"/>
                <w:szCs w:val="24"/>
              </w:rPr>
              <w:t>污水经隔油池、化粪池收集停留一段时间后，排入园区污水管网。</w:t>
            </w:r>
          </w:p>
          <w:p w14:paraId="4F536DBF">
            <w:pPr>
              <w:pStyle w:val="6"/>
              <w:spacing w:line="217" w:lineRule="auto"/>
              <w:ind w:left="590"/>
              <w:rPr>
                <w:sz w:val="24"/>
                <w:szCs w:val="24"/>
              </w:rPr>
            </w:pPr>
            <w:r>
              <w:rPr>
                <w:spacing w:val="-1"/>
                <w:sz w:val="24"/>
                <w:szCs w:val="24"/>
              </w:rPr>
              <w:t>②洗车废水、地面冲洗废水</w:t>
            </w:r>
          </w:p>
          <w:p w14:paraId="2FCCC621">
            <w:pPr>
              <w:pStyle w:val="6"/>
              <w:spacing w:before="185" w:line="359" w:lineRule="auto"/>
              <w:ind w:left="112" w:right="74" w:firstLine="479"/>
              <w:rPr>
                <w:sz w:val="24"/>
                <w:szCs w:val="24"/>
              </w:rPr>
            </w:pPr>
            <w:r>
              <w:rPr>
                <w:spacing w:val="11"/>
                <w:sz w:val="24"/>
                <w:szCs w:val="24"/>
              </w:rPr>
              <w:t>洗车废水、地面冲洗废水按用水量的</w:t>
            </w:r>
            <w:r>
              <w:rPr>
                <w:spacing w:val="-24"/>
                <w:sz w:val="24"/>
                <w:szCs w:val="24"/>
              </w:rPr>
              <w:t xml:space="preserve"> </w:t>
            </w:r>
            <w:r>
              <w:rPr>
                <w:rFonts w:ascii="Times New Roman" w:hAnsi="Times New Roman" w:eastAsia="Times New Roman" w:cs="Times New Roman"/>
                <w:spacing w:val="11"/>
                <w:sz w:val="24"/>
                <w:szCs w:val="24"/>
              </w:rPr>
              <w:t>80%</w:t>
            </w:r>
            <w:r>
              <w:rPr>
                <w:spacing w:val="11"/>
                <w:sz w:val="24"/>
                <w:szCs w:val="24"/>
              </w:rPr>
              <w:t>计</w:t>
            </w:r>
            <w:r>
              <w:rPr>
                <w:spacing w:val="-69"/>
                <w:sz w:val="24"/>
                <w:szCs w:val="24"/>
              </w:rPr>
              <w:t xml:space="preserve"> </w:t>
            </w:r>
            <w:r>
              <w:rPr>
                <w:spacing w:val="11"/>
                <w:sz w:val="24"/>
                <w:szCs w:val="24"/>
              </w:rPr>
              <w:t>，则污水量为</w:t>
            </w:r>
            <w:r>
              <w:rPr>
                <w:spacing w:val="-31"/>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1"/>
                <w:sz w:val="24"/>
                <w:szCs w:val="24"/>
              </w:rPr>
              <w:t>12m</w:t>
            </w:r>
            <w:r>
              <w:rPr>
                <w:rFonts w:ascii="Times New Roman" w:hAnsi="Times New Roman" w:eastAsia="Times New Roman" w:cs="Times New Roman"/>
                <w:spacing w:val="11"/>
                <w:position w:val="8"/>
                <w:sz w:val="15"/>
                <w:szCs w:val="15"/>
              </w:rPr>
              <w:t>3</w:t>
            </w:r>
            <w:r>
              <w:rPr>
                <w:rFonts w:ascii="Times New Roman" w:hAnsi="Times New Roman" w:eastAsia="Times New Roman" w:cs="Times New Roman"/>
                <w:spacing w:val="10"/>
                <w:sz w:val="24"/>
                <w:szCs w:val="24"/>
              </w:rPr>
              <w:t>/d</w:t>
            </w:r>
            <w:r>
              <w:rPr>
                <w:rFonts w:ascii="Times New Roman" w:hAnsi="Times New Roman" w:eastAsia="Times New Roman" w:cs="Times New Roman"/>
                <w:sz w:val="24"/>
                <w:szCs w:val="24"/>
              </w:rPr>
              <w:t xml:space="preserve"> </w:t>
            </w:r>
            <w:r>
              <w:rPr>
                <w:spacing w:val="-3"/>
                <w:sz w:val="24"/>
                <w:szCs w:val="24"/>
              </w:rPr>
              <w:t>（</w:t>
            </w:r>
            <w:r>
              <w:rPr>
                <w:rFonts w:ascii="Times New Roman" w:hAnsi="Times New Roman" w:eastAsia="Times New Roman" w:cs="Times New Roman"/>
                <w:spacing w:val="-3"/>
                <w:sz w:val="24"/>
                <w:szCs w:val="24"/>
              </w:rPr>
              <w:t>772.94m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spacing w:val="-3"/>
                <w:sz w:val="24"/>
                <w:szCs w:val="24"/>
              </w:rPr>
              <w:t>，其中地面冲洗废水为</w:t>
            </w:r>
            <w:r>
              <w:rPr>
                <w:spacing w:val="-32"/>
                <w:sz w:val="24"/>
                <w:szCs w:val="24"/>
              </w:rPr>
              <w:t xml:space="preserve"> </w:t>
            </w:r>
            <w:r>
              <w:rPr>
                <w:rFonts w:ascii="Times New Roman" w:hAnsi="Times New Roman" w:eastAsia="Times New Roman" w:cs="Times New Roman"/>
                <w:spacing w:val="-3"/>
                <w:sz w:val="24"/>
                <w:szCs w:val="24"/>
              </w:rPr>
              <w:t>1.03m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sz w:val="24"/>
                <w:szCs w:val="24"/>
              </w:rPr>
              <w:t>/</w:t>
            </w:r>
            <w:r>
              <w:rPr>
                <w:spacing w:val="-4"/>
                <w:sz w:val="24"/>
                <w:szCs w:val="24"/>
              </w:rPr>
              <w:t>次）。污水经沉淀</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5"/>
                <w:sz w:val="24"/>
                <w:szCs w:val="24"/>
              </w:rPr>
              <w:t xml:space="preserve"> </w:t>
            </w:r>
            <w:r>
              <w:rPr>
                <w:spacing w:val="-4"/>
                <w:sz w:val="24"/>
                <w:szCs w:val="24"/>
              </w:rPr>
              <w:t>隔油处理后，</w:t>
            </w:r>
            <w:r>
              <w:rPr>
                <w:sz w:val="24"/>
                <w:szCs w:val="24"/>
              </w:rPr>
              <w:t xml:space="preserve"> </w:t>
            </w:r>
            <w:r>
              <w:rPr>
                <w:spacing w:val="-2"/>
                <w:sz w:val="24"/>
                <w:szCs w:val="24"/>
              </w:rPr>
              <w:t>排入园区污水管网。</w:t>
            </w:r>
          </w:p>
          <w:p w14:paraId="6207282C">
            <w:pPr>
              <w:pStyle w:val="6"/>
              <w:spacing w:line="217" w:lineRule="auto"/>
              <w:ind w:left="590"/>
              <w:rPr>
                <w:sz w:val="24"/>
                <w:szCs w:val="24"/>
              </w:rPr>
            </w:pPr>
            <w:r>
              <w:rPr>
                <w:spacing w:val="-2"/>
                <w:sz w:val="24"/>
                <w:szCs w:val="24"/>
              </w:rPr>
              <w:t>③消防废水</w:t>
            </w:r>
          </w:p>
          <w:p w14:paraId="411D545C">
            <w:pPr>
              <w:pStyle w:val="6"/>
              <w:spacing w:before="185" w:line="348" w:lineRule="auto"/>
              <w:ind w:left="115" w:right="107" w:firstLine="481"/>
              <w:rPr>
                <w:sz w:val="24"/>
                <w:szCs w:val="24"/>
              </w:rPr>
            </w:pPr>
            <w:r>
              <w:rPr>
                <w:spacing w:val="2"/>
                <w:sz w:val="24"/>
                <w:szCs w:val="24"/>
              </w:rPr>
              <w:t>消防废水排放量按用水量的</w:t>
            </w:r>
            <w:r>
              <w:rPr>
                <w:rFonts w:ascii="Times New Roman" w:hAnsi="Times New Roman" w:eastAsia="Times New Roman" w:cs="Times New Roman"/>
                <w:spacing w:val="2"/>
                <w:sz w:val="24"/>
                <w:szCs w:val="24"/>
              </w:rPr>
              <w:t>90%</w:t>
            </w:r>
            <w:r>
              <w:rPr>
                <w:spacing w:val="2"/>
                <w:sz w:val="24"/>
                <w:szCs w:val="24"/>
              </w:rPr>
              <w:t>计，则消防废水排放量为</w:t>
            </w:r>
            <w:r>
              <w:rPr>
                <w:spacing w:val="-42"/>
                <w:sz w:val="24"/>
                <w:szCs w:val="24"/>
              </w:rPr>
              <w:t xml:space="preserve"> </w:t>
            </w:r>
            <w:r>
              <w:rPr>
                <w:rFonts w:ascii="Times New Roman" w:hAnsi="Times New Roman" w:eastAsia="Times New Roman" w:cs="Times New Roman"/>
                <w:spacing w:val="2"/>
                <w:sz w:val="24"/>
                <w:szCs w:val="24"/>
              </w:rPr>
              <w:t>388.8m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spacing w:val="2"/>
                <w:sz w:val="24"/>
                <w:szCs w:val="24"/>
              </w:rPr>
              <w:t>次。</w:t>
            </w:r>
            <w:r>
              <w:rPr>
                <w:sz w:val="24"/>
                <w:szCs w:val="24"/>
              </w:rPr>
              <w:t xml:space="preserve"> </w:t>
            </w:r>
            <w:r>
              <w:rPr>
                <w:spacing w:val="1"/>
                <w:sz w:val="24"/>
                <w:szCs w:val="24"/>
              </w:rPr>
              <w:t>消防废水产生后，收集至事故应急池，由罐车</w:t>
            </w:r>
            <w:r>
              <w:rPr>
                <w:sz w:val="24"/>
                <w:szCs w:val="24"/>
              </w:rPr>
              <w:t xml:space="preserve">拉运至棋西项目区工业污水处 </w:t>
            </w:r>
            <w:r>
              <w:rPr>
                <w:spacing w:val="-3"/>
                <w:sz w:val="24"/>
                <w:szCs w:val="24"/>
              </w:rPr>
              <w:t>理厂处理。</w:t>
            </w:r>
          </w:p>
        </w:tc>
      </w:tr>
    </w:tbl>
    <w:p w14:paraId="470239F4">
      <w:pPr>
        <w:pStyle w:val="2"/>
      </w:pPr>
    </w:p>
    <w:p w14:paraId="280C271C">
      <w:pPr>
        <w:sectPr>
          <w:footerReference r:id="rId48" w:type="default"/>
          <w:pgSz w:w="11906" w:h="16839"/>
          <w:pgMar w:top="400" w:right="1588" w:bottom="1259" w:left="1687" w:header="0" w:footer="1097" w:gutter="0"/>
          <w:cols w:space="720" w:num="1"/>
        </w:sectPr>
      </w:pPr>
    </w:p>
    <w:p w14:paraId="6A304A18">
      <w:pPr>
        <w:spacing w:before="19"/>
      </w:pPr>
    </w:p>
    <w:p w14:paraId="3EB0ED14">
      <w:pPr>
        <w:spacing w:before="19"/>
      </w:pPr>
    </w:p>
    <w:p w14:paraId="279AD70C">
      <w:pPr>
        <w:spacing w:before="18"/>
      </w:pPr>
    </w:p>
    <w:p w14:paraId="06063E6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750EF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7" w:hRule="atLeast"/>
        </w:trPr>
        <w:tc>
          <w:tcPr>
            <w:tcW w:w="456" w:type="dxa"/>
            <w:vAlign w:val="top"/>
          </w:tcPr>
          <w:p w14:paraId="6966411A">
            <w:pPr>
              <w:rPr>
                <w:rFonts w:ascii="Arial"/>
                <w:sz w:val="21"/>
              </w:rPr>
            </w:pPr>
          </w:p>
        </w:tc>
        <w:tc>
          <w:tcPr>
            <w:tcW w:w="8169" w:type="dxa"/>
            <w:vAlign w:val="top"/>
          </w:tcPr>
          <w:p w14:paraId="2DFA96B9">
            <w:pPr>
              <w:pStyle w:val="6"/>
              <w:spacing w:before="41" w:line="219" w:lineRule="auto"/>
              <w:ind w:left="593"/>
              <w:rPr>
                <w:sz w:val="24"/>
                <w:szCs w:val="24"/>
              </w:rPr>
            </w:pPr>
            <w:r>
              <w:rPr>
                <w:spacing w:val="-1"/>
                <w:sz w:val="24"/>
                <w:szCs w:val="24"/>
              </w:rPr>
              <w:t>本项目给排水情况详见下图。</w:t>
            </w:r>
          </w:p>
          <w:p w14:paraId="6D0A99FF">
            <w:pPr>
              <w:spacing w:line="399" w:lineRule="auto"/>
              <w:rPr>
                <w:rFonts w:ascii="Arial"/>
                <w:sz w:val="21"/>
              </w:rPr>
            </w:pPr>
          </w:p>
          <w:p w14:paraId="70D3DC99">
            <w:pPr>
              <w:spacing w:line="3350" w:lineRule="exact"/>
              <w:ind w:firstLine="297"/>
            </w:pPr>
            <w:r>
              <w:rPr>
                <w:position w:val="-66"/>
              </w:rPr>
              <w:drawing>
                <wp:inline distT="0" distB="0" distL="0" distR="0">
                  <wp:extent cx="4766945" cy="21266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3"/>
                          <a:stretch>
                            <a:fillRect/>
                          </a:stretch>
                        </pic:blipFill>
                        <pic:spPr>
                          <a:xfrm>
                            <a:off x="0" y="0"/>
                            <a:ext cx="4767502" cy="2127124"/>
                          </a:xfrm>
                          <a:prstGeom prst="rect">
                            <a:avLst/>
                          </a:prstGeom>
                        </pic:spPr>
                      </pic:pic>
                    </a:graphicData>
                  </a:graphic>
                </wp:inline>
              </w:drawing>
            </w:r>
          </w:p>
          <w:p w14:paraId="20C03679">
            <w:pPr>
              <w:spacing w:line="260" w:lineRule="auto"/>
              <w:rPr>
                <w:rFonts w:ascii="Arial"/>
                <w:sz w:val="21"/>
              </w:rPr>
            </w:pPr>
          </w:p>
          <w:p w14:paraId="46A90BD6">
            <w:pPr>
              <w:pStyle w:val="6"/>
              <w:spacing w:before="65" w:line="228" w:lineRule="auto"/>
              <w:ind w:left="2889"/>
              <w:outlineLvl w:val="1"/>
              <w:rPr>
                <w:sz w:val="20"/>
                <w:szCs w:val="20"/>
              </w:rPr>
            </w:pPr>
            <w:r>
              <w:rPr>
                <w:b/>
                <w:bCs/>
                <w:spacing w:val="4"/>
                <w:sz w:val="20"/>
                <w:szCs w:val="20"/>
              </w:rPr>
              <w:t>图</w:t>
            </w:r>
            <w:r>
              <w:rPr>
                <w:spacing w:val="-43"/>
                <w:sz w:val="20"/>
                <w:szCs w:val="20"/>
              </w:rPr>
              <w:t xml:space="preserve"> </w:t>
            </w:r>
            <w:r>
              <w:rPr>
                <w:rFonts w:ascii="Times New Roman" w:hAnsi="Times New Roman" w:eastAsia="Times New Roman" w:cs="Times New Roman"/>
                <w:b/>
                <w:bCs/>
                <w:spacing w:val="4"/>
                <w:sz w:val="20"/>
                <w:szCs w:val="20"/>
              </w:rPr>
              <w:t xml:space="preserve">2-3    </w:t>
            </w:r>
            <w:r>
              <w:rPr>
                <w:b/>
                <w:bCs/>
                <w:spacing w:val="4"/>
                <w:sz w:val="20"/>
                <w:szCs w:val="20"/>
              </w:rPr>
              <w:t>项目给排水平衡图</w:t>
            </w:r>
          </w:p>
          <w:p w14:paraId="1C5EA129">
            <w:pPr>
              <w:pStyle w:val="6"/>
              <w:spacing w:before="167" w:line="219" w:lineRule="auto"/>
              <w:ind w:left="603"/>
              <w:rPr>
                <w:sz w:val="24"/>
                <w:szCs w:val="24"/>
              </w:rPr>
            </w:pPr>
            <w:r>
              <w:rPr>
                <w:spacing w:val="-5"/>
                <w:sz w:val="24"/>
                <w:szCs w:val="24"/>
              </w:rPr>
              <w:t>（</w:t>
            </w:r>
            <w:r>
              <w:rPr>
                <w:rFonts w:ascii="Times New Roman" w:hAnsi="Times New Roman" w:eastAsia="Times New Roman" w:cs="Times New Roman"/>
                <w:spacing w:val="-5"/>
                <w:sz w:val="24"/>
                <w:szCs w:val="24"/>
              </w:rPr>
              <w:t>3</w:t>
            </w:r>
            <w:r>
              <w:rPr>
                <w:spacing w:val="-5"/>
                <w:sz w:val="24"/>
                <w:szCs w:val="24"/>
              </w:rPr>
              <w:t>）供电</w:t>
            </w:r>
          </w:p>
          <w:p w14:paraId="4D866555">
            <w:pPr>
              <w:pStyle w:val="6"/>
              <w:spacing w:before="181" w:line="360" w:lineRule="auto"/>
              <w:ind w:left="116" w:right="107" w:firstLine="493"/>
              <w:rPr>
                <w:sz w:val="24"/>
                <w:szCs w:val="24"/>
              </w:rPr>
            </w:pPr>
            <w:r>
              <w:rPr>
                <w:spacing w:val="-6"/>
                <w:sz w:val="24"/>
                <w:szCs w:val="24"/>
              </w:rPr>
              <w:t>引</w:t>
            </w:r>
            <w:r>
              <w:rPr>
                <w:spacing w:val="-59"/>
                <w:sz w:val="24"/>
                <w:szCs w:val="24"/>
              </w:rPr>
              <w:t xml:space="preserve"> </w:t>
            </w:r>
            <w:r>
              <w:rPr>
                <w:spacing w:val="-6"/>
                <w:sz w:val="24"/>
                <w:szCs w:val="24"/>
              </w:rPr>
              <w:t>自就近市政低压电源至消防泵房配电室，另在站区设一台</w:t>
            </w:r>
            <w:r>
              <w:rPr>
                <w:spacing w:val="-55"/>
                <w:sz w:val="24"/>
                <w:szCs w:val="24"/>
              </w:rPr>
              <w:t xml:space="preserve"> </w:t>
            </w:r>
            <w:r>
              <w:rPr>
                <w:rFonts w:ascii="Times New Roman" w:hAnsi="Times New Roman" w:eastAsia="Times New Roman" w:cs="Times New Roman"/>
                <w:spacing w:val="-6"/>
                <w:sz w:val="24"/>
                <w:szCs w:val="24"/>
              </w:rPr>
              <w:t>200kW</w:t>
            </w:r>
            <w:r>
              <w:rPr>
                <w:rFonts w:ascii="Times New Roman" w:hAnsi="Times New Roman" w:eastAsia="Times New Roman" w:cs="Times New Roman"/>
                <w:spacing w:val="30"/>
                <w:w w:val="101"/>
                <w:sz w:val="24"/>
                <w:szCs w:val="24"/>
              </w:rPr>
              <w:t xml:space="preserve"> </w:t>
            </w:r>
            <w:r>
              <w:rPr>
                <w:spacing w:val="-6"/>
                <w:sz w:val="24"/>
                <w:szCs w:val="24"/>
              </w:rPr>
              <w:t>的柴</w:t>
            </w:r>
            <w:r>
              <w:rPr>
                <w:sz w:val="24"/>
                <w:szCs w:val="24"/>
              </w:rPr>
              <w:t xml:space="preserve"> </w:t>
            </w:r>
            <w:r>
              <w:rPr>
                <w:spacing w:val="-1"/>
                <w:sz w:val="24"/>
                <w:szCs w:val="24"/>
              </w:rPr>
              <w:t>油发电机，作为二级负荷备用电源。</w:t>
            </w:r>
          </w:p>
          <w:p w14:paraId="253997FF">
            <w:pPr>
              <w:pStyle w:val="6"/>
              <w:spacing w:before="1" w:line="218" w:lineRule="auto"/>
              <w:ind w:left="603"/>
              <w:rPr>
                <w:sz w:val="24"/>
                <w:szCs w:val="24"/>
              </w:rPr>
            </w:pPr>
            <w:r>
              <w:rPr>
                <w:spacing w:val="-5"/>
                <w:sz w:val="24"/>
                <w:szCs w:val="24"/>
              </w:rPr>
              <w:t>（</w:t>
            </w:r>
            <w:r>
              <w:rPr>
                <w:rFonts w:ascii="Times New Roman" w:hAnsi="Times New Roman" w:eastAsia="Times New Roman" w:cs="Times New Roman"/>
                <w:spacing w:val="-5"/>
                <w:sz w:val="24"/>
                <w:szCs w:val="24"/>
              </w:rPr>
              <w:t>4</w:t>
            </w:r>
            <w:r>
              <w:rPr>
                <w:spacing w:val="-5"/>
                <w:sz w:val="24"/>
                <w:szCs w:val="24"/>
              </w:rPr>
              <w:t>）供暖</w:t>
            </w:r>
          </w:p>
          <w:p w14:paraId="193FB17B">
            <w:pPr>
              <w:pStyle w:val="6"/>
              <w:spacing w:before="181" w:line="219" w:lineRule="auto"/>
              <w:ind w:left="621"/>
              <w:rPr>
                <w:sz w:val="24"/>
                <w:szCs w:val="24"/>
              </w:rPr>
            </w:pPr>
            <w:r>
              <w:rPr>
                <w:spacing w:val="1"/>
                <w:sz w:val="24"/>
                <w:szCs w:val="24"/>
              </w:rPr>
              <w:t>由园区供暖管网接入，管网供回水温度为</w:t>
            </w:r>
            <w:r>
              <w:rPr>
                <w:rFonts w:ascii="Times New Roman" w:hAnsi="Times New Roman" w:eastAsia="Times New Roman" w:cs="Times New Roman"/>
                <w:spacing w:val="1"/>
                <w:sz w:val="24"/>
                <w:szCs w:val="24"/>
              </w:rPr>
              <w:t>60/</w:t>
            </w:r>
            <w:r>
              <w:rPr>
                <w:rFonts w:ascii="Times New Roman" w:hAnsi="Times New Roman" w:eastAsia="Times New Roman" w:cs="Times New Roman"/>
                <w:sz w:val="24"/>
                <w:szCs w:val="24"/>
              </w:rPr>
              <w:t>40</w:t>
            </w:r>
            <w:r>
              <w:rPr>
                <w:sz w:val="24"/>
                <w:szCs w:val="24"/>
              </w:rPr>
              <w:t>℃。</w:t>
            </w:r>
          </w:p>
          <w:p w14:paraId="449E70EB">
            <w:pPr>
              <w:pStyle w:val="6"/>
              <w:spacing w:before="181" w:line="219" w:lineRule="auto"/>
              <w:ind w:left="118"/>
              <w:outlineLvl w:val="1"/>
              <w:rPr>
                <w:sz w:val="24"/>
                <w:szCs w:val="24"/>
              </w:rPr>
            </w:pPr>
            <w:r>
              <w:rPr>
                <w:rFonts w:ascii="Times New Roman" w:hAnsi="Times New Roman" w:eastAsia="Times New Roman" w:cs="Times New Roman"/>
                <w:b/>
                <w:bCs/>
                <w:spacing w:val="-6"/>
                <w:sz w:val="24"/>
                <w:szCs w:val="24"/>
              </w:rPr>
              <w:t>14</w:t>
            </w:r>
            <w:r>
              <w:rPr>
                <w:rFonts w:ascii="Times New Roman" w:hAnsi="Times New Roman" w:eastAsia="Times New Roman" w:cs="Times New Roman"/>
                <w:b/>
                <w:bCs/>
                <w:spacing w:val="-23"/>
                <w:sz w:val="24"/>
                <w:szCs w:val="24"/>
              </w:rPr>
              <w:t xml:space="preserve"> </w:t>
            </w:r>
            <w:r>
              <w:rPr>
                <w:b/>
                <w:bCs/>
                <w:spacing w:val="-6"/>
                <w:sz w:val="24"/>
                <w:szCs w:val="24"/>
              </w:rPr>
              <w:t>、劳动定员与工作制度</w:t>
            </w:r>
          </w:p>
          <w:p w14:paraId="55437B75">
            <w:pPr>
              <w:pStyle w:val="6"/>
              <w:spacing w:before="182" w:line="348" w:lineRule="auto"/>
              <w:ind w:left="111" w:right="107" w:firstLine="481"/>
              <w:rPr>
                <w:sz w:val="24"/>
                <w:szCs w:val="24"/>
              </w:rPr>
            </w:pPr>
            <w:r>
              <w:rPr>
                <w:spacing w:val="4"/>
                <w:sz w:val="24"/>
                <w:szCs w:val="24"/>
              </w:rPr>
              <w:t>本项目劳动定员</w:t>
            </w:r>
            <w:r>
              <w:rPr>
                <w:rFonts w:ascii="Times New Roman" w:hAnsi="Times New Roman" w:eastAsia="Times New Roman" w:cs="Times New Roman"/>
                <w:spacing w:val="4"/>
                <w:sz w:val="24"/>
                <w:szCs w:val="24"/>
              </w:rPr>
              <w:t xml:space="preserve">30 </w:t>
            </w:r>
            <w:r>
              <w:rPr>
                <w:spacing w:val="4"/>
                <w:sz w:val="24"/>
                <w:szCs w:val="24"/>
              </w:rPr>
              <w:t>人，其中管理人员</w:t>
            </w:r>
            <w:r>
              <w:rPr>
                <w:spacing w:val="-47"/>
                <w:sz w:val="24"/>
                <w:szCs w:val="24"/>
              </w:rPr>
              <w:t xml:space="preserve"> </w:t>
            </w:r>
            <w:r>
              <w:rPr>
                <w:rFonts w:ascii="Times New Roman" w:hAnsi="Times New Roman" w:eastAsia="Times New Roman" w:cs="Times New Roman"/>
                <w:spacing w:val="4"/>
                <w:sz w:val="24"/>
                <w:szCs w:val="24"/>
              </w:rPr>
              <w:t xml:space="preserve">6 </w:t>
            </w:r>
            <w:r>
              <w:rPr>
                <w:spacing w:val="4"/>
                <w:sz w:val="24"/>
                <w:szCs w:val="24"/>
              </w:rPr>
              <w:t>人，危化</w:t>
            </w:r>
            <w:r>
              <w:rPr>
                <w:spacing w:val="3"/>
                <w:sz w:val="24"/>
                <w:szCs w:val="24"/>
              </w:rPr>
              <w:t>停车区管理员</w:t>
            </w:r>
            <w:r>
              <w:rPr>
                <w:rFonts w:ascii="Times New Roman" w:hAnsi="Times New Roman" w:eastAsia="Times New Roman" w:cs="Times New Roman"/>
                <w:spacing w:val="3"/>
                <w:sz w:val="24"/>
                <w:szCs w:val="24"/>
              </w:rPr>
              <w:t xml:space="preserve">24 </w:t>
            </w:r>
            <w:r>
              <w:rPr>
                <w:spacing w:val="3"/>
                <w:sz w:val="24"/>
                <w:szCs w:val="24"/>
              </w:rPr>
              <w:t>人。</w:t>
            </w:r>
            <w:r>
              <w:rPr>
                <w:sz w:val="24"/>
                <w:szCs w:val="24"/>
              </w:rPr>
              <w:t xml:space="preserve"> </w:t>
            </w:r>
            <w:r>
              <w:rPr>
                <w:spacing w:val="-4"/>
                <w:sz w:val="24"/>
                <w:szCs w:val="24"/>
              </w:rPr>
              <w:t>项目年营业天数为</w:t>
            </w:r>
            <w:r>
              <w:rPr>
                <w:spacing w:val="-51"/>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4"/>
                <w:sz w:val="24"/>
                <w:szCs w:val="24"/>
              </w:rPr>
              <w:t xml:space="preserve"> </w:t>
            </w:r>
            <w:r>
              <w:rPr>
                <w:spacing w:val="-4"/>
                <w:sz w:val="24"/>
                <w:szCs w:val="24"/>
              </w:rPr>
              <w:t>天，每天营业</w:t>
            </w:r>
            <w:r>
              <w:rPr>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6"/>
                <w:sz w:val="24"/>
                <w:szCs w:val="24"/>
              </w:rPr>
              <w:t xml:space="preserve"> </w:t>
            </w:r>
            <w:r>
              <w:rPr>
                <w:spacing w:val="-4"/>
                <w:sz w:val="24"/>
                <w:szCs w:val="24"/>
              </w:rPr>
              <w:t>小时，停车场值班人员为三班制，每</w:t>
            </w:r>
            <w:r>
              <w:rPr>
                <w:sz w:val="24"/>
                <w:szCs w:val="24"/>
              </w:rPr>
              <w:t xml:space="preserve"> </w:t>
            </w:r>
            <w:r>
              <w:rPr>
                <w:spacing w:val="-3"/>
                <w:sz w:val="24"/>
                <w:szCs w:val="24"/>
              </w:rPr>
              <w:t>班</w:t>
            </w:r>
            <w:r>
              <w:rPr>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spacing w:val="-3"/>
                <w:sz w:val="24"/>
                <w:szCs w:val="24"/>
              </w:rPr>
              <w:t>小时，行政管理人员为日常白班，每班</w:t>
            </w:r>
            <w:r>
              <w:rPr>
                <w:spacing w:val="-46"/>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6"/>
                <w:sz w:val="24"/>
                <w:szCs w:val="24"/>
              </w:rPr>
              <w:t xml:space="preserve"> </w:t>
            </w:r>
            <w:r>
              <w:rPr>
                <w:spacing w:val="-3"/>
                <w:sz w:val="24"/>
                <w:szCs w:val="24"/>
              </w:rPr>
              <w:t>小</w:t>
            </w:r>
            <w:r>
              <w:rPr>
                <w:spacing w:val="-4"/>
                <w:sz w:val="24"/>
                <w:szCs w:val="24"/>
              </w:rPr>
              <w:t>时。</w:t>
            </w:r>
          </w:p>
        </w:tc>
      </w:tr>
      <w:tr w14:paraId="1D340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6" w:hRule="atLeast"/>
        </w:trPr>
        <w:tc>
          <w:tcPr>
            <w:tcW w:w="456" w:type="dxa"/>
            <w:textDirection w:val="tbRlV"/>
            <w:vAlign w:val="top"/>
          </w:tcPr>
          <w:p w14:paraId="45182DE9">
            <w:pPr>
              <w:pStyle w:val="6"/>
              <w:spacing w:before="102" w:line="209" w:lineRule="auto"/>
              <w:ind w:left="827"/>
              <w:rPr>
                <w:sz w:val="24"/>
                <w:szCs w:val="24"/>
              </w:rPr>
            </w:pPr>
            <w:r>
              <w:rPr>
                <w:spacing w:val="28"/>
                <w:w w:val="115"/>
                <w:sz w:val="24"/>
                <w:szCs w:val="24"/>
              </w:rPr>
              <w:t>工艺流程和产排污环节</w:t>
            </w:r>
          </w:p>
        </w:tc>
        <w:tc>
          <w:tcPr>
            <w:tcW w:w="8169" w:type="dxa"/>
            <w:vAlign w:val="top"/>
          </w:tcPr>
          <w:p w14:paraId="41815390">
            <w:pPr>
              <w:spacing w:line="282" w:lineRule="auto"/>
              <w:rPr>
                <w:rFonts w:ascii="Arial"/>
                <w:sz w:val="21"/>
              </w:rPr>
            </w:pPr>
          </w:p>
          <w:p w14:paraId="64F82529">
            <w:pPr>
              <w:spacing w:line="283" w:lineRule="auto"/>
              <w:rPr>
                <w:rFonts w:ascii="Arial"/>
                <w:sz w:val="21"/>
              </w:rPr>
            </w:pPr>
          </w:p>
          <w:p w14:paraId="66DD1F0A">
            <w:pPr>
              <w:spacing w:line="283" w:lineRule="auto"/>
              <w:rPr>
                <w:rFonts w:ascii="Arial"/>
                <w:sz w:val="21"/>
              </w:rPr>
            </w:pPr>
          </w:p>
          <w:p w14:paraId="17C7077B">
            <w:pPr>
              <w:spacing w:line="283" w:lineRule="auto"/>
              <w:rPr>
                <w:rFonts w:ascii="Arial"/>
                <w:sz w:val="21"/>
              </w:rPr>
            </w:pPr>
          </w:p>
          <w:p w14:paraId="36647BF9">
            <w:pPr>
              <w:pStyle w:val="6"/>
              <w:spacing w:before="78" w:line="219" w:lineRule="auto"/>
              <w:ind w:left="118"/>
              <w:outlineLvl w:val="1"/>
              <w:rPr>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6"/>
                <w:sz w:val="24"/>
                <w:szCs w:val="24"/>
              </w:rPr>
              <w:t xml:space="preserve"> </w:t>
            </w:r>
            <w:r>
              <w:rPr>
                <w:b/>
                <w:bCs/>
                <w:spacing w:val="-5"/>
                <w:sz w:val="24"/>
                <w:szCs w:val="24"/>
              </w:rPr>
              <w:t>、施工期工艺流程和产排污环节</w:t>
            </w:r>
          </w:p>
          <w:p w14:paraId="49A6EBDB">
            <w:pPr>
              <w:pStyle w:val="6"/>
              <w:spacing w:before="182" w:line="360" w:lineRule="auto"/>
              <w:ind w:left="111" w:right="107" w:firstLine="481"/>
              <w:jc w:val="both"/>
              <w:rPr>
                <w:sz w:val="24"/>
                <w:szCs w:val="24"/>
              </w:rPr>
            </w:pPr>
            <w:r>
              <w:rPr>
                <w:spacing w:val="1"/>
                <w:sz w:val="24"/>
                <w:szCs w:val="24"/>
              </w:rPr>
              <w:t>本项目施工期的工程内容主要包括基础工程、主体</w:t>
            </w:r>
            <w:r>
              <w:rPr>
                <w:sz w:val="24"/>
                <w:szCs w:val="24"/>
              </w:rPr>
              <w:t xml:space="preserve">工程、设备安装、工 </w:t>
            </w:r>
            <w:r>
              <w:rPr>
                <w:spacing w:val="1"/>
                <w:sz w:val="24"/>
                <w:szCs w:val="24"/>
              </w:rPr>
              <w:t>程验收和投入运营五个阶段，施工过程会产生扬尘、施</w:t>
            </w:r>
            <w:r>
              <w:rPr>
                <w:sz w:val="24"/>
                <w:szCs w:val="24"/>
              </w:rPr>
              <w:t xml:space="preserve">工机械燃油废气、施 </w:t>
            </w:r>
            <w:r>
              <w:rPr>
                <w:spacing w:val="1"/>
                <w:sz w:val="24"/>
                <w:szCs w:val="24"/>
              </w:rPr>
              <w:t>工废水、施工机械噪声、运输车辆噪声、弃土和建筑垃</w:t>
            </w:r>
            <w:r>
              <w:rPr>
                <w:sz w:val="24"/>
                <w:szCs w:val="24"/>
              </w:rPr>
              <w:t xml:space="preserve">圾等，项目施工期工 </w:t>
            </w:r>
            <w:r>
              <w:rPr>
                <w:spacing w:val="-1"/>
                <w:sz w:val="24"/>
                <w:szCs w:val="24"/>
              </w:rPr>
              <w:t>艺流程及产污环节详见下图。</w:t>
            </w:r>
          </w:p>
        </w:tc>
      </w:tr>
    </w:tbl>
    <w:p w14:paraId="5AAB4AE4">
      <w:pPr>
        <w:pStyle w:val="2"/>
      </w:pPr>
    </w:p>
    <w:p w14:paraId="6B13DDC0">
      <w:pPr>
        <w:sectPr>
          <w:footerReference r:id="rId49" w:type="default"/>
          <w:pgSz w:w="11906" w:h="16839"/>
          <w:pgMar w:top="400" w:right="1588" w:bottom="1259" w:left="1687" w:header="0" w:footer="1097" w:gutter="0"/>
          <w:cols w:space="720" w:num="1"/>
        </w:sectPr>
      </w:pPr>
    </w:p>
    <w:p w14:paraId="3E254726">
      <w:pPr>
        <w:spacing w:before="19"/>
      </w:pPr>
    </w:p>
    <w:p w14:paraId="205F5C63">
      <w:pPr>
        <w:spacing w:before="19"/>
      </w:pPr>
    </w:p>
    <w:p w14:paraId="702AAD8B">
      <w:pPr>
        <w:spacing w:before="18"/>
      </w:pPr>
    </w:p>
    <w:p w14:paraId="23F32520">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316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1" w:hRule="atLeast"/>
        </w:trPr>
        <w:tc>
          <w:tcPr>
            <w:tcW w:w="456" w:type="dxa"/>
            <w:vAlign w:val="top"/>
          </w:tcPr>
          <w:p w14:paraId="206336C7">
            <w:pPr>
              <w:rPr>
                <w:rFonts w:ascii="Arial"/>
                <w:sz w:val="21"/>
              </w:rPr>
            </w:pPr>
          </w:p>
        </w:tc>
        <w:tc>
          <w:tcPr>
            <w:tcW w:w="8169" w:type="dxa"/>
            <w:vAlign w:val="top"/>
          </w:tcPr>
          <w:p w14:paraId="0F21A3DA">
            <w:pPr>
              <w:spacing w:before="84" w:line="4216" w:lineRule="exact"/>
              <w:ind w:firstLine="2102"/>
            </w:pPr>
            <w:r>
              <w:rPr>
                <w:position w:val="-84"/>
              </w:rPr>
              <w:drawing>
                <wp:inline distT="0" distB="0" distL="0" distR="0">
                  <wp:extent cx="2562225" cy="267716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4"/>
                          <a:stretch>
                            <a:fillRect/>
                          </a:stretch>
                        </pic:blipFill>
                        <pic:spPr>
                          <a:xfrm>
                            <a:off x="0" y="0"/>
                            <a:ext cx="2562751" cy="2677646"/>
                          </a:xfrm>
                          <a:prstGeom prst="rect">
                            <a:avLst/>
                          </a:prstGeom>
                        </pic:spPr>
                      </pic:pic>
                    </a:graphicData>
                  </a:graphic>
                </wp:inline>
              </w:drawing>
            </w:r>
          </w:p>
          <w:p w14:paraId="3827FA58">
            <w:pPr>
              <w:pStyle w:val="6"/>
              <w:spacing w:before="228" w:line="228" w:lineRule="auto"/>
              <w:ind w:left="2255"/>
              <w:outlineLvl w:val="1"/>
              <w:rPr>
                <w:sz w:val="20"/>
                <w:szCs w:val="20"/>
              </w:rPr>
            </w:pPr>
            <w:r>
              <w:rPr>
                <w:b/>
                <w:bCs/>
                <w:spacing w:val="5"/>
                <w:sz w:val="20"/>
                <w:szCs w:val="20"/>
              </w:rPr>
              <w:t>图</w:t>
            </w:r>
            <w:r>
              <w:rPr>
                <w:spacing w:val="-35"/>
                <w:sz w:val="20"/>
                <w:szCs w:val="20"/>
              </w:rPr>
              <w:t xml:space="preserve"> </w:t>
            </w:r>
            <w:r>
              <w:rPr>
                <w:rFonts w:ascii="Times New Roman" w:hAnsi="Times New Roman" w:eastAsia="Times New Roman" w:cs="Times New Roman"/>
                <w:b/>
                <w:bCs/>
                <w:spacing w:val="5"/>
                <w:sz w:val="20"/>
                <w:szCs w:val="20"/>
              </w:rPr>
              <w:t xml:space="preserve">2-4    </w:t>
            </w:r>
            <w:r>
              <w:rPr>
                <w:b/>
                <w:bCs/>
                <w:spacing w:val="5"/>
                <w:sz w:val="20"/>
                <w:szCs w:val="20"/>
              </w:rPr>
              <w:t>施工期工艺流程和产排污环节图</w:t>
            </w:r>
          </w:p>
          <w:p w14:paraId="073B3C26">
            <w:pPr>
              <w:pStyle w:val="6"/>
              <w:spacing w:before="166" w:line="219" w:lineRule="auto"/>
              <w:ind w:left="108"/>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1"/>
                <w:sz w:val="24"/>
                <w:szCs w:val="24"/>
              </w:rPr>
              <w:t xml:space="preserve"> </w:t>
            </w:r>
            <w:r>
              <w:rPr>
                <w:b/>
                <w:bCs/>
                <w:spacing w:val="-4"/>
                <w:sz w:val="24"/>
                <w:szCs w:val="24"/>
              </w:rPr>
              <w:t>、运营期工艺流程和产排污环节</w:t>
            </w:r>
          </w:p>
          <w:p w14:paraId="1AA257D0">
            <w:pPr>
              <w:pStyle w:val="6"/>
              <w:spacing w:before="183" w:line="359" w:lineRule="auto"/>
              <w:ind w:left="116" w:right="107" w:firstLine="477"/>
              <w:rPr>
                <w:sz w:val="24"/>
                <w:szCs w:val="24"/>
              </w:rPr>
            </w:pPr>
            <w:r>
              <w:rPr>
                <w:spacing w:val="1"/>
                <w:sz w:val="24"/>
                <w:szCs w:val="24"/>
              </w:rPr>
              <w:t>本项目为鄂托克经济开发区棋盘井产业园危险化学</w:t>
            </w:r>
            <w:r>
              <w:rPr>
                <w:sz w:val="24"/>
                <w:szCs w:val="24"/>
              </w:rPr>
              <w:t xml:space="preserve">品车辆专用停车场建 </w:t>
            </w:r>
            <w:r>
              <w:rPr>
                <w:spacing w:val="1"/>
                <w:sz w:val="24"/>
                <w:szCs w:val="24"/>
              </w:rPr>
              <w:t>设项目，建设内容为危险化学品车辆专用停</w:t>
            </w:r>
            <w:r>
              <w:rPr>
                <w:sz w:val="24"/>
                <w:szCs w:val="24"/>
              </w:rPr>
              <w:t xml:space="preserve">车场以及辅助设施。项目主要功 </w:t>
            </w:r>
            <w:r>
              <w:rPr>
                <w:spacing w:val="1"/>
                <w:sz w:val="24"/>
                <w:szCs w:val="24"/>
              </w:rPr>
              <w:t>能为危险化学品运输车辆管理，同时具备车</w:t>
            </w:r>
            <w:r>
              <w:rPr>
                <w:sz w:val="24"/>
                <w:szCs w:val="24"/>
              </w:rPr>
              <w:t xml:space="preserve">简单维修和空车外壁清洗功能。 </w:t>
            </w:r>
            <w:r>
              <w:rPr>
                <w:spacing w:val="-1"/>
                <w:sz w:val="24"/>
                <w:szCs w:val="24"/>
              </w:rPr>
              <w:t>项目运营期工艺流程和产排污环节如下：</w:t>
            </w:r>
          </w:p>
          <w:p w14:paraId="430230F6">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）预约与进场申请</w:t>
            </w:r>
          </w:p>
          <w:p w14:paraId="4B804014">
            <w:pPr>
              <w:pStyle w:val="6"/>
              <w:spacing w:before="182" w:line="359" w:lineRule="auto"/>
              <w:ind w:left="112" w:right="107" w:firstLine="489"/>
              <w:rPr>
                <w:sz w:val="24"/>
                <w:szCs w:val="24"/>
              </w:rPr>
            </w:pPr>
            <w:r>
              <w:rPr>
                <w:sz w:val="24"/>
                <w:szCs w:val="24"/>
              </w:rPr>
              <w:t>司机可提前使用移动设备通过小程序远程查看停车场车位情况、停车场</w:t>
            </w:r>
            <w:r>
              <w:rPr>
                <w:spacing w:val="13"/>
                <w:sz w:val="24"/>
                <w:szCs w:val="24"/>
              </w:rPr>
              <w:t xml:space="preserve"> </w:t>
            </w:r>
            <w:r>
              <w:rPr>
                <w:spacing w:val="1"/>
                <w:sz w:val="24"/>
                <w:szCs w:val="24"/>
              </w:rPr>
              <w:t>信息发布等，线上提交远程车辆文检请求、上传有关</w:t>
            </w:r>
            <w:r>
              <w:rPr>
                <w:sz w:val="24"/>
                <w:szCs w:val="24"/>
              </w:rPr>
              <w:t xml:space="preserve">证件、查看文检过程信 </w:t>
            </w:r>
            <w:r>
              <w:rPr>
                <w:spacing w:val="-2"/>
                <w:sz w:val="24"/>
                <w:szCs w:val="24"/>
              </w:rPr>
              <w:t>息、预约车辆进场。</w:t>
            </w:r>
          </w:p>
          <w:p w14:paraId="34866CBA">
            <w:pPr>
              <w:pStyle w:val="6"/>
              <w:spacing w:before="1"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）车辆物检</w:t>
            </w:r>
          </w:p>
          <w:p w14:paraId="40982044">
            <w:pPr>
              <w:pStyle w:val="6"/>
              <w:spacing w:before="183" w:line="359" w:lineRule="auto"/>
              <w:ind w:left="111" w:right="107" w:firstLine="482"/>
              <w:rPr>
                <w:sz w:val="24"/>
                <w:szCs w:val="24"/>
              </w:rPr>
            </w:pPr>
            <w:r>
              <w:rPr>
                <w:spacing w:val="1"/>
                <w:sz w:val="24"/>
                <w:szCs w:val="24"/>
              </w:rPr>
              <w:t>车辆进入一道门后需在待检区进行车辆入场物检</w:t>
            </w:r>
            <w:r>
              <w:rPr>
                <w:sz w:val="24"/>
                <w:szCs w:val="24"/>
              </w:rPr>
              <w:t>，检验合格后进入停车 场停车，若物检不合格，车辆不能进入二道门</w:t>
            </w:r>
            <w:r>
              <w:rPr>
                <w:spacing w:val="-1"/>
                <w:sz w:val="24"/>
                <w:szCs w:val="24"/>
              </w:rPr>
              <w:t>，需直接从出口出场。</w:t>
            </w:r>
          </w:p>
          <w:p w14:paraId="181888A0">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）车辆文检</w:t>
            </w:r>
          </w:p>
          <w:p w14:paraId="01B01FEE">
            <w:pPr>
              <w:pStyle w:val="6"/>
              <w:spacing w:before="178" w:line="360" w:lineRule="auto"/>
              <w:ind w:left="114" w:right="107" w:firstLine="479"/>
              <w:rPr>
                <w:sz w:val="24"/>
                <w:szCs w:val="24"/>
              </w:rPr>
            </w:pPr>
            <w:r>
              <w:rPr>
                <w:spacing w:val="1"/>
                <w:sz w:val="24"/>
                <w:szCs w:val="24"/>
              </w:rPr>
              <w:t>车辆进入二道门后，将车辆停放在停车场指定区</w:t>
            </w:r>
            <w:r>
              <w:rPr>
                <w:sz w:val="24"/>
                <w:szCs w:val="24"/>
              </w:rPr>
              <w:t>域（停车场进行分类分 区管理</w:t>
            </w:r>
            <w:r>
              <w:rPr>
                <w:spacing w:val="10"/>
                <w:sz w:val="24"/>
                <w:szCs w:val="24"/>
              </w:rPr>
              <w:t>），</w:t>
            </w:r>
            <w:r>
              <w:rPr>
                <w:sz w:val="24"/>
                <w:szCs w:val="24"/>
              </w:rPr>
              <w:t>开始车辆文检工作。车辆文检管理可由司机远程申请，也可由停</w:t>
            </w:r>
            <w:r>
              <w:rPr>
                <w:spacing w:val="1"/>
                <w:sz w:val="24"/>
                <w:szCs w:val="24"/>
              </w:rPr>
              <w:t xml:space="preserve"> 车场管理人员代为申请，申请提交后，由车场管</w:t>
            </w:r>
            <w:r>
              <w:rPr>
                <w:sz w:val="24"/>
                <w:szCs w:val="24"/>
              </w:rPr>
              <w:t xml:space="preserve">理人员审核或由中控室管理 </w:t>
            </w:r>
            <w:r>
              <w:rPr>
                <w:spacing w:val="-3"/>
                <w:sz w:val="24"/>
                <w:szCs w:val="24"/>
              </w:rPr>
              <w:t>人员审核。</w:t>
            </w:r>
          </w:p>
          <w:p w14:paraId="6E7AC3C4">
            <w:pPr>
              <w:pStyle w:val="6"/>
              <w:spacing w:before="1"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）车辆维修与清洗</w:t>
            </w:r>
          </w:p>
          <w:p w14:paraId="5C8C9ABB">
            <w:pPr>
              <w:pStyle w:val="6"/>
              <w:spacing w:before="180" w:line="219" w:lineRule="auto"/>
              <w:jc w:val="right"/>
              <w:rPr>
                <w:sz w:val="24"/>
                <w:szCs w:val="24"/>
              </w:rPr>
            </w:pPr>
            <w:r>
              <w:rPr>
                <w:spacing w:val="-4"/>
                <w:sz w:val="24"/>
                <w:szCs w:val="24"/>
              </w:rPr>
              <w:t>项目配套设置洗车间和维修车间，对有清洗</w:t>
            </w:r>
            <w:r>
              <w:rPr>
                <w:spacing w:val="-5"/>
                <w:sz w:val="24"/>
                <w:szCs w:val="24"/>
              </w:rPr>
              <w:t>和维修需要的车辆提供服务。</w:t>
            </w:r>
          </w:p>
        </w:tc>
      </w:tr>
    </w:tbl>
    <w:p w14:paraId="50AEC91D">
      <w:pPr>
        <w:pStyle w:val="2"/>
      </w:pPr>
    </w:p>
    <w:p w14:paraId="253BE17B">
      <w:pPr>
        <w:sectPr>
          <w:footerReference r:id="rId50" w:type="default"/>
          <w:pgSz w:w="11906" w:h="16839"/>
          <w:pgMar w:top="400" w:right="1588" w:bottom="1259" w:left="1687" w:header="0" w:footer="1097" w:gutter="0"/>
          <w:cols w:space="720" w:num="1"/>
        </w:sectPr>
      </w:pPr>
    </w:p>
    <w:p w14:paraId="3C12E75A">
      <w:pPr>
        <w:spacing w:before="19"/>
      </w:pPr>
    </w:p>
    <w:p w14:paraId="1C5BB3D1">
      <w:pPr>
        <w:spacing w:before="19"/>
      </w:pPr>
    </w:p>
    <w:p w14:paraId="0FF471B0">
      <w:pPr>
        <w:spacing w:before="18"/>
      </w:pPr>
    </w:p>
    <w:p w14:paraId="5A8BEC6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20ABD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8" w:hRule="atLeast"/>
        </w:trPr>
        <w:tc>
          <w:tcPr>
            <w:tcW w:w="456" w:type="dxa"/>
            <w:vAlign w:val="top"/>
          </w:tcPr>
          <w:p w14:paraId="58EFA4C2">
            <w:pPr>
              <w:rPr>
                <w:rFonts w:ascii="Arial"/>
                <w:sz w:val="21"/>
              </w:rPr>
            </w:pPr>
          </w:p>
        </w:tc>
        <w:tc>
          <w:tcPr>
            <w:tcW w:w="8169" w:type="dxa"/>
            <w:vAlign w:val="top"/>
          </w:tcPr>
          <w:p w14:paraId="56910C81">
            <w:pPr>
              <w:pStyle w:val="6"/>
              <w:spacing w:before="41" w:line="359" w:lineRule="auto"/>
              <w:ind w:left="111" w:right="107"/>
              <w:jc w:val="both"/>
              <w:rPr>
                <w:sz w:val="24"/>
                <w:szCs w:val="24"/>
              </w:rPr>
            </w:pPr>
            <w:r>
              <w:rPr>
                <w:spacing w:val="1"/>
                <w:sz w:val="24"/>
                <w:szCs w:val="24"/>
              </w:rPr>
              <w:t>洗车间内仅对空载运输车辆外观进行简易清洗，使用高</w:t>
            </w:r>
            <w:r>
              <w:rPr>
                <w:sz w:val="24"/>
                <w:szCs w:val="24"/>
              </w:rPr>
              <w:t xml:space="preserve">压水枪清洗外壁，清 </w:t>
            </w:r>
            <w:r>
              <w:rPr>
                <w:spacing w:val="-3"/>
                <w:sz w:val="24"/>
                <w:szCs w:val="24"/>
              </w:rPr>
              <w:t>洗完成后驶出车间，主要产生洗车废水，洗车废水中的主要污染物为</w:t>
            </w:r>
            <w:r>
              <w:rPr>
                <w:spacing w:val="-45"/>
                <w:sz w:val="24"/>
                <w:szCs w:val="24"/>
              </w:rPr>
              <w:t xml:space="preserve"> </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6"/>
                <w:sz w:val="24"/>
                <w:szCs w:val="24"/>
              </w:rPr>
              <w:t xml:space="preserve"> </w:t>
            </w:r>
            <w:r>
              <w:rPr>
                <w:spacing w:val="-3"/>
                <w:sz w:val="24"/>
                <w:szCs w:val="24"/>
              </w:rPr>
              <w:t>、石</w:t>
            </w:r>
            <w:r>
              <w:rPr>
                <w:sz w:val="24"/>
                <w:szCs w:val="24"/>
              </w:rPr>
              <w:t xml:space="preserve"> </w:t>
            </w:r>
            <w:r>
              <w:rPr>
                <w:spacing w:val="1"/>
                <w:sz w:val="24"/>
                <w:szCs w:val="24"/>
              </w:rPr>
              <w:t>油类。维修车间内仅对车辆进行简易维修，不涉及满载</w:t>
            </w:r>
            <w:r>
              <w:rPr>
                <w:sz w:val="24"/>
                <w:szCs w:val="24"/>
              </w:rPr>
              <w:t xml:space="preserve">运输车和小型车辆的 </w:t>
            </w:r>
            <w:r>
              <w:rPr>
                <w:spacing w:val="1"/>
                <w:sz w:val="24"/>
                <w:szCs w:val="24"/>
              </w:rPr>
              <w:t>清洗、维修，主要产生废机油、废手套、废油桶</w:t>
            </w:r>
            <w:r>
              <w:rPr>
                <w:sz w:val="24"/>
                <w:szCs w:val="24"/>
              </w:rPr>
              <w:t xml:space="preserve">、含油废抹布。另外，洗车 </w:t>
            </w:r>
            <w:r>
              <w:rPr>
                <w:spacing w:val="-1"/>
                <w:sz w:val="24"/>
                <w:szCs w:val="24"/>
              </w:rPr>
              <w:t>间和维修车间地面需定期冲洗，因此还会产生地面冲洗水。</w:t>
            </w:r>
          </w:p>
          <w:p w14:paraId="02E6AAD9">
            <w:pPr>
              <w:pStyle w:val="6"/>
              <w:spacing w:line="219" w:lineRule="auto"/>
              <w:ind w:left="603"/>
              <w:rPr>
                <w:sz w:val="24"/>
                <w:szCs w:val="24"/>
              </w:rPr>
            </w:pPr>
            <w:r>
              <w:rPr>
                <w:spacing w:val="-3"/>
                <w:sz w:val="24"/>
                <w:szCs w:val="24"/>
              </w:rPr>
              <w:t>（</w:t>
            </w:r>
            <w:r>
              <w:rPr>
                <w:rFonts w:ascii="Times New Roman" w:hAnsi="Times New Roman" w:eastAsia="Times New Roman" w:cs="Times New Roman"/>
                <w:spacing w:val="-3"/>
                <w:sz w:val="24"/>
                <w:szCs w:val="24"/>
              </w:rPr>
              <w:t>5</w:t>
            </w:r>
            <w:r>
              <w:rPr>
                <w:spacing w:val="-3"/>
                <w:sz w:val="24"/>
                <w:szCs w:val="24"/>
              </w:rPr>
              <w:t>）出场与收费</w:t>
            </w:r>
          </w:p>
          <w:p w14:paraId="2EC7CA5C">
            <w:pPr>
              <w:pStyle w:val="6"/>
              <w:spacing w:before="183" w:line="359" w:lineRule="auto"/>
              <w:ind w:left="113" w:right="27" w:firstLine="483"/>
              <w:rPr>
                <w:sz w:val="24"/>
                <w:szCs w:val="24"/>
              </w:rPr>
            </w:pPr>
            <w:r>
              <w:rPr>
                <w:spacing w:val="-5"/>
                <w:sz w:val="24"/>
                <w:szCs w:val="24"/>
              </w:rPr>
              <w:t>办理完相关手续，运输车辆司机接到相关运输通知后由停车场出口驶出。</w:t>
            </w:r>
            <w:r>
              <w:rPr>
                <w:spacing w:val="18"/>
                <w:sz w:val="24"/>
                <w:szCs w:val="24"/>
              </w:rPr>
              <w:t xml:space="preserve"> </w:t>
            </w:r>
            <w:r>
              <w:rPr>
                <w:spacing w:val="1"/>
                <w:sz w:val="24"/>
                <w:szCs w:val="24"/>
              </w:rPr>
              <w:t>出场收费系统分为两种收费，一道门收费管理、二</w:t>
            </w:r>
            <w:r>
              <w:rPr>
                <w:sz w:val="24"/>
                <w:szCs w:val="24"/>
              </w:rPr>
              <w:t xml:space="preserve">道门收费管理，其中一道 </w:t>
            </w:r>
            <w:r>
              <w:rPr>
                <w:spacing w:val="1"/>
                <w:sz w:val="24"/>
                <w:szCs w:val="24"/>
              </w:rPr>
              <w:t>门收费范围为在待检区停车超时的危化品车辆等。</w:t>
            </w:r>
            <w:r>
              <w:rPr>
                <w:sz w:val="24"/>
                <w:szCs w:val="24"/>
              </w:rPr>
              <w:t xml:space="preserve">二道门收费管理针对停进 </w:t>
            </w:r>
            <w:r>
              <w:rPr>
                <w:spacing w:val="-1"/>
                <w:sz w:val="24"/>
                <w:szCs w:val="24"/>
              </w:rPr>
              <w:t>停车场的车辆进行的收费。</w:t>
            </w:r>
          </w:p>
          <w:p w14:paraId="2FE01DA9">
            <w:pPr>
              <w:pStyle w:val="6"/>
              <w:spacing w:before="4" w:line="359" w:lineRule="auto"/>
              <w:ind w:left="111" w:right="107" w:firstLine="481"/>
              <w:rPr>
                <w:sz w:val="24"/>
                <w:szCs w:val="24"/>
              </w:rPr>
            </w:pPr>
            <w:r>
              <w:rPr>
                <w:spacing w:val="1"/>
                <w:sz w:val="24"/>
                <w:szCs w:val="24"/>
              </w:rPr>
              <w:t>本项目运营过程中产生的废气主要为运输车</w:t>
            </w:r>
            <w:r>
              <w:rPr>
                <w:sz w:val="24"/>
                <w:szCs w:val="24"/>
              </w:rPr>
              <w:t xml:space="preserve">辆产生的汽车尾气和槽罐车 </w:t>
            </w:r>
            <w:r>
              <w:rPr>
                <w:spacing w:val="-2"/>
                <w:sz w:val="24"/>
                <w:szCs w:val="24"/>
              </w:rPr>
              <w:t>顶呼吸废气（</w:t>
            </w:r>
            <w:r>
              <w:rPr>
                <w:rFonts w:ascii="Times New Roman" w:hAnsi="Times New Roman" w:eastAsia="Times New Roman" w:cs="Times New Roman"/>
                <w:spacing w:val="-2"/>
                <w:sz w:val="24"/>
                <w:szCs w:val="24"/>
              </w:rPr>
              <w:t>VOCs</w:t>
            </w:r>
            <w:r>
              <w:rPr>
                <w:spacing w:val="-14"/>
                <w:sz w:val="24"/>
                <w:szCs w:val="24"/>
              </w:rPr>
              <w:t>）；</w:t>
            </w:r>
            <w:r>
              <w:rPr>
                <w:spacing w:val="-2"/>
                <w:sz w:val="24"/>
                <w:szCs w:val="24"/>
              </w:rPr>
              <w:t>废水主要为员工产生的生活污水、洗车废水、</w:t>
            </w:r>
            <w:r>
              <w:rPr>
                <w:spacing w:val="-3"/>
                <w:sz w:val="24"/>
                <w:szCs w:val="24"/>
              </w:rPr>
              <w:t>地面冲</w:t>
            </w:r>
            <w:r>
              <w:rPr>
                <w:spacing w:val="1"/>
                <w:sz w:val="24"/>
                <w:szCs w:val="24"/>
              </w:rPr>
              <w:t xml:space="preserve"> 洗水和消防废水；噪声主要为车辆行驶、维修或</w:t>
            </w:r>
            <w:r>
              <w:rPr>
                <w:sz w:val="24"/>
                <w:szCs w:val="24"/>
              </w:rPr>
              <w:t xml:space="preserve">清洗过程产生的噪声；固体 </w:t>
            </w:r>
            <w:r>
              <w:rPr>
                <w:spacing w:val="1"/>
                <w:sz w:val="24"/>
                <w:szCs w:val="24"/>
              </w:rPr>
              <w:t>废物主要为员工产生的生活垃圾和车辆废弃零件，危险</w:t>
            </w:r>
            <w:r>
              <w:rPr>
                <w:sz w:val="24"/>
                <w:szCs w:val="24"/>
              </w:rPr>
              <w:t xml:space="preserve">废物主要有废机油、 </w:t>
            </w:r>
            <w:r>
              <w:rPr>
                <w:spacing w:val="1"/>
                <w:sz w:val="24"/>
                <w:szCs w:val="24"/>
              </w:rPr>
              <w:t>废手套、废油桶、含油废抹布、污泥、浮渣和沉渣等。</w:t>
            </w:r>
            <w:r>
              <w:rPr>
                <w:sz w:val="24"/>
                <w:szCs w:val="24"/>
              </w:rPr>
              <w:t xml:space="preserve">运营期工艺流程及产 </w:t>
            </w:r>
            <w:r>
              <w:rPr>
                <w:spacing w:val="-2"/>
                <w:sz w:val="24"/>
                <w:szCs w:val="24"/>
              </w:rPr>
              <w:t>污环节见下图。</w:t>
            </w:r>
          </w:p>
          <w:p w14:paraId="04AC9215">
            <w:pPr>
              <w:spacing w:before="200" w:line="4525" w:lineRule="exact"/>
              <w:ind w:firstLine="322"/>
            </w:pPr>
            <w:r>
              <w:rPr>
                <w:position w:val="-90"/>
              </w:rPr>
              <w:drawing>
                <wp:inline distT="0" distB="0" distL="0" distR="0">
                  <wp:extent cx="4866005" cy="287274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5"/>
                          <a:stretch>
                            <a:fillRect/>
                          </a:stretch>
                        </pic:blipFill>
                        <pic:spPr>
                          <a:xfrm>
                            <a:off x="0" y="0"/>
                            <a:ext cx="4866418" cy="2873290"/>
                          </a:xfrm>
                          <a:prstGeom prst="rect">
                            <a:avLst/>
                          </a:prstGeom>
                        </pic:spPr>
                      </pic:pic>
                    </a:graphicData>
                  </a:graphic>
                </wp:inline>
              </w:drawing>
            </w:r>
          </w:p>
          <w:p w14:paraId="7A6FC809">
            <w:pPr>
              <w:pStyle w:val="6"/>
              <w:spacing w:before="289" w:line="228" w:lineRule="auto"/>
              <w:ind w:left="2255"/>
              <w:outlineLvl w:val="1"/>
              <w:rPr>
                <w:sz w:val="20"/>
                <w:szCs w:val="20"/>
              </w:rPr>
            </w:pPr>
            <w:r>
              <w:rPr>
                <w:b/>
                <w:bCs/>
                <w:spacing w:val="5"/>
                <w:sz w:val="20"/>
                <w:szCs w:val="20"/>
              </w:rPr>
              <w:t>图</w:t>
            </w:r>
            <w:r>
              <w:rPr>
                <w:spacing w:val="-37"/>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运营期工艺流程和产排污环节图</w:t>
            </w:r>
          </w:p>
        </w:tc>
      </w:tr>
    </w:tbl>
    <w:p w14:paraId="6AD323D6">
      <w:pPr>
        <w:pStyle w:val="2"/>
      </w:pPr>
    </w:p>
    <w:p w14:paraId="4E884778">
      <w:pPr>
        <w:sectPr>
          <w:footerReference r:id="rId51" w:type="default"/>
          <w:pgSz w:w="11906" w:h="16839"/>
          <w:pgMar w:top="400" w:right="1588" w:bottom="1259" w:left="1687" w:header="0" w:footer="1097" w:gutter="0"/>
          <w:cols w:space="720" w:num="1"/>
        </w:sectPr>
      </w:pPr>
    </w:p>
    <w:p w14:paraId="0E220C83">
      <w:pPr>
        <w:spacing w:before="19"/>
      </w:pPr>
    </w:p>
    <w:p w14:paraId="78842D13">
      <w:pPr>
        <w:spacing w:before="19"/>
      </w:pPr>
    </w:p>
    <w:p w14:paraId="730AF3A4">
      <w:pPr>
        <w:spacing w:before="18"/>
      </w:pPr>
    </w:p>
    <w:p w14:paraId="58727861">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6"/>
        <w:gridCol w:w="8169"/>
      </w:tblGrid>
      <w:tr w14:paraId="7704D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8" w:hRule="atLeast"/>
        </w:trPr>
        <w:tc>
          <w:tcPr>
            <w:tcW w:w="456" w:type="dxa"/>
            <w:textDirection w:val="tbRlV"/>
            <w:vAlign w:val="top"/>
          </w:tcPr>
          <w:p w14:paraId="1DEF86AD">
            <w:pPr>
              <w:pStyle w:val="6"/>
              <w:spacing w:before="103" w:line="200" w:lineRule="auto"/>
              <w:ind w:left="4791"/>
              <w:rPr>
                <w:sz w:val="24"/>
                <w:szCs w:val="24"/>
              </w:rPr>
            </w:pPr>
            <w:r>
              <w:rPr>
                <w:spacing w:val="-1"/>
                <w:sz w:val="24"/>
                <w:szCs w:val="24"/>
              </w:rPr>
              <w:t>与</w:t>
            </w:r>
            <w:r>
              <w:rPr>
                <w:spacing w:val="-41"/>
                <w:sz w:val="24"/>
                <w:szCs w:val="24"/>
              </w:rPr>
              <w:t xml:space="preserve"> </w:t>
            </w:r>
            <w:r>
              <w:rPr>
                <w:spacing w:val="-1"/>
                <w:sz w:val="24"/>
                <w:szCs w:val="24"/>
              </w:rPr>
              <w:t>项</w:t>
            </w:r>
            <w:r>
              <w:rPr>
                <w:spacing w:val="-48"/>
                <w:sz w:val="24"/>
                <w:szCs w:val="24"/>
              </w:rPr>
              <w:t xml:space="preserve"> </w:t>
            </w:r>
            <w:r>
              <w:rPr>
                <w:spacing w:val="-1"/>
                <w:position w:val="1"/>
                <w:sz w:val="24"/>
                <w:szCs w:val="24"/>
              </w:rPr>
              <w:t>目</w:t>
            </w:r>
            <w:r>
              <w:rPr>
                <w:spacing w:val="-50"/>
                <w:position w:val="1"/>
                <w:sz w:val="24"/>
                <w:szCs w:val="24"/>
              </w:rPr>
              <w:t xml:space="preserve"> </w:t>
            </w:r>
            <w:r>
              <w:rPr>
                <w:spacing w:val="-1"/>
                <w:sz w:val="24"/>
                <w:szCs w:val="24"/>
              </w:rPr>
              <w:t>有</w:t>
            </w:r>
            <w:r>
              <w:rPr>
                <w:spacing w:val="-47"/>
                <w:sz w:val="24"/>
                <w:szCs w:val="24"/>
              </w:rPr>
              <w:t xml:space="preserve"> </w:t>
            </w:r>
            <w:r>
              <w:rPr>
                <w:spacing w:val="-1"/>
                <w:sz w:val="24"/>
                <w:szCs w:val="24"/>
              </w:rPr>
              <w:t>关</w:t>
            </w:r>
            <w:r>
              <w:rPr>
                <w:spacing w:val="-48"/>
                <w:sz w:val="24"/>
                <w:szCs w:val="24"/>
              </w:rPr>
              <w:t xml:space="preserve"> </w:t>
            </w:r>
            <w:r>
              <w:rPr>
                <w:spacing w:val="-1"/>
                <w:sz w:val="24"/>
                <w:szCs w:val="24"/>
              </w:rPr>
              <w:t>的</w:t>
            </w:r>
            <w:r>
              <w:rPr>
                <w:spacing w:val="-48"/>
                <w:sz w:val="24"/>
                <w:szCs w:val="24"/>
              </w:rPr>
              <w:t xml:space="preserve"> </w:t>
            </w:r>
            <w:r>
              <w:rPr>
                <w:spacing w:val="-1"/>
                <w:sz w:val="24"/>
                <w:szCs w:val="24"/>
              </w:rPr>
              <w:t>原</w:t>
            </w:r>
            <w:r>
              <w:rPr>
                <w:spacing w:val="-50"/>
                <w:sz w:val="24"/>
                <w:szCs w:val="24"/>
              </w:rPr>
              <w:t xml:space="preserve"> </w:t>
            </w:r>
            <w:r>
              <w:rPr>
                <w:spacing w:val="-1"/>
                <w:sz w:val="24"/>
                <w:szCs w:val="24"/>
              </w:rPr>
              <w:t>有</w:t>
            </w:r>
            <w:r>
              <w:rPr>
                <w:spacing w:val="-48"/>
                <w:sz w:val="24"/>
                <w:szCs w:val="24"/>
              </w:rPr>
              <w:t xml:space="preserve"> </w:t>
            </w:r>
            <w:r>
              <w:rPr>
                <w:spacing w:val="-1"/>
                <w:sz w:val="24"/>
                <w:szCs w:val="24"/>
              </w:rPr>
              <w:t>环</w:t>
            </w:r>
            <w:r>
              <w:rPr>
                <w:spacing w:val="-48"/>
                <w:sz w:val="24"/>
                <w:szCs w:val="24"/>
              </w:rPr>
              <w:t xml:space="preserve"> </w:t>
            </w:r>
            <w:r>
              <w:rPr>
                <w:spacing w:val="-1"/>
                <w:sz w:val="24"/>
                <w:szCs w:val="24"/>
              </w:rPr>
              <w:t>境</w:t>
            </w:r>
            <w:r>
              <w:rPr>
                <w:spacing w:val="-50"/>
                <w:sz w:val="24"/>
                <w:szCs w:val="24"/>
              </w:rPr>
              <w:t xml:space="preserve"> </w:t>
            </w:r>
            <w:r>
              <w:rPr>
                <w:spacing w:val="-1"/>
                <w:sz w:val="24"/>
                <w:szCs w:val="24"/>
              </w:rPr>
              <w:t>污</w:t>
            </w:r>
            <w:r>
              <w:rPr>
                <w:spacing w:val="-48"/>
                <w:sz w:val="24"/>
                <w:szCs w:val="24"/>
              </w:rPr>
              <w:t xml:space="preserve"> </w:t>
            </w:r>
            <w:r>
              <w:rPr>
                <w:spacing w:val="-1"/>
                <w:sz w:val="24"/>
                <w:szCs w:val="24"/>
              </w:rPr>
              <w:t>染</w:t>
            </w:r>
            <w:r>
              <w:rPr>
                <w:spacing w:val="-47"/>
                <w:sz w:val="24"/>
                <w:szCs w:val="24"/>
              </w:rPr>
              <w:t xml:space="preserve"> </w:t>
            </w:r>
            <w:r>
              <w:rPr>
                <w:spacing w:val="-1"/>
                <w:sz w:val="24"/>
                <w:szCs w:val="24"/>
              </w:rPr>
              <w:t>问</w:t>
            </w:r>
            <w:r>
              <w:rPr>
                <w:spacing w:val="-48"/>
                <w:sz w:val="24"/>
                <w:szCs w:val="24"/>
              </w:rPr>
              <w:t xml:space="preserve"> </w:t>
            </w:r>
            <w:r>
              <w:rPr>
                <w:spacing w:val="-1"/>
                <w:sz w:val="24"/>
                <w:szCs w:val="24"/>
              </w:rPr>
              <w:t>题</w:t>
            </w:r>
          </w:p>
        </w:tc>
        <w:tc>
          <w:tcPr>
            <w:tcW w:w="8169" w:type="dxa"/>
            <w:vAlign w:val="top"/>
          </w:tcPr>
          <w:p w14:paraId="1D3765F2">
            <w:pPr>
              <w:spacing w:line="245" w:lineRule="auto"/>
              <w:rPr>
                <w:rFonts w:ascii="Arial"/>
                <w:sz w:val="21"/>
              </w:rPr>
            </w:pPr>
          </w:p>
          <w:p w14:paraId="6D563DC6">
            <w:pPr>
              <w:spacing w:line="245" w:lineRule="auto"/>
              <w:rPr>
                <w:rFonts w:ascii="Arial"/>
                <w:sz w:val="21"/>
              </w:rPr>
            </w:pPr>
          </w:p>
          <w:p w14:paraId="07B3BFA2">
            <w:pPr>
              <w:spacing w:line="245" w:lineRule="auto"/>
              <w:rPr>
                <w:rFonts w:ascii="Arial"/>
                <w:sz w:val="21"/>
              </w:rPr>
            </w:pPr>
          </w:p>
          <w:p w14:paraId="0CC654B9">
            <w:pPr>
              <w:spacing w:line="245" w:lineRule="auto"/>
              <w:rPr>
                <w:rFonts w:ascii="Arial"/>
                <w:sz w:val="21"/>
              </w:rPr>
            </w:pPr>
          </w:p>
          <w:p w14:paraId="14FD5CBB">
            <w:pPr>
              <w:spacing w:line="245" w:lineRule="auto"/>
              <w:rPr>
                <w:rFonts w:ascii="Arial"/>
                <w:sz w:val="21"/>
              </w:rPr>
            </w:pPr>
          </w:p>
          <w:p w14:paraId="0D2E7830">
            <w:pPr>
              <w:spacing w:line="245" w:lineRule="auto"/>
              <w:rPr>
                <w:rFonts w:ascii="Arial"/>
                <w:sz w:val="21"/>
              </w:rPr>
            </w:pPr>
          </w:p>
          <w:p w14:paraId="01B0AC5D">
            <w:pPr>
              <w:spacing w:line="245" w:lineRule="auto"/>
              <w:rPr>
                <w:rFonts w:ascii="Arial"/>
                <w:sz w:val="21"/>
              </w:rPr>
            </w:pPr>
          </w:p>
          <w:p w14:paraId="45E06AB6">
            <w:pPr>
              <w:spacing w:line="245" w:lineRule="auto"/>
              <w:rPr>
                <w:rFonts w:ascii="Arial"/>
                <w:sz w:val="21"/>
              </w:rPr>
            </w:pPr>
          </w:p>
          <w:p w14:paraId="2CECBC97">
            <w:pPr>
              <w:spacing w:line="245" w:lineRule="auto"/>
              <w:rPr>
                <w:rFonts w:ascii="Arial"/>
                <w:sz w:val="21"/>
              </w:rPr>
            </w:pPr>
          </w:p>
          <w:p w14:paraId="0815FBBA">
            <w:pPr>
              <w:spacing w:line="245" w:lineRule="auto"/>
              <w:rPr>
                <w:rFonts w:ascii="Arial"/>
                <w:sz w:val="21"/>
              </w:rPr>
            </w:pPr>
          </w:p>
          <w:p w14:paraId="1C1D0D52">
            <w:pPr>
              <w:spacing w:line="245" w:lineRule="auto"/>
              <w:rPr>
                <w:rFonts w:ascii="Arial"/>
                <w:sz w:val="21"/>
              </w:rPr>
            </w:pPr>
          </w:p>
          <w:p w14:paraId="32B76C11">
            <w:pPr>
              <w:spacing w:line="245" w:lineRule="auto"/>
              <w:rPr>
                <w:rFonts w:ascii="Arial"/>
                <w:sz w:val="21"/>
              </w:rPr>
            </w:pPr>
          </w:p>
          <w:p w14:paraId="5BF8FE33">
            <w:pPr>
              <w:spacing w:line="245" w:lineRule="auto"/>
              <w:rPr>
                <w:rFonts w:ascii="Arial"/>
                <w:sz w:val="21"/>
              </w:rPr>
            </w:pPr>
          </w:p>
          <w:p w14:paraId="5E7F3921">
            <w:pPr>
              <w:spacing w:line="245" w:lineRule="auto"/>
              <w:rPr>
                <w:rFonts w:ascii="Arial"/>
                <w:sz w:val="21"/>
              </w:rPr>
            </w:pPr>
          </w:p>
          <w:p w14:paraId="0B66A3D0">
            <w:pPr>
              <w:spacing w:line="245" w:lineRule="auto"/>
              <w:rPr>
                <w:rFonts w:ascii="Arial"/>
                <w:sz w:val="21"/>
              </w:rPr>
            </w:pPr>
          </w:p>
          <w:p w14:paraId="7284DB15">
            <w:pPr>
              <w:spacing w:line="245" w:lineRule="auto"/>
              <w:rPr>
                <w:rFonts w:ascii="Arial"/>
                <w:sz w:val="21"/>
              </w:rPr>
            </w:pPr>
          </w:p>
          <w:p w14:paraId="0A743CE3">
            <w:pPr>
              <w:spacing w:line="245" w:lineRule="auto"/>
              <w:rPr>
                <w:rFonts w:ascii="Arial"/>
                <w:sz w:val="21"/>
              </w:rPr>
            </w:pPr>
          </w:p>
          <w:p w14:paraId="24745C90">
            <w:pPr>
              <w:spacing w:line="245" w:lineRule="auto"/>
              <w:rPr>
                <w:rFonts w:ascii="Arial"/>
                <w:sz w:val="21"/>
              </w:rPr>
            </w:pPr>
          </w:p>
          <w:p w14:paraId="5EB1155D">
            <w:pPr>
              <w:spacing w:line="245" w:lineRule="auto"/>
              <w:rPr>
                <w:rFonts w:ascii="Arial"/>
                <w:sz w:val="21"/>
              </w:rPr>
            </w:pPr>
          </w:p>
          <w:p w14:paraId="425BCCB9">
            <w:pPr>
              <w:spacing w:line="245" w:lineRule="auto"/>
              <w:rPr>
                <w:rFonts w:ascii="Arial"/>
                <w:sz w:val="21"/>
              </w:rPr>
            </w:pPr>
          </w:p>
          <w:p w14:paraId="2D8465B5">
            <w:pPr>
              <w:spacing w:line="245" w:lineRule="auto"/>
              <w:rPr>
                <w:rFonts w:ascii="Arial"/>
                <w:sz w:val="21"/>
              </w:rPr>
            </w:pPr>
          </w:p>
          <w:p w14:paraId="5709570A">
            <w:pPr>
              <w:spacing w:line="245" w:lineRule="auto"/>
              <w:rPr>
                <w:rFonts w:ascii="Arial"/>
                <w:sz w:val="21"/>
              </w:rPr>
            </w:pPr>
          </w:p>
          <w:p w14:paraId="5DE3CC67">
            <w:pPr>
              <w:spacing w:line="245" w:lineRule="auto"/>
              <w:rPr>
                <w:rFonts w:ascii="Arial"/>
                <w:sz w:val="21"/>
              </w:rPr>
            </w:pPr>
          </w:p>
          <w:p w14:paraId="04210057">
            <w:pPr>
              <w:spacing w:line="245" w:lineRule="auto"/>
              <w:rPr>
                <w:rFonts w:ascii="Arial"/>
                <w:sz w:val="21"/>
              </w:rPr>
            </w:pPr>
          </w:p>
          <w:p w14:paraId="7156A60A">
            <w:pPr>
              <w:spacing w:line="246" w:lineRule="auto"/>
              <w:rPr>
                <w:rFonts w:ascii="Arial"/>
                <w:sz w:val="21"/>
              </w:rPr>
            </w:pPr>
          </w:p>
          <w:p w14:paraId="79D6341F">
            <w:pPr>
              <w:spacing w:line="246" w:lineRule="auto"/>
              <w:rPr>
                <w:rFonts w:ascii="Arial"/>
                <w:sz w:val="21"/>
              </w:rPr>
            </w:pPr>
          </w:p>
          <w:p w14:paraId="71DBD8FA">
            <w:pPr>
              <w:spacing w:line="246" w:lineRule="auto"/>
              <w:rPr>
                <w:rFonts w:ascii="Arial"/>
                <w:sz w:val="21"/>
              </w:rPr>
            </w:pPr>
          </w:p>
          <w:p w14:paraId="366E500A">
            <w:pPr>
              <w:pStyle w:val="6"/>
              <w:spacing w:before="78" w:line="219" w:lineRule="auto"/>
              <w:ind w:left="593"/>
              <w:rPr>
                <w:sz w:val="24"/>
                <w:szCs w:val="24"/>
              </w:rPr>
            </w:pPr>
            <w:r>
              <w:rPr>
                <w:spacing w:val="-1"/>
                <w:sz w:val="24"/>
                <w:szCs w:val="24"/>
              </w:rPr>
              <w:t>本项目为新建项目，不存在与项目有关的原有环境污染问题。</w:t>
            </w:r>
          </w:p>
        </w:tc>
      </w:tr>
    </w:tbl>
    <w:p w14:paraId="0411E859">
      <w:pPr>
        <w:pStyle w:val="2"/>
      </w:pPr>
    </w:p>
    <w:p w14:paraId="39CA6B9D">
      <w:pPr>
        <w:sectPr>
          <w:footerReference r:id="rId52" w:type="default"/>
          <w:pgSz w:w="11906" w:h="16839"/>
          <w:pgMar w:top="400" w:right="1588" w:bottom="1259" w:left="1687" w:header="0" w:footer="1097" w:gutter="0"/>
          <w:cols w:space="720" w:num="1"/>
        </w:sectPr>
      </w:pPr>
    </w:p>
    <w:p w14:paraId="1C1F7103">
      <w:pPr>
        <w:pStyle w:val="2"/>
        <w:spacing w:line="245" w:lineRule="auto"/>
      </w:pPr>
    </w:p>
    <w:p w14:paraId="5A5DBF6F">
      <w:pPr>
        <w:pStyle w:val="2"/>
        <w:spacing w:line="245" w:lineRule="auto"/>
      </w:pPr>
    </w:p>
    <w:p w14:paraId="4FD673BE">
      <w:pPr>
        <w:pStyle w:val="2"/>
        <w:spacing w:line="245" w:lineRule="auto"/>
      </w:pPr>
    </w:p>
    <w:p w14:paraId="2600A062">
      <w:pPr>
        <w:pStyle w:val="2"/>
        <w:spacing w:line="246" w:lineRule="auto"/>
      </w:pPr>
    </w:p>
    <w:p w14:paraId="1882D476">
      <w:pPr>
        <w:spacing w:before="101" w:line="227" w:lineRule="auto"/>
        <w:ind w:left="813"/>
        <w:outlineLvl w:val="0"/>
        <w:rPr>
          <w:rFonts w:ascii="黑体" w:hAnsi="黑体" w:eastAsia="黑体" w:cs="黑体"/>
          <w:sz w:val="31"/>
          <w:szCs w:val="31"/>
        </w:rPr>
      </w:pPr>
      <w:r>
        <w:rPr>
          <w:rFonts w:ascii="黑体" w:hAnsi="黑体" w:eastAsia="黑体" w:cs="黑体"/>
          <w:spacing w:val="9"/>
          <w:sz w:val="31"/>
          <w:szCs w:val="31"/>
        </w:rPr>
        <w:t>三、区域环境质量现状、环境保护目标及评价标准</w:t>
      </w:r>
    </w:p>
    <w:p w14:paraId="7D2876E7">
      <w:pPr>
        <w:spacing w:line="193"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71EA8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9" w:hRule="atLeast"/>
        </w:trPr>
        <w:tc>
          <w:tcPr>
            <w:tcW w:w="459" w:type="dxa"/>
            <w:textDirection w:val="tbRlV"/>
            <w:vAlign w:val="top"/>
          </w:tcPr>
          <w:p w14:paraId="65665D6F">
            <w:pPr>
              <w:pStyle w:val="6"/>
              <w:spacing w:before="105" w:line="208" w:lineRule="auto"/>
              <w:ind w:left="5070"/>
              <w:rPr>
                <w:sz w:val="24"/>
                <w:szCs w:val="24"/>
              </w:rPr>
            </w:pPr>
            <w:r>
              <w:rPr>
                <w:spacing w:val="23"/>
                <w:w w:val="116"/>
                <w:sz w:val="24"/>
                <w:szCs w:val="24"/>
              </w:rPr>
              <w:t>区域环境质量现状</w:t>
            </w:r>
          </w:p>
        </w:tc>
        <w:tc>
          <w:tcPr>
            <w:tcW w:w="8166" w:type="dxa"/>
            <w:vAlign w:val="top"/>
          </w:tcPr>
          <w:p w14:paraId="4A08DCC5">
            <w:pPr>
              <w:pStyle w:val="6"/>
              <w:spacing w:before="196" w:line="220" w:lineRule="auto"/>
              <w:ind w:left="120"/>
              <w:outlineLvl w:val="1"/>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、环境空气质量</w:t>
            </w:r>
          </w:p>
          <w:p w14:paraId="352638FA">
            <w:pPr>
              <w:pStyle w:val="6"/>
              <w:spacing w:before="179" w:line="220"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）达标区判定</w:t>
            </w:r>
          </w:p>
          <w:p w14:paraId="782E3693">
            <w:pPr>
              <w:pStyle w:val="6"/>
              <w:spacing w:before="181" w:line="359" w:lineRule="auto"/>
              <w:ind w:left="114" w:right="107" w:firstLine="480"/>
              <w:rPr>
                <w:sz w:val="24"/>
                <w:szCs w:val="24"/>
              </w:rPr>
            </w:pPr>
            <w:r>
              <w:rPr>
                <w:spacing w:val="-1"/>
                <w:sz w:val="24"/>
                <w:szCs w:val="24"/>
              </w:rPr>
              <w:t>根据《环境影响评价技术导则 大气环境》（</w:t>
            </w:r>
            <w:r>
              <w:rPr>
                <w:rFonts w:ascii="Times New Roman" w:hAnsi="Times New Roman" w:eastAsia="Times New Roman" w:cs="Times New Roman"/>
                <w:spacing w:val="-1"/>
                <w:sz w:val="24"/>
                <w:szCs w:val="24"/>
              </w:rPr>
              <w:t>HJ2.2-2018</w:t>
            </w:r>
            <w:r>
              <w:rPr>
                <w:spacing w:val="-1"/>
                <w:sz w:val="24"/>
                <w:szCs w:val="24"/>
              </w:rPr>
              <w:t>）的规定，项目</w:t>
            </w:r>
            <w:r>
              <w:rPr>
                <w:spacing w:val="8"/>
                <w:sz w:val="24"/>
                <w:szCs w:val="24"/>
              </w:rPr>
              <w:t xml:space="preserve"> </w:t>
            </w:r>
            <w:r>
              <w:rPr>
                <w:sz w:val="24"/>
                <w:szCs w:val="24"/>
              </w:rPr>
              <w:t>所在区域环境空气质量达标判定，优先采用国家或地方生态环境主管部门公</w:t>
            </w:r>
            <w:r>
              <w:rPr>
                <w:spacing w:val="18"/>
                <w:sz w:val="24"/>
                <w:szCs w:val="24"/>
              </w:rPr>
              <w:t xml:space="preserve"> </w:t>
            </w:r>
            <w:r>
              <w:rPr>
                <w:sz w:val="24"/>
                <w:szCs w:val="24"/>
              </w:rPr>
              <w:t>开发布的评价基准年环境质量公告或环境质</w:t>
            </w:r>
            <w:r>
              <w:rPr>
                <w:spacing w:val="-1"/>
                <w:sz w:val="24"/>
                <w:szCs w:val="24"/>
              </w:rPr>
              <w:t>量报告中的数据或结论。</w:t>
            </w:r>
          </w:p>
          <w:p w14:paraId="47FA06EE">
            <w:pPr>
              <w:pStyle w:val="6"/>
              <w:spacing w:before="1" w:line="359" w:lineRule="auto"/>
              <w:ind w:left="115" w:right="107" w:firstLine="479"/>
              <w:jc w:val="both"/>
              <w:rPr>
                <w:sz w:val="24"/>
                <w:szCs w:val="24"/>
              </w:rPr>
            </w:pPr>
            <w:r>
              <w:rPr>
                <w:spacing w:val="-1"/>
                <w:sz w:val="24"/>
                <w:szCs w:val="24"/>
              </w:rPr>
              <w:t>根据《内蒙古自治区生态环境状况公报》（</w:t>
            </w:r>
            <w:r>
              <w:rPr>
                <w:rFonts w:ascii="Times New Roman" w:hAnsi="Times New Roman" w:eastAsia="Times New Roman" w:cs="Times New Roman"/>
                <w:spacing w:val="-1"/>
                <w:sz w:val="24"/>
                <w:szCs w:val="24"/>
              </w:rPr>
              <w:t>2023</w:t>
            </w:r>
            <w:r>
              <w:rPr>
                <w:spacing w:val="-1"/>
                <w:sz w:val="24"/>
                <w:szCs w:val="24"/>
              </w:rPr>
              <w:t>年</w:t>
            </w:r>
            <w:r>
              <w:rPr>
                <w:spacing w:val="-7"/>
                <w:sz w:val="24"/>
                <w:szCs w:val="24"/>
              </w:rPr>
              <w:t>），</w:t>
            </w:r>
            <w:r>
              <w:rPr>
                <w:spacing w:val="-1"/>
                <w:sz w:val="24"/>
                <w:szCs w:val="24"/>
              </w:rPr>
              <w:t>鄂尔多斯市</w:t>
            </w:r>
            <w:r>
              <w:rPr>
                <w:spacing w:val="-55"/>
                <w:sz w:val="24"/>
                <w:szCs w:val="24"/>
              </w:rPr>
              <w:t xml:space="preserve"> </w:t>
            </w:r>
            <w:r>
              <w:rPr>
                <w:rFonts w:ascii="Times New Roman" w:hAnsi="Times New Roman" w:eastAsia="Times New Roman" w:cs="Times New Roman"/>
                <w:spacing w:val="-1"/>
                <w:sz w:val="24"/>
                <w:szCs w:val="24"/>
              </w:rPr>
              <w:t>2023</w:t>
            </w:r>
            <w:r>
              <w:rPr>
                <w:rFonts w:ascii="Times New Roman" w:hAnsi="Times New Roman" w:eastAsia="Times New Roman" w:cs="Times New Roman"/>
                <w:sz w:val="24"/>
                <w:szCs w:val="24"/>
              </w:rPr>
              <w:t xml:space="preserve"> </w:t>
            </w:r>
            <w:r>
              <w:rPr>
                <w:spacing w:val="-1"/>
                <w:sz w:val="24"/>
                <w:szCs w:val="24"/>
              </w:rPr>
              <w:t>年环境空气质量综合指数为</w:t>
            </w:r>
            <w:r>
              <w:rPr>
                <w:spacing w:val="-48"/>
                <w:sz w:val="24"/>
                <w:szCs w:val="24"/>
              </w:rPr>
              <w:t xml:space="preserve"> </w:t>
            </w:r>
            <w:r>
              <w:rPr>
                <w:rFonts w:ascii="Times New Roman" w:hAnsi="Times New Roman" w:eastAsia="Times New Roman" w:cs="Times New Roman"/>
                <w:spacing w:val="-1"/>
                <w:sz w:val="24"/>
                <w:szCs w:val="24"/>
              </w:rPr>
              <w:t>3.31</w:t>
            </w:r>
            <w:r>
              <w:rPr>
                <w:rFonts w:ascii="Times New Roman" w:hAnsi="Times New Roman" w:eastAsia="Times New Roman" w:cs="Times New Roman"/>
                <w:spacing w:val="-28"/>
                <w:sz w:val="24"/>
                <w:szCs w:val="24"/>
              </w:rPr>
              <w:t xml:space="preserve"> </w:t>
            </w:r>
            <w:r>
              <w:rPr>
                <w:spacing w:val="-1"/>
                <w:sz w:val="24"/>
                <w:szCs w:val="24"/>
              </w:rPr>
              <w:t>，优良天数比例为</w:t>
            </w:r>
            <w:r>
              <w:rPr>
                <w:spacing w:val="-43"/>
                <w:sz w:val="24"/>
                <w:szCs w:val="24"/>
              </w:rPr>
              <w:t xml:space="preserve"> </w:t>
            </w:r>
            <w:r>
              <w:rPr>
                <w:rFonts w:ascii="Times New Roman" w:hAnsi="Times New Roman" w:eastAsia="Times New Roman" w:cs="Times New Roman"/>
                <w:spacing w:val="-1"/>
                <w:sz w:val="24"/>
                <w:szCs w:val="24"/>
              </w:rPr>
              <w:t>86.8%</w:t>
            </w:r>
            <w:r>
              <w:rPr>
                <w:rFonts w:ascii="Times New Roman" w:hAnsi="Times New Roman" w:eastAsia="Times New Roman" w:cs="Times New Roman"/>
                <w:spacing w:val="-27"/>
                <w:sz w:val="24"/>
                <w:szCs w:val="24"/>
              </w:rPr>
              <w:t xml:space="preserve"> </w:t>
            </w:r>
            <w:r>
              <w:rPr>
                <w:spacing w:val="-1"/>
                <w:sz w:val="24"/>
                <w:szCs w:val="24"/>
              </w:rPr>
              <w:t>，环境空气质量达</w:t>
            </w:r>
            <w:r>
              <w:rPr>
                <w:sz w:val="24"/>
                <w:szCs w:val="24"/>
              </w:rPr>
              <w:t xml:space="preserve"> </w:t>
            </w:r>
            <w:r>
              <w:rPr>
                <w:spacing w:val="-2"/>
                <w:sz w:val="24"/>
                <w:szCs w:val="24"/>
              </w:rPr>
              <w:t>标，属于达标区。</w:t>
            </w:r>
          </w:p>
          <w:p w14:paraId="74E1FB33">
            <w:pPr>
              <w:pStyle w:val="6"/>
              <w:spacing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）特征污染物</w:t>
            </w:r>
          </w:p>
          <w:p w14:paraId="6100149A">
            <w:pPr>
              <w:pStyle w:val="6"/>
              <w:spacing w:before="180" w:line="217" w:lineRule="auto"/>
              <w:ind w:left="593"/>
              <w:rPr>
                <w:sz w:val="24"/>
                <w:szCs w:val="24"/>
              </w:rPr>
            </w:pPr>
            <w:r>
              <w:rPr>
                <w:spacing w:val="-2"/>
                <w:sz w:val="24"/>
                <w:szCs w:val="24"/>
              </w:rPr>
              <w:t>①数据引用</w:t>
            </w:r>
          </w:p>
          <w:p w14:paraId="7DD63D0D">
            <w:pPr>
              <w:pStyle w:val="6"/>
              <w:spacing w:before="185" w:line="359" w:lineRule="auto"/>
              <w:ind w:left="113" w:firstLine="481"/>
              <w:rPr>
                <w:sz w:val="24"/>
                <w:szCs w:val="24"/>
              </w:rPr>
            </w:pPr>
            <w:r>
              <w:rPr>
                <w:spacing w:val="-2"/>
                <w:sz w:val="24"/>
                <w:szCs w:val="24"/>
              </w:rPr>
              <w:t>本次引用《鄂托克经济开发区国土空间总体规划（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）棋盘井产</w:t>
            </w:r>
            <w:r>
              <w:rPr>
                <w:spacing w:val="2"/>
                <w:sz w:val="24"/>
                <w:szCs w:val="24"/>
              </w:rPr>
              <w:t xml:space="preserve">  </w:t>
            </w:r>
            <w:r>
              <w:rPr>
                <w:spacing w:val="-5"/>
                <w:sz w:val="24"/>
                <w:szCs w:val="24"/>
              </w:rPr>
              <w:t>业园环境影响报告书》（</w:t>
            </w:r>
            <w:r>
              <w:rPr>
                <w:rFonts w:ascii="Times New Roman" w:hAnsi="Times New Roman" w:eastAsia="Times New Roman" w:cs="Times New Roman"/>
                <w:spacing w:val="-5"/>
                <w:sz w:val="24"/>
                <w:szCs w:val="24"/>
              </w:rPr>
              <w:t>2023</w:t>
            </w:r>
            <w:r>
              <w:rPr>
                <w:spacing w:val="-5"/>
                <w:sz w:val="24"/>
                <w:szCs w:val="24"/>
              </w:rPr>
              <w:t>年</w:t>
            </w:r>
            <w:r>
              <w:rPr>
                <w:spacing w:val="-4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w w:val="101"/>
                <w:sz w:val="24"/>
                <w:szCs w:val="24"/>
              </w:rPr>
              <w:t xml:space="preserve"> </w:t>
            </w:r>
            <w:r>
              <w:rPr>
                <w:spacing w:val="-5"/>
                <w:sz w:val="24"/>
                <w:szCs w:val="24"/>
              </w:rPr>
              <w:t>月）中“棋西项目区环境质量监测数据</w:t>
            </w:r>
            <w:r>
              <w:rPr>
                <w:spacing w:val="-88"/>
                <w:sz w:val="24"/>
                <w:szCs w:val="24"/>
              </w:rPr>
              <w:t xml:space="preserve"> </w:t>
            </w:r>
            <w:r>
              <w:rPr>
                <w:spacing w:val="-5"/>
                <w:sz w:val="24"/>
                <w:szCs w:val="24"/>
              </w:rPr>
              <w:t>”。</w:t>
            </w:r>
          </w:p>
          <w:p w14:paraId="153426EE">
            <w:pPr>
              <w:pStyle w:val="6"/>
              <w:spacing w:before="1" w:line="217" w:lineRule="auto"/>
              <w:ind w:left="592"/>
              <w:rPr>
                <w:sz w:val="24"/>
                <w:szCs w:val="24"/>
              </w:rPr>
            </w:pPr>
            <w:r>
              <w:rPr>
                <w:spacing w:val="-2"/>
                <w:sz w:val="24"/>
                <w:szCs w:val="24"/>
              </w:rPr>
              <w:t>②监测点位</w:t>
            </w:r>
          </w:p>
          <w:p w14:paraId="3D3B6C02">
            <w:pPr>
              <w:pStyle w:val="6"/>
              <w:spacing w:before="184" w:line="358" w:lineRule="auto"/>
              <w:ind w:left="122" w:right="107" w:firstLine="470"/>
              <w:rPr>
                <w:sz w:val="24"/>
                <w:szCs w:val="24"/>
              </w:rPr>
            </w:pPr>
            <w:r>
              <w:rPr>
                <w:spacing w:val="-4"/>
                <w:sz w:val="24"/>
                <w:szCs w:val="24"/>
              </w:rPr>
              <w:t>共布设</w:t>
            </w:r>
            <w:r>
              <w:rPr>
                <w:spacing w:val="-43"/>
                <w:sz w:val="24"/>
                <w:szCs w:val="24"/>
              </w:rPr>
              <w:t xml:space="preserve"> </w:t>
            </w:r>
            <w:r>
              <w:rPr>
                <w:rFonts w:ascii="Times New Roman" w:hAnsi="Times New Roman" w:eastAsia="Times New Roman" w:cs="Times New Roman"/>
                <w:spacing w:val="-4"/>
                <w:sz w:val="24"/>
                <w:szCs w:val="24"/>
              </w:rPr>
              <w:t xml:space="preserve">5 </w:t>
            </w:r>
            <w:r>
              <w:rPr>
                <w:spacing w:val="-4"/>
                <w:sz w:val="24"/>
                <w:szCs w:val="24"/>
              </w:rPr>
              <w:t>个监测点，分别位于园区西北</w:t>
            </w:r>
            <w:r>
              <w:rPr>
                <w:spacing w:val="-49"/>
                <w:sz w:val="24"/>
                <w:szCs w:val="24"/>
              </w:rPr>
              <w:t xml:space="preserve"> </w:t>
            </w:r>
            <w:r>
              <w:rPr>
                <w:rFonts w:ascii="Times New Roman" w:hAnsi="Times New Roman" w:eastAsia="Times New Roman" w:cs="Times New Roman"/>
                <w:spacing w:val="-4"/>
                <w:sz w:val="24"/>
                <w:szCs w:val="24"/>
              </w:rPr>
              <w:t>500m</w:t>
            </w:r>
            <w:r>
              <w:rPr>
                <w:spacing w:val="-4"/>
                <w:sz w:val="24"/>
                <w:szCs w:val="24"/>
              </w:rPr>
              <w:t>（主导风向下风向）、园区</w:t>
            </w:r>
            <w:r>
              <w:rPr>
                <w:sz w:val="24"/>
                <w:szCs w:val="24"/>
              </w:rPr>
              <w:t xml:space="preserve"> </w:t>
            </w:r>
            <w:r>
              <w:rPr>
                <w:spacing w:val="-1"/>
                <w:sz w:val="24"/>
                <w:szCs w:val="24"/>
              </w:rPr>
              <w:t>东侧棋盘井镇区、园区范围内以及西鄂尔多斯自然保护区，具体见下表：</w:t>
            </w:r>
          </w:p>
          <w:p w14:paraId="77E35705">
            <w:pPr>
              <w:pStyle w:val="6"/>
              <w:spacing w:before="1" w:line="226" w:lineRule="auto"/>
              <w:ind w:left="2759"/>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3-1    </w:t>
            </w:r>
            <w:r>
              <w:rPr>
                <w:b/>
                <w:bCs/>
                <w:spacing w:val="5"/>
                <w:sz w:val="20"/>
                <w:szCs w:val="20"/>
              </w:rPr>
              <w:t>监测点位布设情况表</w:t>
            </w:r>
          </w:p>
          <w:p w14:paraId="5564DE4B">
            <w:pPr>
              <w:spacing w:line="131" w:lineRule="exact"/>
            </w:pPr>
          </w:p>
          <w:tbl>
            <w:tblPr>
              <w:tblStyle w:val="5"/>
              <w:tblW w:w="7938"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2402"/>
              <w:gridCol w:w="1879"/>
              <w:gridCol w:w="1630"/>
              <w:gridCol w:w="1304"/>
            </w:tblGrid>
            <w:tr w14:paraId="150A1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23" w:type="dxa"/>
                  <w:vAlign w:val="top"/>
                </w:tcPr>
                <w:p w14:paraId="6B3CD72B">
                  <w:pPr>
                    <w:pStyle w:val="6"/>
                    <w:spacing w:before="35" w:line="217" w:lineRule="auto"/>
                    <w:ind w:left="156"/>
                    <w:rPr>
                      <w:sz w:val="20"/>
                      <w:szCs w:val="20"/>
                    </w:rPr>
                  </w:pPr>
                  <w:r>
                    <w:rPr>
                      <w:spacing w:val="5"/>
                      <w:sz w:val="20"/>
                      <w:szCs w:val="20"/>
                    </w:rPr>
                    <w:t>序号</w:t>
                  </w:r>
                </w:p>
              </w:tc>
              <w:tc>
                <w:tcPr>
                  <w:tcW w:w="2402" w:type="dxa"/>
                  <w:vAlign w:val="top"/>
                </w:tcPr>
                <w:p w14:paraId="75443D60">
                  <w:pPr>
                    <w:pStyle w:val="6"/>
                    <w:spacing w:before="35" w:line="217" w:lineRule="auto"/>
                    <w:ind w:left="786"/>
                    <w:rPr>
                      <w:sz w:val="20"/>
                      <w:szCs w:val="20"/>
                    </w:rPr>
                  </w:pPr>
                  <w:r>
                    <w:rPr>
                      <w:spacing w:val="7"/>
                      <w:sz w:val="20"/>
                      <w:szCs w:val="20"/>
                    </w:rPr>
                    <w:t>监测点位</w:t>
                  </w:r>
                </w:p>
              </w:tc>
              <w:tc>
                <w:tcPr>
                  <w:tcW w:w="1879" w:type="dxa"/>
                  <w:vAlign w:val="top"/>
                </w:tcPr>
                <w:p w14:paraId="445D80D4">
                  <w:pPr>
                    <w:pStyle w:val="6"/>
                    <w:spacing w:before="35" w:line="217" w:lineRule="auto"/>
                    <w:ind w:left="737"/>
                    <w:rPr>
                      <w:sz w:val="20"/>
                      <w:szCs w:val="20"/>
                    </w:rPr>
                  </w:pPr>
                  <w:r>
                    <w:rPr>
                      <w:spacing w:val="3"/>
                      <w:sz w:val="20"/>
                      <w:szCs w:val="20"/>
                    </w:rPr>
                    <w:t>经度</w:t>
                  </w:r>
                </w:p>
              </w:tc>
              <w:tc>
                <w:tcPr>
                  <w:tcW w:w="1630" w:type="dxa"/>
                  <w:vAlign w:val="top"/>
                </w:tcPr>
                <w:p w14:paraId="72886B98">
                  <w:pPr>
                    <w:pStyle w:val="6"/>
                    <w:spacing w:before="35" w:line="217" w:lineRule="auto"/>
                    <w:ind w:left="611"/>
                    <w:rPr>
                      <w:sz w:val="20"/>
                      <w:szCs w:val="20"/>
                    </w:rPr>
                  </w:pPr>
                  <w:r>
                    <w:rPr>
                      <w:spacing w:val="4"/>
                      <w:sz w:val="20"/>
                      <w:szCs w:val="20"/>
                    </w:rPr>
                    <w:t>纬度</w:t>
                  </w:r>
                </w:p>
              </w:tc>
              <w:tc>
                <w:tcPr>
                  <w:tcW w:w="1304" w:type="dxa"/>
                  <w:vAlign w:val="top"/>
                </w:tcPr>
                <w:p w14:paraId="0B6155AE">
                  <w:pPr>
                    <w:pStyle w:val="6"/>
                    <w:spacing w:before="35" w:line="217" w:lineRule="auto"/>
                    <w:ind w:left="238"/>
                    <w:rPr>
                      <w:sz w:val="20"/>
                      <w:szCs w:val="20"/>
                    </w:rPr>
                  </w:pPr>
                  <w:r>
                    <w:rPr>
                      <w:spacing w:val="7"/>
                      <w:sz w:val="20"/>
                      <w:szCs w:val="20"/>
                    </w:rPr>
                    <w:t>相对位置</w:t>
                  </w:r>
                </w:p>
              </w:tc>
            </w:tr>
            <w:tr w14:paraId="21F5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3" w:type="dxa"/>
                  <w:vAlign w:val="top"/>
                </w:tcPr>
                <w:p w14:paraId="6608F56E">
                  <w:pPr>
                    <w:spacing w:before="203"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02" w:type="dxa"/>
                  <w:vAlign w:val="top"/>
                </w:tcPr>
                <w:p w14:paraId="615F25DD">
                  <w:pPr>
                    <w:pStyle w:val="6"/>
                    <w:spacing w:before="30" w:line="228" w:lineRule="auto"/>
                    <w:ind w:left="222"/>
                    <w:rPr>
                      <w:rFonts w:ascii="Times New Roman" w:hAnsi="Times New Roman" w:eastAsia="Times New Roman" w:cs="Times New Roman"/>
                      <w:sz w:val="20"/>
                      <w:szCs w:val="20"/>
                    </w:rPr>
                  </w:pPr>
                  <w:r>
                    <w:rPr>
                      <w:spacing w:val="5"/>
                      <w:sz w:val="20"/>
                      <w:szCs w:val="20"/>
                    </w:rPr>
                    <w:t>园区范围外西北</w:t>
                  </w:r>
                  <w:r>
                    <w:rPr>
                      <w:spacing w:val="-37"/>
                      <w:sz w:val="20"/>
                      <w:szCs w:val="20"/>
                    </w:rPr>
                    <w:t xml:space="preserve"> </w:t>
                  </w:r>
                  <w:r>
                    <w:rPr>
                      <w:rFonts w:ascii="Times New Roman" w:hAnsi="Times New Roman" w:eastAsia="Times New Roman" w:cs="Times New Roman"/>
                      <w:spacing w:val="5"/>
                      <w:sz w:val="20"/>
                      <w:szCs w:val="20"/>
                    </w:rPr>
                    <w:t>500m</w:t>
                  </w:r>
                </w:p>
                <w:p w14:paraId="5737426B">
                  <w:pPr>
                    <w:pStyle w:val="6"/>
                    <w:spacing w:before="26" w:line="217" w:lineRule="auto"/>
                    <w:ind w:left="375"/>
                    <w:rPr>
                      <w:sz w:val="20"/>
                      <w:szCs w:val="20"/>
                    </w:rPr>
                  </w:pPr>
                  <w:r>
                    <w:rPr>
                      <w:spacing w:val="6"/>
                      <w:sz w:val="20"/>
                      <w:szCs w:val="20"/>
                    </w:rPr>
                    <w:t>（主导风下风向）</w:t>
                  </w:r>
                </w:p>
              </w:tc>
              <w:tc>
                <w:tcPr>
                  <w:tcW w:w="1879" w:type="dxa"/>
                  <w:vAlign w:val="top"/>
                </w:tcPr>
                <w:p w14:paraId="43EE7845">
                  <w:pPr>
                    <w:spacing w:before="20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106°57′</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15.00″E</w:t>
                  </w:r>
                </w:p>
              </w:tc>
              <w:tc>
                <w:tcPr>
                  <w:tcW w:w="1630" w:type="dxa"/>
                  <w:vAlign w:val="top"/>
                </w:tcPr>
                <w:p w14:paraId="429D8EE1">
                  <w:pPr>
                    <w:spacing w:before="20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39°22′35.93″N</w:t>
                  </w:r>
                </w:p>
              </w:tc>
              <w:tc>
                <w:tcPr>
                  <w:tcW w:w="1304" w:type="dxa"/>
                  <w:vAlign w:val="top"/>
                </w:tcPr>
                <w:p w14:paraId="09A49B23">
                  <w:pPr>
                    <w:pStyle w:val="6"/>
                    <w:spacing w:before="47" w:line="227" w:lineRule="auto"/>
                    <w:ind w:left="117"/>
                    <w:rPr>
                      <w:sz w:val="20"/>
                      <w:szCs w:val="20"/>
                    </w:rPr>
                  </w:pPr>
                  <w:r>
                    <w:rPr>
                      <w:spacing w:val="8"/>
                      <w:sz w:val="20"/>
                      <w:szCs w:val="20"/>
                    </w:rPr>
                    <w:t>本项目西北</w:t>
                  </w:r>
                </w:p>
                <w:p w14:paraId="6334E6AB">
                  <w:pPr>
                    <w:spacing w:before="43" w:line="199"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p>
              </w:tc>
            </w:tr>
            <w:tr w14:paraId="73615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3" w:type="dxa"/>
                  <w:vAlign w:val="top"/>
                </w:tcPr>
                <w:p w14:paraId="7A3BB26E">
                  <w:pPr>
                    <w:spacing w:before="20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402" w:type="dxa"/>
                  <w:vAlign w:val="top"/>
                </w:tcPr>
                <w:p w14:paraId="1292E3AB">
                  <w:pPr>
                    <w:pStyle w:val="6"/>
                    <w:spacing w:before="33" w:line="224" w:lineRule="auto"/>
                    <w:ind w:left="174"/>
                    <w:rPr>
                      <w:sz w:val="20"/>
                      <w:szCs w:val="20"/>
                    </w:rPr>
                  </w:pPr>
                  <w:r>
                    <w:rPr>
                      <w:spacing w:val="7"/>
                      <w:sz w:val="20"/>
                      <w:szCs w:val="20"/>
                    </w:rPr>
                    <w:t>园区范围东侧棋盘井镇</w:t>
                  </w:r>
                </w:p>
                <w:p w14:paraId="33BF829E">
                  <w:pPr>
                    <w:pStyle w:val="6"/>
                    <w:spacing w:before="28" w:line="216" w:lineRule="auto"/>
                    <w:ind w:left="587"/>
                    <w:rPr>
                      <w:sz w:val="20"/>
                      <w:szCs w:val="20"/>
                    </w:rPr>
                  </w:pPr>
                  <w:r>
                    <w:rPr>
                      <w:spacing w:val="4"/>
                      <w:sz w:val="20"/>
                      <w:szCs w:val="20"/>
                    </w:rPr>
                    <w:t>（棋盘井镇）</w:t>
                  </w:r>
                </w:p>
              </w:tc>
              <w:tc>
                <w:tcPr>
                  <w:tcW w:w="1879" w:type="dxa"/>
                  <w:vAlign w:val="top"/>
                </w:tcPr>
                <w:p w14:paraId="484AE467">
                  <w:pPr>
                    <w:spacing w:before="203"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107°0</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′24.52″E</w:t>
                  </w:r>
                </w:p>
              </w:tc>
              <w:tc>
                <w:tcPr>
                  <w:tcW w:w="1630" w:type="dxa"/>
                  <w:vAlign w:val="top"/>
                </w:tcPr>
                <w:p w14:paraId="30EEAA90">
                  <w:pPr>
                    <w:spacing w:before="20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39°21′38.97″N</w:t>
                  </w:r>
                </w:p>
              </w:tc>
              <w:tc>
                <w:tcPr>
                  <w:tcW w:w="1304" w:type="dxa"/>
                  <w:vAlign w:val="top"/>
                </w:tcPr>
                <w:p w14:paraId="7C315AAD">
                  <w:pPr>
                    <w:pStyle w:val="6"/>
                    <w:spacing w:before="47" w:line="227" w:lineRule="auto"/>
                    <w:ind w:left="117"/>
                    <w:rPr>
                      <w:sz w:val="20"/>
                      <w:szCs w:val="20"/>
                    </w:rPr>
                  </w:pPr>
                  <w:r>
                    <w:rPr>
                      <w:spacing w:val="8"/>
                      <w:sz w:val="20"/>
                      <w:szCs w:val="20"/>
                    </w:rPr>
                    <w:t>本项目西侧</w:t>
                  </w:r>
                </w:p>
                <w:p w14:paraId="3E0AD32B">
                  <w:pPr>
                    <w:spacing w:before="43" w:line="199"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0.67</w:t>
                  </w:r>
                  <w:r>
                    <w:rPr>
                      <w:rFonts w:ascii="Times New Roman" w:hAnsi="Times New Roman" w:eastAsia="Times New Roman" w:cs="Times New Roman"/>
                      <w:sz w:val="20"/>
                      <w:szCs w:val="20"/>
                    </w:rPr>
                    <w:t>km</w:t>
                  </w:r>
                </w:p>
              </w:tc>
            </w:tr>
            <w:tr w14:paraId="51502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23" w:type="dxa"/>
                  <w:vAlign w:val="top"/>
                </w:tcPr>
                <w:p w14:paraId="658A69AB">
                  <w:pPr>
                    <w:spacing w:before="19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402" w:type="dxa"/>
                  <w:vAlign w:val="top"/>
                </w:tcPr>
                <w:p w14:paraId="1CDD741C">
                  <w:pPr>
                    <w:pStyle w:val="6"/>
                    <w:spacing w:before="154" w:line="228" w:lineRule="auto"/>
                    <w:ind w:left="697"/>
                    <w:rPr>
                      <w:sz w:val="20"/>
                      <w:szCs w:val="20"/>
                    </w:rPr>
                  </w:pPr>
                  <w:r>
                    <w:rPr>
                      <w:spacing w:val="4"/>
                      <w:sz w:val="20"/>
                      <w:szCs w:val="20"/>
                    </w:rPr>
                    <w:t>园区范围内</w:t>
                  </w:r>
                </w:p>
              </w:tc>
              <w:tc>
                <w:tcPr>
                  <w:tcW w:w="1879" w:type="dxa"/>
                  <w:vAlign w:val="top"/>
                </w:tcPr>
                <w:p w14:paraId="5BA78CF4">
                  <w:pPr>
                    <w:spacing w:before="19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106°57′42.08″E</w:t>
                  </w:r>
                </w:p>
              </w:tc>
              <w:tc>
                <w:tcPr>
                  <w:tcW w:w="1630" w:type="dxa"/>
                  <w:vAlign w:val="top"/>
                </w:tcPr>
                <w:p w14:paraId="46DC4676">
                  <w:pPr>
                    <w:spacing w:before="19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39°20′36.18″N</w:t>
                  </w:r>
                </w:p>
              </w:tc>
              <w:tc>
                <w:tcPr>
                  <w:tcW w:w="1304" w:type="dxa"/>
                  <w:vAlign w:val="top"/>
                </w:tcPr>
                <w:p w14:paraId="04FBFCBF">
                  <w:pPr>
                    <w:pStyle w:val="6"/>
                    <w:spacing w:before="34" w:line="227" w:lineRule="auto"/>
                    <w:ind w:left="117"/>
                    <w:rPr>
                      <w:sz w:val="20"/>
                      <w:szCs w:val="20"/>
                    </w:rPr>
                  </w:pPr>
                  <w:r>
                    <w:rPr>
                      <w:spacing w:val="8"/>
                      <w:sz w:val="20"/>
                      <w:szCs w:val="20"/>
                    </w:rPr>
                    <w:t>本项目西南</w:t>
                  </w:r>
                </w:p>
                <w:p w14:paraId="51A2D6AA">
                  <w:pPr>
                    <w:spacing w:before="43" w:line="192"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z w:val="20"/>
                      <w:szCs w:val="20"/>
                    </w:rPr>
                    <w:t>km</w:t>
                  </w:r>
                </w:p>
              </w:tc>
            </w:tr>
            <w:tr w14:paraId="28907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23" w:type="dxa"/>
                  <w:vAlign w:val="top"/>
                </w:tcPr>
                <w:p w14:paraId="4B3E575C">
                  <w:pPr>
                    <w:spacing w:before="19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402" w:type="dxa"/>
                  <w:vAlign w:val="top"/>
                </w:tcPr>
                <w:p w14:paraId="7C7FB4DA">
                  <w:pPr>
                    <w:pStyle w:val="6"/>
                    <w:spacing w:before="154" w:line="228" w:lineRule="auto"/>
                    <w:ind w:left="697"/>
                    <w:rPr>
                      <w:sz w:val="20"/>
                      <w:szCs w:val="20"/>
                    </w:rPr>
                  </w:pPr>
                  <w:r>
                    <w:rPr>
                      <w:spacing w:val="4"/>
                      <w:sz w:val="20"/>
                      <w:szCs w:val="20"/>
                    </w:rPr>
                    <w:t>园区范围内</w:t>
                  </w:r>
                </w:p>
              </w:tc>
              <w:tc>
                <w:tcPr>
                  <w:tcW w:w="1879" w:type="dxa"/>
                  <w:vAlign w:val="top"/>
                </w:tcPr>
                <w:p w14:paraId="763A6857">
                  <w:pPr>
                    <w:spacing w:before="19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106°59′</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18.96″E</w:t>
                  </w:r>
                </w:p>
              </w:tc>
              <w:tc>
                <w:tcPr>
                  <w:tcW w:w="1630" w:type="dxa"/>
                  <w:vAlign w:val="top"/>
                </w:tcPr>
                <w:p w14:paraId="2AB81787">
                  <w:pPr>
                    <w:spacing w:before="190"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39°21′46.63″N</w:t>
                  </w:r>
                </w:p>
              </w:tc>
              <w:tc>
                <w:tcPr>
                  <w:tcW w:w="1304" w:type="dxa"/>
                  <w:vAlign w:val="top"/>
                </w:tcPr>
                <w:p w14:paraId="63BD5A63">
                  <w:pPr>
                    <w:pStyle w:val="6"/>
                    <w:spacing w:before="34" w:line="227" w:lineRule="auto"/>
                    <w:ind w:left="117"/>
                    <w:rPr>
                      <w:sz w:val="20"/>
                      <w:szCs w:val="20"/>
                    </w:rPr>
                  </w:pPr>
                  <w:r>
                    <w:rPr>
                      <w:spacing w:val="8"/>
                      <w:sz w:val="20"/>
                      <w:szCs w:val="20"/>
                    </w:rPr>
                    <w:t>本项目西侧</w:t>
                  </w:r>
                </w:p>
                <w:p w14:paraId="62F92A54">
                  <w:pPr>
                    <w:spacing w:before="43" w:line="196"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2.23</w:t>
                  </w:r>
                  <w:r>
                    <w:rPr>
                      <w:rFonts w:ascii="Times New Roman" w:hAnsi="Times New Roman" w:eastAsia="Times New Roman" w:cs="Times New Roman"/>
                      <w:sz w:val="20"/>
                      <w:szCs w:val="20"/>
                    </w:rPr>
                    <w:t>km</w:t>
                  </w:r>
                </w:p>
              </w:tc>
            </w:tr>
          </w:tbl>
          <w:p w14:paraId="3D2BD56C">
            <w:pPr>
              <w:rPr>
                <w:rFonts w:ascii="Arial"/>
                <w:sz w:val="21"/>
              </w:rPr>
            </w:pPr>
          </w:p>
        </w:tc>
      </w:tr>
    </w:tbl>
    <w:p w14:paraId="605CCB58">
      <w:pPr>
        <w:pStyle w:val="2"/>
      </w:pPr>
    </w:p>
    <w:p w14:paraId="6E3379FF">
      <w:pPr>
        <w:sectPr>
          <w:footerReference r:id="rId53" w:type="default"/>
          <w:pgSz w:w="11906" w:h="16839"/>
          <w:pgMar w:top="400" w:right="1588" w:bottom="1259" w:left="1687" w:header="0" w:footer="1097" w:gutter="0"/>
          <w:cols w:space="720" w:num="1"/>
        </w:sectPr>
      </w:pPr>
    </w:p>
    <w:p w14:paraId="1CE302AD">
      <w:pPr>
        <w:spacing w:before="19"/>
      </w:pPr>
    </w:p>
    <w:p w14:paraId="44D87481">
      <w:pPr>
        <w:spacing w:before="19"/>
      </w:pPr>
    </w:p>
    <w:p w14:paraId="5CB916B7">
      <w:pPr>
        <w:spacing w:before="18"/>
      </w:pPr>
    </w:p>
    <w:p w14:paraId="3CEC9B7E">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637"/>
        <w:gridCol w:w="1524"/>
        <w:gridCol w:w="1060"/>
        <w:gridCol w:w="1273"/>
        <w:gridCol w:w="1387"/>
        <w:gridCol w:w="1413"/>
        <w:gridCol w:w="641"/>
        <w:gridCol w:w="118"/>
      </w:tblGrid>
      <w:tr w14:paraId="1D329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2" w:hRule="atLeast"/>
        </w:trPr>
        <w:tc>
          <w:tcPr>
            <w:tcW w:w="459" w:type="dxa"/>
            <w:vMerge w:val="restart"/>
            <w:tcBorders>
              <w:bottom w:val="nil"/>
            </w:tcBorders>
            <w:vAlign w:val="top"/>
          </w:tcPr>
          <w:p w14:paraId="599188B6">
            <w:pPr>
              <w:rPr>
                <w:rFonts w:ascii="Arial"/>
                <w:sz w:val="21"/>
              </w:rPr>
            </w:pPr>
          </w:p>
        </w:tc>
        <w:tc>
          <w:tcPr>
            <w:tcW w:w="8166" w:type="dxa"/>
            <w:gridSpan w:val="9"/>
            <w:tcBorders>
              <w:bottom w:val="nil"/>
            </w:tcBorders>
            <w:vAlign w:val="top"/>
          </w:tcPr>
          <w:p w14:paraId="4DE74848">
            <w:pPr>
              <w:spacing w:before="4" w:line="4395" w:lineRule="exact"/>
              <w:ind w:firstLine="303"/>
            </w:pPr>
            <w:r>
              <w:rPr>
                <w:position w:val="-87"/>
              </w:rPr>
              <w:drawing>
                <wp:inline distT="0" distB="0" distL="0" distR="0">
                  <wp:extent cx="4794885" cy="27908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6"/>
                          <a:stretch>
                            <a:fillRect/>
                          </a:stretch>
                        </pic:blipFill>
                        <pic:spPr>
                          <a:xfrm>
                            <a:off x="0" y="0"/>
                            <a:ext cx="4795266" cy="2791205"/>
                          </a:xfrm>
                          <a:prstGeom prst="rect">
                            <a:avLst/>
                          </a:prstGeom>
                        </pic:spPr>
                      </pic:pic>
                    </a:graphicData>
                  </a:graphic>
                </wp:inline>
              </w:drawing>
            </w:r>
          </w:p>
        </w:tc>
      </w:tr>
      <w:tr w14:paraId="16B28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3" w:hRule="atLeast"/>
        </w:trPr>
        <w:tc>
          <w:tcPr>
            <w:tcW w:w="459" w:type="dxa"/>
            <w:vMerge w:val="continue"/>
            <w:tcBorders>
              <w:top w:val="nil"/>
              <w:bottom w:val="nil"/>
            </w:tcBorders>
            <w:vAlign w:val="top"/>
          </w:tcPr>
          <w:p w14:paraId="22248D30">
            <w:pPr>
              <w:rPr>
                <w:rFonts w:ascii="Arial"/>
                <w:sz w:val="21"/>
              </w:rPr>
            </w:pPr>
          </w:p>
        </w:tc>
        <w:tc>
          <w:tcPr>
            <w:tcW w:w="8166" w:type="dxa"/>
            <w:gridSpan w:val="9"/>
            <w:tcBorders>
              <w:top w:val="nil"/>
            </w:tcBorders>
            <w:vAlign w:val="top"/>
          </w:tcPr>
          <w:p w14:paraId="657CD09A">
            <w:pPr>
              <w:pStyle w:val="6"/>
              <w:spacing w:before="86" w:line="227" w:lineRule="auto"/>
              <w:ind w:left="2991"/>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3-1    </w:t>
            </w:r>
            <w:r>
              <w:rPr>
                <w:b/>
                <w:bCs/>
                <w:spacing w:val="3"/>
                <w:sz w:val="20"/>
                <w:szCs w:val="20"/>
              </w:rPr>
              <w:t>监测点位分布图</w:t>
            </w:r>
          </w:p>
          <w:p w14:paraId="549F360D">
            <w:pPr>
              <w:pStyle w:val="6"/>
              <w:spacing w:before="169" w:line="217" w:lineRule="auto"/>
              <w:ind w:left="592"/>
              <w:rPr>
                <w:sz w:val="24"/>
                <w:szCs w:val="24"/>
              </w:rPr>
            </w:pPr>
            <w:r>
              <w:rPr>
                <w:spacing w:val="-2"/>
                <w:sz w:val="24"/>
                <w:szCs w:val="24"/>
              </w:rPr>
              <w:t>③监测因子</w:t>
            </w:r>
          </w:p>
          <w:p w14:paraId="3D1BE3D1">
            <w:pPr>
              <w:pStyle w:val="6"/>
              <w:spacing w:before="183" w:line="290" w:lineRule="auto"/>
              <w:ind w:left="118" w:right="27" w:firstLine="494"/>
              <w:rPr>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w w:val="101"/>
                <w:sz w:val="24"/>
                <w:szCs w:val="24"/>
              </w:rPr>
              <w:t xml:space="preserve"> </w:t>
            </w:r>
            <w:r>
              <w:rPr>
                <w:spacing w:val="-4"/>
                <w:sz w:val="24"/>
                <w:szCs w:val="24"/>
              </w:rPr>
              <w:t>小时平均（或一次）浓度监测项目：非甲烷总烃、苯、甲苯、氯化氢、</w:t>
            </w:r>
            <w:r>
              <w:rPr>
                <w:sz w:val="24"/>
                <w:szCs w:val="24"/>
              </w:rPr>
              <w:t xml:space="preserve"> </w:t>
            </w:r>
            <w:r>
              <w:rPr>
                <w:spacing w:val="-4"/>
                <w:sz w:val="24"/>
                <w:szCs w:val="24"/>
              </w:rPr>
              <w:t>氯气、甲醇、甲醛、</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5"/>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3"/>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CO</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O</w:t>
            </w:r>
            <w:r>
              <w:rPr>
                <w:rFonts w:ascii="Times New Roman" w:hAnsi="Times New Roman" w:eastAsia="Times New Roman" w:cs="Times New Roman"/>
                <w:spacing w:val="-4"/>
                <w:position w:val="-1"/>
                <w:sz w:val="15"/>
                <w:szCs w:val="15"/>
              </w:rPr>
              <w:t>3</w:t>
            </w:r>
            <w:r>
              <w:rPr>
                <w:spacing w:val="-4"/>
                <w:sz w:val="24"/>
                <w:szCs w:val="24"/>
              </w:rPr>
              <w:t>。</w:t>
            </w:r>
          </w:p>
          <w:p w14:paraId="00298E7A">
            <w:pPr>
              <w:pStyle w:val="6"/>
              <w:spacing w:before="179" w:line="220" w:lineRule="auto"/>
              <w:ind w:left="599"/>
              <w:rPr>
                <w:sz w:val="24"/>
                <w:szCs w:val="24"/>
              </w:rPr>
            </w:pPr>
            <w:r>
              <w:rPr>
                <w:rFonts w:ascii="Times New Roman" w:hAnsi="Times New Roman" w:eastAsia="Times New Roman" w:cs="Times New Roman"/>
                <w:spacing w:val="-3"/>
                <w:sz w:val="24"/>
                <w:szCs w:val="24"/>
              </w:rPr>
              <w:t>8</w:t>
            </w:r>
            <w:r>
              <w:rPr>
                <w:rFonts w:ascii="Times New Roman" w:hAnsi="Times New Roman" w:eastAsia="Times New Roman" w:cs="Times New Roman"/>
                <w:spacing w:val="19"/>
                <w:sz w:val="24"/>
                <w:szCs w:val="24"/>
              </w:rPr>
              <w:t xml:space="preserve"> </w:t>
            </w:r>
            <w:r>
              <w:rPr>
                <w:spacing w:val="-3"/>
                <w:sz w:val="24"/>
                <w:szCs w:val="24"/>
              </w:rPr>
              <w:t>小时平均浓度监测项目：</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3"/>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TVOC</w:t>
            </w:r>
            <w:r>
              <w:rPr>
                <w:spacing w:val="-3"/>
                <w:sz w:val="24"/>
                <w:szCs w:val="24"/>
              </w:rPr>
              <w:t>。</w:t>
            </w:r>
          </w:p>
          <w:p w14:paraId="325964D7">
            <w:pPr>
              <w:pStyle w:val="6"/>
              <w:spacing w:before="181" w:line="289" w:lineRule="auto"/>
              <w:ind w:left="108" w:right="27" w:firstLine="480"/>
              <w:rPr>
                <w:sz w:val="24"/>
                <w:szCs w:val="24"/>
              </w:rPr>
            </w:pPr>
            <w:r>
              <w:rPr>
                <w:rFonts w:ascii="Times New Roman" w:hAnsi="Times New Roman" w:eastAsia="Times New Roman" w:cs="Times New Roman"/>
                <w:spacing w:val="-9"/>
                <w:sz w:val="24"/>
                <w:szCs w:val="24"/>
              </w:rPr>
              <w:t>24</w:t>
            </w:r>
            <w:r>
              <w:rPr>
                <w:rFonts w:ascii="Times New Roman" w:hAnsi="Times New Roman" w:eastAsia="Times New Roman" w:cs="Times New Roman"/>
                <w:spacing w:val="34"/>
                <w:sz w:val="24"/>
                <w:szCs w:val="24"/>
              </w:rPr>
              <w:t xml:space="preserve"> </w:t>
            </w:r>
            <w:r>
              <w:rPr>
                <w:spacing w:val="-9"/>
                <w:sz w:val="24"/>
                <w:szCs w:val="24"/>
              </w:rPr>
              <w:t>小时平均浓度监测项目：</w:t>
            </w:r>
            <w:r>
              <w:rPr>
                <w:rFonts w:ascii="Times New Roman" w:hAnsi="Times New Roman" w:eastAsia="Times New Roman" w:cs="Times New Roman"/>
                <w:spacing w:val="-9"/>
                <w:sz w:val="24"/>
                <w:szCs w:val="24"/>
              </w:rPr>
              <w:t>TSP</w:t>
            </w:r>
            <w:r>
              <w:rPr>
                <w:spacing w:val="-9"/>
                <w:sz w:val="24"/>
                <w:szCs w:val="24"/>
              </w:rPr>
              <w:t>、氟化物、氯气、甲醇、</w:t>
            </w:r>
            <w:r>
              <w:rPr>
                <w:rFonts w:ascii="Times New Roman" w:hAnsi="Times New Roman" w:eastAsia="Times New Roman" w:cs="Times New Roman"/>
                <w:spacing w:val="-9"/>
                <w:sz w:val="24"/>
                <w:szCs w:val="24"/>
              </w:rPr>
              <w:t>SO</w:t>
            </w:r>
            <w:r>
              <w:rPr>
                <w:rFonts w:ascii="Times New Roman" w:hAnsi="Times New Roman" w:eastAsia="Times New Roman" w:cs="Times New Roman"/>
                <w:spacing w:val="-9"/>
                <w:position w:val="-1"/>
                <w:sz w:val="15"/>
                <w:szCs w:val="15"/>
              </w:rPr>
              <w:t>2</w:t>
            </w:r>
            <w:r>
              <w:rPr>
                <w:spacing w:val="-9"/>
                <w:sz w:val="24"/>
                <w:szCs w:val="24"/>
              </w:rPr>
              <w:t>、</w:t>
            </w:r>
            <w:r>
              <w:rPr>
                <w:rFonts w:ascii="Times New Roman" w:hAnsi="Times New Roman" w:eastAsia="Times New Roman" w:cs="Times New Roman"/>
                <w:spacing w:val="-9"/>
                <w:sz w:val="24"/>
                <w:szCs w:val="24"/>
              </w:rPr>
              <w:t>NO</w:t>
            </w:r>
            <w:r>
              <w:rPr>
                <w:rFonts w:ascii="Times New Roman" w:hAnsi="Times New Roman" w:eastAsia="Times New Roman" w:cs="Times New Roman"/>
                <w:spacing w:val="-9"/>
                <w:position w:val="-1"/>
                <w:sz w:val="15"/>
                <w:szCs w:val="15"/>
              </w:rPr>
              <w:t>2</w:t>
            </w:r>
            <w:r>
              <w:rPr>
                <w:spacing w:val="-9"/>
                <w:sz w:val="24"/>
                <w:szCs w:val="24"/>
              </w:rPr>
              <w:t>、</w:t>
            </w:r>
            <w:r>
              <w:rPr>
                <w:rFonts w:ascii="Times New Roman" w:hAnsi="Times New Roman" w:eastAsia="Times New Roman" w:cs="Times New Roman"/>
                <w:spacing w:val="-9"/>
                <w:sz w:val="24"/>
                <w:szCs w:val="24"/>
              </w:rPr>
              <w:t>CO</w:t>
            </w:r>
            <w:r>
              <w:rPr>
                <w:spacing w:val="-9"/>
                <w:sz w:val="24"/>
                <w:szCs w:val="24"/>
              </w:rPr>
              <w:t>、</w:t>
            </w:r>
            <w:r>
              <w:rPr>
                <w:sz w:val="24"/>
                <w:szCs w:val="24"/>
              </w:rPr>
              <w:t xml:space="preserve"> </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4"/>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2"/>
                <w:position w:val="-1"/>
                <w:sz w:val="15"/>
                <w:szCs w:val="15"/>
              </w:rPr>
              <w:t xml:space="preserve"> </w:t>
            </w:r>
            <w:r>
              <w:rPr>
                <w:spacing w:val="-3"/>
                <w:sz w:val="24"/>
                <w:szCs w:val="24"/>
              </w:rPr>
              <w:t>、氰化氢、硫酸。</w:t>
            </w:r>
          </w:p>
          <w:p w14:paraId="45215B42">
            <w:pPr>
              <w:pStyle w:val="6"/>
              <w:spacing w:before="183" w:line="217" w:lineRule="auto"/>
              <w:ind w:left="592"/>
              <w:rPr>
                <w:sz w:val="24"/>
                <w:szCs w:val="24"/>
              </w:rPr>
            </w:pPr>
            <w:r>
              <w:rPr>
                <w:spacing w:val="-1"/>
                <w:sz w:val="24"/>
                <w:szCs w:val="24"/>
              </w:rPr>
              <w:t>④监测与评价结果</w:t>
            </w:r>
          </w:p>
          <w:p w14:paraId="713C18F3">
            <w:pPr>
              <w:pStyle w:val="6"/>
              <w:spacing w:before="179" w:line="228" w:lineRule="auto"/>
              <w:ind w:left="2970"/>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监测结果一览表</w:t>
            </w:r>
          </w:p>
        </w:tc>
      </w:tr>
      <w:tr w14:paraId="7D4B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59" w:type="dxa"/>
            <w:vMerge w:val="continue"/>
            <w:tcBorders>
              <w:top w:val="nil"/>
              <w:bottom w:val="nil"/>
            </w:tcBorders>
            <w:vAlign w:val="top"/>
          </w:tcPr>
          <w:p w14:paraId="652A0E2D">
            <w:pPr>
              <w:rPr>
                <w:rFonts w:ascii="Arial"/>
                <w:sz w:val="21"/>
              </w:rPr>
            </w:pPr>
          </w:p>
        </w:tc>
        <w:tc>
          <w:tcPr>
            <w:tcW w:w="113" w:type="dxa"/>
            <w:tcBorders>
              <w:top w:val="nil"/>
              <w:bottom w:val="nil"/>
            </w:tcBorders>
            <w:vAlign w:val="top"/>
          </w:tcPr>
          <w:p w14:paraId="49EC7BE5">
            <w:pPr>
              <w:spacing w:line="234" w:lineRule="exact"/>
              <w:rPr>
                <w:rFonts w:ascii="Arial"/>
                <w:sz w:val="20"/>
              </w:rPr>
            </w:pPr>
          </w:p>
        </w:tc>
        <w:tc>
          <w:tcPr>
            <w:tcW w:w="637" w:type="dxa"/>
            <w:vMerge w:val="restart"/>
            <w:tcBorders>
              <w:bottom w:val="nil"/>
            </w:tcBorders>
            <w:vAlign w:val="top"/>
          </w:tcPr>
          <w:p w14:paraId="7D83D01C">
            <w:pPr>
              <w:pStyle w:val="6"/>
              <w:spacing w:before="40" w:line="229" w:lineRule="auto"/>
              <w:ind w:left="113"/>
              <w:rPr>
                <w:sz w:val="20"/>
                <w:szCs w:val="20"/>
              </w:rPr>
            </w:pPr>
            <w:r>
              <w:rPr>
                <w:spacing w:val="4"/>
                <w:sz w:val="20"/>
                <w:szCs w:val="20"/>
              </w:rPr>
              <w:t>监测</w:t>
            </w:r>
          </w:p>
          <w:p w14:paraId="712EEF0E">
            <w:pPr>
              <w:pStyle w:val="6"/>
              <w:spacing w:before="23" w:line="220" w:lineRule="auto"/>
              <w:ind w:left="123"/>
              <w:rPr>
                <w:sz w:val="20"/>
                <w:szCs w:val="20"/>
              </w:rPr>
            </w:pPr>
            <w:r>
              <w:rPr>
                <w:spacing w:val="-1"/>
                <w:sz w:val="20"/>
                <w:szCs w:val="20"/>
              </w:rPr>
              <w:t>点位</w:t>
            </w:r>
          </w:p>
        </w:tc>
        <w:tc>
          <w:tcPr>
            <w:tcW w:w="1524" w:type="dxa"/>
            <w:vMerge w:val="restart"/>
            <w:tcBorders>
              <w:bottom w:val="nil"/>
            </w:tcBorders>
            <w:vAlign w:val="top"/>
          </w:tcPr>
          <w:p w14:paraId="2992DAD9">
            <w:pPr>
              <w:pStyle w:val="6"/>
              <w:spacing w:before="174" w:line="228" w:lineRule="auto"/>
              <w:ind w:left="347"/>
              <w:rPr>
                <w:sz w:val="20"/>
                <w:szCs w:val="20"/>
              </w:rPr>
            </w:pPr>
            <w:r>
              <w:rPr>
                <w:spacing w:val="7"/>
                <w:sz w:val="20"/>
                <w:szCs w:val="20"/>
              </w:rPr>
              <w:t>监测因子</w:t>
            </w:r>
          </w:p>
        </w:tc>
        <w:tc>
          <w:tcPr>
            <w:tcW w:w="1060" w:type="dxa"/>
            <w:vMerge w:val="restart"/>
            <w:tcBorders>
              <w:bottom w:val="nil"/>
            </w:tcBorders>
            <w:vAlign w:val="top"/>
          </w:tcPr>
          <w:p w14:paraId="4C2E8501">
            <w:pPr>
              <w:pStyle w:val="6"/>
              <w:spacing w:before="174" w:line="228" w:lineRule="auto"/>
              <w:ind w:left="113"/>
              <w:rPr>
                <w:sz w:val="20"/>
                <w:szCs w:val="20"/>
              </w:rPr>
            </w:pPr>
            <w:r>
              <w:rPr>
                <w:spacing w:val="7"/>
                <w:sz w:val="20"/>
                <w:szCs w:val="20"/>
              </w:rPr>
              <w:t>平均时间</w:t>
            </w:r>
          </w:p>
        </w:tc>
        <w:tc>
          <w:tcPr>
            <w:tcW w:w="1273" w:type="dxa"/>
            <w:vMerge w:val="restart"/>
            <w:tcBorders>
              <w:bottom w:val="nil"/>
            </w:tcBorders>
            <w:vAlign w:val="top"/>
          </w:tcPr>
          <w:p w14:paraId="3A387D43">
            <w:pPr>
              <w:pStyle w:val="6"/>
              <w:spacing w:before="40" w:line="226" w:lineRule="auto"/>
              <w:ind w:left="116"/>
              <w:rPr>
                <w:sz w:val="20"/>
                <w:szCs w:val="20"/>
              </w:rPr>
            </w:pPr>
            <w:r>
              <w:rPr>
                <w:spacing w:val="8"/>
                <w:sz w:val="20"/>
                <w:szCs w:val="20"/>
              </w:rPr>
              <w:t>评价标准值</w:t>
            </w:r>
          </w:p>
          <w:p w14:paraId="04811CB2">
            <w:pPr>
              <w:pStyle w:val="6"/>
              <w:spacing w:before="26" w:line="220" w:lineRule="auto"/>
              <w:ind w:left="163"/>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spacing w:val="3"/>
                <w:sz w:val="20"/>
                <w:szCs w:val="20"/>
              </w:rPr>
              <w:t>）</w:t>
            </w:r>
          </w:p>
        </w:tc>
        <w:tc>
          <w:tcPr>
            <w:tcW w:w="2800" w:type="dxa"/>
            <w:gridSpan w:val="2"/>
            <w:vAlign w:val="top"/>
          </w:tcPr>
          <w:p w14:paraId="7234DC4B">
            <w:pPr>
              <w:pStyle w:val="6"/>
              <w:spacing w:before="35" w:line="183" w:lineRule="auto"/>
              <w:ind w:left="323"/>
              <w:rPr>
                <w:sz w:val="20"/>
                <w:szCs w:val="20"/>
              </w:rPr>
            </w:pPr>
            <w:r>
              <w:rPr>
                <w:spacing w:val="8"/>
                <w:sz w:val="20"/>
                <w:szCs w:val="20"/>
              </w:rPr>
              <w:t>监测浓度范围（</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spacing w:val="8"/>
                <w:sz w:val="20"/>
                <w:szCs w:val="20"/>
              </w:rPr>
              <w:t>）</w:t>
            </w:r>
          </w:p>
        </w:tc>
        <w:tc>
          <w:tcPr>
            <w:tcW w:w="641" w:type="dxa"/>
            <w:vMerge w:val="restart"/>
            <w:tcBorders>
              <w:bottom w:val="nil"/>
            </w:tcBorders>
            <w:vAlign w:val="top"/>
          </w:tcPr>
          <w:p w14:paraId="4B8D9F2C">
            <w:pPr>
              <w:pStyle w:val="6"/>
              <w:spacing w:before="40" w:line="228" w:lineRule="auto"/>
              <w:ind w:left="122"/>
              <w:rPr>
                <w:sz w:val="20"/>
                <w:szCs w:val="20"/>
              </w:rPr>
            </w:pPr>
            <w:r>
              <w:rPr>
                <w:spacing w:val="3"/>
                <w:sz w:val="20"/>
                <w:szCs w:val="20"/>
              </w:rPr>
              <w:t>是否</w:t>
            </w:r>
          </w:p>
          <w:p w14:paraId="20C1F6DA">
            <w:pPr>
              <w:pStyle w:val="6"/>
              <w:spacing w:before="24" w:line="220" w:lineRule="auto"/>
              <w:ind w:left="118"/>
              <w:rPr>
                <w:sz w:val="20"/>
                <w:szCs w:val="20"/>
              </w:rPr>
            </w:pPr>
            <w:r>
              <w:rPr>
                <w:spacing w:val="5"/>
                <w:sz w:val="20"/>
                <w:szCs w:val="20"/>
              </w:rPr>
              <w:t>达标</w:t>
            </w:r>
          </w:p>
        </w:tc>
        <w:tc>
          <w:tcPr>
            <w:tcW w:w="118" w:type="dxa"/>
            <w:tcBorders>
              <w:top w:val="nil"/>
              <w:bottom w:val="nil"/>
            </w:tcBorders>
            <w:vAlign w:val="top"/>
          </w:tcPr>
          <w:p w14:paraId="4A0413F8">
            <w:pPr>
              <w:spacing w:line="234" w:lineRule="exact"/>
              <w:rPr>
                <w:rFonts w:ascii="Arial"/>
                <w:sz w:val="20"/>
              </w:rPr>
            </w:pPr>
          </w:p>
        </w:tc>
      </w:tr>
      <w:tr w14:paraId="53F4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459" w:type="dxa"/>
            <w:vMerge w:val="continue"/>
            <w:tcBorders>
              <w:top w:val="nil"/>
              <w:bottom w:val="nil"/>
            </w:tcBorders>
            <w:vAlign w:val="top"/>
          </w:tcPr>
          <w:p w14:paraId="4C56F890">
            <w:pPr>
              <w:rPr>
                <w:rFonts w:ascii="Arial"/>
                <w:sz w:val="21"/>
              </w:rPr>
            </w:pPr>
          </w:p>
        </w:tc>
        <w:tc>
          <w:tcPr>
            <w:tcW w:w="113" w:type="dxa"/>
            <w:tcBorders>
              <w:top w:val="nil"/>
              <w:bottom w:val="nil"/>
            </w:tcBorders>
            <w:vAlign w:val="top"/>
          </w:tcPr>
          <w:p w14:paraId="50ABDF87">
            <w:pPr>
              <w:rPr>
                <w:rFonts w:ascii="Arial"/>
                <w:sz w:val="21"/>
              </w:rPr>
            </w:pPr>
          </w:p>
        </w:tc>
        <w:tc>
          <w:tcPr>
            <w:tcW w:w="637" w:type="dxa"/>
            <w:vMerge w:val="continue"/>
            <w:tcBorders>
              <w:top w:val="nil"/>
            </w:tcBorders>
            <w:vAlign w:val="top"/>
          </w:tcPr>
          <w:p w14:paraId="3142D317">
            <w:pPr>
              <w:rPr>
                <w:rFonts w:ascii="Arial"/>
                <w:sz w:val="21"/>
              </w:rPr>
            </w:pPr>
          </w:p>
        </w:tc>
        <w:tc>
          <w:tcPr>
            <w:tcW w:w="1524" w:type="dxa"/>
            <w:vMerge w:val="continue"/>
            <w:tcBorders>
              <w:top w:val="nil"/>
            </w:tcBorders>
            <w:vAlign w:val="top"/>
          </w:tcPr>
          <w:p w14:paraId="30C2BFEA">
            <w:pPr>
              <w:rPr>
                <w:rFonts w:ascii="Arial"/>
                <w:sz w:val="21"/>
              </w:rPr>
            </w:pPr>
          </w:p>
        </w:tc>
        <w:tc>
          <w:tcPr>
            <w:tcW w:w="1060" w:type="dxa"/>
            <w:vMerge w:val="continue"/>
            <w:tcBorders>
              <w:top w:val="nil"/>
            </w:tcBorders>
            <w:vAlign w:val="top"/>
          </w:tcPr>
          <w:p w14:paraId="2B77C304">
            <w:pPr>
              <w:rPr>
                <w:rFonts w:ascii="Arial"/>
                <w:sz w:val="21"/>
              </w:rPr>
            </w:pPr>
          </w:p>
        </w:tc>
        <w:tc>
          <w:tcPr>
            <w:tcW w:w="1273" w:type="dxa"/>
            <w:vMerge w:val="continue"/>
            <w:tcBorders>
              <w:top w:val="nil"/>
            </w:tcBorders>
            <w:vAlign w:val="top"/>
          </w:tcPr>
          <w:p w14:paraId="68FABAAF">
            <w:pPr>
              <w:rPr>
                <w:rFonts w:ascii="Arial"/>
                <w:sz w:val="21"/>
              </w:rPr>
            </w:pPr>
          </w:p>
        </w:tc>
        <w:tc>
          <w:tcPr>
            <w:tcW w:w="1387" w:type="dxa"/>
            <w:vAlign w:val="top"/>
          </w:tcPr>
          <w:p w14:paraId="7FE82D7D">
            <w:pPr>
              <w:pStyle w:val="6"/>
              <w:spacing w:before="69" w:line="214" w:lineRule="auto"/>
              <w:ind w:left="387"/>
              <w:rPr>
                <w:sz w:val="20"/>
                <w:szCs w:val="20"/>
              </w:rPr>
            </w:pPr>
            <w:r>
              <w:rPr>
                <w:spacing w:val="6"/>
                <w:sz w:val="20"/>
                <w:szCs w:val="20"/>
              </w:rPr>
              <w:t>最小值</w:t>
            </w:r>
          </w:p>
        </w:tc>
        <w:tc>
          <w:tcPr>
            <w:tcW w:w="1413" w:type="dxa"/>
            <w:vAlign w:val="top"/>
          </w:tcPr>
          <w:p w14:paraId="59C394CE">
            <w:pPr>
              <w:pStyle w:val="6"/>
              <w:spacing w:before="69" w:line="214" w:lineRule="auto"/>
              <w:ind w:left="402"/>
              <w:rPr>
                <w:sz w:val="20"/>
                <w:szCs w:val="20"/>
              </w:rPr>
            </w:pPr>
            <w:r>
              <w:rPr>
                <w:spacing w:val="6"/>
                <w:sz w:val="20"/>
                <w:szCs w:val="20"/>
              </w:rPr>
              <w:t>最大值</w:t>
            </w:r>
          </w:p>
        </w:tc>
        <w:tc>
          <w:tcPr>
            <w:tcW w:w="641" w:type="dxa"/>
            <w:vMerge w:val="continue"/>
            <w:tcBorders>
              <w:top w:val="nil"/>
            </w:tcBorders>
            <w:vAlign w:val="top"/>
          </w:tcPr>
          <w:p w14:paraId="12F1C36D">
            <w:pPr>
              <w:rPr>
                <w:rFonts w:ascii="Arial"/>
                <w:sz w:val="21"/>
              </w:rPr>
            </w:pPr>
          </w:p>
        </w:tc>
        <w:tc>
          <w:tcPr>
            <w:tcW w:w="118" w:type="dxa"/>
            <w:tcBorders>
              <w:top w:val="nil"/>
              <w:bottom w:val="nil"/>
            </w:tcBorders>
            <w:vAlign w:val="top"/>
          </w:tcPr>
          <w:p w14:paraId="53C5C9FE">
            <w:pPr>
              <w:rPr>
                <w:rFonts w:ascii="Arial"/>
                <w:sz w:val="21"/>
              </w:rPr>
            </w:pPr>
          </w:p>
        </w:tc>
      </w:tr>
      <w:tr w14:paraId="63579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459" w:type="dxa"/>
            <w:vMerge w:val="continue"/>
            <w:tcBorders>
              <w:top w:val="nil"/>
              <w:bottom w:val="nil"/>
            </w:tcBorders>
            <w:vAlign w:val="top"/>
          </w:tcPr>
          <w:p w14:paraId="1829F921">
            <w:pPr>
              <w:rPr>
                <w:rFonts w:ascii="Arial"/>
                <w:sz w:val="21"/>
              </w:rPr>
            </w:pPr>
          </w:p>
        </w:tc>
        <w:tc>
          <w:tcPr>
            <w:tcW w:w="113" w:type="dxa"/>
            <w:tcBorders>
              <w:top w:val="nil"/>
              <w:bottom w:val="nil"/>
            </w:tcBorders>
            <w:vAlign w:val="top"/>
          </w:tcPr>
          <w:p w14:paraId="700BED2D">
            <w:pPr>
              <w:rPr>
                <w:rFonts w:ascii="Arial"/>
                <w:sz w:val="21"/>
              </w:rPr>
            </w:pPr>
          </w:p>
        </w:tc>
        <w:tc>
          <w:tcPr>
            <w:tcW w:w="637" w:type="dxa"/>
            <w:vMerge w:val="restart"/>
            <w:tcBorders>
              <w:bottom w:val="nil"/>
            </w:tcBorders>
            <w:vAlign w:val="top"/>
          </w:tcPr>
          <w:p w14:paraId="1654CCC7">
            <w:pPr>
              <w:spacing w:line="241" w:lineRule="auto"/>
              <w:rPr>
                <w:rFonts w:ascii="Arial"/>
                <w:sz w:val="21"/>
              </w:rPr>
            </w:pPr>
          </w:p>
          <w:p w14:paraId="06FC1DF8">
            <w:pPr>
              <w:spacing w:line="242" w:lineRule="auto"/>
              <w:rPr>
                <w:rFonts w:ascii="Arial"/>
                <w:sz w:val="21"/>
              </w:rPr>
            </w:pPr>
          </w:p>
          <w:p w14:paraId="1229A048">
            <w:pPr>
              <w:spacing w:line="242" w:lineRule="auto"/>
              <w:rPr>
                <w:rFonts w:ascii="Arial"/>
                <w:sz w:val="21"/>
              </w:rPr>
            </w:pPr>
          </w:p>
          <w:p w14:paraId="72353698">
            <w:pPr>
              <w:pStyle w:val="6"/>
              <w:spacing w:before="65" w:line="229" w:lineRule="auto"/>
              <w:ind w:left="129"/>
              <w:rPr>
                <w:sz w:val="20"/>
                <w:szCs w:val="20"/>
              </w:rPr>
            </w:pPr>
            <w:r>
              <w:rPr>
                <w:spacing w:val="-4"/>
                <w:sz w:val="20"/>
                <w:szCs w:val="20"/>
              </w:rPr>
              <w:t>园区</w:t>
            </w:r>
          </w:p>
          <w:p w14:paraId="57E5809F">
            <w:pPr>
              <w:pStyle w:val="6"/>
              <w:spacing w:before="23" w:line="228" w:lineRule="auto"/>
              <w:ind w:left="117"/>
              <w:rPr>
                <w:sz w:val="20"/>
                <w:szCs w:val="20"/>
              </w:rPr>
            </w:pPr>
            <w:r>
              <w:rPr>
                <w:spacing w:val="2"/>
                <w:sz w:val="20"/>
                <w:szCs w:val="20"/>
              </w:rPr>
              <w:t>范围</w:t>
            </w:r>
          </w:p>
          <w:p w14:paraId="62CAD0F7">
            <w:pPr>
              <w:pStyle w:val="6"/>
              <w:spacing w:before="26" w:line="228" w:lineRule="auto"/>
              <w:ind w:left="116"/>
              <w:rPr>
                <w:sz w:val="20"/>
                <w:szCs w:val="20"/>
              </w:rPr>
            </w:pPr>
            <w:r>
              <w:rPr>
                <w:spacing w:val="2"/>
                <w:sz w:val="20"/>
                <w:szCs w:val="20"/>
              </w:rPr>
              <w:t>外西</w:t>
            </w:r>
          </w:p>
          <w:p w14:paraId="4C85C38E">
            <w:pPr>
              <w:pStyle w:val="6"/>
              <w:spacing w:before="26" w:line="231" w:lineRule="auto"/>
              <w:ind w:left="245"/>
              <w:rPr>
                <w:sz w:val="20"/>
                <w:szCs w:val="20"/>
              </w:rPr>
            </w:pPr>
            <w:r>
              <w:rPr>
                <w:sz w:val="20"/>
                <w:szCs w:val="20"/>
              </w:rPr>
              <w:t>北</w:t>
            </w:r>
          </w:p>
          <w:p w14:paraId="36FA646D">
            <w:pPr>
              <w:spacing w:before="4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p w14:paraId="653836F1">
            <w:pPr>
              <w:spacing w:before="99" w:line="141"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524" w:type="dxa"/>
            <w:vAlign w:val="top"/>
          </w:tcPr>
          <w:p w14:paraId="5B294919">
            <w:pPr>
              <w:pStyle w:val="6"/>
              <w:spacing w:before="33" w:line="204" w:lineRule="auto"/>
              <w:ind w:left="244"/>
              <w:rPr>
                <w:sz w:val="20"/>
                <w:szCs w:val="20"/>
              </w:rPr>
            </w:pPr>
            <w:r>
              <w:rPr>
                <w:spacing w:val="7"/>
                <w:sz w:val="20"/>
                <w:szCs w:val="20"/>
              </w:rPr>
              <w:t>非甲烷总烃</w:t>
            </w:r>
          </w:p>
        </w:tc>
        <w:tc>
          <w:tcPr>
            <w:tcW w:w="1060" w:type="dxa"/>
            <w:vAlign w:val="top"/>
          </w:tcPr>
          <w:p w14:paraId="51558178">
            <w:pPr>
              <w:spacing w:before="66" w:line="197"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93AA047">
            <w:pPr>
              <w:spacing w:before="70" w:line="193"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1EB8AB75">
            <w:pPr>
              <w:spacing w:before="70" w:line="193"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413" w:type="dxa"/>
            <w:vAlign w:val="top"/>
          </w:tcPr>
          <w:p w14:paraId="60DAA517">
            <w:pPr>
              <w:spacing w:before="70" w:line="193"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6991867F">
            <w:pPr>
              <w:pStyle w:val="6"/>
              <w:spacing w:before="33" w:line="204" w:lineRule="auto"/>
              <w:ind w:left="226"/>
              <w:rPr>
                <w:sz w:val="20"/>
                <w:szCs w:val="20"/>
              </w:rPr>
            </w:pPr>
            <w:r>
              <w:rPr>
                <w:sz w:val="20"/>
                <w:szCs w:val="20"/>
              </w:rPr>
              <w:t>是</w:t>
            </w:r>
          </w:p>
        </w:tc>
        <w:tc>
          <w:tcPr>
            <w:tcW w:w="118" w:type="dxa"/>
            <w:tcBorders>
              <w:top w:val="nil"/>
              <w:bottom w:val="nil"/>
            </w:tcBorders>
            <w:vAlign w:val="top"/>
          </w:tcPr>
          <w:p w14:paraId="2AD74C65">
            <w:pPr>
              <w:rPr>
                <w:rFonts w:ascii="Arial"/>
                <w:sz w:val="21"/>
              </w:rPr>
            </w:pPr>
          </w:p>
        </w:tc>
      </w:tr>
      <w:tr w14:paraId="1FE59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033AF9F8">
            <w:pPr>
              <w:rPr>
                <w:rFonts w:ascii="Arial"/>
                <w:sz w:val="21"/>
              </w:rPr>
            </w:pPr>
          </w:p>
        </w:tc>
        <w:tc>
          <w:tcPr>
            <w:tcW w:w="113" w:type="dxa"/>
            <w:tcBorders>
              <w:top w:val="nil"/>
              <w:bottom w:val="nil"/>
            </w:tcBorders>
            <w:vAlign w:val="top"/>
          </w:tcPr>
          <w:p w14:paraId="4ED9D2B4">
            <w:pPr>
              <w:rPr>
                <w:rFonts w:ascii="Arial"/>
                <w:sz w:val="21"/>
              </w:rPr>
            </w:pPr>
          </w:p>
        </w:tc>
        <w:tc>
          <w:tcPr>
            <w:tcW w:w="637" w:type="dxa"/>
            <w:vMerge w:val="continue"/>
            <w:tcBorders>
              <w:top w:val="nil"/>
              <w:bottom w:val="nil"/>
            </w:tcBorders>
            <w:vAlign w:val="top"/>
          </w:tcPr>
          <w:p w14:paraId="525EAD59">
            <w:pPr>
              <w:rPr>
                <w:rFonts w:ascii="Arial"/>
                <w:sz w:val="21"/>
              </w:rPr>
            </w:pPr>
          </w:p>
        </w:tc>
        <w:tc>
          <w:tcPr>
            <w:tcW w:w="1524" w:type="dxa"/>
            <w:vAlign w:val="top"/>
          </w:tcPr>
          <w:p w14:paraId="70C10FAD">
            <w:pPr>
              <w:pStyle w:val="6"/>
              <w:spacing w:before="47" w:line="207" w:lineRule="auto"/>
              <w:ind w:left="559"/>
              <w:rPr>
                <w:sz w:val="20"/>
                <w:szCs w:val="20"/>
              </w:rPr>
            </w:pPr>
            <w:r>
              <w:rPr>
                <w:spacing w:val="3"/>
                <w:sz w:val="20"/>
                <w:szCs w:val="20"/>
              </w:rPr>
              <w:t>氯气</w:t>
            </w:r>
          </w:p>
        </w:tc>
        <w:tc>
          <w:tcPr>
            <w:tcW w:w="1060" w:type="dxa"/>
            <w:vAlign w:val="top"/>
          </w:tcPr>
          <w:p w14:paraId="5D325440">
            <w:pPr>
              <w:spacing w:before="79"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6DDFC6D8">
            <w:pPr>
              <w:spacing w:before="8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1ABCBA14">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69B3F148">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5E60CF3F">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67AABDBD">
            <w:pPr>
              <w:rPr>
                <w:rFonts w:ascii="Arial"/>
                <w:sz w:val="21"/>
              </w:rPr>
            </w:pPr>
          </w:p>
        </w:tc>
      </w:tr>
      <w:tr w14:paraId="5488F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19D9860">
            <w:pPr>
              <w:rPr>
                <w:rFonts w:ascii="Arial"/>
                <w:sz w:val="21"/>
              </w:rPr>
            </w:pPr>
          </w:p>
        </w:tc>
        <w:tc>
          <w:tcPr>
            <w:tcW w:w="113" w:type="dxa"/>
            <w:tcBorders>
              <w:top w:val="nil"/>
              <w:bottom w:val="nil"/>
            </w:tcBorders>
            <w:vAlign w:val="top"/>
          </w:tcPr>
          <w:p w14:paraId="1806D4B2">
            <w:pPr>
              <w:rPr>
                <w:rFonts w:ascii="Arial"/>
                <w:sz w:val="21"/>
              </w:rPr>
            </w:pPr>
          </w:p>
        </w:tc>
        <w:tc>
          <w:tcPr>
            <w:tcW w:w="637" w:type="dxa"/>
            <w:vMerge w:val="continue"/>
            <w:tcBorders>
              <w:top w:val="nil"/>
              <w:bottom w:val="nil"/>
            </w:tcBorders>
            <w:vAlign w:val="top"/>
          </w:tcPr>
          <w:p w14:paraId="79C627CA">
            <w:pPr>
              <w:rPr>
                <w:rFonts w:ascii="Arial"/>
                <w:sz w:val="21"/>
              </w:rPr>
            </w:pPr>
          </w:p>
        </w:tc>
        <w:tc>
          <w:tcPr>
            <w:tcW w:w="1524" w:type="dxa"/>
            <w:vAlign w:val="top"/>
          </w:tcPr>
          <w:p w14:paraId="46FFED78">
            <w:pPr>
              <w:pStyle w:val="6"/>
              <w:spacing w:before="41" w:line="213" w:lineRule="auto"/>
              <w:ind w:left="559"/>
              <w:rPr>
                <w:sz w:val="20"/>
                <w:szCs w:val="20"/>
              </w:rPr>
            </w:pPr>
            <w:r>
              <w:rPr>
                <w:spacing w:val="3"/>
                <w:sz w:val="20"/>
                <w:szCs w:val="20"/>
              </w:rPr>
              <w:t>氯气</w:t>
            </w:r>
          </w:p>
        </w:tc>
        <w:tc>
          <w:tcPr>
            <w:tcW w:w="1060" w:type="dxa"/>
            <w:vAlign w:val="top"/>
          </w:tcPr>
          <w:p w14:paraId="04A0D874">
            <w:pPr>
              <w:spacing w:before="73"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492EF68">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1249463F">
            <w:pPr>
              <w:spacing w:before="7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413" w:type="dxa"/>
            <w:vAlign w:val="top"/>
          </w:tcPr>
          <w:p w14:paraId="0CA355E3">
            <w:pPr>
              <w:spacing w:before="7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641" w:type="dxa"/>
            <w:vAlign w:val="top"/>
          </w:tcPr>
          <w:p w14:paraId="08166C61">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0FAAFC7E">
            <w:pPr>
              <w:rPr>
                <w:rFonts w:ascii="Arial"/>
                <w:sz w:val="21"/>
              </w:rPr>
            </w:pPr>
          </w:p>
        </w:tc>
      </w:tr>
      <w:tr w14:paraId="5A242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713CE481">
            <w:pPr>
              <w:rPr>
                <w:rFonts w:ascii="Arial"/>
                <w:sz w:val="21"/>
              </w:rPr>
            </w:pPr>
          </w:p>
        </w:tc>
        <w:tc>
          <w:tcPr>
            <w:tcW w:w="113" w:type="dxa"/>
            <w:tcBorders>
              <w:top w:val="nil"/>
              <w:bottom w:val="nil"/>
            </w:tcBorders>
            <w:vAlign w:val="top"/>
          </w:tcPr>
          <w:p w14:paraId="0A8F3DD8">
            <w:pPr>
              <w:rPr>
                <w:rFonts w:ascii="Arial"/>
                <w:sz w:val="21"/>
              </w:rPr>
            </w:pPr>
          </w:p>
        </w:tc>
        <w:tc>
          <w:tcPr>
            <w:tcW w:w="637" w:type="dxa"/>
            <w:vMerge w:val="continue"/>
            <w:tcBorders>
              <w:top w:val="nil"/>
              <w:bottom w:val="nil"/>
            </w:tcBorders>
            <w:vAlign w:val="top"/>
          </w:tcPr>
          <w:p w14:paraId="1FCD02F7">
            <w:pPr>
              <w:rPr>
                <w:rFonts w:ascii="Arial"/>
                <w:sz w:val="21"/>
              </w:rPr>
            </w:pPr>
          </w:p>
        </w:tc>
        <w:tc>
          <w:tcPr>
            <w:tcW w:w="1524" w:type="dxa"/>
            <w:vAlign w:val="top"/>
          </w:tcPr>
          <w:p w14:paraId="634AD864">
            <w:pPr>
              <w:spacing w:before="73" w:line="193"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2ACCCB04">
            <w:pPr>
              <w:spacing w:before="70" w:line="196"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B46D072">
            <w:pPr>
              <w:spacing w:before="74" w:line="192"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3D603A1D">
            <w:pPr>
              <w:spacing w:before="74"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1F22A86A">
            <w:pPr>
              <w:spacing w:before="74" w:line="192"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3156456C">
            <w:pPr>
              <w:pStyle w:val="6"/>
              <w:spacing w:before="36" w:line="204" w:lineRule="auto"/>
              <w:ind w:left="226"/>
              <w:rPr>
                <w:sz w:val="20"/>
                <w:szCs w:val="20"/>
              </w:rPr>
            </w:pPr>
            <w:r>
              <w:rPr>
                <w:sz w:val="20"/>
                <w:szCs w:val="20"/>
              </w:rPr>
              <w:t>是</w:t>
            </w:r>
          </w:p>
        </w:tc>
        <w:tc>
          <w:tcPr>
            <w:tcW w:w="118" w:type="dxa"/>
            <w:tcBorders>
              <w:top w:val="nil"/>
              <w:bottom w:val="nil"/>
            </w:tcBorders>
            <w:vAlign w:val="top"/>
          </w:tcPr>
          <w:p w14:paraId="4E6256BE">
            <w:pPr>
              <w:rPr>
                <w:rFonts w:ascii="Arial"/>
                <w:sz w:val="21"/>
              </w:rPr>
            </w:pPr>
          </w:p>
        </w:tc>
      </w:tr>
      <w:tr w14:paraId="1499A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464ECC2">
            <w:pPr>
              <w:rPr>
                <w:rFonts w:ascii="Arial"/>
                <w:sz w:val="21"/>
              </w:rPr>
            </w:pPr>
          </w:p>
        </w:tc>
        <w:tc>
          <w:tcPr>
            <w:tcW w:w="113" w:type="dxa"/>
            <w:tcBorders>
              <w:top w:val="nil"/>
              <w:bottom w:val="nil"/>
            </w:tcBorders>
            <w:vAlign w:val="top"/>
          </w:tcPr>
          <w:p w14:paraId="7DF6FBAB">
            <w:pPr>
              <w:rPr>
                <w:rFonts w:ascii="Arial"/>
                <w:sz w:val="21"/>
              </w:rPr>
            </w:pPr>
          </w:p>
        </w:tc>
        <w:tc>
          <w:tcPr>
            <w:tcW w:w="637" w:type="dxa"/>
            <w:vMerge w:val="continue"/>
            <w:tcBorders>
              <w:top w:val="nil"/>
              <w:bottom w:val="nil"/>
            </w:tcBorders>
            <w:vAlign w:val="top"/>
          </w:tcPr>
          <w:p w14:paraId="1E423E33">
            <w:pPr>
              <w:rPr>
                <w:rFonts w:ascii="Arial"/>
                <w:sz w:val="21"/>
              </w:rPr>
            </w:pPr>
          </w:p>
        </w:tc>
        <w:tc>
          <w:tcPr>
            <w:tcW w:w="1524" w:type="dxa"/>
            <w:vAlign w:val="top"/>
          </w:tcPr>
          <w:p w14:paraId="61D55609">
            <w:pPr>
              <w:pStyle w:val="6"/>
              <w:spacing w:before="47" w:line="207" w:lineRule="auto"/>
              <w:ind w:left="582"/>
              <w:rPr>
                <w:sz w:val="20"/>
                <w:szCs w:val="20"/>
              </w:rPr>
            </w:pPr>
            <w:r>
              <w:rPr>
                <w:spacing w:val="-9"/>
                <w:sz w:val="20"/>
                <w:szCs w:val="20"/>
              </w:rPr>
              <w:t>甲醇</w:t>
            </w:r>
          </w:p>
        </w:tc>
        <w:tc>
          <w:tcPr>
            <w:tcW w:w="1060" w:type="dxa"/>
            <w:vAlign w:val="top"/>
          </w:tcPr>
          <w:p w14:paraId="30F183BF">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2203824">
            <w:pPr>
              <w:spacing w:before="8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2687F05D">
            <w:pPr>
              <w:spacing w:before="83"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599595C5">
            <w:pPr>
              <w:spacing w:before="8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7392A174">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13B23AFE">
            <w:pPr>
              <w:rPr>
                <w:rFonts w:ascii="Arial"/>
                <w:sz w:val="21"/>
              </w:rPr>
            </w:pPr>
          </w:p>
        </w:tc>
      </w:tr>
      <w:tr w14:paraId="4BDD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19C64244">
            <w:pPr>
              <w:rPr>
                <w:rFonts w:ascii="Arial"/>
                <w:sz w:val="21"/>
              </w:rPr>
            </w:pPr>
          </w:p>
        </w:tc>
        <w:tc>
          <w:tcPr>
            <w:tcW w:w="113" w:type="dxa"/>
            <w:tcBorders>
              <w:top w:val="nil"/>
              <w:bottom w:val="nil"/>
            </w:tcBorders>
            <w:vAlign w:val="top"/>
          </w:tcPr>
          <w:p w14:paraId="61B05F4B">
            <w:pPr>
              <w:rPr>
                <w:rFonts w:ascii="Arial"/>
                <w:sz w:val="21"/>
              </w:rPr>
            </w:pPr>
          </w:p>
        </w:tc>
        <w:tc>
          <w:tcPr>
            <w:tcW w:w="637" w:type="dxa"/>
            <w:vMerge w:val="continue"/>
            <w:tcBorders>
              <w:top w:val="nil"/>
              <w:bottom w:val="nil"/>
            </w:tcBorders>
            <w:vAlign w:val="top"/>
          </w:tcPr>
          <w:p w14:paraId="4F2586CA">
            <w:pPr>
              <w:rPr>
                <w:rFonts w:ascii="Arial"/>
                <w:sz w:val="21"/>
              </w:rPr>
            </w:pPr>
          </w:p>
        </w:tc>
        <w:tc>
          <w:tcPr>
            <w:tcW w:w="1524" w:type="dxa"/>
            <w:vAlign w:val="top"/>
          </w:tcPr>
          <w:p w14:paraId="5DA895A1">
            <w:pPr>
              <w:pStyle w:val="6"/>
              <w:spacing w:before="41" w:line="213" w:lineRule="auto"/>
              <w:ind w:left="582"/>
              <w:rPr>
                <w:sz w:val="20"/>
                <w:szCs w:val="20"/>
              </w:rPr>
            </w:pPr>
            <w:r>
              <w:rPr>
                <w:spacing w:val="-9"/>
                <w:sz w:val="20"/>
                <w:szCs w:val="20"/>
              </w:rPr>
              <w:t>甲醇</w:t>
            </w:r>
          </w:p>
        </w:tc>
        <w:tc>
          <w:tcPr>
            <w:tcW w:w="1060" w:type="dxa"/>
            <w:vAlign w:val="top"/>
          </w:tcPr>
          <w:p w14:paraId="034FEE2D">
            <w:pPr>
              <w:spacing w:before="73"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AF78F30">
            <w:pPr>
              <w:spacing w:before="77"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369B074D">
            <w:pPr>
              <w:spacing w:before="77"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3D771622">
            <w:pPr>
              <w:spacing w:before="77"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33932ADA">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17697289">
            <w:pPr>
              <w:rPr>
                <w:rFonts w:ascii="Arial"/>
                <w:sz w:val="21"/>
              </w:rPr>
            </w:pPr>
          </w:p>
        </w:tc>
      </w:tr>
      <w:tr w14:paraId="1A946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4D6CF492">
            <w:pPr>
              <w:rPr>
                <w:rFonts w:ascii="Arial"/>
                <w:sz w:val="21"/>
              </w:rPr>
            </w:pPr>
          </w:p>
        </w:tc>
        <w:tc>
          <w:tcPr>
            <w:tcW w:w="113" w:type="dxa"/>
            <w:tcBorders>
              <w:top w:val="nil"/>
              <w:bottom w:val="nil"/>
            </w:tcBorders>
            <w:vAlign w:val="top"/>
          </w:tcPr>
          <w:p w14:paraId="73A7C938">
            <w:pPr>
              <w:rPr>
                <w:rFonts w:ascii="Arial"/>
                <w:sz w:val="21"/>
              </w:rPr>
            </w:pPr>
          </w:p>
        </w:tc>
        <w:tc>
          <w:tcPr>
            <w:tcW w:w="637" w:type="dxa"/>
            <w:vMerge w:val="continue"/>
            <w:tcBorders>
              <w:top w:val="nil"/>
              <w:bottom w:val="nil"/>
            </w:tcBorders>
            <w:vAlign w:val="top"/>
          </w:tcPr>
          <w:p w14:paraId="001348D3">
            <w:pPr>
              <w:rPr>
                <w:rFonts w:ascii="Arial"/>
                <w:sz w:val="21"/>
              </w:rPr>
            </w:pPr>
          </w:p>
        </w:tc>
        <w:tc>
          <w:tcPr>
            <w:tcW w:w="1524" w:type="dxa"/>
            <w:vAlign w:val="top"/>
          </w:tcPr>
          <w:p w14:paraId="0712B050">
            <w:pPr>
              <w:pStyle w:val="6"/>
              <w:spacing w:before="38" w:line="203" w:lineRule="auto"/>
              <w:ind w:left="663"/>
              <w:rPr>
                <w:sz w:val="20"/>
                <w:szCs w:val="20"/>
              </w:rPr>
            </w:pPr>
            <w:r>
              <w:rPr>
                <w:sz w:val="20"/>
                <w:szCs w:val="20"/>
              </w:rPr>
              <w:t>苯</w:t>
            </w:r>
          </w:p>
        </w:tc>
        <w:tc>
          <w:tcPr>
            <w:tcW w:w="1060" w:type="dxa"/>
            <w:vAlign w:val="top"/>
          </w:tcPr>
          <w:p w14:paraId="11F8DCB6">
            <w:pPr>
              <w:spacing w:before="70" w:line="196"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7CD2BCF">
            <w:pPr>
              <w:spacing w:before="74" w:line="192"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0163CAEF">
            <w:pPr>
              <w:spacing w:before="74" w:line="192"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1D2F6B2D">
            <w:pPr>
              <w:spacing w:before="74" w:line="192"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630934D5">
            <w:pPr>
              <w:pStyle w:val="6"/>
              <w:spacing w:before="38" w:line="203" w:lineRule="auto"/>
              <w:ind w:left="226"/>
              <w:rPr>
                <w:sz w:val="20"/>
                <w:szCs w:val="20"/>
              </w:rPr>
            </w:pPr>
            <w:r>
              <w:rPr>
                <w:sz w:val="20"/>
                <w:szCs w:val="20"/>
              </w:rPr>
              <w:t>是</w:t>
            </w:r>
          </w:p>
        </w:tc>
        <w:tc>
          <w:tcPr>
            <w:tcW w:w="118" w:type="dxa"/>
            <w:tcBorders>
              <w:top w:val="nil"/>
              <w:bottom w:val="nil"/>
            </w:tcBorders>
            <w:vAlign w:val="top"/>
          </w:tcPr>
          <w:p w14:paraId="7809660D">
            <w:pPr>
              <w:rPr>
                <w:rFonts w:ascii="Arial"/>
                <w:sz w:val="21"/>
              </w:rPr>
            </w:pPr>
          </w:p>
        </w:tc>
      </w:tr>
      <w:tr w14:paraId="1F6F7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2F8E469E">
            <w:pPr>
              <w:rPr>
                <w:rFonts w:ascii="Arial"/>
                <w:sz w:val="21"/>
              </w:rPr>
            </w:pPr>
          </w:p>
        </w:tc>
        <w:tc>
          <w:tcPr>
            <w:tcW w:w="113" w:type="dxa"/>
            <w:tcBorders>
              <w:top w:val="nil"/>
              <w:bottom w:val="nil"/>
            </w:tcBorders>
            <w:vAlign w:val="top"/>
          </w:tcPr>
          <w:p w14:paraId="1A405A61">
            <w:pPr>
              <w:rPr>
                <w:rFonts w:ascii="Arial"/>
                <w:sz w:val="21"/>
              </w:rPr>
            </w:pPr>
          </w:p>
        </w:tc>
        <w:tc>
          <w:tcPr>
            <w:tcW w:w="637" w:type="dxa"/>
            <w:vMerge w:val="continue"/>
            <w:tcBorders>
              <w:top w:val="nil"/>
              <w:bottom w:val="nil"/>
            </w:tcBorders>
            <w:vAlign w:val="top"/>
          </w:tcPr>
          <w:p w14:paraId="46DE1D7C">
            <w:pPr>
              <w:rPr>
                <w:rFonts w:ascii="Arial"/>
                <w:sz w:val="21"/>
              </w:rPr>
            </w:pPr>
          </w:p>
        </w:tc>
        <w:tc>
          <w:tcPr>
            <w:tcW w:w="1524" w:type="dxa"/>
            <w:vAlign w:val="top"/>
          </w:tcPr>
          <w:p w14:paraId="4094CF43">
            <w:pPr>
              <w:pStyle w:val="6"/>
              <w:spacing w:before="47" w:line="208"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024C2A06">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528835E">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8BB392B">
            <w:pPr>
              <w:spacing w:before="83"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23D887">
            <w:pPr>
              <w:spacing w:before="83"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F74AB61">
            <w:pPr>
              <w:pStyle w:val="6"/>
              <w:spacing w:before="47" w:line="208" w:lineRule="auto"/>
              <w:ind w:left="226"/>
              <w:rPr>
                <w:sz w:val="20"/>
                <w:szCs w:val="20"/>
              </w:rPr>
            </w:pPr>
            <w:r>
              <w:rPr>
                <w:sz w:val="20"/>
                <w:szCs w:val="20"/>
              </w:rPr>
              <w:t>是</w:t>
            </w:r>
          </w:p>
        </w:tc>
        <w:tc>
          <w:tcPr>
            <w:tcW w:w="118" w:type="dxa"/>
            <w:tcBorders>
              <w:top w:val="nil"/>
              <w:bottom w:val="nil"/>
            </w:tcBorders>
            <w:vAlign w:val="top"/>
          </w:tcPr>
          <w:p w14:paraId="4590675E">
            <w:pPr>
              <w:rPr>
                <w:rFonts w:ascii="Arial"/>
                <w:sz w:val="21"/>
              </w:rPr>
            </w:pPr>
          </w:p>
        </w:tc>
      </w:tr>
      <w:tr w14:paraId="6DAD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68EE7B07">
            <w:pPr>
              <w:rPr>
                <w:rFonts w:ascii="Arial"/>
                <w:sz w:val="21"/>
              </w:rPr>
            </w:pPr>
          </w:p>
        </w:tc>
        <w:tc>
          <w:tcPr>
            <w:tcW w:w="113" w:type="dxa"/>
            <w:tcBorders>
              <w:top w:val="nil"/>
              <w:bottom w:val="nil"/>
            </w:tcBorders>
            <w:vAlign w:val="top"/>
          </w:tcPr>
          <w:p w14:paraId="320FC212">
            <w:pPr>
              <w:rPr>
                <w:rFonts w:ascii="Arial"/>
                <w:sz w:val="21"/>
              </w:rPr>
            </w:pPr>
          </w:p>
        </w:tc>
        <w:tc>
          <w:tcPr>
            <w:tcW w:w="637" w:type="dxa"/>
            <w:vMerge w:val="continue"/>
            <w:tcBorders>
              <w:top w:val="nil"/>
              <w:bottom w:val="nil"/>
            </w:tcBorders>
            <w:vAlign w:val="top"/>
          </w:tcPr>
          <w:p w14:paraId="2DAC5DFE">
            <w:pPr>
              <w:rPr>
                <w:rFonts w:ascii="Arial"/>
                <w:sz w:val="21"/>
              </w:rPr>
            </w:pPr>
          </w:p>
        </w:tc>
        <w:tc>
          <w:tcPr>
            <w:tcW w:w="1524" w:type="dxa"/>
            <w:vAlign w:val="top"/>
          </w:tcPr>
          <w:p w14:paraId="6026ECB1">
            <w:pPr>
              <w:pStyle w:val="6"/>
              <w:spacing w:before="40" w:line="214"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1CDB33A8">
            <w:pPr>
              <w:spacing w:before="7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4B33DA6">
            <w:pPr>
              <w:spacing w:before="76"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957CEAC">
            <w:pPr>
              <w:spacing w:before="7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080BD813">
            <w:pPr>
              <w:spacing w:before="76"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3E5098D2">
            <w:pPr>
              <w:pStyle w:val="6"/>
              <w:spacing w:before="40" w:line="214" w:lineRule="auto"/>
              <w:ind w:left="226"/>
              <w:rPr>
                <w:sz w:val="20"/>
                <w:szCs w:val="20"/>
              </w:rPr>
            </w:pPr>
            <w:r>
              <w:rPr>
                <w:sz w:val="20"/>
                <w:szCs w:val="20"/>
              </w:rPr>
              <w:t>是</w:t>
            </w:r>
          </w:p>
        </w:tc>
        <w:tc>
          <w:tcPr>
            <w:tcW w:w="118" w:type="dxa"/>
            <w:tcBorders>
              <w:top w:val="nil"/>
              <w:bottom w:val="nil"/>
            </w:tcBorders>
            <w:vAlign w:val="top"/>
          </w:tcPr>
          <w:p w14:paraId="7C70C133">
            <w:pPr>
              <w:rPr>
                <w:rFonts w:ascii="Arial"/>
                <w:sz w:val="21"/>
              </w:rPr>
            </w:pPr>
          </w:p>
        </w:tc>
      </w:tr>
      <w:tr w14:paraId="3E037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397025DC">
            <w:pPr>
              <w:rPr>
                <w:rFonts w:ascii="Arial"/>
                <w:sz w:val="21"/>
              </w:rPr>
            </w:pPr>
          </w:p>
        </w:tc>
        <w:tc>
          <w:tcPr>
            <w:tcW w:w="113" w:type="dxa"/>
            <w:tcBorders>
              <w:top w:val="nil"/>
              <w:bottom w:val="nil"/>
            </w:tcBorders>
            <w:vAlign w:val="top"/>
          </w:tcPr>
          <w:p w14:paraId="39CD2D35">
            <w:pPr>
              <w:rPr>
                <w:rFonts w:ascii="Arial"/>
                <w:sz w:val="21"/>
              </w:rPr>
            </w:pPr>
          </w:p>
        </w:tc>
        <w:tc>
          <w:tcPr>
            <w:tcW w:w="637" w:type="dxa"/>
            <w:vMerge w:val="continue"/>
            <w:tcBorders>
              <w:top w:val="nil"/>
              <w:bottom w:val="nil"/>
            </w:tcBorders>
            <w:vAlign w:val="top"/>
          </w:tcPr>
          <w:p w14:paraId="4A84419C">
            <w:pPr>
              <w:rPr>
                <w:rFonts w:ascii="Arial"/>
                <w:sz w:val="21"/>
              </w:rPr>
            </w:pPr>
          </w:p>
        </w:tc>
        <w:tc>
          <w:tcPr>
            <w:tcW w:w="1524" w:type="dxa"/>
            <w:vAlign w:val="top"/>
          </w:tcPr>
          <w:p w14:paraId="7036D75D">
            <w:pPr>
              <w:pStyle w:val="6"/>
              <w:spacing w:before="36" w:line="204"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2AA9FA3B">
            <w:pPr>
              <w:spacing w:before="69" w:line="197"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0892DE43">
            <w:pPr>
              <w:spacing w:before="73" w:line="193"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1EAA8BD">
            <w:pPr>
              <w:spacing w:before="73" w:line="193"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E1FDAD3">
            <w:pPr>
              <w:spacing w:before="73" w:line="193"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7F4A9C8">
            <w:pPr>
              <w:pStyle w:val="6"/>
              <w:spacing w:before="36" w:line="204" w:lineRule="auto"/>
              <w:ind w:left="226"/>
              <w:rPr>
                <w:sz w:val="20"/>
                <w:szCs w:val="20"/>
              </w:rPr>
            </w:pPr>
            <w:r>
              <w:rPr>
                <w:sz w:val="20"/>
                <w:szCs w:val="20"/>
              </w:rPr>
              <w:t>是</w:t>
            </w:r>
          </w:p>
        </w:tc>
        <w:tc>
          <w:tcPr>
            <w:tcW w:w="118" w:type="dxa"/>
            <w:tcBorders>
              <w:top w:val="nil"/>
              <w:bottom w:val="nil"/>
            </w:tcBorders>
            <w:vAlign w:val="top"/>
          </w:tcPr>
          <w:p w14:paraId="1CB71C34">
            <w:pPr>
              <w:rPr>
                <w:rFonts w:ascii="Arial"/>
                <w:sz w:val="21"/>
              </w:rPr>
            </w:pPr>
          </w:p>
        </w:tc>
      </w:tr>
      <w:tr w14:paraId="630EF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59" w:type="dxa"/>
            <w:vMerge w:val="continue"/>
            <w:tcBorders>
              <w:top w:val="nil"/>
              <w:bottom w:val="nil"/>
            </w:tcBorders>
            <w:vAlign w:val="top"/>
          </w:tcPr>
          <w:p w14:paraId="7F0EC5A4">
            <w:pPr>
              <w:rPr>
                <w:rFonts w:ascii="Arial"/>
                <w:sz w:val="21"/>
              </w:rPr>
            </w:pPr>
          </w:p>
        </w:tc>
        <w:tc>
          <w:tcPr>
            <w:tcW w:w="113" w:type="dxa"/>
            <w:tcBorders>
              <w:top w:val="nil"/>
              <w:bottom w:val="nil"/>
            </w:tcBorders>
            <w:vAlign w:val="top"/>
          </w:tcPr>
          <w:p w14:paraId="411C6C61">
            <w:pPr>
              <w:rPr>
                <w:rFonts w:ascii="Arial"/>
                <w:sz w:val="21"/>
              </w:rPr>
            </w:pPr>
          </w:p>
        </w:tc>
        <w:tc>
          <w:tcPr>
            <w:tcW w:w="637" w:type="dxa"/>
            <w:vMerge w:val="continue"/>
            <w:tcBorders>
              <w:top w:val="nil"/>
            </w:tcBorders>
            <w:vAlign w:val="top"/>
          </w:tcPr>
          <w:p w14:paraId="72F93D4E">
            <w:pPr>
              <w:rPr>
                <w:rFonts w:ascii="Arial"/>
                <w:sz w:val="21"/>
              </w:rPr>
            </w:pPr>
          </w:p>
        </w:tc>
        <w:tc>
          <w:tcPr>
            <w:tcW w:w="1524" w:type="dxa"/>
            <w:vAlign w:val="top"/>
          </w:tcPr>
          <w:p w14:paraId="68F31CA6">
            <w:pPr>
              <w:spacing w:before="82"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028F391F">
            <w:pPr>
              <w:spacing w:before="79"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130995F5">
            <w:pPr>
              <w:spacing w:before="8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0BD18196">
            <w:pPr>
              <w:spacing w:before="8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532EB5D9">
            <w:pPr>
              <w:spacing w:before="8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614DF89E">
            <w:pPr>
              <w:pStyle w:val="6"/>
              <w:spacing w:before="47" w:line="213" w:lineRule="auto"/>
              <w:ind w:left="226"/>
              <w:rPr>
                <w:sz w:val="20"/>
                <w:szCs w:val="20"/>
              </w:rPr>
            </w:pPr>
            <w:r>
              <w:rPr>
                <w:sz w:val="20"/>
                <w:szCs w:val="20"/>
              </w:rPr>
              <w:t>是</w:t>
            </w:r>
          </w:p>
        </w:tc>
        <w:tc>
          <w:tcPr>
            <w:tcW w:w="118" w:type="dxa"/>
            <w:tcBorders>
              <w:top w:val="nil"/>
              <w:bottom w:val="nil"/>
            </w:tcBorders>
            <w:vAlign w:val="top"/>
          </w:tcPr>
          <w:p w14:paraId="232EF764">
            <w:pPr>
              <w:rPr>
                <w:rFonts w:ascii="Arial"/>
                <w:sz w:val="21"/>
              </w:rPr>
            </w:pPr>
          </w:p>
        </w:tc>
      </w:tr>
      <w:tr w14:paraId="4D28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59" w:type="dxa"/>
            <w:vMerge w:val="continue"/>
            <w:tcBorders>
              <w:top w:val="nil"/>
              <w:bottom w:val="nil"/>
            </w:tcBorders>
            <w:vAlign w:val="top"/>
          </w:tcPr>
          <w:p w14:paraId="7B9D274C">
            <w:pPr>
              <w:rPr>
                <w:rFonts w:ascii="Arial"/>
                <w:sz w:val="21"/>
              </w:rPr>
            </w:pPr>
          </w:p>
        </w:tc>
        <w:tc>
          <w:tcPr>
            <w:tcW w:w="113" w:type="dxa"/>
            <w:tcBorders>
              <w:top w:val="nil"/>
              <w:bottom w:val="nil"/>
            </w:tcBorders>
            <w:vAlign w:val="top"/>
          </w:tcPr>
          <w:p w14:paraId="5F870CC1">
            <w:pPr>
              <w:rPr>
                <w:rFonts w:ascii="Arial"/>
                <w:sz w:val="21"/>
              </w:rPr>
            </w:pPr>
          </w:p>
        </w:tc>
        <w:tc>
          <w:tcPr>
            <w:tcW w:w="637" w:type="dxa"/>
            <w:vMerge w:val="restart"/>
            <w:tcBorders>
              <w:bottom w:val="nil"/>
            </w:tcBorders>
            <w:vAlign w:val="top"/>
          </w:tcPr>
          <w:p w14:paraId="105C920E">
            <w:pPr>
              <w:pStyle w:val="6"/>
              <w:spacing w:before="54" w:line="229" w:lineRule="auto"/>
              <w:ind w:left="129"/>
              <w:rPr>
                <w:sz w:val="20"/>
                <w:szCs w:val="20"/>
              </w:rPr>
            </w:pPr>
            <w:r>
              <w:rPr>
                <w:spacing w:val="-4"/>
                <w:sz w:val="20"/>
                <w:szCs w:val="20"/>
              </w:rPr>
              <w:t>园区</w:t>
            </w:r>
          </w:p>
          <w:p w14:paraId="07DB0C96">
            <w:pPr>
              <w:pStyle w:val="6"/>
              <w:spacing w:before="23" w:line="228" w:lineRule="auto"/>
              <w:ind w:left="117"/>
              <w:rPr>
                <w:sz w:val="20"/>
                <w:szCs w:val="20"/>
              </w:rPr>
            </w:pPr>
            <w:r>
              <w:rPr>
                <w:spacing w:val="2"/>
                <w:sz w:val="20"/>
                <w:szCs w:val="20"/>
              </w:rPr>
              <w:t>范围</w:t>
            </w:r>
          </w:p>
          <w:p w14:paraId="40973DDE">
            <w:pPr>
              <w:pStyle w:val="6"/>
              <w:spacing w:before="25" w:line="228" w:lineRule="auto"/>
              <w:ind w:left="120"/>
              <w:rPr>
                <w:sz w:val="20"/>
                <w:szCs w:val="20"/>
              </w:rPr>
            </w:pPr>
            <w:r>
              <w:rPr>
                <w:spacing w:val="1"/>
                <w:sz w:val="20"/>
                <w:szCs w:val="20"/>
              </w:rPr>
              <w:t>东侧</w:t>
            </w:r>
          </w:p>
          <w:p w14:paraId="1478B32D">
            <w:pPr>
              <w:pStyle w:val="6"/>
              <w:spacing w:before="27" w:line="228" w:lineRule="auto"/>
              <w:ind w:left="115"/>
              <w:rPr>
                <w:sz w:val="20"/>
                <w:szCs w:val="20"/>
              </w:rPr>
            </w:pPr>
            <w:r>
              <w:rPr>
                <w:spacing w:val="3"/>
                <w:sz w:val="20"/>
                <w:szCs w:val="20"/>
              </w:rPr>
              <w:t>棋盘</w:t>
            </w:r>
          </w:p>
          <w:p w14:paraId="7160105A">
            <w:pPr>
              <w:pStyle w:val="6"/>
              <w:spacing w:before="23" w:line="228" w:lineRule="auto"/>
              <w:ind w:left="112"/>
              <w:rPr>
                <w:sz w:val="20"/>
                <w:szCs w:val="20"/>
              </w:rPr>
            </w:pPr>
            <w:r>
              <w:rPr>
                <w:spacing w:val="4"/>
                <w:sz w:val="20"/>
                <w:szCs w:val="20"/>
              </w:rPr>
              <w:t>井镇</w:t>
            </w:r>
          </w:p>
        </w:tc>
        <w:tc>
          <w:tcPr>
            <w:tcW w:w="1524" w:type="dxa"/>
            <w:vAlign w:val="top"/>
          </w:tcPr>
          <w:p w14:paraId="1DADA164">
            <w:pPr>
              <w:pStyle w:val="6"/>
              <w:spacing w:before="35" w:line="213" w:lineRule="auto"/>
              <w:ind w:left="244"/>
              <w:rPr>
                <w:sz w:val="20"/>
                <w:szCs w:val="20"/>
              </w:rPr>
            </w:pPr>
            <w:r>
              <w:rPr>
                <w:spacing w:val="7"/>
                <w:sz w:val="20"/>
                <w:szCs w:val="20"/>
              </w:rPr>
              <w:t>非甲烷总烃</w:t>
            </w:r>
          </w:p>
        </w:tc>
        <w:tc>
          <w:tcPr>
            <w:tcW w:w="1060" w:type="dxa"/>
            <w:vAlign w:val="top"/>
          </w:tcPr>
          <w:p w14:paraId="301601A3">
            <w:pPr>
              <w:spacing w:before="66"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1955790">
            <w:pPr>
              <w:spacing w:before="70"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70C654C2">
            <w:pPr>
              <w:spacing w:before="7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413" w:type="dxa"/>
            <w:vAlign w:val="top"/>
          </w:tcPr>
          <w:p w14:paraId="30561E5C">
            <w:pPr>
              <w:spacing w:before="70"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4783574D">
            <w:pPr>
              <w:pStyle w:val="6"/>
              <w:spacing w:before="35" w:line="213" w:lineRule="auto"/>
              <w:ind w:left="226"/>
              <w:rPr>
                <w:sz w:val="20"/>
                <w:szCs w:val="20"/>
              </w:rPr>
            </w:pPr>
            <w:r>
              <w:rPr>
                <w:sz w:val="20"/>
                <w:szCs w:val="20"/>
              </w:rPr>
              <w:t>是</w:t>
            </w:r>
          </w:p>
        </w:tc>
        <w:tc>
          <w:tcPr>
            <w:tcW w:w="118" w:type="dxa"/>
            <w:tcBorders>
              <w:top w:val="nil"/>
              <w:bottom w:val="nil"/>
            </w:tcBorders>
            <w:vAlign w:val="top"/>
          </w:tcPr>
          <w:p w14:paraId="156153A3">
            <w:pPr>
              <w:rPr>
                <w:rFonts w:ascii="Arial"/>
                <w:sz w:val="21"/>
              </w:rPr>
            </w:pPr>
          </w:p>
        </w:tc>
      </w:tr>
      <w:tr w14:paraId="18B9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57295DAA">
            <w:pPr>
              <w:rPr>
                <w:rFonts w:ascii="Arial"/>
                <w:sz w:val="21"/>
              </w:rPr>
            </w:pPr>
          </w:p>
        </w:tc>
        <w:tc>
          <w:tcPr>
            <w:tcW w:w="113" w:type="dxa"/>
            <w:tcBorders>
              <w:top w:val="nil"/>
              <w:bottom w:val="nil"/>
            </w:tcBorders>
            <w:vAlign w:val="top"/>
          </w:tcPr>
          <w:p w14:paraId="1842E662">
            <w:pPr>
              <w:rPr>
                <w:rFonts w:ascii="Arial"/>
                <w:sz w:val="21"/>
              </w:rPr>
            </w:pPr>
          </w:p>
        </w:tc>
        <w:tc>
          <w:tcPr>
            <w:tcW w:w="637" w:type="dxa"/>
            <w:vMerge w:val="continue"/>
            <w:tcBorders>
              <w:top w:val="nil"/>
              <w:bottom w:val="nil"/>
            </w:tcBorders>
            <w:vAlign w:val="top"/>
          </w:tcPr>
          <w:p w14:paraId="67AB2EED">
            <w:pPr>
              <w:rPr>
                <w:rFonts w:ascii="Arial"/>
                <w:sz w:val="21"/>
              </w:rPr>
            </w:pPr>
          </w:p>
        </w:tc>
        <w:tc>
          <w:tcPr>
            <w:tcW w:w="1524" w:type="dxa"/>
            <w:vAlign w:val="top"/>
          </w:tcPr>
          <w:p w14:paraId="1A76692C">
            <w:pPr>
              <w:pStyle w:val="6"/>
              <w:spacing w:before="37" w:line="204" w:lineRule="auto"/>
              <w:ind w:left="559"/>
              <w:rPr>
                <w:sz w:val="20"/>
                <w:szCs w:val="20"/>
              </w:rPr>
            </w:pPr>
            <w:r>
              <w:rPr>
                <w:spacing w:val="3"/>
                <w:sz w:val="20"/>
                <w:szCs w:val="20"/>
              </w:rPr>
              <w:t>氯气</w:t>
            </w:r>
          </w:p>
        </w:tc>
        <w:tc>
          <w:tcPr>
            <w:tcW w:w="1060" w:type="dxa"/>
            <w:vAlign w:val="top"/>
          </w:tcPr>
          <w:p w14:paraId="1B6BD536">
            <w:pPr>
              <w:spacing w:before="69"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1102F206">
            <w:pPr>
              <w:spacing w:before="73" w:line="193"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7EC1B381">
            <w:pPr>
              <w:spacing w:before="73" w:line="193"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413" w:type="dxa"/>
            <w:vAlign w:val="top"/>
          </w:tcPr>
          <w:p w14:paraId="6B941902">
            <w:pPr>
              <w:spacing w:before="73" w:line="193"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641" w:type="dxa"/>
            <w:vAlign w:val="top"/>
          </w:tcPr>
          <w:p w14:paraId="7F0BE265">
            <w:pPr>
              <w:pStyle w:val="6"/>
              <w:spacing w:before="37" w:line="204" w:lineRule="auto"/>
              <w:ind w:left="226"/>
              <w:rPr>
                <w:sz w:val="20"/>
                <w:szCs w:val="20"/>
              </w:rPr>
            </w:pPr>
            <w:r>
              <w:rPr>
                <w:sz w:val="20"/>
                <w:szCs w:val="20"/>
              </w:rPr>
              <w:t>是</w:t>
            </w:r>
          </w:p>
        </w:tc>
        <w:tc>
          <w:tcPr>
            <w:tcW w:w="118" w:type="dxa"/>
            <w:tcBorders>
              <w:top w:val="nil"/>
              <w:bottom w:val="nil"/>
            </w:tcBorders>
            <w:vAlign w:val="top"/>
          </w:tcPr>
          <w:p w14:paraId="25E1AA84">
            <w:pPr>
              <w:rPr>
                <w:rFonts w:ascii="Arial"/>
                <w:sz w:val="21"/>
              </w:rPr>
            </w:pPr>
          </w:p>
        </w:tc>
      </w:tr>
      <w:tr w14:paraId="1DA34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444E4CC">
            <w:pPr>
              <w:rPr>
                <w:rFonts w:ascii="Arial"/>
                <w:sz w:val="21"/>
              </w:rPr>
            </w:pPr>
          </w:p>
        </w:tc>
        <w:tc>
          <w:tcPr>
            <w:tcW w:w="113" w:type="dxa"/>
            <w:tcBorders>
              <w:top w:val="nil"/>
              <w:bottom w:val="nil"/>
            </w:tcBorders>
            <w:vAlign w:val="top"/>
          </w:tcPr>
          <w:p w14:paraId="134C8029">
            <w:pPr>
              <w:rPr>
                <w:rFonts w:ascii="Arial"/>
                <w:sz w:val="21"/>
              </w:rPr>
            </w:pPr>
          </w:p>
        </w:tc>
        <w:tc>
          <w:tcPr>
            <w:tcW w:w="637" w:type="dxa"/>
            <w:vMerge w:val="continue"/>
            <w:tcBorders>
              <w:top w:val="nil"/>
              <w:bottom w:val="nil"/>
            </w:tcBorders>
            <w:vAlign w:val="top"/>
          </w:tcPr>
          <w:p w14:paraId="35A19534">
            <w:pPr>
              <w:rPr>
                <w:rFonts w:ascii="Arial"/>
                <w:sz w:val="21"/>
              </w:rPr>
            </w:pPr>
          </w:p>
        </w:tc>
        <w:tc>
          <w:tcPr>
            <w:tcW w:w="1524" w:type="dxa"/>
            <w:vAlign w:val="top"/>
          </w:tcPr>
          <w:p w14:paraId="0FAE64AF">
            <w:pPr>
              <w:pStyle w:val="6"/>
              <w:spacing w:before="47" w:line="208" w:lineRule="auto"/>
              <w:ind w:left="559"/>
              <w:rPr>
                <w:sz w:val="20"/>
                <w:szCs w:val="20"/>
              </w:rPr>
            </w:pPr>
            <w:r>
              <w:rPr>
                <w:spacing w:val="3"/>
                <w:sz w:val="20"/>
                <w:szCs w:val="20"/>
              </w:rPr>
              <w:t>氯气</w:t>
            </w:r>
          </w:p>
        </w:tc>
        <w:tc>
          <w:tcPr>
            <w:tcW w:w="1060" w:type="dxa"/>
            <w:vAlign w:val="top"/>
          </w:tcPr>
          <w:p w14:paraId="0416BEAD">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AF9131A">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7991D678">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2AA5D82E">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6ADAFCD7">
            <w:pPr>
              <w:pStyle w:val="6"/>
              <w:spacing w:before="47" w:line="208" w:lineRule="auto"/>
              <w:ind w:left="226"/>
              <w:rPr>
                <w:sz w:val="20"/>
                <w:szCs w:val="20"/>
              </w:rPr>
            </w:pPr>
            <w:r>
              <w:rPr>
                <w:sz w:val="20"/>
                <w:szCs w:val="20"/>
              </w:rPr>
              <w:t>是</w:t>
            </w:r>
          </w:p>
        </w:tc>
        <w:tc>
          <w:tcPr>
            <w:tcW w:w="118" w:type="dxa"/>
            <w:tcBorders>
              <w:top w:val="nil"/>
              <w:bottom w:val="nil"/>
            </w:tcBorders>
            <w:vAlign w:val="top"/>
          </w:tcPr>
          <w:p w14:paraId="05EDA9D5">
            <w:pPr>
              <w:rPr>
                <w:rFonts w:ascii="Arial"/>
                <w:sz w:val="21"/>
              </w:rPr>
            </w:pPr>
          </w:p>
        </w:tc>
      </w:tr>
      <w:tr w14:paraId="29D30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59" w:type="dxa"/>
            <w:vMerge w:val="continue"/>
            <w:tcBorders>
              <w:top w:val="nil"/>
              <w:bottom w:val="nil"/>
            </w:tcBorders>
            <w:vAlign w:val="top"/>
          </w:tcPr>
          <w:p w14:paraId="2FD2E33F">
            <w:pPr>
              <w:rPr>
                <w:rFonts w:ascii="Arial"/>
                <w:sz w:val="21"/>
              </w:rPr>
            </w:pPr>
          </w:p>
        </w:tc>
        <w:tc>
          <w:tcPr>
            <w:tcW w:w="113" w:type="dxa"/>
            <w:tcBorders>
              <w:top w:val="nil"/>
              <w:bottom w:val="nil"/>
            </w:tcBorders>
            <w:vAlign w:val="top"/>
          </w:tcPr>
          <w:p w14:paraId="2A0C777A">
            <w:pPr>
              <w:rPr>
                <w:rFonts w:ascii="Arial"/>
                <w:sz w:val="21"/>
              </w:rPr>
            </w:pPr>
          </w:p>
        </w:tc>
        <w:tc>
          <w:tcPr>
            <w:tcW w:w="637" w:type="dxa"/>
            <w:vMerge w:val="continue"/>
            <w:tcBorders>
              <w:top w:val="nil"/>
              <w:bottom w:val="nil"/>
            </w:tcBorders>
            <w:vAlign w:val="top"/>
          </w:tcPr>
          <w:p w14:paraId="684F774F">
            <w:pPr>
              <w:rPr>
                <w:rFonts w:ascii="Arial"/>
                <w:sz w:val="21"/>
              </w:rPr>
            </w:pPr>
          </w:p>
        </w:tc>
        <w:tc>
          <w:tcPr>
            <w:tcW w:w="1524" w:type="dxa"/>
            <w:vAlign w:val="top"/>
          </w:tcPr>
          <w:p w14:paraId="40E5227B">
            <w:pPr>
              <w:spacing w:before="75" w:line="190"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68B818A4">
            <w:pPr>
              <w:spacing w:before="72" w:line="194"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18F45A9A">
            <w:pPr>
              <w:spacing w:before="75" w:line="190"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1EE08A1A">
            <w:pPr>
              <w:spacing w:before="75" w:line="190"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0D228179">
            <w:pPr>
              <w:spacing w:before="75" w:line="190"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1EA5FB25">
            <w:pPr>
              <w:pStyle w:val="6"/>
              <w:spacing w:before="40" w:line="201" w:lineRule="auto"/>
              <w:ind w:left="226"/>
              <w:rPr>
                <w:sz w:val="20"/>
                <w:szCs w:val="20"/>
              </w:rPr>
            </w:pPr>
            <w:r>
              <w:rPr>
                <w:sz w:val="20"/>
                <w:szCs w:val="20"/>
              </w:rPr>
              <w:t>是</w:t>
            </w:r>
          </w:p>
        </w:tc>
        <w:tc>
          <w:tcPr>
            <w:tcW w:w="118" w:type="dxa"/>
            <w:tcBorders>
              <w:top w:val="nil"/>
              <w:bottom w:val="nil"/>
            </w:tcBorders>
            <w:vAlign w:val="top"/>
          </w:tcPr>
          <w:p w14:paraId="03559542">
            <w:pPr>
              <w:rPr>
                <w:rFonts w:ascii="Arial"/>
                <w:sz w:val="21"/>
              </w:rPr>
            </w:pPr>
          </w:p>
        </w:tc>
      </w:tr>
      <w:tr w14:paraId="4C631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59" w:type="dxa"/>
            <w:vMerge w:val="continue"/>
            <w:tcBorders>
              <w:top w:val="nil"/>
            </w:tcBorders>
            <w:vAlign w:val="top"/>
          </w:tcPr>
          <w:p w14:paraId="71192378">
            <w:pPr>
              <w:rPr>
                <w:rFonts w:ascii="Arial"/>
                <w:sz w:val="21"/>
              </w:rPr>
            </w:pPr>
          </w:p>
        </w:tc>
        <w:tc>
          <w:tcPr>
            <w:tcW w:w="113" w:type="dxa"/>
            <w:tcBorders>
              <w:top w:val="nil"/>
            </w:tcBorders>
            <w:vAlign w:val="top"/>
          </w:tcPr>
          <w:p w14:paraId="47C77C16">
            <w:pPr>
              <w:rPr>
                <w:rFonts w:ascii="Arial"/>
                <w:sz w:val="21"/>
              </w:rPr>
            </w:pPr>
          </w:p>
        </w:tc>
        <w:tc>
          <w:tcPr>
            <w:tcW w:w="637" w:type="dxa"/>
            <w:vMerge w:val="continue"/>
            <w:tcBorders>
              <w:top w:val="nil"/>
            </w:tcBorders>
            <w:vAlign w:val="top"/>
          </w:tcPr>
          <w:p w14:paraId="43B7079B">
            <w:pPr>
              <w:rPr>
                <w:rFonts w:ascii="Arial"/>
                <w:sz w:val="21"/>
              </w:rPr>
            </w:pPr>
          </w:p>
        </w:tc>
        <w:tc>
          <w:tcPr>
            <w:tcW w:w="1524" w:type="dxa"/>
            <w:vAlign w:val="top"/>
          </w:tcPr>
          <w:p w14:paraId="771D0D99">
            <w:pPr>
              <w:pStyle w:val="6"/>
              <w:spacing w:before="50" w:line="215" w:lineRule="auto"/>
              <w:ind w:left="582"/>
              <w:rPr>
                <w:sz w:val="20"/>
                <w:szCs w:val="20"/>
              </w:rPr>
            </w:pPr>
            <w:r>
              <w:rPr>
                <w:spacing w:val="-9"/>
                <w:sz w:val="20"/>
                <w:szCs w:val="20"/>
              </w:rPr>
              <w:t>甲醇</w:t>
            </w:r>
          </w:p>
        </w:tc>
        <w:tc>
          <w:tcPr>
            <w:tcW w:w="1060" w:type="dxa"/>
            <w:vAlign w:val="top"/>
          </w:tcPr>
          <w:p w14:paraId="2D638F55">
            <w:pPr>
              <w:spacing w:before="8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39123338">
            <w:pPr>
              <w:spacing w:before="86"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65C749E9">
            <w:pPr>
              <w:spacing w:before="86"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7681474D">
            <w:pPr>
              <w:spacing w:before="86"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077E64AF">
            <w:pPr>
              <w:pStyle w:val="6"/>
              <w:spacing w:before="50" w:line="215" w:lineRule="auto"/>
              <w:ind w:left="226"/>
              <w:rPr>
                <w:sz w:val="20"/>
                <w:szCs w:val="20"/>
              </w:rPr>
            </w:pPr>
            <w:r>
              <w:rPr>
                <w:sz w:val="20"/>
                <w:szCs w:val="20"/>
              </w:rPr>
              <w:t>是</w:t>
            </w:r>
          </w:p>
        </w:tc>
        <w:tc>
          <w:tcPr>
            <w:tcW w:w="118" w:type="dxa"/>
            <w:tcBorders>
              <w:top w:val="nil"/>
            </w:tcBorders>
            <w:vAlign w:val="top"/>
          </w:tcPr>
          <w:p w14:paraId="4DDCD816">
            <w:pPr>
              <w:rPr>
                <w:rFonts w:ascii="Arial"/>
                <w:sz w:val="21"/>
              </w:rPr>
            </w:pPr>
          </w:p>
        </w:tc>
      </w:tr>
    </w:tbl>
    <w:p w14:paraId="7B815A59">
      <w:pPr>
        <w:pStyle w:val="2"/>
      </w:pPr>
    </w:p>
    <w:p w14:paraId="48363C0B">
      <w:pPr>
        <w:sectPr>
          <w:footerReference r:id="rId54" w:type="default"/>
          <w:pgSz w:w="11906" w:h="16839"/>
          <w:pgMar w:top="400" w:right="1588" w:bottom="1259" w:left="1687" w:header="0" w:footer="1097" w:gutter="0"/>
          <w:cols w:space="720" w:num="1"/>
        </w:sectPr>
      </w:pPr>
    </w:p>
    <w:p w14:paraId="5B02851A">
      <w:pPr>
        <w:spacing w:before="19"/>
      </w:pPr>
    </w:p>
    <w:p w14:paraId="27A46981">
      <w:pPr>
        <w:spacing w:before="19"/>
      </w:pPr>
    </w:p>
    <w:p w14:paraId="0F38FE29">
      <w:pPr>
        <w:spacing w:before="18"/>
      </w:pPr>
    </w:p>
    <w:p w14:paraId="19B786C9">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637"/>
        <w:gridCol w:w="1524"/>
        <w:gridCol w:w="1060"/>
        <w:gridCol w:w="1273"/>
        <w:gridCol w:w="1387"/>
        <w:gridCol w:w="1413"/>
        <w:gridCol w:w="641"/>
        <w:gridCol w:w="118"/>
      </w:tblGrid>
      <w:tr w14:paraId="1504A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restart"/>
            <w:tcBorders>
              <w:bottom w:val="nil"/>
            </w:tcBorders>
            <w:vAlign w:val="top"/>
          </w:tcPr>
          <w:p w14:paraId="3E0A2B19">
            <w:pPr>
              <w:rPr>
                <w:rFonts w:ascii="Arial"/>
                <w:sz w:val="21"/>
              </w:rPr>
            </w:pPr>
          </w:p>
        </w:tc>
        <w:tc>
          <w:tcPr>
            <w:tcW w:w="113" w:type="dxa"/>
            <w:tcBorders>
              <w:bottom w:val="nil"/>
            </w:tcBorders>
            <w:vAlign w:val="top"/>
          </w:tcPr>
          <w:p w14:paraId="0DBD06CD">
            <w:pPr>
              <w:rPr>
                <w:rFonts w:ascii="Arial"/>
                <w:sz w:val="21"/>
              </w:rPr>
            </w:pPr>
          </w:p>
        </w:tc>
        <w:tc>
          <w:tcPr>
            <w:tcW w:w="637" w:type="dxa"/>
            <w:vMerge w:val="restart"/>
            <w:tcBorders>
              <w:bottom w:val="nil"/>
            </w:tcBorders>
            <w:vAlign w:val="top"/>
          </w:tcPr>
          <w:p w14:paraId="406E9FE3">
            <w:pPr>
              <w:rPr>
                <w:rFonts w:ascii="Arial"/>
                <w:sz w:val="21"/>
              </w:rPr>
            </w:pPr>
          </w:p>
        </w:tc>
        <w:tc>
          <w:tcPr>
            <w:tcW w:w="1524" w:type="dxa"/>
            <w:vAlign w:val="top"/>
          </w:tcPr>
          <w:p w14:paraId="44477D20">
            <w:pPr>
              <w:pStyle w:val="6"/>
              <w:spacing w:before="46" w:line="208" w:lineRule="auto"/>
              <w:ind w:left="582"/>
              <w:rPr>
                <w:sz w:val="20"/>
                <w:szCs w:val="20"/>
              </w:rPr>
            </w:pPr>
            <w:r>
              <w:rPr>
                <w:spacing w:val="-9"/>
                <w:sz w:val="20"/>
                <w:szCs w:val="20"/>
              </w:rPr>
              <w:t>甲醇</w:t>
            </w:r>
          </w:p>
        </w:tc>
        <w:tc>
          <w:tcPr>
            <w:tcW w:w="1060" w:type="dxa"/>
            <w:vAlign w:val="top"/>
          </w:tcPr>
          <w:p w14:paraId="1E6234A4">
            <w:pPr>
              <w:spacing w:before="78"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18148779">
            <w:pPr>
              <w:spacing w:before="8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341117AB">
            <w:pPr>
              <w:spacing w:before="82"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0B33CABA">
            <w:pPr>
              <w:spacing w:before="82"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3D0968F5">
            <w:pPr>
              <w:pStyle w:val="6"/>
              <w:spacing w:before="46" w:line="208" w:lineRule="auto"/>
              <w:ind w:left="226"/>
              <w:rPr>
                <w:sz w:val="20"/>
                <w:szCs w:val="20"/>
              </w:rPr>
            </w:pPr>
            <w:r>
              <w:rPr>
                <w:sz w:val="20"/>
                <w:szCs w:val="20"/>
              </w:rPr>
              <w:t>是</w:t>
            </w:r>
          </w:p>
        </w:tc>
        <w:tc>
          <w:tcPr>
            <w:tcW w:w="118" w:type="dxa"/>
            <w:tcBorders>
              <w:bottom w:val="nil"/>
            </w:tcBorders>
            <w:vAlign w:val="top"/>
          </w:tcPr>
          <w:p w14:paraId="178C161E">
            <w:pPr>
              <w:rPr>
                <w:rFonts w:ascii="Arial"/>
                <w:sz w:val="21"/>
              </w:rPr>
            </w:pPr>
          </w:p>
        </w:tc>
      </w:tr>
      <w:tr w14:paraId="2E9F7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B07EF73">
            <w:pPr>
              <w:rPr>
                <w:rFonts w:ascii="Arial"/>
                <w:sz w:val="21"/>
              </w:rPr>
            </w:pPr>
          </w:p>
        </w:tc>
        <w:tc>
          <w:tcPr>
            <w:tcW w:w="113" w:type="dxa"/>
            <w:tcBorders>
              <w:top w:val="nil"/>
              <w:bottom w:val="nil"/>
            </w:tcBorders>
            <w:vAlign w:val="top"/>
          </w:tcPr>
          <w:p w14:paraId="634A518C">
            <w:pPr>
              <w:rPr>
                <w:rFonts w:ascii="Arial"/>
                <w:sz w:val="21"/>
              </w:rPr>
            </w:pPr>
          </w:p>
        </w:tc>
        <w:tc>
          <w:tcPr>
            <w:tcW w:w="637" w:type="dxa"/>
            <w:vMerge w:val="continue"/>
            <w:tcBorders>
              <w:top w:val="nil"/>
              <w:bottom w:val="nil"/>
            </w:tcBorders>
            <w:vAlign w:val="top"/>
          </w:tcPr>
          <w:p w14:paraId="1C2155B9">
            <w:pPr>
              <w:rPr>
                <w:rFonts w:ascii="Arial"/>
                <w:sz w:val="21"/>
              </w:rPr>
            </w:pPr>
          </w:p>
        </w:tc>
        <w:tc>
          <w:tcPr>
            <w:tcW w:w="1524" w:type="dxa"/>
            <w:vAlign w:val="top"/>
          </w:tcPr>
          <w:p w14:paraId="458C752A">
            <w:pPr>
              <w:pStyle w:val="6"/>
              <w:spacing w:before="41" w:line="214" w:lineRule="auto"/>
              <w:ind w:left="663"/>
              <w:rPr>
                <w:sz w:val="20"/>
                <w:szCs w:val="20"/>
              </w:rPr>
            </w:pPr>
            <w:r>
              <w:rPr>
                <w:sz w:val="20"/>
                <w:szCs w:val="20"/>
              </w:rPr>
              <w:t>苯</w:t>
            </w:r>
          </w:p>
        </w:tc>
        <w:tc>
          <w:tcPr>
            <w:tcW w:w="1060" w:type="dxa"/>
            <w:vAlign w:val="top"/>
          </w:tcPr>
          <w:p w14:paraId="163C20FE">
            <w:pPr>
              <w:spacing w:before="72"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63FD066">
            <w:pPr>
              <w:spacing w:before="76"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417E1E73">
            <w:pPr>
              <w:spacing w:before="76"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8A4F91D">
            <w:pPr>
              <w:spacing w:before="76"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62F6434">
            <w:pPr>
              <w:pStyle w:val="6"/>
              <w:spacing w:before="41" w:line="214" w:lineRule="auto"/>
              <w:ind w:left="226"/>
              <w:rPr>
                <w:sz w:val="20"/>
                <w:szCs w:val="20"/>
              </w:rPr>
            </w:pPr>
            <w:r>
              <w:rPr>
                <w:sz w:val="20"/>
                <w:szCs w:val="20"/>
              </w:rPr>
              <w:t>是</w:t>
            </w:r>
          </w:p>
        </w:tc>
        <w:tc>
          <w:tcPr>
            <w:tcW w:w="118" w:type="dxa"/>
            <w:tcBorders>
              <w:top w:val="nil"/>
              <w:bottom w:val="nil"/>
            </w:tcBorders>
            <w:vAlign w:val="top"/>
          </w:tcPr>
          <w:p w14:paraId="23FD93D9">
            <w:pPr>
              <w:rPr>
                <w:rFonts w:ascii="Arial"/>
                <w:sz w:val="21"/>
              </w:rPr>
            </w:pPr>
          </w:p>
        </w:tc>
      </w:tr>
      <w:tr w14:paraId="2ECF4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A815147">
            <w:pPr>
              <w:rPr>
                <w:rFonts w:ascii="Arial"/>
                <w:sz w:val="21"/>
              </w:rPr>
            </w:pPr>
          </w:p>
        </w:tc>
        <w:tc>
          <w:tcPr>
            <w:tcW w:w="113" w:type="dxa"/>
            <w:tcBorders>
              <w:top w:val="nil"/>
              <w:bottom w:val="nil"/>
            </w:tcBorders>
            <w:vAlign w:val="top"/>
          </w:tcPr>
          <w:p w14:paraId="1F473C71">
            <w:pPr>
              <w:rPr>
                <w:rFonts w:ascii="Arial"/>
                <w:sz w:val="21"/>
              </w:rPr>
            </w:pPr>
          </w:p>
        </w:tc>
        <w:tc>
          <w:tcPr>
            <w:tcW w:w="637" w:type="dxa"/>
            <w:vMerge w:val="continue"/>
            <w:tcBorders>
              <w:top w:val="nil"/>
              <w:bottom w:val="nil"/>
            </w:tcBorders>
            <w:vAlign w:val="top"/>
          </w:tcPr>
          <w:p w14:paraId="17A36BC5">
            <w:pPr>
              <w:rPr>
                <w:rFonts w:ascii="Arial"/>
                <w:sz w:val="21"/>
              </w:rPr>
            </w:pPr>
          </w:p>
        </w:tc>
        <w:tc>
          <w:tcPr>
            <w:tcW w:w="1524" w:type="dxa"/>
            <w:vAlign w:val="top"/>
          </w:tcPr>
          <w:p w14:paraId="07987814">
            <w:pPr>
              <w:pStyle w:val="6"/>
              <w:spacing w:before="35" w:line="206"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A6E6932">
            <w:pPr>
              <w:spacing w:before="6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28614F4">
            <w:pPr>
              <w:spacing w:before="7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28BB6270">
            <w:pPr>
              <w:spacing w:before="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E227856">
            <w:pPr>
              <w:spacing w:before="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A33622A">
            <w:pPr>
              <w:pStyle w:val="6"/>
              <w:spacing w:before="35" w:line="206" w:lineRule="auto"/>
              <w:ind w:left="226"/>
              <w:rPr>
                <w:sz w:val="20"/>
                <w:szCs w:val="20"/>
              </w:rPr>
            </w:pPr>
            <w:r>
              <w:rPr>
                <w:sz w:val="20"/>
                <w:szCs w:val="20"/>
              </w:rPr>
              <w:t>是</w:t>
            </w:r>
          </w:p>
        </w:tc>
        <w:tc>
          <w:tcPr>
            <w:tcW w:w="118" w:type="dxa"/>
            <w:tcBorders>
              <w:top w:val="nil"/>
              <w:bottom w:val="nil"/>
            </w:tcBorders>
            <w:vAlign w:val="top"/>
          </w:tcPr>
          <w:p w14:paraId="1176B737">
            <w:pPr>
              <w:rPr>
                <w:rFonts w:ascii="Arial"/>
                <w:sz w:val="21"/>
              </w:rPr>
            </w:pPr>
          </w:p>
        </w:tc>
      </w:tr>
      <w:tr w14:paraId="5B62A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7C93CD3">
            <w:pPr>
              <w:rPr>
                <w:rFonts w:ascii="Arial"/>
                <w:sz w:val="21"/>
              </w:rPr>
            </w:pPr>
          </w:p>
        </w:tc>
        <w:tc>
          <w:tcPr>
            <w:tcW w:w="113" w:type="dxa"/>
            <w:tcBorders>
              <w:top w:val="nil"/>
              <w:bottom w:val="nil"/>
            </w:tcBorders>
            <w:vAlign w:val="top"/>
          </w:tcPr>
          <w:p w14:paraId="0674C4B8">
            <w:pPr>
              <w:rPr>
                <w:rFonts w:ascii="Arial"/>
                <w:sz w:val="21"/>
              </w:rPr>
            </w:pPr>
          </w:p>
        </w:tc>
        <w:tc>
          <w:tcPr>
            <w:tcW w:w="637" w:type="dxa"/>
            <w:vMerge w:val="continue"/>
            <w:tcBorders>
              <w:top w:val="nil"/>
              <w:bottom w:val="nil"/>
            </w:tcBorders>
            <w:vAlign w:val="top"/>
          </w:tcPr>
          <w:p w14:paraId="1D7146C6">
            <w:pPr>
              <w:rPr>
                <w:rFonts w:ascii="Arial"/>
                <w:sz w:val="21"/>
              </w:rPr>
            </w:pPr>
          </w:p>
        </w:tc>
        <w:tc>
          <w:tcPr>
            <w:tcW w:w="1524" w:type="dxa"/>
            <w:vAlign w:val="top"/>
          </w:tcPr>
          <w:p w14:paraId="45EB3763">
            <w:pPr>
              <w:pStyle w:val="6"/>
              <w:spacing w:before="45" w:line="209"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7136E02F">
            <w:pPr>
              <w:spacing w:before="7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261AE43">
            <w:pPr>
              <w:spacing w:before="80"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5B82D789">
            <w:pPr>
              <w:spacing w:before="80"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1A0323">
            <w:pPr>
              <w:spacing w:before="8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2E4C8525">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22E86A76">
            <w:pPr>
              <w:rPr>
                <w:rFonts w:ascii="Arial"/>
                <w:sz w:val="21"/>
              </w:rPr>
            </w:pPr>
          </w:p>
        </w:tc>
      </w:tr>
      <w:tr w14:paraId="7720E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174AA8CF">
            <w:pPr>
              <w:rPr>
                <w:rFonts w:ascii="Arial"/>
                <w:sz w:val="21"/>
              </w:rPr>
            </w:pPr>
          </w:p>
        </w:tc>
        <w:tc>
          <w:tcPr>
            <w:tcW w:w="113" w:type="dxa"/>
            <w:tcBorders>
              <w:top w:val="nil"/>
              <w:bottom w:val="nil"/>
            </w:tcBorders>
            <w:vAlign w:val="top"/>
          </w:tcPr>
          <w:p w14:paraId="457A6F9C">
            <w:pPr>
              <w:rPr>
                <w:rFonts w:ascii="Arial"/>
                <w:sz w:val="21"/>
              </w:rPr>
            </w:pPr>
          </w:p>
        </w:tc>
        <w:tc>
          <w:tcPr>
            <w:tcW w:w="637" w:type="dxa"/>
            <w:vMerge w:val="continue"/>
            <w:tcBorders>
              <w:top w:val="nil"/>
              <w:bottom w:val="nil"/>
            </w:tcBorders>
            <w:vAlign w:val="top"/>
          </w:tcPr>
          <w:p w14:paraId="232FE570">
            <w:pPr>
              <w:rPr>
                <w:rFonts w:ascii="Arial"/>
                <w:sz w:val="21"/>
              </w:rPr>
            </w:pPr>
          </w:p>
        </w:tc>
        <w:tc>
          <w:tcPr>
            <w:tcW w:w="1524" w:type="dxa"/>
            <w:vAlign w:val="top"/>
          </w:tcPr>
          <w:p w14:paraId="79B4C417">
            <w:pPr>
              <w:pStyle w:val="6"/>
              <w:spacing w:before="39" w:line="216"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2776986B">
            <w:pPr>
              <w:spacing w:before="70"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69D47C8">
            <w:pPr>
              <w:spacing w:before="74"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A69BB4F">
            <w:pPr>
              <w:spacing w:before="7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9B1AF36">
            <w:pPr>
              <w:spacing w:before="74"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0B4E52D9">
            <w:pPr>
              <w:pStyle w:val="6"/>
              <w:spacing w:before="39" w:line="216" w:lineRule="auto"/>
              <w:ind w:left="226"/>
              <w:rPr>
                <w:sz w:val="20"/>
                <w:szCs w:val="20"/>
              </w:rPr>
            </w:pPr>
            <w:r>
              <w:rPr>
                <w:sz w:val="20"/>
                <w:szCs w:val="20"/>
              </w:rPr>
              <w:t>是</w:t>
            </w:r>
          </w:p>
        </w:tc>
        <w:tc>
          <w:tcPr>
            <w:tcW w:w="118" w:type="dxa"/>
            <w:tcBorders>
              <w:top w:val="nil"/>
              <w:bottom w:val="nil"/>
            </w:tcBorders>
            <w:vAlign w:val="top"/>
          </w:tcPr>
          <w:p w14:paraId="5EA9C6CF">
            <w:pPr>
              <w:rPr>
                <w:rFonts w:ascii="Arial"/>
                <w:sz w:val="21"/>
              </w:rPr>
            </w:pPr>
          </w:p>
        </w:tc>
      </w:tr>
      <w:tr w14:paraId="0667E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top w:val="nil"/>
              <w:bottom w:val="nil"/>
            </w:tcBorders>
            <w:vAlign w:val="top"/>
          </w:tcPr>
          <w:p w14:paraId="244C50B1">
            <w:pPr>
              <w:rPr>
                <w:rFonts w:ascii="Arial"/>
                <w:sz w:val="21"/>
              </w:rPr>
            </w:pPr>
          </w:p>
        </w:tc>
        <w:tc>
          <w:tcPr>
            <w:tcW w:w="113" w:type="dxa"/>
            <w:tcBorders>
              <w:top w:val="nil"/>
              <w:bottom w:val="nil"/>
            </w:tcBorders>
            <w:vAlign w:val="top"/>
          </w:tcPr>
          <w:p w14:paraId="55C02E9C">
            <w:pPr>
              <w:rPr>
                <w:rFonts w:ascii="Arial"/>
                <w:sz w:val="21"/>
              </w:rPr>
            </w:pPr>
          </w:p>
        </w:tc>
        <w:tc>
          <w:tcPr>
            <w:tcW w:w="637" w:type="dxa"/>
            <w:vMerge w:val="continue"/>
            <w:tcBorders>
              <w:top w:val="nil"/>
            </w:tcBorders>
            <w:vAlign w:val="top"/>
          </w:tcPr>
          <w:p w14:paraId="7C01289D">
            <w:pPr>
              <w:rPr>
                <w:rFonts w:ascii="Arial"/>
                <w:sz w:val="21"/>
              </w:rPr>
            </w:pPr>
          </w:p>
        </w:tc>
        <w:tc>
          <w:tcPr>
            <w:tcW w:w="1524" w:type="dxa"/>
            <w:vAlign w:val="top"/>
          </w:tcPr>
          <w:p w14:paraId="6D5DD172">
            <w:pPr>
              <w:spacing w:before="6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7E8234A8">
            <w:pPr>
              <w:spacing w:before="66"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4A5FBF47">
            <w:pPr>
              <w:spacing w:before="69"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7C6458AB">
            <w:pPr>
              <w:spacing w:before="6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49077C6C">
            <w:pPr>
              <w:spacing w:before="6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42728DAD">
            <w:pPr>
              <w:pStyle w:val="6"/>
              <w:spacing w:before="33" w:line="217" w:lineRule="auto"/>
              <w:ind w:left="226"/>
              <w:rPr>
                <w:sz w:val="20"/>
                <w:szCs w:val="20"/>
              </w:rPr>
            </w:pPr>
            <w:r>
              <w:rPr>
                <w:sz w:val="20"/>
                <w:szCs w:val="20"/>
              </w:rPr>
              <w:t>是</w:t>
            </w:r>
          </w:p>
        </w:tc>
        <w:tc>
          <w:tcPr>
            <w:tcW w:w="118" w:type="dxa"/>
            <w:tcBorders>
              <w:top w:val="nil"/>
              <w:bottom w:val="nil"/>
            </w:tcBorders>
            <w:vAlign w:val="top"/>
          </w:tcPr>
          <w:p w14:paraId="35EAA573">
            <w:pPr>
              <w:rPr>
                <w:rFonts w:ascii="Arial"/>
                <w:sz w:val="21"/>
              </w:rPr>
            </w:pPr>
          </w:p>
        </w:tc>
      </w:tr>
      <w:tr w14:paraId="5AEC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59" w:type="dxa"/>
            <w:vMerge w:val="continue"/>
            <w:tcBorders>
              <w:top w:val="nil"/>
              <w:bottom w:val="nil"/>
            </w:tcBorders>
            <w:vAlign w:val="top"/>
          </w:tcPr>
          <w:p w14:paraId="7F925E99">
            <w:pPr>
              <w:rPr>
                <w:rFonts w:ascii="Arial"/>
                <w:sz w:val="21"/>
              </w:rPr>
            </w:pPr>
          </w:p>
        </w:tc>
        <w:tc>
          <w:tcPr>
            <w:tcW w:w="113" w:type="dxa"/>
            <w:tcBorders>
              <w:top w:val="nil"/>
              <w:bottom w:val="nil"/>
            </w:tcBorders>
            <w:vAlign w:val="top"/>
          </w:tcPr>
          <w:p w14:paraId="43D52471">
            <w:pPr>
              <w:rPr>
                <w:rFonts w:ascii="Arial"/>
                <w:sz w:val="21"/>
              </w:rPr>
            </w:pPr>
          </w:p>
        </w:tc>
        <w:tc>
          <w:tcPr>
            <w:tcW w:w="637" w:type="dxa"/>
            <w:vMerge w:val="restart"/>
            <w:tcBorders>
              <w:bottom w:val="nil"/>
            </w:tcBorders>
            <w:vAlign w:val="top"/>
          </w:tcPr>
          <w:p w14:paraId="092B1C06">
            <w:pPr>
              <w:spacing w:line="274" w:lineRule="auto"/>
              <w:rPr>
                <w:rFonts w:ascii="Arial"/>
                <w:sz w:val="21"/>
              </w:rPr>
            </w:pPr>
          </w:p>
          <w:p w14:paraId="4188DA60">
            <w:pPr>
              <w:spacing w:line="275" w:lineRule="auto"/>
              <w:rPr>
                <w:rFonts w:ascii="Arial"/>
                <w:sz w:val="21"/>
              </w:rPr>
            </w:pPr>
          </w:p>
          <w:p w14:paraId="7C942CF3">
            <w:pPr>
              <w:spacing w:line="275" w:lineRule="auto"/>
              <w:rPr>
                <w:rFonts w:ascii="Arial"/>
                <w:sz w:val="21"/>
              </w:rPr>
            </w:pPr>
          </w:p>
          <w:p w14:paraId="00F6194D">
            <w:pPr>
              <w:spacing w:line="275" w:lineRule="auto"/>
              <w:rPr>
                <w:rFonts w:ascii="Arial"/>
                <w:sz w:val="21"/>
              </w:rPr>
            </w:pPr>
          </w:p>
          <w:p w14:paraId="145F5B05">
            <w:pPr>
              <w:pStyle w:val="6"/>
              <w:spacing w:before="65" w:line="229" w:lineRule="auto"/>
              <w:ind w:left="129"/>
              <w:rPr>
                <w:sz w:val="20"/>
                <w:szCs w:val="20"/>
              </w:rPr>
            </w:pPr>
            <w:r>
              <w:rPr>
                <w:spacing w:val="-4"/>
                <w:sz w:val="20"/>
                <w:szCs w:val="20"/>
              </w:rPr>
              <w:t>园区</w:t>
            </w:r>
          </w:p>
          <w:p w14:paraId="63A711C1">
            <w:pPr>
              <w:pStyle w:val="6"/>
              <w:spacing w:before="23" w:line="228" w:lineRule="auto"/>
              <w:ind w:left="117"/>
              <w:rPr>
                <w:sz w:val="20"/>
                <w:szCs w:val="20"/>
              </w:rPr>
            </w:pPr>
            <w:r>
              <w:rPr>
                <w:spacing w:val="2"/>
                <w:sz w:val="20"/>
                <w:szCs w:val="20"/>
              </w:rPr>
              <w:t>范围</w:t>
            </w:r>
          </w:p>
          <w:p w14:paraId="369E5616">
            <w:pPr>
              <w:pStyle w:val="6"/>
              <w:spacing w:before="23" w:line="228" w:lineRule="auto"/>
              <w:ind w:left="162"/>
              <w:rPr>
                <w:rFonts w:ascii="Times New Roman" w:hAnsi="Times New Roman" w:eastAsia="Times New Roman" w:cs="Times New Roman"/>
                <w:sz w:val="20"/>
                <w:szCs w:val="20"/>
              </w:rPr>
            </w:pPr>
            <w:r>
              <w:rPr>
                <w:spacing w:val="-13"/>
                <w:sz w:val="20"/>
                <w:szCs w:val="20"/>
              </w:rPr>
              <w:t>内</w:t>
            </w:r>
            <w:r>
              <w:rPr>
                <w:spacing w:val="-20"/>
                <w:sz w:val="20"/>
                <w:szCs w:val="20"/>
              </w:rPr>
              <w:t xml:space="preserve"> </w:t>
            </w:r>
            <w:r>
              <w:rPr>
                <w:rFonts w:ascii="Times New Roman" w:hAnsi="Times New Roman" w:eastAsia="Times New Roman" w:cs="Times New Roman"/>
                <w:spacing w:val="-13"/>
                <w:sz w:val="20"/>
                <w:szCs w:val="20"/>
              </w:rPr>
              <w:t>1</w:t>
            </w:r>
          </w:p>
        </w:tc>
        <w:tc>
          <w:tcPr>
            <w:tcW w:w="1524" w:type="dxa"/>
            <w:vAlign w:val="top"/>
          </w:tcPr>
          <w:p w14:paraId="38BAE840">
            <w:pPr>
              <w:pStyle w:val="6"/>
              <w:spacing w:before="33" w:line="210" w:lineRule="auto"/>
              <w:ind w:left="244"/>
              <w:rPr>
                <w:sz w:val="20"/>
                <w:szCs w:val="20"/>
              </w:rPr>
            </w:pPr>
            <w:r>
              <w:rPr>
                <w:spacing w:val="7"/>
                <w:sz w:val="20"/>
                <w:szCs w:val="20"/>
              </w:rPr>
              <w:t>非甲烷总烃</w:t>
            </w:r>
          </w:p>
        </w:tc>
        <w:tc>
          <w:tcPr>
            <w:tcW w:w="1060" w:type="dxa"/>
            <w:vAlign w:val="top"/>
          </w:tcPr>
          <w:p w14:paraId="311C2C26">
            <w:pPr>
              <w:spacing w:before="65"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1C03F16F">
            <w:pPr>
              <w:spacing w:before="69"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300B468E">
            <w:pPr>
              <w:spacing w:before="69"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413" w:type="dxa"/>
            <w:vAlign w:val="top"/>
          </w:tcPr>
          <w:p w14:paraId="6C7E2318">
            <w:pPr>
              <w:spacing w:before="69"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641" w:type="dxa"/>
            <w:vAlign w:val="top"/>
          </w:tcPr>
          <w:p w14:paraId="5984BAD3">
            <w:pPr>
              <w:pStyle w:val="6"/>
              <w:spacing w:before="33" w:line="210" w:lineRule="auto"/>
              <w:ind w:left="226"/>
              <w:rPr>
                <w:sz w:val="20"/>
                <w:szCs w:val="20"/>
              </w:rPr>
            </w:pPr>
            <w:r>
              <w:rPr>
                <w:sz w:val="20"/>
                <w:szCs w:val="20"/>
              </w:rPr>
              <w:t>是</w:t>
            </w:r>
          </w:p>
        </w:tc>
        <w:tc>
          <w:tcPr>
            <w:tcW w:w="118" w:type="dxa"/>
            <w:tcBorders>
              <w:top w:val="nil"/>
              <w:bottom w:val="nil"/>
            </w:tcBorders>
            <w:vAlign w:val="top"/>
          </w:tcPr>
          <w:p w14:paraId="17F1056D">
            <w:pPr>
              <w:rPr>
                <w:rFonts w:ascii="Arial"/>
                <w:sz w:val="21"/>
              </w:rPr>
            </w:pPr>
          </w:p>
        </w:tc>
      </w:tr>
      <w:tr w14:paraId="315F2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22B515D">
            <w:pPr>
              <w:rPr>
                <w:rFonts w:ascii="Arial"/>
                <w:sz w:val="21"/>
              </w:rPr>
            </w:pPr>
          </w:p>
        </w:tc>
        <w:tc>
          <w:tcPr>
            <w:tcW w:w="113" w:type="dxa"/>
            <w:tcBorders>
              <w:top w:val="nil"/>
              <w:bottom w:val="nil"/>
            </w:tcBorders>
            <w:vAlign w:val="top"/>
          </w:tcPr>
          <w:p w14:paraId="46F4582D">
            <w:pPr>
              <w:rPr>
                <w:rFonts w:ascii="Arial"/>
                <w:sz w:val="21"/>
              </w:rPr>
            </w:pPr>
          </w:p>
        </w:tc>
        <w:tc>
          <w:tcPr>
            <w:tcW w:w="637" w:type="dxa"/>
            <w:vMerge w:val="continue"/>
            <w:tcBorders>
              <w:top w:val="nil"/>
              <w:bottom w:val="nil"/>
            </w:tcBorders>
            <w:vAlign w:val="top"/>
          </w:tcPr>
          <w:p w14:paraId="064B042E">
            <w:pPr>
              <w:rPr>
                <w:rFonts w:ascii="Arial"/>
                <w:sz w:val="21"/>
              </w:rPr>
            </w:pPr>
          </w:p>
        </w:tc>
        <w:tc>
          <w:tcPr>
            <w:tcW w:w="1524" w:type="dxa"/>
            <w:vAlign w:val="top"/>
          </w:tcPr>
          <w:p w14:paraId="1A2E83DC">
            <w:pPr>
              <w:pStyle w:val="6"/>
              <w:spacing w:before="38" w:line="204" w:lineRule="auto"/>
              <w:ind w:left="559"/>
              <w:rPr>
                <w:sz w:val="20"/>
                <w:szCs w:val="20"/>
              </w:rPr>
            </w:pPr>
            <w:r>
              <w:rPr>
                <w:spacing w:val="3"/>
                <w:sz w:val="20"/>
                <w:szCs w:val="20"/>
              </w:rPr>
              <w:t>氯气</w:t>
            </w:r>
          </w:p>
        </w:tc>
        <w:tc>
          <w:tcPr>
            <w:tcW w:w="1060" w:type="dxa"/>
            <w:vAlign w:val="top"/>
          </w:tcPr>
          <w:p w14:paraId="457C6602">
            <w:pPr>
              <w:spacing w:before="70"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69C164DE">
            <w:pPr>
              <w:spacing w:before="74" w:line="193"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62A753D9">
            <w:pPr>
              <w:spacing w:before="74" w:line="193"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1724FC43">
            <w:pPr>
              <w:spacing w:before="74" w:line="193"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76EE27C3">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1FDB33E8">
            <w:pPr>
              <w:rPr>
                <w:rFonts w:ascii="Arial"/>
                <w:sz w:val="21"/>
              </w:rPr>
            </w:pPr>
          </w:p>
        </w:tc>
      </w:tr>
      <w:tr w14:paraId="580CA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30DC4E00">
            <w:pPr>
              <w:rPr>
                <w:rFonts w:ascii="Arial"/>
                <w:sz w:val="21"/>
              </w:rPr>
            </w:pPr>
          </w:p>
        </w:tc>
        <w:tc>
          <w:tcPr>
            <w:tcW w:w="113" w:type="dxa"/>
            <w:tcBorders>
              <w:top w:val="nil"/>
              <w:bottom w:val="nil"/>
            </w:tcBorders>
            <w:vAlign w:val="top"/>
          </w:tcPr>
          <w:p w14:paraId="73EAC68D">
            <w:pPr>
              <w:rPr>
                <w:rFonts w:ascii="Arial"/>
                <w:sz w:val="21"/>
              </w:rPr>
            </w:pPr>
          </w:p>
        </w:tc>
        <w:tc>
          <w:tcPr>
            <w:tcW w:w="637" w:type="dxa"/>
            <w:vMerge w:val="continue"/>
            <w:tcBorders>
              <w:top w:val="nil"/>
              <w:bottom w:val="nil"/>
            </w:tcBorders>
            <w:vAlign w:val="top"/>
          </w:tcPr>
          <w:p w14:paraId="197CBE2C">
            <w:pPr>
              <w:rPr>
                <w:rFonts w:ascii="Arial"/>
                <w:sz w:val="21"/>
              </w:rPr>
            </w:pPr>
          </w:p>
        </w:tc>
        <w:tc>
          <w:tcPr>
            <w:tcW w:w="1524" w:type="dxa"/>
            <w:vAlign w:val="top"/>
          </w:tcPr>
          <w:p w14:paraId="03604978">
            <w:pPr>
              <w:pStyle w:val="6"/>
              <w:spacing w:before="47" w:line="207" w:lineRule="auto"/>
              <w:ind w:left="559"/>
              <w:rPr>
                <w:sz w:val="20"/>
                <w:szCs w:val="20"/>
              </w:rPr>
            </w:pPr>
            <w:r>
              <w:rPr>
                <w:spacing w:val="3"/>
                <w:sz w:val="20"/>
                <w:szCs w:val="20"/>
              </w:rPr>
              <w:t>氯气</w:t>
            </w:r>
          </w:p>
        </w:tc>
        <w:tc>
          <w:tcPr>
            <w:tcW w:w="1060" w:type="dxa"/>
            <w:vAlign w:val="top"/>
          </w:tcPr>
          <w:p w14:paraId="4DAF53B8">
            <w:pPr>
              <w:spacing w:before="7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7A9E93DA">
            <w:pPr>
              <w:spacing w:before="83"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07441405">
            <w:pPr>
              <w:spacing w:before="8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567B2276">
            <w:pPr>
              <w:spacing w:before="8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4ACE5CD2">
            <w:pPr>
              <w:pStyle w:val="6"/>
              <w:spacing w:before="47" w:line="207" w:lineRule="auto"/>
              <w:ind w:left="226"/>
              <w:rPr>
                <w:sz w:val="20"/>
                <w:szCs w:val="20"/>
              </w:rPr>
            </w:pPr>
            <w:r>
              <w:rPr>
                <w:sz w:val="20"/>
                <w:szCs w:val="20"/>
              </w:rPr>
              <w:t>是</w:t>
            </w:r>
          </w:p>
        </w:tc>
        <w:tc>
          <w:tcPr>
            <w:tcW w:w="118" w:type="dxa"/>
            <w:tcBorders>
              <w:top w:val="nil"/>
              <w:bottom w:val="nil"/>
            </w:tcBorders>
            <w:vAlign w:val="top"/>
          </w:tcPr>
          <w:p w14:paraId="7498378F">
            <w:pPr>
              <w:rPr>
                <w:rFonts w:ascii="Arial"/>
                <w:sz w:val="21"/>
              </w:rPr>
            </w:pPr>
          </w:p>
        </w:tc>
      </w:tr>
      <w:tr w14:paraId="3AE50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73AEFF36">
            <w:pPr>
              <w:rPr>
                <w:rFonts w:ascii="Arial"/>
                <w:sz w:val="21"/>
              </w:rPr>
            </w:pPr>
          </w:p>
        </w:tc>
        <w:tc>
          <w:tcPr>
            <w:tcW w:w="113" w:type="dxa"/>
            <w:tcBorders>
              <w:top w:val="nil"/>
              <w:bottom w:val="nil"/>
            </w:tcBorders>
            <w:vAlign w:val="top"/>
          </w:tcPr>
          <w:p w14:paraId="4B547319">
            <w:pPr>
              <w:rPr>
                <w:rFonts w:ascii="Arial"/>
                <w:sz w:val="21"/>
              </w:rPr>
            </w:pPr>
          </w:p>
        </w:tc>
        <w:tc>
          <w:tcPr>
            <w:tcW w:w="637" w:type="dxa"/>
            <w:vMerge w:val="continue"/>
            <w:tcBorders>
              <w:top w:val="nil"/>
              <w:bottom w:val="nil"/>
            </w:tcBorders>
            <w:vAlign w:val="top"/>
          </w:tcPr>
          <w:p w14:paraId="3B2CF8A0">
            <w:pPr>
              <w:rPr>
                <w:rFonts w:ascii="Arial"/>
                <w:sz w:val="21"/>
              </w:rPr>
            </w:pPr>
          </w:p>
        </w:tc>
        <w:tc>
          <w:tcPr>
            <w:tcW w:w="1524" w:type="dxa"/>
            <w:vAlign w:val="top"/>
          </w:tcPr>
          <w:p w14:paraId="24AD8AEA">
            <w:pPr>
              <w:spacing w:before="79"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32B206FE">
            <w:pPr>
              <w:spacing w:before="75"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CA6CCF0">
            <w:pPr>
              <w:spacing w:before="79"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2EFBBDA1">
            <w:pPr>
              <w:spacing w:before="7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2D9E10E7">
            <w:pPr>
              <w:spacing w:before="7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65D98B80">
            <w:pPr>
              <w:pStyle w:val="6"/>
              <w:spacing w:before="43" w:line="211" w:lineRule="auto"/>
              <w:ind w:left="226"/>
              <w:rPr>
                <w:sz w:val="20"/>
                <w:szCs w:val="20"/>
              </w:rPr>
            </w:pPr>
            <w:r>
              <w:rPr>
                <w:sz w:val="20"/>
                <w:szCs w:val="20"/>
              </w:rPr>
              <w:t>是</w:t>
            </w:r>
          </w:p>
        </w:tc>
        <w:tc>
          <w:tcPr>
            <w:tcW w:w="118" w:type="dxa"/>
            <w:tcBorders>
              <w:top w:val="nil"/>
              <w:bottom w:val="nil"/>
            </w:tcBorders>
            <w:vAlign w:val="top"/>
          </w:tcPr>
          <w:p w14:paraId="03793B69">
            <w:pPr>
              <w:rPr>
                <w:rFonts w:ascii="Arial"/>
                <w:sz w:val="21"/>
              </w:rPr>
            </w:pPr>
          </w:p>
        </w:tc>
      </w:tr>
      <w:tr w14:paraId="2E6EC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094D5C68">
            <w:pPr>
              <w:rPr>
                <w:rFonts w:ascii="Arial"/>
                <w:sz w:val="21"/>
              </w:rPr>
            </w:pPr>
          </w:p>
        </w:tc>
        <w:tc>
          <w:tcPr>
            <w:tcW w:w="113" w:type="dxa"/>
            <w:tcBorders>
              <w:top w:val="nil"/>
              <w:bottom w:val="nil"/>
            </w:tcBorders>
            <w:vAlign w:val="top"/>
          </w:tcPr>
          <w:p w14:paraId="0A7824CC">
            <w:pPr>
              <w:rPr>
                <w:rFonts w:ascii="Arial"/>
                <w:sz w:val="21"/>
              </w:rPr>
            </w:pPr>
          </w:p>
        </w:tc>
        <w:tc>
          <w:tcPr>
            <w:tcW w:w="637" w:type="dxa"/>
            <w:vMerge w:val="continue"/>
            <w:tcBorders>
              <w:top w:val="nil"/>
              <w:bottom w:val="nil"/>
            </w:tcBorders>
            <w:vAlign w:val="top"/>
          </w:tcPr>
          <w:p w14:paraId="375E86B6">
            <w:pPr>
              <w:rPr>
                <w:rFonts w:ascii="Arial"/>
                <w:sz w:val="21"/>
              </w:rPr>
            </w:pPr>
          </w:p>
        </w:tc>
        <w:tc>
          <w:tcPr>
            <w:tcW w:w="1524" w:type="dxa"/>
            <w:vAlign w:val="top"/>
          </w:tcPr>
          <w:p w14:paraId="35A81EA3">
            <w:pPr>
              <w:pStyle w:val="6"/>
              <w:spacing w:before="36" w:line="206" w:lineRule="auto"/>
              <w:ind w:left="582"/>
              <w:rPr>
                <w:sz w:val="20"/>
                <w:szCs w:val="20"/>
              </w:rPr>
            </w:pPr>
            <w:r>
              <w:rPr>
                <w:spacing w:val="-9"/>
                <w:sz w:val="20"/>
                <w:szCs w:val="20"/>
              </w:rPr>
              <w:t>甲醇</w:t>
            </w:r>
          </w:p>
        </w:tc>
        <w:tc>
          <w:tcPr>
            <w:tcW w:w="1060" w:type="dxa"/>
            <w:vAlign w:val="top"/>
          </w:tcPr>
          <w:p w14:paraId="055CAAB9">
            <w:pPr>
              <w:spacing w:before="69"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2E2BC7F7">
            <w:pPr>
              <w:spacing w:before="73"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7FC5E7A0">
            <w:pPr>
              <w:spacing w:before="73"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5CDF652B">
            <w:pPr>
              <w:spacing w:before="73"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677B524C">
            <w:pPr>
              <w:pStyle w:val="6"/>
              <w:spacing w:before="36" w:line="206" w:lineRule="auto"/>
              <w:ind w:left="226"/>
              <w:rPr>
                <w:sz w:val="20"/>
                <w:szCs w:val="20"/>
              </w:rPr>
            </w:pPr>
            <w:r>
              <w:rPr>
                <w:sz w:val="20"/>
                <w:szCs w:val="20"/>
              </w:rPr>
              <w:t>是</w:t>
            </w:r>
          </w:p>
        </w:tc>
        <w:tc>
          <w:tcPr>
            <w:tcW w:w="118" w:type="dxa"/>
            <w:tcBorders>
              <w:top w:val="nil"/>
              <w:bottom w:val="nil"/>
            </w:tcBorders>
            <w:vAlign w:val="top"/>
          </w:tcPr>
          <w:p w14:paraId="0557B88C">
            <w:pPr>
              <w:rPr>
                <w:rFonts w:ascii="Arial"/>
                <w:sz w:val="21"/>
              </w:rPr>
            </w:pPr>
          </w:p>
        </w:tc>
      </w:tr>
      <w:tr w14:paraId="7235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9D150D3">
            <w:pPr>
              <w:rPr>
                <w:rFonts w:ascii="Arial"/>
                <w:sz w:val="21"/>
              </w:rPr>
            </w:pPr>
          </w:p>
        </w:tc>
        <w:tc>
          <w:tcPr>
            <w:tcW w:w="113" w:type="dxa"/>
            <w:tcBorders>
              <w:top w:val="nil"/>
              <w:bottom w:val="nil"/>
            </w:tcBorders>
            <w:vAlign w:val="top"/>
          </w:tcPr>
          <w:p w14:paraId="17702103">
            <w:pPr>
              <w:rPr>
                <w:rFonts w:ascii="Arial"/>
                <w:sz w:val="21"/>
              </w:rPr>
            </w:pPr>
          </w:p>
        </w:tc>
        <w:tc>
          <w:tcPr>
            <w:tcW w:w="637" w:type="dxa"/>
            <w:vMerge w:val="continue"/>
            <w:tcBorders>
              <w:top w:val="nil"/>
              <w:bottom w:val="nil"/>
            </w:tcBorders>
            <w:vAlign w:val="top"/>
          </w:tcPr>
          <w:p w14:paraId="717EF02A">
            <w:pPr>
              <w:rPr>
                <w:rFonts w:ascii="Arial"/>
                <w:sz w:val="21"/>
              </w:rPr>
            </w:pPr>
          </w:p>
        </w:tc>
        <w:tc>
          <w:tcPr>
            <w:tcW w:w="1524" w:type="dxa"/>
            <w:vAlign w:val="top"/>
          </w:tcPr>
          <w:p w14:paraId="6EAB56B2">
            <w:pPr>
              <w:pStyle w:val="6"/>
              <w:spacing w:before="45" w:line="209" w:lineRule="auto"/>
              <w:ind w:left="582"/>
              <w:rPr>
                <w:sz w:val="20"/>
                <w:szCs w:val="20"/>
              </w:rPr>
            </w:pPr>
            <w:r>
              <w:rPr>
                <w:spacing w:val="-9"/>
                <w:sz w:val="20"/>
                <w:szCs w:val="20"/>
              </w:rPr>
              <w:t>甲醇</w:t>
            </w:r>
          </w:p>
        </w:tc>
        <w:tc>
          <w:tcPr>
            <w:tcW w:w="1060" w:type="dxa"/>
            <w:vAlign w:val="top"/>
          </w:tcPr>
          <w:p w14:paraId="5C0B37A2">
            <w:pPr>
              <w:spacing w:before="77"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5F74A7D">
            <w:pPr>
              <w:spacing w:before="81"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4503BF25">
            <w:pPr>
              <w:spacing w:before="81"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2C8CBB9A">
            <w:pPr>
              <w:spacing w:before="81"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048A691F">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46A43CC3">
            <w:pPr>
              <w:rPr>
                <w:rFonts w:ascii="Arial"/>
                <w:sz w:val="21"/>
              </w:rPr>
            </w:pPr>
          </w:p>
        </w:tc>
      </w:tr>
      <w:tr w14:paraId="0C0CC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5F7B22AF">
            <w:pPr>
              <w:rPr>
                <w:rFonts w:ascii="Arial"/>
                <w:sz w:val="21"/>
              </w:rPr>
            </w:pPr>
          </w:p>
        </w:tc>
        <w:tc>
          <w:tcPr>
            <w:tcW w:w="113" w:type="dxa"/>
            <w:tcBorders>
              <w:top w:val="nil"/>
              <w:bottom w:val="nil"/>
            </w:tcBorders>
            <w:vAlign w:val="top"/>
          </w:tcPr>
          <w:p w14:paraId="1735A819">
            <w:pPr>
              <w:rPr>
                <w:rFonts w:ascii="Arial"/>
                <w:sz w:val="21"/>
              </w:rPr>
            </w:pPr>
          </w:p>
        </w:tc>
        <w:tc>
          <w:tcPr>
            <w:tcW w:w="637" w:type="dxa"/>
            <w:vMerge w:val="continue"/>
            <w:tcBorders>
              <w:top w:val="nil"/>
              <w:bottom w:val="nil"/>
            </w:tcBorders>
            <w:vAlign w:val="top"/>
          </w:tcPr>
          <w:p w14:paraId="431F2595">
            <w:pPr>
              <w:rPr>
                <w:rFonts w:ascii="Arial"/>
                <w:sz w:val="21"/>
              </w:rPr>
            </w:pPr>
          </w:p>
        </w:tc>
        <w:tc>
          <w:tcPr>
            <w:tcW w:w="1524" w:type="dxa"/>
            <w:vAlign w:val="top"/>
          </w:tcPr>
          <w:p w14:paraId="05858433">
            <w:pPr>
              <w:pStyle w:val="6"/>
              <w:spacing w:before="39" w:line="215" w:lineRule="auto"/>
              <w:ind w:left="663"/>
              <w:rPr>
                <w:sz w:val="20"/>
                <w:szCs w:val="20"/>
              </w:rPr>
            </w:pPr>
            <w:r>
              <w:rPr>
                <w:sz w:val="20"/>
                <w:szCs w:val="20"/>
              </w:rPr>
              <w:t>苯</w:t>
            </w:r>
          </w:p>
        </w:tc>
        <w:tc>
          <w:tcPr>
            <w:tcW w:w="1060" w:type="dxa"/>
            <w:vAlign w:val="top"/>
          </w:tcPr>
          <w:p w14:paraId="1BAB4B26">
            <w:pPr>
              <w:spacing w:before="71"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52D4DF42">
            <w:pPr>
              <w:spacing w:before="75"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02FE4CF7">
            <w:pPr>
              <w:spacing w:before="75"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61DD18C7">
            <w:pPr>
              <w:spacing w:before="7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1FA3D6F">
            <w:pPr>
              <w:pStyle w:val="6"/>
              <w:spacing w:before="39" w:line="215" w:lineRule="auto"/>
              <w:ind w:left="226"/>
              <w:rPr>
                <w:sz w:val="20"/>
                <w:szCs w:val="20"/>
              </w:rPr>
            </w:pPr>
            <w:r>
              <w:rPr>
                <w:sz w:val="20"/>
                <w:szCs w:val="20"/>
              </w:rPr>
              <w:t>是</w:t>
            </w:r>
          </w:p>
        </w:tc>
        <w:tc>
          <w:tcPr>
            <w:tcW w:w="118" w:type="dxa"/>
            <w:tcBorders>
              <w:top w:val="nil"/>
              <w:bottom w:val="nil"/>
            </w:tcBorders>
            <w:vAlign w:val="top"/>
          </w:tcPr>
          <w:p w14:paraId="5E9D66A3">
            <w:pPr>
              <w:rPr>
                <w:rFonts w:ascii="Arial"/>
                <w:sz w:val="21"/>
              </w:rPr>
            </w:pPr>
          </w:p>
        </w:tc>
      </w:tr>
      <w:tr w14:paraId="4EB9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6DB99D64">
            <w:pPr>
              <w:rPr>
                <w:rFonts w:ascii="Arial"/>
                <w:sz w:val="21"/>
              </w:rPr>
            </w:pPr>
          </w:p>
        </w:tc>
        <w:tc>
          <w:tcPr>
            <w:tcW w:w="113" w:type="dxa"/>
            <w:tcBorders>
              <w:top w:val="nil"/>
              <w:bottom w:val="nil"/>
            </w:tcBorders>
            <w:vAlign w:val="top"/>
          </w:tcPr>
          <w:p w14:paraId="5EA9D37A">
            <w:pPr>
              <w:rPr>
                <w:rFonts w:ascii="Arial"/>
                <w:sz w:val="21"/>
              </w:rPr>
            </w:pPr>
          </w:p>
        </w:tc>
        <w:tc>
          <w:tcPr>
            <w:tcW w:w="637" w:type="dxa"/>
            <w:vMerge w:val="continue"/>
            <w:tcBorders>
              <w:top w:val="nil"/>
              <w:bottom w:val="nil"/>
            </w:tcBorders>
            <w:vAlign w:val="top"/>
          </w:tcPr>
          <w:p w14:paraId="615F068D">
            <w:pPr>
              <w:rPr>
                <w:rFonts w:ascii="Arial"/>
                <w:sz w:val="21"/>
              </w:rPr>
            </w:pPr>
          </w:p>
        </w:tc>
        <w:tc>
          <w:tcPr>
            <w:tcW w:w="1524" w:type="dxa"/>
            <w:vAlign w:val="top"/>
          </w:tcPr>
          <w:p w14:paraId="38560EFF">
            <w:pPr>
              <w:pStyle w:val="6"/>
              <w:spacing w:before="35" w:line="207"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D2E1000">
            <w:pPr>
              <w:spacing w:before="67"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94A53C9">
            <w:pPr>
              <w:spacing w:before="7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3410B11A">
            <w:pPr>
              <w:spacing w:before="7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13147096">
            <w:pPr>
              <w:spacing w:before="7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DF53913">
            <w:pPr>
              <w:pStyle w:val="6"/>
              <w:spacing w:before="35" w:line="207" w:lineRule="auto"/>
              <w:ind w:left="226"/>
              <w:rPr>
                <w:sz w:val="20"/>
                <w:szCs w:val="20"/>
              </w:rPr>
            </w:pPr>
            <w:r>
              <w:rPr>
                <w:sz w:val="20"/>
                <w:szCs w:val="20"/>
              </w:rPr>
              <w:t>是</w:t>
            </w:r>
          </w:p>
        </w:tc>
        <w:tc>
          <w:tcPr>
            <w:tcW w:w="118" w:type="dxa"/>
            <w:tcBorders>
              <w:top w:val="nil"/>
              <w:bottom w:val="nil"/>
            </w:tcBorders>
            <w:vAlign w:val="top"/>
          </w:tcPr>
          <w:p w14:paraId="73DA53E6">
            <w:pPr>
              <w:rPr>
                <w:rFonts w:ascii="Arial"/>
                <w:sz w:val="21"/>
              </w:rPr>
            </w:pPr>
          </w:p>
        </w:tc>
      </w:tr>
      <w:tr w14:paraId="028ED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1D9AEF6B">
            <w:pPr>
              <w:rPr>
                <w:rFonts w:ascii="Arial"/>
                <w:sz w:val="21"/>
              </w:rPr>
            </w:pPr>
          </w:p>
        </w:tc>
        <w:tc>
          <w:tcPr>
            <w:tcW w:w="113" w:type="dxa"/>
            <w:tcBorders>
              <w:top w:val="nil"/>
              <w:bottom w:val="nil"/>
            </w:tcBorders>
            <w:vAlign w:val="top"/>
          </w:tcPr>
          <w:p w14:paraId="6DE316AD">
            <w:pPr>
              <w:rPr>
                <w:rFonts w:ascii="Arial"/>
                <w:sz w:val="21"/>
              </w:rPr>
            </w:pPr>
          </w:p>
        </w:tc>
        <w:tc>
          <w:tcPr>
            <w:tcW w:w="637" w:type="dxa"/>
            <w:vMerge w:val="continue"/>
            <w:tcBorders>
              <w:top w:val="nil"/>
              <w:bottom w:val="nil"/>
            </w:tcBorders>
            <w:vAlign w:val="top"/>
          </w:tcPr>
          <w:p w14:paraId="3845C73F">
            <w:pPr>
              <w:rPr>
                <w:rFonts w:ascii="Arial"/>
                <w:sz w:val="21"/>
              </w:rPr>
            </w:pPr>
          </w:p>
        </w:tc>
        <w:tc>
          <w:tcPr>
            <w:tcW w:w="1524" w:type="dxa"/>
            <w:vAlign w:val="top"/>
          </w:tcPr>
          <w:p w14:paraId="7ED0036D">
            <w:pPr>
              <w:pStyle w:val="6"/>
              <w:spacing w:before="41" w:line="213"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71BEECE7">
            <w:pPr>
              <w:spacing w:before="73"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456D5574">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3A81CAE0">
            <w:pPr>
              <w:spacing w:before="77"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50A2FDCE">
            <w:pPr>
              <w:spacing w:before="77"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5368988">
            <w:pPr>
              <w:pStyle w:val="6"/>
              <w:spacing w:before="41" w:line="213" w:lineRule="auto"/>
              <w:ind w:left="226"/>
              <w:rPr>
                <w:sz w:val="20"/>
                <w:szCs w:val="20"/>
              </w:rPr>
            </w:pPr>
            <w:r>
              <w:rPr>
                <w:sz w:val="20"/>
                <w:szCs w:val="20"/>
              </w:rPr>
              <w:t>是</w:t>
            </w:r>
          </w:p>
        </w:tc>
        <w:tc>
          <w:tcPr>
            <w:tcW w:w="118" w:type="dxa"/>
            <w:tcBorders>
              <w:top w:val="nil"/>
              <w:bottom w:val="nil"/>
            </w:tcBorders>
            <w:vAlign w:val="top"/>
          </w:tcPr>
          <w:p w14:paraId="3C9E3683">
            <w:pPr>
              <w:rPr>
                <w:rFonts w:ascii="Arial"/>
                <w:sz w:val="21"/>
              </w:rPr>
            </w:pPr>
          </w:p>
        </w:tc>
      </w:tr>
      <w:tr w14:paraId="2C15A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62CD1396">
            <w:pPr>
              <w:rPr>
                <w:rFonts w:ascii="Arial"/>
                <w:sz w:val="21"/>
              </w:rPr>
            </w:pPr>
          </w:p>
        </w:tc>
        <w:tc>
          <w:tcPr>
            <w:tcW w:w="113" w:type="dxa"/>
            <w:tcBorders>
              <w:top w:val="nil"/>
              <w:bottom w:val="nil"/>
            </w:tcBorders>
            <w:vAlign w:val="top"/>
          </w:tcPr>
          <w:p w14:paraId="2B005EAB">
            <w:pPr>
              <w:rPr>
                <w:rFonts w:ascii="Arial"/>
                <w:sz w:val="21"/>
              </w:rPr>
            </w:pPr>
          </w:p>
        </w:tc>
        <w:tc>
          <w:tcPr>
            <w:tcW w:w="637" w:type="dxa"/>
            <w:vMerge w:val="continue"/>
            <w:tcBorders>
              <w:top w:val="nil"/>
              <w:bottom w:val="nil"/>
            </w:tcBorders>
            <w:vAlign w:val="top"/>
          </w:tcPr>
          <w:p w14:paraId="3299A1E6">
            <w:pPr>
              <w:rPr>
                <w:rFonts w:ascii="Arial"/>
                <w:sz w:val="21"/>
              </w:rPr>
            </w:pPr>
          </w:p>
        </w:tc>
        <w:tc>
          <w:tcPr>
            <w:tcW w:w="1524" w:type="dxa"/>
            <w:vAlign w:val="top"/>
          </w:tcPr>
          <w:p w14:paraId="414ACB6D">
            <w:pPr>
              <w:pStyle w:val="6"/>
              <w:spacing w:before="37" w:line="205"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5DD92F17">
            <w:pPr>
              <w:spacing w:before="70" w:line="198"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1h</w:t>
            </w:r>
          </w:p>
        </w:tc>
        <w:tc>
          <w:tcPr>
            <w:tcW w:w="1273" w:type="dxa"/>
            <w:vAlign w:val="top"/>
          </w:tcPr>
          <w:p w14:paraId="683D4001">
            <w:pPr>
              <w:spacing w:before="74" w:line="194"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D898BD4">
            <w:pPr>
              <w:spacing w:before="74" w:line="194"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7DFADB8">
            <w:pPr>
              <w:spacing w:before="74" w:line="194"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562CEA58">
            <w:pPr>
              <w:pStyle w:val="6"/>
              <w:spacing w:before="37" w:line="205" w:lineRule="auto"/>
              <w:ind w:left="226"/>
              <w:rPr>
                <w:sz w:val="20"/>
                <w:szCs w:val="20"/>
              </w:rPr>
            </w:pPr>
            <w:r>
              <w:rPr>
                <w:sz w:val="20"/>
                <w:szCs w:val="20"/>
              </w:rPr>
              <w:t>是</w:t>
            </w:r>
          </w:p>
        </w:tc>
        <w:tc>
          <w:tcPr>
            <w:tcW w:w="118" w:type="dxa"/>
            <w:tcBorders>
              <w:top w:val="nil"/>
              <w:bottom w:val="nil"/>
            </w:tcBorders>
            <w:vAlign w:val="top"/>
          </w:tcPr>
          <w:p w14:paraId="276D3C59">
            <w:pPr>
              <w:rPr>
                <w:rFonts w:ascii="Arial"/>
                <w:sz w:val="21"/>
              </w:rPr>
            </w:pPr>
          </w:p>
        </w:tc>
      </w:tr>
      <w:tr w14:paraId="4B66B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459" w:type="dxa"/>
            <w:vMerge w:val="continue"/>
            <w:tcBorders>
              <w:top w:val="nil"/>
              <w:bottom w:val="nil"/>
            </w:tcBorders>
            <w:vAlign w:val="top"/>
          </w:tcPr>
          <w:p w14:paraId="7F5A864F">
            <w:pPr>
              <w:rPr>
                <w:rFonts w:ascii="Arial"/>
                <w:sz w:val="21"/>
              </w:rPr>
            </w:pPr>
          </w:p>
        </w:tc>
        <w:tc>
          <w:tcPr>
            <w:tcW w:w="113" w:type="dxa"/>
            <w:tcBorders>
              <w:top w:val="nil"/>
              <w:bottom w:val="nil"/>
            </w:tcBorders>
            <w:vAlign w:val="top"/>
          </w:tcPr>
          <w:p w14:paraId="03255098">
            <w:pPr>
              <w:rPr>
                <w:rFonts w:ascii="Arial"/>
                <w:sz w:val="21"/>
              </w:rPr>
            </w:pPr>
          </w:p>
        </w:tc>
        <w:tc>
          <w:tcPr>
            <w:tcW w:w="637" w:type="dxa"/>
            <w:vMerge w:val="continue"/>
            <w:tcBorders>
              <w:top w:val="nil"/>
            </w:tcBorders>
            <w:vAlign w:val="top"/>
          </w:tcPr>
          <w:p w14:paraId="2B6627D7">
            <w:pPr>
              <w:rPr>
                <w:rFonts w:ascii="Arial"/>
                <w:sz w:val="21"/>
              </w:rPr>
            </w:pPr>
          </w:p>
        </w:tc>
        <w:tc>
          <w:tcPr>
            <w:tcW w:w="1524" w:type="dxa"/>
            <w:vAlign w:val="top"/>
          </w:tcPr>
          <w:p w14:paraId="799868CB">
            <w:pPr>
              <w:spacing w:before="8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592D5CBB">
            <w:pPr>
              <w:spacing w:before="77"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779F69D5">
            <w:pPr>
              <w:spacing w:before="8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26351F51">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5495BA10">
            <w:pPr>
              <w:spacing w:before="8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6E407702">
            <w:pPr>
              <w:pStyle w:val="6"/>
              <w:spacing w:before="46" w:line="215" w:lineRule="auto"/>
              <w:ind w:left="226"/>
              <w:rPr>
                <w:sz w:val="20"/>
                <w:szCs w:val="20"/>
              </w:rPr>
            </w:pPr>
            <w:r>
              <w:rPr>
                <w:sz w:val="20"/>
                <w:szCs w:val="20"/>
              </w:rPr>
              <w:t>是</w:t>
            </w:r>
          </w:p>
        </w:tc>
        <w:tc>
          <w:tcPr>
            <w:tcW w:w="118" w:type="dxa"/>
            <w:tcBorders>
              <w:top w:val="nil"/>
              <w:bottom w:val="nil"/>
            </w:tcBorders>
            <w:vAlign w:val="top"/>
          </w:tcPr>
          <w:p w14:paraId="0E9509FF">
            <w:pPr>
              <w:rPr>
                <w:rFonts w:ascii="Arial"/>
                <w:sz w:val="21"/>
              </w:rPr>
            </w:pPr>
          </w:p>
        </w:tc>
      </w:tr>
      <w:tr w14:paraId="2E74C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459" w:type="dxa"/>
            <w:vMerge w:val="continue"/>
            <w:tcBorders>
              <w:top w:val="nil"/>
              <w:bottom w:val="nil"/>
            </w:tcBorders>
            <w:vAlign w:val="top"/>
          </w:tcPr>
          <w:p w14:paraId="3ACC458C">
            <w:pPr>
              <w:rPr>
                <w:rFonts w:ascii="Arial"/>
                <w:sz w:val="21"/>
              </w:rPr>
            </w:pPr>
          </w:p>
        </w:tc>
        <w:tc>
          <w:tcPr>
            <w:tcW w:w="113" w:type="dxa"/>
            <w:tcBorders>
              <w:top w:val="nil"/>
              <w:bottom w:val="nil"/>
            </w:tcBorders>
            <w:vAlign w:val="top"/>
          </w:tcPr>
          <w:p w14:paraId="6F329B1E">
            <w:pPr>
              <w:rPr>
                <w:rFonts w:ascii="Arial"/>
                <w:sz w:val="21"/>
              </w:rPr>
            </w:pPr>
          </w:p>
        </w:tc>
        <w:tc>
          <w:tcPr>
            <w:tcW w:w="637" w:type="dxa"/>
            <w:vMerge w:val="restart"/>
            <w:tcBorders>
              <w:bottom w:val="nil"/>
            </w:tcBorders>
            <w:vAlign w:val="top"/>
          </w:tcPr>
          <w:p w14:paraId="5D191794">
            <w:pPr>
              <w:spacing w:line="253" w:lineRule="auto"/>
              <w:rPr>
                <w:rFonts w:ascii="Arial"/>
                <w:sz w:val="21"/>
              </w:rPr>
            </w:pPr>
          </w:p>
          <w:p w14:paraId="60561808">
            <w:pPr>
              <w:spacing w:line="253" w:lineRule="auto"/>
              <w:rPr>
                <w:rFonts w:ascii="Arial"/>
                <w:sz w:val="21"/>
              </w:rPr>
            </w:pPr>
          </w:p>
          <w:p w14:paraId="341EACE1">
            <w:pPr>
              <w:spacing w:line="253" w:lineRule="auto"/>
              <w:rPr>
                <w:rFonts w:ascii="Arial"/>
                <w:sz w:val="21"/>
              </w:rPr>
            </w:pPr>
          </w:p>
          <w:p w14:paraId="3F2CDD3E">
            <w:pPr>
              <w:spacing w:line="253" w:lineRule="auto"/>
              <w:rPr>
                <w:rFonts w:ascii="Arial"/>
                <w:sz w:val="21"/>
              </w:rPr>
            </w:pPr>
          </w:p>
          <w:p w14:paraId="2F25AEF2">
            <w:pPr>
              <w:spacing w:line="254" w:lineRule="auto"/>
              <w:rPr>
                <w:rFonts w:ascii="Arial"/>
                <w:sz w:val="21"/>
              </w:rPr>
            </w:pPr>
          </w:p>
          <w:p w14:paraId="5DE9DB48">
            <w:pPr>
              <w:spacing w:line="254" w:lineRule="auto"/>
              <w:rPr>
                <w:rFonts w:ascii="Arial"/>
                <w:sz w:val="21"/>
              </w:rPr>
            </w:pPr>
          </w:p>
          <w:p w14:paraId="27884E33">
            <w:pPr>
              <w:pStyle w:val="6"/>
              <w:spacing w:before="65" w:line="229" w:lineRule="auto"/>
              <w:ind w:left="129"/>
              <w:rPr>
                <w:sz w:val="20"/>
                <w:szCs w:val="20"/>
              </w:rPr>
            </w:pPr>
            <w:r>
              <w:rPr>
                <w:spacing w:val="-4"/>
                <w:sz w:val="20"/>
                <w:szCs w:val="20"/>
              </w:rPr>
              <w:t>园区</w:t>
            </w:r>
          </w:p>
          <w:p w14:paraId="11F41AC1">
            <w:pPr>
              <w:pStyle w:val="6"/>
              <w:spacing w:before="25" w:line="228" w:lineRule="auto"/>
              <w:ind w:left="117"/>
              <w:rPr>
                <w:sz w:val="20"/>
                <w:szCs w:val="20"/>
              </w:rPr>
            </w:pPr>
            <w:r>
              <w:rPr>
                <w:spacing w:val="2"/>
                <w:sz w:val="20"/>
                <w:szCs w:val="20"/>
              </w:rPr>
              <w:t>范围</w:t>
            </w:r>
          </w:p>
          <w:p w14:paraId="640DA121">
            <w:pPr>
              <w:pStyle w:val="6"/>
              <w:spacing w:before="23" w:line="228" w:lineRule="auto"/>
              <w:ind w:left="162"/>
              <w:rPr>
                <w:rFonts w:ascii="Times New Roman" w:hAnsi="Times New Roman" w:eastAsia="Times New Roman" w:cs="Times New Roman"/>
                <w:sz w:val="20"/>
                <w:szCs w:val="20"/>
              </w:rPr>
            </w:pPr>
            <w:r>
              <w:rPr>
                <w:spacing w:val="-13"/>
                <w:sz w:val="20"/>
                <w:szCs w:val="20"/>
              </w:rPr>
              <w:t>内</w:t>
            </w:r>
            <w:r>
              <w:rPr>
                <w:spacing w:val="-40"/>
                <w:sz w:val="20"/>
                <w:szCs w:val="20"/>
              </w:rPr>
              <w:t xml:space="preserve"> </w:t>
            </w:r>
            <w:r>
              <w:rPr>
                <w:rFonts w:ascii="Times New Roman" w:hAnsi="Times New Roman" w:eastAsia="Times New Roman" w:cs="Times New Roman"/>
                <w:spacing w:val="-13"/>
                <w:sz w:val="20"/>
                <w:szCs w:val="20"/>
              </w:rPr>
              <w:t>2</w:t>
            </w:r>
          </w:p>
        </w:tc>
        <w:tc>
          <w:tcPr>
            <w:tcW w:w="1524" w:type="dxa"/>
            <w:vAlign w:val="top"/>
          </w:tcPr>
          <w:p w14:paraId="4354ACB0">
            <w:pPr>
              <w:pStyle w:val="6"/>
              <w:spacing w:before="32" w:line="215" w:lineRule="auto"/>
              <w:ind w:left="244"/>
              <w:rPr>
                <w:sz w:val="20"/>
                <w:szCs w:val="20"/>
              </w:rPr>
            </w:pPr>
            <w:r>
              <w:rPr>
                <w:spacing w:val="7"/>
                <w:sz w:val="20"/>
                <w:szCs w:val="20"/>
              </w:rPr>
              <w:t>非甲烷总烃</w:t>
            </w:r>
          </w:p>
        </w:tc>
        <w:tc>
          <w:tcPr>
            <w:tcW w:w="1060" w:type="dxa"/>
            <w:vAlign w:val="top"/>
          </w:tcPr>
          <w:p w14:paraId="7AC472A6">
            <w:pPr>
              <w:spacing w:before="64"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0B714CB8">
            <w:pPr>
              <w:spacing w:before="68" w:line="195" w:lineRule="auto"/>
              <w:ind w:left="5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7" w:type="dxa"/>
            <w:vAlign w:val="top"/>
          </w:tcPr>
          <w:p w14:paraId="40CC79C9">
            <w:pPr>
              <w:spacing w:before="68"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413" w:type="dxa"/>
            <w:vAlign w:val="top"/>
          </w:tcPr>
          <w:p w14:paraId="2A03C560">
            <w:pPr>
              <w:spacing w:before="68"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641" w:type="dxa"/>
            <w:vAlign w:val="top"/>
          </w:tcPr>
          <w:p w14:paraId="66116F56">
            <w:pPr>
              <w:pStyle w:val="6"/>
              <w:spacing w:before="32" w:line="215" w:lineRule="auto"/>
              <w:ind w:left="226"/>
              <w:rPr>
                <w:sz w:val="20"/>
                <w:szCs w:val="20"/>
              </w:rPr>
            </w:pPr>
            <w:r>
              <w:rPr>
                <w:sz w:val="20"/>
                <w:szCs w:val="20"/>
              </w:rPr>
              <w:t>是</w:t>
            </w:r>
          </w:p>
        </w:tc>
        <w:tc>
          <w:tcPr>
            <w:tcW w:w="118" w:type="dxa"/>
            <w:tcBorders>
              <w:top w:val="nil"/>
              <w:bottom w:val="nil"/>
            </w:tcBorders>
            <w:vAlign w:val="top"/>
          </w:tcPr>
          <w:p w14:paraId="5DF3E10C">
            <w:pPr>
              <w:rPr>
                <w:rFonts w:ascii="Arial"/>
                <w:sz w:val="21"/>
              </w:rPr>
            </w:pPr>
          </w:p>
        </w:tc>
      </w:tr>
      <w:tr w14:paraId="259C2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459" w:type="dxa"/>
            <w:vMerge w:val="continue"/>
            <w:tcBorders>
              <w:top w:val="nil"/>
              <w:bottom w:val="nil"/>
            </w:tcBorders>
            <w:vAlign w:val="top"/>
          </w:tcPr>
          <w:p w14:paraId="751D6F26">
            <w:pPr>
              <w:rPr>
                <w:rFonts w:ascii="Arial"/>
                <w:sz w:val="21"/>
              </w:rPr>
            </w:pPr>
          </w:p>
        </w:tc>
        <w:tc>
          <w:tcPr>
            <w:tcW w:w="113" w:type="dxa"/>
            <w:tcBorders>
              <w:top w:val="nil"/>
              <w:bottom w:val="nil"/>
            </w:tcBorders>
            <w:vAlign w:val="top"/>
          </w:tcPr>
          <w:p w14:paraId="4B282098">
            <w:pPr>
              <w:rPr>
                <w:rFonts w:ascii="Arial"/>
                <w:sz w:val="21"/>
              </w:rPr>
            </w:pPr>
          </w:p>
        </w:tc>
        <w:tc>
          <w:tcPr>
            <w:tcW w:w="637" w:type="dxa"/>
            <w:vMerge w:val="continue"/>
            <w:tcBorders>
              <w:top w:val="nil"/>
              <w:bottom w:val="nil"/>
            </w:tcBorders>
            <w:vAlign w:val="top"/>
          </w:tcPr>
          <w:p w14:paraId="3018A7BA">
            <w:pPr>
              <w:rPr>
                <w:rFonts w:ascii="Arial"/>
                <w:sz w:val="21"/>
              </w:rPr>
            </w:pPr>
          </w:p>
        </w:tc>
        <w:tc>
          <w:tcPr>
            <w:tcW w:w="1524" w:type="dxa"/>
            <w:vAlign w:val="top"/>
          </w:tcPr>
          <w:p w14:paraId="7FA230EE">
            <w:pPr>
              <w:pStyle w:val="6"/>
              <w:spacing w:before="35" w:line="207" w:lineRule="auto"/>
              <w:ind w:left="450"/>
              <w:rPr>
                <w:sz w:val="20"/>
                <w:szCs w:val="20"/>
              </w:rPr>
            </w:pPr>
            <w:r>
              <w:rPr>
                <w:spacing w:val="6"/>
                <w:sz w:val="20"/>
                <w:szCs w:val="20"/>
              </w:rPr>
              <w:t>氟化物</w:t>
            </w:r>
          </w:p>
        </w:tc>
        <w:tc>
          <w:tcPr>
            <w:tcW w:w="1060" w:type="dxa"/>
            <w:vAlign w:val="top"/>
          </w:tcPr>
          <w:p w14:paraId="1FB1D45F">
            <w:pPr>
              <w:spacing w:before="67"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10653F8">
            <w:pPr>
              <w:spacing w:before="71"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1387" w:type="dxa"/>
            <w:vAlign w:val="top"/>
          </w:tcPr>
          <w:p w14:paraId="3D773075">
            <w:pPr>
              <w:spacing w:before="7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&lt;0.00006</w:t>
            </w:r>
          </w:p>
        </w:tc>
        <w:tc>
          <w:tcPr>
            <w:tcW w:w="1413" w:type="dxa"/>
            <w:vAlign w:val="top"/>
          </w:tcPr>
          <w:p w14:paraId="36EFA2F0">
            <w:pPr>
              <w:spacing w:before="71"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&lt;0.00006</w:t>
            </w:r>
          </w:p>
        </w:tc>
        <w:tc>
          <w:tcPr>
            <w:tcW w:w="641" w:type="dxa"/>
            <w:vAlign w:val="top"/>
          </w:tcPr>
          <w:p w14:paraId="634DDE15">
            <w:pPr>
              <w:pStyle w:val="6"/>
              <w:spacing w:before="35" w:line="207" w:lineRule="auto"/>
              <w:ind w:left="226"/>
              <w:rPr>
                <w:sz w:val="20"/>
                <w:szCs w:val="20"/>
              </w:rPr>
            </w:pPr>
            <w:r>
              <w:rPr>
                <w:sz w:val="20"/>
                <w:szCs w:val="20"/>
              </w:rPr>
              <w:t>是</w:t>
            </w:r>
          </w:p>
        </w:tc>
        <w:tc>
          <w:tcPr>
            <w:tcW w:w="118" w:type="dxa"/>
            <w:tcBorders>
              <w:top w:val="nil"/>
              <w:bottom w:val="nil"/>
            </w:tcBorders>
            <w:vAlign w:val="top"/>
          </w:tcPr>
          <w:p w14:paraId="4650D4D7">
            <w:pPr>
              <w:rPr>
                <w:rFonts w:ascii="Arial"/>
                <w:sz w:val="21"/>
              </w:rPr>
            </w:pPr>
          </w:p>
        </w:tc>
      </w:tr>
      <w:tr w14:paraId="5D54D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0AF4E2FE">
            <w:pPr>
              <w:rPr>
                <w:rFonts w:ascii="Arial"/>
                <w:sz w:val="21"/>
              </w:rPr>
            </w:pPr>
          </w:p>
        </w:tc>
        <w:tc>
          <w:tcPr>
            <w:tcW w:w="113" w:type="dxa"/>
            <w:tcBorders>
              <w:top w:val="nil"/>
              <w:bottom w:val="nil"/>
            </w:tcBorders>
            <w:vAlign w:val="top"/>
          </w:tcPr>
          <w:p w14:paraId="37D48383">
            <w:pPr>
              <w:rPr>
                <w:rFonts w:ascii="Arial"/>
                <w:sz w:val="21"/>
              </w:rPr>
            </w:pPr>
          </w:p>
        </w:tc>
        <w:tc>
          <w:tcPr>
            <w:tcW w:w="637" w:type="dxa"/>
            <w:vMerge w:val="continue"/>
            <w:tcBorders>
              <w:top w:val="nil"/>
              <w:bottom w:val="nil"/>
            </w:tcBorders>
            <w:vAlign w:val="top"/>
          </w:tcPr>
          <w:p w14:paraId="7DCA4289">
            <w:pPr>
              <w:rPr>
                <w:rFonts w:ascii="Arial"/>
                <w:sz w:val="21"/>
              </w:rPr>
            </w:pPr>
          </w:p>
        </w:tc>
        <w:tc>
          <w:tcPr>
            <w:tcW w:w="1524" w:type="dxa"/>
            <w:vAlign w:val="top"/>
          </w:tcPr>
          <w:p w14:paraId="7B629CD6">
            <w:pPr>
              <w:pStyle w:val="6"/>
              <w:spacing w:before="43" w:line="211" w:lineRule="auto"/>
              <w:ind w:left="450"/>
              <w:rPr>
                <w:sz w:val="20"/>
                <w:szCs w:val="20"/>
              </w:rPr>
            </w:pPr>
            <w:r>
              <w:rPr>
                <w:spacing w:val="6"/>
                <w:sz w:val="20"/>
                <w:szCs w:val="20"/>
              </w:rPr>
              <w:t>氟化物</w:t>
            </w:r>
          </w:p>
        </w:tc>
        <w:tc>
          <w:tcPr>
            <w:tcW w:w="1060" w:type="dxa"/>
            <w:vAlign w:val="top"/>
          </w:tcPr>
          <w:p w14:paraId="7E26DE4C">
            <w:pPr>
              <w:spacing w:before="7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2556D5DB">
            <w:pPr>
              <w:spacing w:before="79"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7" w:type="dxa"/>
            <w:vAlign w:val="top"/>
          </w:tcPr>
          <w:p w14:paraId="2D05C7BD">
            <w:pPr>
              <w:spacing w:before="7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&lt;0.0005</w:t>
            </w:r>
          </w:p>
        </w:tc>
        <w:tc>
          <w:tcPr>
            <w:tcW w:w="1413" w:type="dxa"/>
            <w:vAlign w:val="top"/>
          </w:tcPr>
          <w:p w14:paraId="510D5D4B">
            <w:pPr>
              <w:spacing w:before="7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641" w:type="dxa"/>
            <w:vAlign w:val="top"/>
          </w:tcPr>
          <w:p w14:paraId="54FC38DF">
            <w:pPr>
              <w:pStyle w:val="6"/>
              <w:spacing w:before="43" w:line="211" w:lineRule="auto"/>
              <w:ind w:left="226"/>
              <w:rPr>
                <w:sz w:val="20"/>
                <w:szCs w:val="20"/>
              </w:rPr>
            </w:pPr>
            <w:r>
              <w:rPr>
                <w:sz w:val="20"/>
                <w:szCs w:val="20"/>
              </w:rPr>
              <w:t>是</w:t>
            </w:r>
          </w:p>
        </w:tc>
        <w:tc>
          <w:tcPr>
            <w:tcW w:w="118" w:type="dxa"/>
            <w:tcBorders>
              <w:top w:val="nil"/>
              <w:bottom w:val="nil"/>
            </w:tcBorders>
            <w:vAlign w:val="top"/>
          </w:tcPr>
          <w:p w14:paraId="756EABB1">
            <w:pPr>
              <w:rPr>
                <w:rFonts w:ascii="Arial"/>
                <w:sz w:val="21"/>
              </w:rPr>
            </w:pPr>
          </w:p>
        </w:tc>
      </w:tr>
      <w:tr w14:paraId="675AB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0A439B3C">
            <w:pPr>
              <w:rPr>
                <w:rFonts w:ascii="Arial"/>
                <w:sz w:val="21"/>
              </w:rPr>
            </w:pPr>
          </w:p>
        </w:tc>
        <w:tc>
          <w:tcPr>
            <w:tcW w:w="113" w:type="dxa"/>
            <w:tcBorders>
              <w:top w:val="nil"/>
              <w:bottom w:val="nil"/>
            </w:tcBorders>
            <w:vAlign w:val="top"/>
          </w:tcPr>
          <w:p w14:paraId="555B18BB">
            <w:pPr>
              <w:rPr>
                <w:rFonts w:ascii="Arial"/>
                <w:sz w:val="21"/>
              </w:rPr>
            </w:pPr>
          </w:p>
        </w:tc>
        <w:tc>
          <w:tcPr>
            <w:tcW w:w="637" w:type="dxa"/>
            <w:vMerge w:val="continue"/>
            <w:tcBorders>
              <w:top w:val="nil"/>
              <w:bottom w:val="nil"/>
            </w:tcBorders>
            <w:vAlign w:val="top"/>
          </w:tcPr>
          <w:p w14:paraId="2A65DC4A">
            <w:pPr>
              <w:rPr>
                <w:rFonts w:ascii="Arial"/>
                <w:sz w:val="21"/>
              </w:rPr>
            </w:pPr>
          </w:p>
        </w:tc>
        <w:tc>
          <w:tcPr>
            <w:tcW w:w="1524" w:type="dxa"/>
            <w:vAlign w:val="top"/>
          </w:tcPr>
          <w:p w14:paraId="2278E32C">
            <w:pPr>
              <w:pStyle w:val="6"/>
              <w:spacing w:before="38" w:line="204" w:lineRule="auto"/>
              <w:ind w:left="136"/>
              <w:rPr>
                <w:sz w:val="20"/>
                <w:szCs w:val="20"/>
              </w:rPr>
            </w:pPr>
            <w:r>
              <w:rPr>
                <w:spacing w:val="8"/>
                <w:sz w:val="20"/>
                <w:szCs w:val="20"/>
              </w:rPr>
              <w:t>汞及其化合物</w:t>
            </w:r>
          </w:p>
        </w:tc>
        <w:tc>
          <w:tcPr>
            <w:tcW w:w="1060" w:type="dxa"/>
            <w:vAlign w:val="top"/>
          </w:tcPr>
          <w:p w14:paraId="4B9A960A">
            <w:pPr>
              <w:spacing w:before="70" w:line="197"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30398AC1">
            <w:pPr>
              <w:spacing w:before="74" w:line="193"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387" w:type="dxa"/>
            <w:vAlign w:val="top"/>
          </w:tcPr>
          <w:p w14:paraId="361F3DE7">
            <w:pPr>
              <w:pStyle w:val="6"/>
              <w:spacing w:before="38" w:line="204" w:lineRule="auto"/>
              <w:ind w:left="318"/>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&lt;3</w:t>
            </w:r>
            <w:r>
              <w:rPr>
                <w:rFonts w:ascii="Times New Roman" w:hAnsi="Times New Roman" w:eastAsia="Times New Roman" w:cs="Times New Roman"/>
                <w:spacing w:val="-11"/>
                <w:sz w:val="20"/>
                <w:szCs w:val="20"/>
              </w:rPr>
              <w:t xml:space="preserve"> </w:t>
            </w:r>
            <w:r>
              <w:rPr>
                <w:spacing w:val="-5"/>
                <w:sz w:val="20"/>
                <w:szCs w:val="20"/>
              </w:rPr>
              <w:t>×</w:t>
            </w:r>
            <w:r>
              <w:rPr>
                <w:spacing w:val="-75"/>
                <w:sz w:val="20"/>
                <w:szCs w:val="20"/>
              </w:rPr>
              <w:t xml:space="preserve">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5"/>
                <w:position w:val="6"/>
                <w:sz w:val="13"/>
                <w:szCs w:val="13"/>
              </w:rPr>
              <w:t>-6</w:t>
            </w:r>
          </w:p>
        </w:tc>
        <w:tc>
          <w:tcPr>
            <w:tcW w:w="1413" w:type="dxa"/>
            <w:vAlign w:val="top"/>
          </w:tcPr>
          <w:p w14:paraId="2AE1896B">
            <w:pPr>
              <w:pStyle w:val="6"/>
              <w:spacing w:before="38" w:line="204" w:lineRule="auto"/>
              <w:ind w:left="330"/>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 xml:space="preserve">&lt;3 </w:t>
            </w:r>
            <w:r>
              <w:rPr>
                <w:spacing w:val="-6"/>
                <w:sz w:val="20"/>
                <w:szCs w:val="20"/>
              </w:rPr>
              <w:t>×</w:t>
            </w:r>
            <w:r>
              <w:rPr>
                <w:spacing w:val="-7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-6</w:t>
            </w:r>
          </w:p>
        </w:tc>
        <w:tc>
          <w:tcPr>
            <w:tcW w:w="641" w:type="dxa"/>
            <w:vAlign w:val="top"/>
          </w:tcPr>
          <w:p w14:paraId="123EC833">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651ED1DD">
            <w:pPr>
              <w:rPr>
                <w:rFonts w:ascii="Arial"/>
                <w:sz w:val="21"/>
              </w:rPr>
            </w:pPr>
          </w:p>
        </w:tc>
      </w:tr>
      <w:tr w14:paraId="5A3C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45CF8188">
            <w:pPr>
              <w:rPr>
                <w:rFonts w:ascii="Arial"/>
                <w:sz w:val="21"/>
              </w:rPr>
            </w:pPr>
          </w:p>
        </w:tc>
        <w:tc>
          <w:tcPr>
            <w:tcW w:w="113" w:type="dxa"/>
            <w:tcBorders>
              <w:top w:val="nil"/>
              <w:bottom w:val="nil"/>
            </w:tcBorders>
            <w:vAlign w:val="top"/>
          </w:tcPr>
          <w:p w14:paraId="77138462">
            <w:pPr>
              <w:rPr>
                <w:rFonts w:ascii="Arial"/>
                <w:sz w:val="21"/>
              </w:rPr>
            </w:pPr>
          </w:p>
        </w:tc>
        <w:tc>
          <w:tcPr>
            <w:tcW w:w="637" w:type="dxa"/>
            <w:vMerge w:val="continue"/>
            <w:tcBorders>
              <w:top w:val="nil"/>
              <w:bottom w:val="nil"/>
            </w:tcBorders>
            <w:vAlign w:val="top"/>
          </w:tcPr>
          <w:p w14:paraId="2BDD803E">
            <w:pPr>
              <w:rPr>
                <w:rFonts w:ascii="Arial"/>
                <w:sz w:val="21"/>
              </w:rPr>
            </w:pPr>
          </w:p>
        </w:tc>
        <w:tc>
          <w:tcPr>
            <w:tcW w:w="1524" w:type="dxa"/>
            <w:vAlign w:val="top"/>
          </w:tcPr>
          <w:p w14:paraId="4BAD7332">
            <w:pPr>
              <w:pStyle w:val="6"/>
              <w:spacing w:before="46" w:line="209" w:lineRule="auto"/>
              <w:ind w:left="559"/>
              <w:rPr>
                <w:sz w:val="20"/>
                <w:szCs w:val="20"/>
              </w:rPr>
            </w:pPr>
            <w:r>
              <w:rPr>
                <w:spacing w:val="3"/>
                <w:sz w:val="20"/>
                <w:szCs w:val="20"/>
              </w:rPr>
              <w:t>氯气</w:t>
            </w:r>
          </w:p>
        </w:tc>
        <w:tc>
          <w:tcPr>
            <w:tcW w:w="1060" w:type="dxa"/>
            <w:vAlign w:val="top"/>
          </w:tcPr>
          <w:p w14:paraId="2DA820CA">
            <w:pPr>
              <w:spacing w:before="78" w:line="19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39595CF">
            <w:pPr>
              <w:spacing w:before="82"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87" w:type="dxa"/>
            <w:vAlign w:val="top"/>
          </w:tcPr>
          <w:p w14:paraId="17586D1E">
            <w:pPr>
              <w:spacing w:before="8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6292BA61">
            <w:pPr>
              <w:spacing w:before="8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280880C3">
            <w:pPr>
              <w:pStyle w:val="6"/>
              <w:spacing w:before="46" w:line="209" w:lineRule="auto"/>
              <w:ind w:left="226"/>
              <w:rPr>
                <w:sz w:val="20"/>
                <w:szCs w:val="20"/>
              </w:rPr>
            </w:pPr>
            <w:r>
              <w:rPr>
                <w:sz w:val="20"/>
                <w:szCs w:val="20"/>
              </w:rPr>
              <w:t>是</w:t>
            </w:r>
          </w:p>
        </w:tc>
        <w:tc>
          <w:tcPr>
            <w:tcW w:w="118" w:type="dxa"/>
            <w:tcBorders>
              <w:top w:val="nil"/>
              <w:bottom w:val="nil"/>
            </w:tcBorders>
            <w:vAlign w:val="top"/>
          </w:tcPr>
          <w:p w14:paraId="621A26E8">
            <w:pPr>
              <w:rPr>
                <w:rFonts w:ascii="Arial"/>
                <w:sz w:val="21"/>
              </w:rPr>
            </w:pPr>
          </w:p>
        </w:tc>
      </w:tr>
      <w:tr w14:paraId="33B39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3E2AD3F4">
            <w:pPr>
              <w:rPr>
                <w:rFonts w:ascii="Arial"/>
                <w:sz w:val="21"/>
              </w:rPr>
            </w:pPr>
          </w:p>
        </w:tc>
        <w:tc>
          <w:tcPr>
            <w:tcW w:w="113" w:type="dxa"/>
            <w:tcBorders>
              <w:top w:val="nil"/>
              <w:bottom w:val="nil"/>
            </w:tcBorders>
            <w:vAlign w:val="top"/>
          </w:tcPr>
          <w:p w14:paraId="1930C8F7">
            <w:pPr>
              <w:rPr>
                <w:rFonts w:ascii="Arial"/>
                <w:sz w:val="21"/>
              </w:rPr>
            </w:pPr>
          </w:p>
        </w:tc>
        <w:tc>
          <w:tcPr>
            <w:tcW w:w="637" w:type="dxa"/>
            <w:vMerge w:val="continue"/>
            <w:tcBorders>
              <w:top w:val="nil"/>
              <w:bottom w:val="nil"/>
            </w:tcBorders>
            <w:vAlign w:val="top"/>
          </w:tcPr>
          <w:p w14:paraId="137FE8E5">
            <w:pPr>
              <w:rPr>
                <w:rFonts w:ascii="Arial"/>
                <w:sz w:val="21"/>
              </w:rPr>
            </w:pPr>
          </w:p>
        </w:tc>
        <w:tc>
          <w:tcPr>
            <w:tcW w:w="1524" w:type="dxa"/>
            <w:vAlign w:val="top"/>
          </w:tcPr>
          <w:p w14:paraId="6C47665A">
            <w:pPr>
              <w:pStyle w:val="6"/>
              <w:spacing w:before="42" w:line="212" w:lineRule="auto"/>
              <w:ind w:left="559"/>
              <w:rPr>
                <w:sz w:val="20"/>
                <w:szCs w:val="20"/>
              </w:rPr>
            </w:pPr>
            <w:r>
              <w:rPr>
                <w:spacing w:val="3"/>
                <w:sz w:val="20"/>
                <w:szCs w:val="20"/>
              </w:rPr>
              <w:t>氯气</w:t>
            </w:r>
          </w:p>
        </w:tc>
        <w:tc>
          <w:tcPr>
            <w:tcW w:w="1060" w:type="dxa"/>
            <w:vAlign w:val="top"/>
          </w:tcPr>
          <w:p w14:paraId="601B811D">
            <w:pPr>
              <w:spacing w:before="74"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568DC4C3">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87" w:type="dxa"/>
            <w:vAlign w:val="top"/>
          </w:tcPr>
          <w:p w14:paraId="7752F07C">
            <w:pPr>
              <w:spacing w:before="7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1413" w:type="dxa"/>
            <w:vAlign w:val="top"/>
          </w:tcPr>
          <w:p w14:paraId="29522249">
            <w:pPr>
              <w:spacing w:before="7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&lt;0.03</w:t>
            </w:r>
          </w:p>
        </w:tc>
        <w:tc>
          <w:tcPr>
            <w:tcW w:w="641" w:type="dxa"/>
            <w:vAlign w:val="top"/>
          </w:tcPr>
          <w:p w14:paraId="6568566C">
            <w:pPr>
              <w:pStyle w:val="6"/>
              <w:spacing w:before="42" w:line="212" w:lineRule="auto"/>
              <w:ind w:left="226"/>
              <w:rPr>
                <w:sz w:val="20"/>
                <w:szCs w:val="20"/>
              </w:rPr>
            </w:pPr>
            <w:r>
              <w:rPr>
                <w:sz w:val="20"/>
                <w:szCs w:val="20"/>
              </w:rPr>
              <w:t>是</w:t>
            </w:r>
          </w:p>
        </w:tc>
        <w:tc>
          <w:tcPr>
            <w:tcW w:w="118" w:type="dxa"/>
            <w:tcBorders>
              <w:top w:val="nil"/>
              <w:bottom w:val="nil"/>
            </w:tcBorders>
            <w:vAlign w:val="top"/>
          </w:tcPr>
          <w:p w14:paraId="61C37424">
            <w:pPr>
              <w:rPr>
                <w:rFonts w:ascii="Arial"/>
                <w:sz w:val="21"/>
              </w:rPr>
            </w:pPr>
          </w:p>
        </w:tc>
      </w:tr>
      <w:tr w14:paraId="74C52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7DC09C9A">
            <w:pPr>
              <w:rPr>
                <w:rFonts w:ascii="Arial"/>
                <w:sz w:val="21"/>
              </w:rPr>
            </w:pPr>
          </w:p>
        </w:tc>
        <w:tc>
          <w:tcPr>
            <w:tcW w:w="113" w:type="dxa"/>
            <w:tcBorders>
              <w:top w:val="nil"/>
              <w:bottom w:val="nil"/>
            </w:tcBorders>
            <w:vAlign w:val="top"/>
          </w:tcPr>
          <w:p w14:paraId="0DAAAD36">
            <w:pPr>
              <w:rPr>
                <w:rFonts w:ascii="Arial"/>
                <w:sz w:val="21"/>
              </w:rPr>
            </w:pPr>
          </w:p>
        </w:tc>
        <w:tc>
          <w:tcPr>
            <w:tcW w:w="637" w:type="dxa"/>
            <w:vMerge w:val="continue"/>
            <w:tcBorders>
              <w:top w:val="nil"/>
              <w:bottom w:val="nil"/>
            </w:tcBorders>
            <w:vAlign w:val="top"/>
          </w:tcPr>
          <w:p w14:paraId="1F9F990E">
            <w:pPr>
              <w:rPr>
                <w:rFonts w:ascii="Arial"/>
                <w:sz w:val="21"/>
              </w:rPr>
            </w:pPr>
          </w:p>
        </w:tc>
        <w:tc>
          <w:tcPr>
            <w:tcW w:w="1524" w:type="dxa"/>
            <w:vAlign w:val="top"/>
          </w:tcPr>
          <w:p w14:paraId="5E4C2CAA">
            <w:pPr>
              <w:spacing w:before="71"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HCI</w:t>
            </w:r>
          </w:p>
        </w:tc>
        <w:tc>
          <w:tcPr>
            <w:tcW w:w="1060" w:type="dxa"/>
            <w:vAlign w:val="top"/>
          </w:tcPr>
          <w:p w14:paraId="79A12983">
            <w:pPr>
              <w:spacing w:before="6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6E433010">
            <w:pPr>
              <w:spacing w:before="71"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87" w:type="dxa"/>
            <w:vAlign w:val="top"/>
          </w:tcPr>
          <w:p w14:paraId="7222BB61">
            <w:pPr>
              <w:spacing w:before="7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1413" w:type="dxa"/>
            <w:vAlign w:val="top"/>
          </w:tcPr>
          <w:p w14:paraId="7711791B">
            <w:pPr>
              <w:spacing w:before="7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&lt;0.02</w:t>
            </w:r>
          </w:p>
        </w:tc>
        <w:tc>
          <w:tcPr>
            <w:tcW w:w="641" w:type="dxa"/>
            <w:vAlign w:val="top"/>
          </w:tcPr>
          <w:p w14:paraId="37651ED3">
            <w:pPr>
              <w:pStyle w:val="6"/>
              <w:spacing w:before="35" w:line="206" w:lineRule="auto"/>
              <w:ind w:left="226"/>
              <w:rPr>
                <w:sz w:val="20"/>
                <w:szCs w:val="20"/>
              </w:rPr>
            </w:pPr>
            <w:r>
              <w:rPr>
                <w:sz w:val="20"/>
                <w:szCs w:val="20"/>
              </w:rPr>
              <w:t>是</w:t>
            </w:r>
          </w:p>
        </w:tc>
        <w:tc>
          <w:tcPr>
            <w:tcW w:w="118" w:type="dxa"/>
            <w:tcBorders>
              <w:top w:val="nil"/>
              <w:bottom w:val="nil"/>
            </w:tcBorders>
            <w:vAlign w:val="top"/>
          </w:tcPr>
          <w:p w14:paraId="4CE4DC07">
            <w:pPr>
              <w:rPr>
                <w:rFonts w:ascii="Arial"/>
                <w:sz w:val="21"/>
              </w:rPr>
            </w:pPr>
          </w:p>
        </w:tc>
      </w:tr>
      <w:tr w14:paraId="4E8DD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30FF8722">
            <w:pPr>
              <w:rPr>
                <w:rFonts w:ascii="Arial"/>
                <w:sz w:val="21"/>
              </w:rPr>
            </w:pPr>
          </w:p>
        </w:tc>
        <w:tc>
          <w:tcPr>
            <w:tcW w:w="113" w:type="dxa"/>
            <w:tcBorders>
              <w:top w:val="nil"/>
              <w:bottom w:val="nil"/>
            </w:tcBorders>
            <w:vAlign w:val="top"/>
          </w:tcPr>
          <w:p w14:paraId="4B897CA9">
            <w:pPr>
              <w:rPr>
                <w:rFonts w:ascii="Arial"/>
                <w:sz w:val="21"/>
              </w:rPr>
            </w:pPr>
          </w:p>
        </w:tc>
        <w:tc>
          <w:tcPr>
            <w:tcW w:w="637" w:type="dxa"/>
            <w:vMerge w:val="continue"/>
            <w:tcBorders>
              <w:top w:val="nil"/>
              <w:bottom w:val="nil"/>
            </w:tcBorders>
            <w:vAlign w:val="top"/>
          </w:tcPr>
          <w:p w14:paraId="2A937A99">
            <w:pPr>
              <w:rPr>
                <w:rFonts w:ascii="Arial"/>
                <w:sz w:val="21"/>
              </w:rPr>
            </w:pPr>
          </w:p>
        </w:tc>
        <w:tc>
          <w:tcPr>
            <w:tcW w:w="1524" w:type="dxa"/>
            <w:vAlign w:val="top"/>
          </w:tcPr>
          <w:p w14:paraId="7731AC12">
            <w:pPr>
              <w:pStyle w:val="6"/>
              <w:spacing w:before="45" w:line="210" w:lineRule="auto"/>
              <w:ind w:left="582"/>
              <w:rPr>
                <w:sz w:val="20"/>
                <w:szCs w:val="20"/>
              </w:rPr>
            </w:pPr>
            <w:r>
              <w:rPr>
                <w:spacing w:val="-9"/>
                <w:sz w:val="20"/>
                <w:szCs w:val="20"/>
              </w:rPr>
              <w:t>甲醇</w:t>
            </w:r>
          </w:p>
        </w:tc>
        <w:tc>
          <w:tcPr>
            <w:tcW w:w="1060" w:type="dxa"/>
            <w:vAlign w:val="top"/>
          </w:tcPr>
          <w:p w14:paraId="70F36740">
            <w:pPr>
              <w:spacing w:before="7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4C097CBC">
            <w:pPr>
              <w:spacing w:before="8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7" w:type="dxa"/>
            <w:vAlign w:val="top"/>
          </w:tcPr>
          <w:p w14:paraId="08163D4A">
            <w:pPr>
              <w:spacing w:before="80"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156F5022">
            <w:pPr>
              <w:spacing w:before="80"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6ED8B89F">
            <w:pPr>
              <w:pStyle w:val="6"/>
              <w:spacing w:before="45" w:line="210" w:lineRule="auto"/>
              <w:ind w:left="226"/>
              <w:rPr>
                <w:sz w:val="20"/>
                <w:szCs w:val="20"/>
              </w:rPr>
            </w:pPr>
            <w:r>
              <w:rPr>
                <w:sz w:val="20"/>
                <w:szCs w:val="20"/>
              </w:rPr>
              <w:t>是</w:t>
            </w:r>
          </w:p>
        </w:tc>
        <w:tc>
          <w:tcPr>
            <w:tcW w:w="118" w:type="dxa"/>
            <w:tcBorders>
              <w:top w:val="nil"/>
              <w:bottom w:val="nil"/>
            </w:tcBorders>
            <w:vAlign w:val="top"/>
          </w:tcPr>
          <w:p w14:paraId="09A4FCA1">
            <w:pPr>
              <w:rPr>
                <w:rFonts w:ascii="Arial"/>
                <w:sz w:val="21"/>
              </w:rPr>
            </w:pPr>
          </w:p>
        </w:tc>
      </w:tr>
      <w:tr w14:paraId="404F0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47740FF3">
            <w:pPr>
              <w:rPr>
                <w:rFonts w:ascii="Arial"/>
                <w:sz w:val="21"/>
              </w:rPr>
            </w:pPr>
          </w:p>
        </w:tc>
        <w:tc>
          <w:tcPr>
            <w:tcW w:w="113" w:type="dxa"/>
            <w:tcBorders>
              <w:top w:val="nil"/>
              <w:bottom w:val="nil"/>
            </w:tcBorders>
            <w:vAlign w:val="top"/>
          </w:tcPr>
          <w:p w14:paraId="7AB351D6">
            <w:pPr>
              <w:rPr>
                <w:rFonts w:ascii="Arial"/>
                <w:sz w:val="21"/>
              </w:rPr>
            </w:pPr>
          </w:p>
        </w:tc>
        <w:tc>
          <w:tcPr>
            <w:tcW w:w="637" w:type="dxa"/>
            <w:vMerge w:val="continue"/>
            <w:tcBorders>
              <w:top w:val="nil"/>
              <w:bottom w:val="nil"/>
            </w:tcBorders>
            <w:vAlign w:val="top"/>
          </w:tcPr>
          <w:p w14:paraId="44B30DA5">
            <w:pPr>
              <w:rPr>
                <w:rFonts w:ascii="Arial"/>
                <w:sz w:val="21"/>
              </w:rPr>
            </w:pPr>
          </w:p>
        </w:tc>
        <w:tc>
          <w:tcPr>
            <w:tcW w:w="1524" w:type="dxa"/>
            <w:vAlign w:val="top"/>
          </w:tcPr>
          <w:p w14:paraId="2284288B">
            <w:pPr>
              <w:pStyle w:val="6"/>
              <w:spacing w:before="40" w:line="202" w:lineRule="auto"/>
              <w:ind w:left="582"/>
              <w:rPr>
                <w:sz w:val="20"/>
                <w:szCs w:val="20"/>
              </w:rPr>
            </w:pPr>
            <w:r>
              <w:rPr>
                <w:spacing w:val="-9"/>
                <w:sz w:val="20"/>
                <w:szCs w:val="20"/>
              </w:rPr>
              <w:t>甲醇</w:t>
            </w:r>
          </w:p>
        </w:tc>
        <w:tc>
          <w:tcPr>
            <w:tcW w:w="1060" w:type="dxa"/>
            <w:vAlign w:val="top"/>
          </w:tcPr>
          <w:p w14:paraId="67BB76FE">
            <w:pPr>
              <w:spacing w:before="73" w:line="194"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24h</w:t>
            </w:r>
          </w:p>
        </w:tc>
        <w:tc>
          <w:tcPr>
            <w:tcW w:w="1273" w:type="dxa"/>
            <w:vAlign w:val="top"/>
          </w:tcPr>
          <w:p w14:paraId="58C7F786">
            <w:pPr>
              <w:spacing w:before="75" w:line="191"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7" w:type="dxa"/>
            <w:vAlign w:val="top"/>
          </w:tcPr>
          <w:p w14:paraId="11CD9CA6">
            <w:pPr>
              <w:spacing w:before="75" w:line="191"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1413" w:type="dxa"/>
            <w:vAlign w:val="top"/>
          </w:tcPr>
          <w:p w14:paraId="3509B4BB">
            <w:pPr>
              <w:spacing w:before="75" w:line="191"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&lt;0.3</w:t>
            </w:r>
          </w:p>
        </w:tc>
        <w:tc>
          <w:tcPr>
            <w:tcW w:w="641" w:type="dxa"/>
            <w:vAlign w:val="top"/>
          </w:tcPr>
          <w:p w14:paraId="56043F20">
            <w:pPr>
              <w:pStyle w:val="6"/>
              <w:spacing w:before="40" w:line="202" w:lineRule="auto"/>
              <w:ind w:left="226"/>
              <w:rPr>
                <w:sz w:val="20"/>
                <w:szCs w:val="20"/>
              </w:rPr>
            </w:pPr>
            <w:r>
              <w:rPr>
                <w:sz w:val="20"/>
                <w:szCs w:val="20"/>
              </w:rPr>
              <w:t>是</w:t>
            </w:r>
          </w:p>
        </w:tc>
        <w:tc>
          <w:tcPr>
            <w:tcW w:w="118" w:type="dxa"/>
            <w:tcBorders>
              <w:top w:val="nil"/>
              <w:bottom w:val="nil"/>
            </w:tcBorders>
            <w:vAlign w:val="top"/>
          </w:tcPr>
          <w:p w14:paraId="6BF7C173">
            <w:pPr>
              <w:rPr>
                <w:rFonts w:ascii="Arial"/>
                <w:sz w:val="21"/>
              </w:rPr>
            </w:pPr>
          </w:p>
        </w:tc>
      </w:tr>
      <w:tr w14:paraId="108C8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21F0AA1A">
            <w:pPr>
              <w:rPr>
                <w:rFonts w:ascii="Arial"/>
                <w:sz w:val="21"/>
              </w:rPr>
            </w:pPr>
          </w:p>
        </w:tc>
        <w:tc>
          <w:tcPr>
            <w:tcW w:w="113" w:type="dxa"/>
            <w:tcBorders>
              <w:top w:val="nil"/>
              <w:bottom w:val="nil"/>
            </w:tcBorders>
            <w:vAlign w:val="top"/>
          </w:tcPr>
          <w:p w14:paraId="37CB0228">
            <w:pPr>
              <w:rPr>
                <w:rFonts w:ascii="Arial"/>
                <w:sz w:val="21"/>
              </w:rPr>
            </w:pPr>
          </w:p>
        </w:tc>
        <w:tc>
          <w:tcPr>
            <w:tcW w:w="637" w:type="dxa"/>
            <w:vMerge w:val="continue"/>
            <w:tcBorders>
              <w:top w:val="nil"/>
              <w:bottom w:val="nil"/>
            </w:tcBorders>
            <w:vAlign w:val="top"/>
          </w:tcPr>
          <w:p w14:paraId="1017207D">
            <w:pPr>
              <w:rPr>
                <w:rFonts w:ascii="Arial"/>
                <w:sz w:val="21"/>
              </w:rPr>
            </w:pPr>
          </w:p>
        </w:tc>
        <w:tc>
          <w:tcPr>
            <w:tcW w:w="1524" w:type="dxa"/>
            <w:vAlign w:val="top"/>
          </w:tcPr>
          <w:p w14:paraId="51A85669">
            <w:pPr>
              <w:pStyle w:val="6"/>
              <w:spacing w:before="46" w:line="208" w:lineRule="auto"/>
              <w:ind w:left="663"/>
              <w:rPr>
                <w:sz w:val="20"/>
                <w:szCs w:val="20"/>
              </w:rPr>
            </w:pPr>
            <w:r>
              <w:rPr>
                <w:sz w:val="20"/>
                <w:szCs w:val="20"/>
              </w:rPr>
              <w:t>苯</w:t>
            </w:r>
          </w:p>
        </w:tc>
        <w:tc>
          <w:tcPr>
            <w:tcW w:w="1060" w:type="dxa"/>
            <w:vAlign w:val="top"/>
          </w:tcPr>
          <w:p w14:paraId="65A16F94">
            <w:pPr>
              <w:spacing w:before="79"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55E41813">
            <w:pPr>
              <w:spacing w:before="8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c>
          <w:tcPr>
            <w:tcW w:w="1387" w:type="dxa"/>
            <w:vAlign w:val="top"/>
          </w:tcPr>
          <w:p w14:paraId="65D65022">
            <w:pPr>
              <w:spacing w:before="8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63984652">
            <w:pPr>
              <w:spacing w:before="8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7448252C">
            <w:pPr>
              <w:pStyle w:val="6"/>
              <w:spacing w:before="46" w:line="208" w:lineRule="auto"/>
              <w:ind w:left="226"/>
              <w:rPr>
                <w:sz w:val="20"/>
                <w:szCs w:val="20"/>
              </w:rPr>
            </w:pPr>
            <w:r>
              <w:rPr>
                <w:sz w:val="20"/>
                <w:szCs w:val="20"/>
              </w:rPr>
              <w:t>是</w:t>
            </w:r>
          </w:p>
        </w:tc>
        <w:tc>
          <w:tcPr>
            <w:tcW w:w="118" w:type="dxa"/>
            <w:tcBorders>
              <w:top w:val="nil"/>
              <w:bottom w:val="nil"/>
            </w:tcBorders>
            <w:vAlign w:val="top"/>
          </w:tcPr>
          <w:p w14:paraId="76FEE7F3">
            <w:pPr>
              <w:rPr>
                <w:rFonts w:ascii="Arial"/>
                <w:sz w:val="21"/>
              </w:rPr>
            </w:pPr>
          </w:p>
        </w:tc>
      </w:tr>
      <w:tr w14:paraId="7CDD0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59" w:type="dxa"/>
            <w:vMerge w:val="continue"/>
            <w:tcBorders>
              <w:top w:val="nil"/>
              <w:bottom w:val="nil"/>
            </w:tcBorders>
            <w:vAlign w:val="top"/>
          </w:tcPr>
          <w:p w14:paraId="7D612FC9">
            <w:pPr>
              <w:rPr>
                <w:rFonts w:ascii="Arial"/>
                <w:sz w:val="21"/>
              </w:rPr>
            </w:pPr>
          </w:p>
        </w:tc>
        <w:tc>
          <w:tcPr>
            <w:tcW w:w="113" w:type="dxa"/>
            <w:tcBorders>
              <w:top w:val="nil"/>
              <w:bottom w:val="nil"/>
            </w:tcBorders>
            <w:vAlign w:val="top"/>
          </w:tcPr>
          <w:p w14:paraId="00196672">
            <w:pPr>
              <w:rPr>
                <w:rFonts w:ascii="Arial"/>
                <w:sz w:val="21"/>
              </w:rPr>
            </w:pPr>
          </w:p>
        </w:tc>
        <w:tc>
          <w:tcPr>
            <w:tcW w:w="637" w:type="dxa"/>
            <w:vMerge w:val="continue"/>
            <w:tcBorders>
              <w:top w:val="nil"/>
              <w:bottom w:val="nil"/>
            </w:tcBorders>
            <w:vAlign w:val="top"/>
          </w:tcPr>
          <w:p w14:paraId="2827BD52">
            <w:pPr>
              <w:rPr>
                <w:rFonts w:ascii="Arial"/>
                <w:sz w:val="21"/>
              </w:rPr>
            </w:pPr>
          </w:p>
        </w:tc>
        <w:tc>
          <w:tcPr>
            <w:tcW w:w="1524" w:type="dxa"/>
            <w:vAlign w:val="top"/>
          </w:tcPr>
          <w:p w14:paraId="3823065E">
            <w:pPr>
              <w:pStyle w:val="6"/>
              <w:spacing w:before="43" w:line="212" w:lineRule="auto"/>
              <w:ind w:left="310"/>
              <w:rPr>
                <w:sz w:val="20"/>
                <w:szCs w:val="20"/>
              </w:rPr>
            </w:pPr>
            <w:r>
              <w:rPr>
                <w:spacing w:val="6"/>
                <w:sz w:val="20"/>
                <w:szCs w:val="20"/>
              </w:rPr>
              <w:t>邻</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740F0985">
            <w:pPr>
              <w:spacing w:before="75"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34D7D090">
            <w:pPr>
              <w:spacing w:before="79"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455BA22C">
            <w:pPr>
              <w:spacing w:before="7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0F0400AD">
            <w:pPr>
              <w:spacing w:before="7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68B19282">
            <w:pPr>
              <w:pStyle w:val="6"/>
              <w:spacing w:before="43" w:line="212" w:lineRule="auto"/>
              <w:ind w:left="226"/>
              <w:rPr>
                <w:sz w:val="20"/>
                <w:szCs w:val="20"/>
              </w:rPr>
            </w:pPr>
            <w:r>
              <w:rPr>
                <w:sz w:val="20"/>
                <w:szCs w:val="20"/>
              </w:rPr>
              <w:t>是</w:t>
            </w:r>
          </w:p>
        </w:tc>
        <w:tc>
          <w:tcPr>
            <w:tcW w:w="118" w:type="dxa"/>
            <w:tcBorders>
              <w:top w:val="nil"/>
              <w:bottom w:val="nil"/>
            </w:tcBorders>
            <w:vAlign w:val="top"/>
          </w:tcPr>
          <w:p w14:paraId="79074116">
            <w:pPr>
              <w:rPr>
                <w:rFonts w:ascii="Arial"/>
                <w:sz w:val="21"/>
              </w:rPr>
            </w:pPr>
          </w:p>
        </w:tc>
      </w:tr>
      <w:tr w14:paraId="40007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459" w:type="dxa"/>
            <w:vMerge w:val="continue"/>
            <w:tcBorders>
              <w:top w:val="nil"/>
              <w:bottom w:val="nil"/>
            </w:tcBorders>
            <w:vAlign w:val="top"/>
          </w:tcPr>
          <w:p w14:paraId="14981A15">
            <w:pPr>
              <w:rPr>
                <w:rFonts w:ascii="Arial"/>
                <w:sz w:val="21"/>
              </w:rPr>
            </w:pPr>
          </w:p>
        </w:tc>
        <w:tc>
          <w:tcPr>
            <w:tcW w:w="113" w:type="dxa"/>
            <w:tcBorders>
              <w:top w:val="nil"/>
              <w:bottom w:val="nil"/>
            </w:tcBorders>
            <w:vAlign w:val="top"/>
          </w:tcPr>
          <w:p w14:paraId="3E5A2830">
            <w:pPr>
              <w:rPr>
                <w:rFonts w:ascii="Arial"/>
                <w:sz w:val="21"/>
              </w:rPr>
            </w:pPr>
          </w:p>
        </w:tc>
        <w:tc>
          <w:tcPr>
            <w:tcW w:w="637" w:type="dxa"/>
            <w:vMerge w:val="continue"/>
            <w:tcBorders>
              <w:top w:val="nil"/>
              <w:bottom w:val="nil"/>
            </w:tcBorders>
            <w:vAlign w:val="top"/>
          </w:tcPr>
          <w:p w14:paraId="2FC38A31">
            <w:pPr>
              <w:rPr>
                <w:rFonts w:ascii="Arial"/>
                <w:sz w:val="21"/>
              </w:rPr>
            </w:pPr>
          </w:p>
        </w:tc>
        <w:tc>
          <w:tcPr>
            <w:tcW w:w="1524" w:type="dxa"/>
            <w:vAlign w:val="top"/>
          </w:tcPr>
          <w:p w14:paraId="5EB3477C">
            <w:pPr>
              <w:pStyle w:val="6"/>
              <w:spacing w:before="38" w:line="204" w:lineRule="auto"/>
              <w:ind w:left="327"/>
              <w:rPr>
                <w:sz w:val="20"/>
                <w:szCs w:val="20"/>
              </w:rPr>
            </w:pPr>
            <w:r>
              <w:rPr>
                <w:spacing w:val="3"/>
                <w:sz w:val="20"/>
                <w:szCs w:val="20"/>
              </w:rPr>
              <w:t>间</w:t>
            </w:r>
            <w:r>
              <w:rPr>
                <w:rFonts w:ascii="Times New Roman" w:hAnsi="Times New Roman" w:eastAsia="Times New Roman" w:cs="Times New Roman"/>
                <w:spacing w:val="3"/>
                <w:sz w:val="20"/>
                <w:szCs w:val="20"/>
              </w:rPr>
              <w:t>-</w:t>
            </w:r>
            <w:r>
              <w:rPr>
                <w:spacing w:val="3"/>
                <w:sz w:val="20"/>
                <w:szCs w:val="20"/>
              </w:rPr>
              <w:t>二甲苯</w:t>
            </w:r>
          </w:p>
        </w:tc>
        <w:tc>
          <w:tcPr>
            <w:tcW w:w="1060" w:type="dxa"/>
            <w:vAlign w:val="top"/>
          </w:tcPr>
          <w:p w14:paraId="53314757">
            <w:pPr>
              <w:spacing w:before="71" w:line="196"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76D500C8">
            <w:pPr>
              <w:spacing w:before="75" w:line="192"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36859BB">
            <w:pPr>
              <w:spacing w:before="75" w:line="192"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43CCB5EF">
            <w:pPr>
              <w:spacing w:before="75" w:line="192"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32C8E859">
            <w:pPr>
              <w:pStyle w:val="6"/>
              <w:spacing w:before="38" w:line="204" w:lineRule="auto"/>
              <w:ind w:left="226"/>
              <w:rPr>
                <w:sz w:val="20"/>
                <w:szCs w:val="20"/>
              </w:rPr>
            </w:pPr>
            <w:r>
              <w:rPr>
                <w:sz w:val="20"/>
                <w:szCs w:val="20"/>
              </w:rPr>
              <w:t>是</w:t>
            </w:r>
          </w:p>
        </w:tc>
        <w:tc>
          <w:tcPr>
            <w:tcW w:w="118" w:type="dxa"/>
            <w:tcBorders>
              <w:top w:val="nil"/>
              <w:bottom w:val="nil"/>
            </w:tcBorders>
            <w:vAlign w:val="top"/>
          </w:tcPr>
          <w:p w14:paraId="3AF400CE">
            <w:pPr>
              <w:rPr>
                <w:rFonts w:ascii="Arial"/>
                <w:sz w:val="21"/>
              </w:rPr>
            </w:pPr>
          </w:p>
        </w:tc>
      </w:tr>
      <w:tr w14:paraId="044D8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459" w:type="dxa"/>
            <w:vMerge w:val="continue"/>
            <w:tcBorders>
              <w:top w:val="nil"/>
              <w:bottom w:val="nil"/>
            </w:tcBorders>
            <w:vAlign w:val="top"/>
          </w:tcPr>
          <w:p w14:paraId="665F3991">
            <w:pPr>
              <w:rPr>
                <w:rFonts w:ascii="Arial"/>
                <w:sz w:val="21"/>
              </w:rPr>
            </w:pPr>
          </w:p>
        </w:tc>
        <w:tc>
          <w:tcPr>
            <w:tcW w:w="113" w:type="dxa"/>
            <w:tcBorders>
              <w:top w:val="nil"/>
              <w:bottom w:val="nil"/>
            </w:tcBorders>
            <w:vAlign w:val="top"/>
          </w:tcPr>
          <w:p w14:paraId="15568FBC">
            <w:pPr>
              <w:rPr>
                <w:rFonts w:ascii="Arial"/>
                <w:sz w:val="21"/>
              </w:rPr>
            </w:pPr>
          </w:p>
        </w:tc>
        <w:tc>
          <w:tcPr>
            <w:tcW w:w="637" w:type="dxa"/>
            <w:vMerge w:val="continue"/>
            <w:tcBorders>
              <w:top w:val="nil"/>
              <w:bottom w:val="nil"/>
            </w:tcBorders>
            <w:vAlign w:val="top"/>
          </w:tcPr>
          <w:p w14:paraId="4BBC6E76">
            <w:pPr>
              <w:rPr>
                <w:rFonts w:ascii="Arial"/>
                <w:sz w:val="21"/>
              </w:rPr>
            </w:pPr>
          </w:p>
        </w:tc>
        <w:tc>
          <w:tcPr>
            <w:tcW w:w="1524" w:type="dxa"/>
            <w:vAlign w:val="top"/>
          </w:tcPr>
          <w:p w14:paraId="2450752D">
            <w:pPr>
              <w:pStyle w:val="6"/>
              <w:spacing w:before="45" w:line="209" w:lineRule="auto"/>
              <w:ind w:left="310"/>
              <w:rPr>
                <w:sz w:val="20"/>
                <w:szCs w:val="20"/>
              </w:rPr>
            </w:pPr>
            <w:r>
              <w:rPr>
                <w:spacing w:val="6"/>
                <w:sz w:val="20"/>
                <w:szCs w:val="20"/>
              </w:rPr>
              <w:t>对</w:t>
            </w:r>
            <w:r>
              <w:rPr>
                <w:rFonts w:ascii="Times New Roman" w:hAnsi="Times New Roman" w:eastAsia="Times New Roman" w:cs="Times New Roman"/>
                <w:spacing w:val="6"/>
                <w:sz w:val="20"/>
                <w:szCs w:val="20"/>
              </w:rPr>
              <w:t>-</w:t>
            </w:r>
            <w:r>
              <w:rPr>
                <w:spacing w:val="6"/>
                <w:sz w:val="20"/>
                <w:szCs w:val="20"/>
              </w:rPr>
              <w:t>二甲苯</w:t>
            </w:r>
          </w:p>
        </w:tc>
        <w:tc>
          <w:tcPr>
            <w:tcW w:w="1060" w:type="dxa"/>
            <w:vAlign w:val="top"/>
          </w:tcPr>
          <w:p w14:paraId="42B20DBE">
            <w:pPr>
              <w:spacing w:before="77" w:line="199"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lh</w:t>
            </w:r>
          </w:p>
        </w:tc>
        <w:tc>
          <w:tcPr>
            <w:tcW w:w="1273" w:type="dxa"/>
            <w:vAlign w:val="top"/>
          </w:tcPr>
          <w:p w14:paraId="4761C186">
            <w:pPr>
              <w:spacing w:before="81"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87" w:type="dxa"/>
            <w:vAlign w:val="top"/>
          </w:tcPr>
          <w:p w14:paraId="0CFC4A78">
            <w:pPr>
              <w:spacing w:before="8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1413" w:type="dxa"/>
            <w:vAlign w:val="top"/>
          </w:tcPr>
          <w:p w14:paraId="7863F397">
            <w:pPr>
              <w:spacing w:before="8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&lt;0.0015</w:t>
            </w:r>
          </w:p>
        </w:tc>
        <w:tc>
          <w:tcPr>
            <w:tcW w:w="641" w:type="dxa"/>
            <w:vAlign w:val="top"/>
          </w:tcPr>
          <w:p w14:paraId="17D4FCC7">
            <w:pPr>
              <w:pStyle w:val="6"/>
              <w:spacing w:before="45" w:line="209" w:lineRule="auto"/>
              <w:ind w:left="226"/>
              <w:rPr>
                <w:sz w:val="20"/>
                <w:szCs w:val="20"/>
              </w:rPr>
            </w:pPr>
            <w:r>
              <w:rPr>
                <w:sz w:val="20"/>
                <w:szCs w:val="20"/>
              </w:rPr>
              <w:t>是</w:t>
            </w:r>
          </w:p>
        </w:tc>
        <w:tc>
          <w:tcPr>
            <w:tcW w:w="118" w:type="dxa"/>
            <w:tcBorders>
              <w:top w:val="nil"/>
              <w:bottom w:val="nil"/>
            </w:tcBorders>
            <w:vAlign w:val="top"/>
          </w:tcPr>
          <w:p w14:paraId="441F2091">
            <w:pPr>
              <w:rPr>
                <w:rFonts w:ascii="Arial"/>
                <w:sz w:val="21"/>
              </w:rPr>
            </w:pPr>
          </w:p>
        </w:tc>
      </w:tr>
      <w:tr w14:paraId="6A2D9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59" w:type="dxa"/>
            <w:vMerge w:val="continue"/>
            <w:tcBorders>
              <w:top w:val="nil"/>
              <w:bottom w:val="nil"/>
            </w:tcBorders>
            <w:vAlign w:val="top"/>
          </w:tcPr>
          <w:p w14:paraId="69549CB5">
            <w:pPr>
              <w:rPr>
                <w:rFonts w:ascii="Arial"/>
                <w:sz w:val="21"/>
              </w:rPr>
            </w:pPr>
          </w:p>
        </w:tc>
        <w:tc>
          <w:tcPr>
            <w:tcW w:w="113" w:type="dxa"/>
            <w:tcBorders>
              <w:top w:val="nil"/>
              <w:bottom w:val="nil"/>
            </w:tcBorders>
            <w:vAlign w:val="top"/>
          </w:tcPr>
          <w:p w14:paraId="222C570E">
            <w:pPr>
              <w:rPr>
                <w:rFonts w:ascii="Arial"/>
                <w:sz w:val="21"/>
              </w:rPr>
            </w:pPr>
          </w:p>
        </w:tc>
        <w:tc>
          <w:tcPr>
            <w:tcW w:w="637" w:type="dxa"/>
            <w:vMerge w:val="continue"/>
            <w:tcBorders>
              <w:top w:val="nil"/>
            </w:tcBorders>
            <w:vAlign w:val="top"/>
          </w:tcPr>
          <w:p w14:paraId="150EED66">
            <w:pPr>
              <w:rPr>
                <w:rFonts w:ascii="Arial"/>
                <w:sz w:val="21"/>
              </w:rPr>
            </w:pPr>
          </w:p>
        </w:tc>
        <w:tc>
          <w:tcPr>
            <w:tcW w:w="1524" w:type="dxa"/>
            <w:vAlign w:val="top"/>
          </w:tcPr>
          <w:p w14:paraId="3ACD7BE2">
            <w:pPr>
              <w:spacing w:before="77"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TVOC</w:t>
            </w:r>
          </w:p>
        </w:tc>
        <w:tc>
          <w:tcPr>
            <w:tcW w:w="1060" w:type="dxa"/>
            <w:vAlign w:val="top"/>
          </w:tcPr>
          <w:p w14:paraId="4B89AACA">
            <w:pPr>
              <w:spacing w:before="73"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8h</w:t>
            </w:r>
          </w:p>
        </w:tc>
        <w:tc>
          <w:tcPr>
            <w:tcW w:w="1273" w:type="dxa"/>
            <w:vAlign w:val="top"/>
          </w:tcPr>
          <w:p w14:paraId="19EA7D04">
            <w:pPr>
              <w:spacing w:before="7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87" w:type="dxa"/>
            <w:vAlign w:val="top"/>
          </w:tcPr>
          <w:p w14:paraId="35524D7B">
            <w:pPr>
              <w:spacing w:before="77"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&lt;0.0003</w:t>
            </w:r>
          </w:p>
        </w:tc>
        <w:tc>
          <w:tcPr>
            <w:tcW w:w="1413" w:type="dxa"/>
            <w:vAlign w:val="top"/>
          </w:tcPr>
          <w:p w14:paraId="4D480340">
            <w:pPr>
              <w:spacing w:before="77"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&lt;0.001</w:t>
            </w:r>
          </w:p>
        </w:tc>
        <w:tc>
          <w:tcPr>
            <w:tcW w:w="641" w:type="dxa"/>
            <w:vAlign w:val="top"/>
          </w:tcPr>
          <w:p w14:paraId="4490A458">
            <w:pPr>
              <w:pStyle w:val="6"/>
              <w:spacing w:before="41" w:line="215" w:lineRule="auto"/>
              <w:ind w:left="226"/>
              <w:rPr>
                <w:sz w:val="20"/>
                <w:szCs w:val="20"/>
              </w:rPr>
            </w:pPr>
            <w:r>
              <w:rPr>
                <w:sz w:val="20"/>
                <w:szCs w:val="20"/>
              </w:rPr>
              <w:t>是</w:t>
            </w:r>
          </w:p>
        </w:tc>
        <w:tc>
          <w:tcPr>
            <w:tcW w:w="118" w:type="dxa"/>
            <w:tcBorders>
              <w:top w:val="nil"/>
              <w:bottom w:val="nil"/>
            </w:tcBorders>
            <w:vAlign w:val="top"/>
          </w:tcPr>
          <w:p w14:paraId="3A83286C">
            <w:pPr>
              <w:rPr>
                <w:rFonts w:ascii="Arial"/>
                <w:sz w:val="21"/>
              </w:rPr>
            </w:pPr>
          </w:p>
        </w:tc>
      </w:tr>
      <w:tr w14:paraId="3C728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1" w:hRule="atLeast"/>
        </w:trPr>
        <w:tc>
          <w:tcPr>
            <w:tcW w:w="459" w:type="dxa"/>
            <w:vMerge w:val="continue"/>
            <w:tcBorders>
              <w:top w:val="nil"/>
            </w:tcBorders>
            <w:vAlign w:val="top"/>
          </w:tcPr>
          <w:p w14:paraId="7DFA3AB6">
            <w:pPr>
              <w:rPr>
                <w:rFonts w:ascii="Arial"/>
                <w:sz w:val="21"/>
              </w:rPr>
            </w:pPr>
          </w:p>
        </w:tc>
        <w:tc>
          <w:tcPr>
            <w:tcW w:w="8166" w:type="dxa"/>
            <w:gridSpan w:val="9"/>
            <w:vAlign w:val="top"/>
          </w:tcPr>
          <w:p w14:paraId="43B4E636">
            <w:pPr>
              <w:pStyle w:val="6"/>
              <w:spacing w:before="39" w:line="359" w:lineRule="auto"/>
              <w:ind w:left="114" w:right="8" w:firstLine="480"/>
              <w:jc w:val="both"/>
              <w:rPr>
                <w:sz w:val="24"/>
                <w:szCs w:val="24"/>
              </w:rPr>
            </w:pPr>
            <w:r>
              <w:rPr>
                <w:spacing w:val="28"/>
                <w:sz w:val="24"/>
                <w:szCs w:val="24"/>
              </w:rPr>
              <w:t>根据监测结果可知</w:t>
            </w:r>
            <w:r>
              <w:rPr>
                <w:spacing w:val="-52"/>
                <w:sz w:val="24"/>
                <w:szCs w:val="24"/>
              </w:rPr>
              <w:t xml:space="preserve"> </w:t>
            </w:r>
            <w:r>
              <w:rPr>
                <w:spacing w:val="28"/>
                <w:sz w:val="24"/>
                <w:szCs w:val="24"/>
              </w:rPr>
              <w:t>，</w:t>
            </w:r>
            <w:r>
              <w:rPr>
                <w:spacing w:val="-70"/>
                <w:sz w:val="24"/>
                <w:szCs w:val="24"/>
              </w:rPr>
              <w:t xml:space="preserve"> </w:t>
            </w:r>
            <w:r>
              <w:rPr>
                <w:spacing w:val="28"/>
                <w:sz w:val="24"/>
                <w:szCs w:val="24"/>
              </w:rPr>
              <w:t>各监测因子均满足《</w:t>
            </w:r>
            <w:r>
              <w:rPr>
                <w:spacing w:val="-48"/>
                <w:sz w:val="24"/>
                <w:szCs w:val="24"/>
              </w:rPr>
              <w:t xml:space="preserve"> </w:t>
            </w:r>
            <w:r>
              <w:rPr>
                <w:spacing w:val="28"/>
                <w:sz w:val="24"/>
                <w:szCs w:val="24"/>
              </w:rPr>
              <w:t>环境空气质</w:t>
            </w:r>
            <w:r>
              <w:rPr>
                <w:spacing w:val="27"/>
                <w:sz w:val="24"/>
                <w:szCs w:val="24"/>
              </w:rPr>
              <w:t>量标准</w:t>
            </w:r>
            <w:r>
              <w:rPr>
                <w:spacing w:val="-59"/>
                <w:sz w:val="24"/>
                <w:szCs w:val="24"/>
              </w:rPr>
              <w:t xml:space="preserve"> </w:t>
            </w:r>
            <w:r>
              <w:rPr>
                <w:spacing w:val="27"/>
                <w:sz w:val="24"/>
                <w:szCs w:val="24"/>
              </w:rPr>
              <w:t>》</w:t>
            </w:r>
            <w:r>
              <w:rPr>
                <w:sz w:val="24"/>
                <w:szCs w:val="24"/>
              </w:rPr>
              <w:t xml:space="preserve"> </w:t>
            </w:r>
            <w:r>
              <w:rPr>
                <w:spacing w:val="-10"/>
                <w:sz w:val="24"/>
                <w:szCs w:val="24"/>
              </w:rPr>
              <w:t>（</w:t>
            </w:r>
            <w:r>
              <w:rPr>
                <w:rFonts w:ascii="Times New Roman" w:hAnsi="Times New Roman" w:eastAsia="Times New Roman" w:cs="Times New Roman"/>
                <w:spacing w:val="-10"/>
                <w:sz w:val="24"/>
                <w:szCs w:val="24"/>
              </w:rPr>
              <w:t>GB3095-2012</w:t>
            </w:r>
            <w:r>
              <w:rPr>
                <w:spacing w:val="-10"/>
                <w:sz w:val="24"/>
                <w:szCs w:val="24"/>
              </w:rPr>
              <w:t>）二级标准、《环境影响评价技术导则大气环境》（</w:t>
            </w:r>
            <w:r>
              <w:rPr>
                <w:rFonts w:ascii="Times New Roman" w:hAnsi="Times New Roman" w:eastAsia="Times New Roman" w:cs="Times New Roman"/>
                <w:spacing w:val="-10"/>
                <w:sz w:val="24"/>
                <w:szCs w:val="24"/>
              </w:rPr>
              <w:t>HJ2.2-20</w:t>
            </w:r>
            <w:r>
              <w:rPr>
                <w:rFonts w:ascii="Times New Roman" w:hAnsi="Times New Roman" w:eastAsia="Times New Roman" w:cs="Times New Roman"/>
                <w:spacing w:val="-11"/>
                <w:sz w:val="24"/>
                <w:szCs w:val="24"/>
              </w:rPr>
              <w:t>18</w:t>
            </w:r>
            <w:r>
              <w:rPr>
                <w:spacing w:val="-11"/>
                <w:sz w:val="24"/>
                <w:szCs w:val="24"/>
              </w:rPr>
              <w:t>）</w:t>
            </w:r>
            <w:r>
              <w:rPr>
                <w:sz w:val="24"/>
                <w:szCs w:val="24"/>
              </w:rPr>
              <w:t xml:space="preserve"> 附录</w:t>
            </w:r>
            <w:r>
              <w:rPr>
                <w:spacing w:val="-53"/>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32"/>
                <w:sz w:val="24"/>
                <w:szCs w:val="24"/>
              </w:rPr>
              <w:t xml:space="preserve"> </w:t>
            </w:r>
            <w:r>
              <w:rPr>
                <w:sz w:val="24"/>
                <w:szCs w:val="24"/>
              </w:rPr>
              <w:t>、《工业企业设计卫生标准》（</w:t>
            </w:r>
            <w:r>
              <w:rPr>
                <w:rFonts w:ascii="Times New Roman" w:hAnsi="Times New Roman" w:eastAsia="Times New Roman" w:cs="Times New Roman"/>
                <w:sz w:val="24"/>
                <w:szCs w:val="24"/>
              </w:rPr>
              <w:t>GBZ1-2010</w:t>
            </w:r>
            <w:r>
              <w:rPr>
                <w:sz w:val="24"/>
                <w:szCs w:val="24"/>
              </w:rPr>
              <w:t>）表</w:t>
            </w:r>
            <w:r>
              <w:rPr>
                <w:spacing w:val="-27"/>
                <w:sz w:val="24"/>
                <w:szCs w:val="24"/>
              </w:rPr>
              <w:t xml:space="preserve"> </w:t>
            </w:r>
            <w:r>
              <w:rPr>
                <w:rFonts w:ascii="Times New Roman" w:hAnsi="Times New Roman" w:eastAsia="Times New Roman" w:cs="Times New Roman"/>
                <w:sz w:val="24"/>
                <w:szCs w:val="24"/>
              </w:rPr>
              <w:t xml:space="preserve">1 </w:t>
            </w:r>
            <w:r>
              <w:rPr>
                <w:sz w:val="24"/>
                <w:szCs w:val="24"/>
              </w:rPr>
              <w:t>居住区大气</w:t>
            </w:r>
            <w:r>
              <w:rPr>
                <w:spacing w:val="-1"/>
                <w:sz w:val="24"/>
                <w:szCs w:val="24"/>
              </w:rPr>
              <w:t>中有害</w:t>
            </w:r>
            <w:r>
              <w:rPr>
                <w:sz w:val="24"/>
                <w:szCs w:val="24"/>
              </w:rPr>
              <w:t xml:space="preserve"> </w:t>
            </w:r>
            <w:r>
              <w:rPr>
                <w:spacing w:val="-9"/>
                <w:sz w:val="24"/>
                <w:szCs w:val="24"/>
              </w:rPr>
              <w:t>物质的最高容许浓度以及《环境空气质量非甲烷总烃限值》（</w:t>
            </w:r>
            <w:r>
              <w:rPr>
                <w:rFonts w:ascii="Times New Roman" w:hAnsi="Times New Roman" w:eastAsia="Times New Roman" w:cs="Times New Roman"/>
                <w:spacing w:val="-9"/>
                <w:sz w:val="24"/>
                <w:szCs w:val="24"/>
              </w:rPr>
              <w:t>DB13/1577-2012</w:t>
            </w:r>
            <w:r>
              <w:rPr>
                <w:spacing w:val="-9"/>
                <w:sz w:val="24"/>
                <w:szCs w:val="24"/>
              </w:rPr>
              <w:t>）</w:t>
            </w:r>
            <w:r>
              <w:rPr>
                <w:spacing w:val="15"/>
                <w:sz w:val="24"/>
                <w:szCs w:val="24"/>
              </w:rPr>
              <w:t xml:space="preserve"> </w:t>
            </w:r>
            <w:r>
              <w:rPr>
                <w:spacing w:val="-2"/>
                <w:sz w:val="24"/>
                <w:szCs w:val="24"/>
              </w:rPr>
              <w:t>二级标准要求。</w:t>
            </w:r>
          </w:p>
          <w:p w14:paraId="34B06D58">
            <w:pPr>
              <w:pStyle w:val="6"/>
              <w:spacing w:line="219" w:lineRule="auto"/>
              <w:ind w:left="110"/>
              <w:outlineLvl w:val="1"/>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b/>
                <w:bCs/>
                <w:spacing w:val="-5"/>
                <w:sz w:val="24"/>
                <w:szCs w:val="24"/>
              </w:rPr>
              <w:t>、地下水环境质量</w:t>
            </w:r>
          </w:p>
          <w:p w14:paraId="462D8CC5">
            <w:pPr>
              <w:pStyle w:val="6"/>
              <w:spacing w:before="180"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）数据引用</w:t>
            </w:r>
          </w:p>
          <w:p w14:paraId="08FBA5E5">
            <w:pPr>
              <w:pStyle w:val="6"/>
              <w:spacing w:before="182" w:line="351" w:lineRule="auto"/>
              <w:ind w:left="114" w:right="107" w:firstLine="480"/>
              <w:rPr>
                <w:sz w:val="24"/>
                <w:szCs w:val="24"/>
              </w:rPr>
            </w:pPr>
            <w:r>
              <w:rPr>
                <w:spacing w:val="-2"/>
                <w:sz w:val="24"/>
                <w:szCs w:val="24"/>
              </w:rPr>
              <w:t>本次评价引用《鄂托克经济开发区国土空间总体规划（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w:t>
            </w:r>
            <w:r>
              <w:rPr>
                <w:spacing w:val="9"/>
                <w:sz w:val="24"/>
                <w:szCs w:val="24"/>
              </w:rPr>
              <w:t xml:space="preserve"> </w:t>
            </w:r>
            <w:r>
              <w:rPr>
                <w:sz w:val="24"/>
                <w:szCs w:val="24"/>
              </w:rPr>
              <w:t>井产业园环境影响报告书》（</w:t>
            </w:r>
            <w:r>
              <w:rPr>
                <w:rFonts w:ascii="Times New Roman" w:hAnsi="Times New Roman" w:eastAsia="Times New Roman" w:cs="Times New Roman"/>
                <w:sz w:val="24"/>
                <w:szCs w:val="24"/>
              </w:rPr>
              <w:t>2023</w:t>
            </w:r>
            <w:r>
              <w:rPr>
                <w:sz w:val="24"/>
                <w:szCs w:val="24"/>
              </w:rPr>
              <w:t>年</w:t>
            </w:r>
            <w:r>
              <w:rPr>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5"/>
                <w:sz w:val="24"/>
                <w:szCs w:val="24"/>
              </w:rPr>
              <w:t xml:space="preserve"> </w:t>
            </w:r>
            <w:r>
              <w:rPr>
                <w:sz w:val="24"/>
                <w:szCs w:val="24"/>
              </w:rPr>
              <w:t>月）中“棋西项目区地</w:t>
            </w:r>
            <w:r>
              <w:rPr>
                <w:spacing w:val="-1"/>
                <w:sz w:val="24"/>
                <w:szCs w:val="24"/>
              </w:rPr>
              <w:t>下水环境质量</w:t>
            </w:r>
            <w:r>
              <w:rPr>
                <w:sz w:val="24"/>
                <w:szCs w:val="24"/>
              </w:rPr>
              <w:t xml:space="preserve"> </w:t>
            </w:r>
            <w:r>
              <w:rPr>
                <w:spacing w:val="-4"/>
                <w:sz w:val="24"/>
                <w:szCs w:val="24"/>
              </w:rPr>
              <w:t>变化趋势分析</w:t>
            </w:r>
            <w:r>
              <w:rPr>
                <w:spacing w:val="-88"/>
                <w:sz w:val="24"/>
                <w:szCs w:val="24"/>
              </w:rPr>
              <w:t xml:space="preserve"> </w:t>
            </w:r>
            <w:r>
              <w:rPr>
                <w:spacing w:val="-4"/>
                <w:sz w:val="24"/>
                <w:szCs w:val="24"/>
              </w:rPr>
              <w:t>”中内蒙古鄂尔多斯电力冶金集团氯碱化工分公司的</w:t>
            </w:r>
            <w:r>
              <w:rPr>
                <w:spacing w:val="-56"/>
                <w:sz w:val="24"/>
                <w:szCs w:val="24"/>
              </w:rPr>
              <w:t xml:space="preserve"> </w:t>
            </w:r>
            <w:r>
              <w:rPr>
                <w:rFonts w:ascii="Times New Roman" w:hAnsi="Times New Roman" w:eastAsia="Times New Roman" w:cs="Times New Roman"/>
                <w:spacing w:val="-4"/>
                <w:sz w:val="24"/>
                <w:szCs w:val="24"/>
              </w:rPr>
              <w:t>PV</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14"/>
                <w:sz w:val="24"/>
                <w:szCs w:val="24"/>
              </w:rPr>
              <w:t xml:space="preserve"> </w:t>
            </w:r>
            <w:r>
              <w:rPr>
                <w:spacing w:val="-5"/>
                <w:sz w:val="24"/>
                <w:szCs w:val="24"/>
              </w:rPr>
              <w:t>二工</w:t>
            </w:r>
            <w:r>
              <w:rPr>
                <w:sz w:val="24"/>
                <w:szCs w:val="24"/>
              </w:rPr>
              <w:t xml:space="preserve"> 厂地下水跟踪监测资料，监测单位为内蒙古浩宇环</w:t>
            </w:r>
            <w:r>
              <w:rPr>
                <w:spacing w:val="-1"/>
                <w:sz w:val="24"/>
                <w:szCs w:val="24"/>
              </w:rPr>
              <w:t>保有限公司，采样时间为</w:t>
            </w:r>
          </w:p>
        </w:tc>
      </w:tr>
    </w:tbl>
    <w:p w14:paraId="2803F6BA">
      <w:pPr>
        <w:pStyle w:val="2"/>
        <w:spacing w:line="212" w:lineRule="exact"/>
        <w:rPr>
          <w:sz w:val="18"/>
        </w:rPr>
      </w:pPr>
    </w:p>
    <w:p w14:paraId="38F5DBD7">
      <w:pPr>
        <w:spacing w:line="212" w:lineRule="exact"/>
        <w:rPr>
          <w:sz w:val="18"/>
          <w:szCs w:val="18"/>
        </w:rPr>
        <w:sectPr>
          <w:footerReference r:id="rId55" w:type="default"/>
          <w:pgSz w:w="11906" w:h="16839"/>
          <w:pgMar w:top="400" w:right="1588" w:bottom="1259" w:left="1687" w:header="0" w:footer="1097" w:gutter="0"/>
          <w:cols w:space="720" w:num="1"/>
        </w:sectPr>
      </w:pPr>
    </w:p>
    <w:p w14:paraId="40CCC615">
      <w:pPr>
        <w:spacing w:before="19"/>
      </w:pPr>
    </w:p>
    <w:p w14:paraId="34AAD752">
      <w:pPr>
        <w:spacing w:before="19"/>
      </w:pPr>
    </w:p>
    <w:p w14:paraId="215CF00D">
      <w:pPr>
        <w:spacing w:before="18"/>
      </w:pPr>
    </w:p>
    <w:p w14:paraId="5CF70C2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427"/>
        <w:gridCol w:w="927"/>
        <w:gridCol w:w="708"/>
        <w:gridCol w:w="960"/>
        <w:gridCol w:w="960"/>
        <w:gridCol w:w="852"/>
        <w:gridCol w:w="640"/>
        <w:gridCol w:w="960"/>
        <w:gridCol w:w="852"/>
        <w:gridCol w:w="642"/>
        <w:gridCol w:w="124"/>
      </w:tblGrid>
      <w:tr w14:paraId="6591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460" w:type="dxa"/>
            <w:vMerge w:val="restart"/>
            <w:tcBorders>
              <w:bottom w:val="nil"/>
            </w:tcBorders>
            <w:vAlign w:val="top"/>
          </w:tcPr>
          <w:p w14:paraId="2D69EA89">
            <w:pPr>
              <w:rPr>
                <w:rFonts w:ascii="Arial"/>
                <w:sz w:val="21"/>
              </w:rPr>
            </w:pPr>
          </w:p>
        </w:tc>
        <w:tc>
          <w:tcPr>
            <w:tcW w:w="8165" w:type="dxa"/>
            <w:gridSpan w:val="12"/>
            <w:tcBorders>
              <w:bottom w:val="nil"/>
            </w:tcBorders>
            <w:vAlign w:val="top"/>
          </w:tcPr>
          <w:p w14:paraId="6B8AAA2B">
            <w:pPr>
              <w:pStyle w:val="6"/>
              <w:spacing w:before="42" w:line="219" w:lineRule="auto"/>
              <w:ind w:left="108"/>
              <w:rPr>
                <w:sz w:val="24"/>
                <w:szCs w:val="24"/>
              </w:rPr>
            </w:pPr>
            <w:r>
              <w:rPr>
                <w:rFonts w:ascii="Times New Roman" w:hAnsi="Times New Roman" w:eastAsia="Times New Roman" w:cs="Times New Roman"/>
                <w:spacing w:val="-7"/>
                <w:sz w:val="24"/>
                <w:szCs w:val="24"/>
              </w:rPr>
              <w:t xml:space="preserve">2022 </w:t>
            </w:r>
            <w:r>
              <w:rPr>
                <w:spacing w:val="-7"/>
                <w:sz w:val="24"/>
                <w:szCs w:val="24"/>
              </w:rPr>
              <w:t>年</w:t>
            </w:r>
            <w:r>
              <w:rPr>
                <w:spacing w:val="-49"/>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15"/>
                <w:w w:val="101"/>
                <w:sz w:val="24"/>
                <w:szCs w:val="24"/>
              </w:rPr>
              <w:t xml:space="preserve"> </w:t>
            </w:r>
            <w:r>
              <w:rPr>
                <w:spacing w:val="-7"/>
                <w:sz w:val="24"/>
                <w:szCs w:val="24"/>
              </w:rPr>
              <w:t>月</w:t>
            </w:r>
            <w:r>
              <w:rPr>
                <w:spacing w:val="-55"/>
                <w:sz w:val="24"/>
                <w:szCs w:val="24"/>
              </w:rPr>
              <w:t xml:space="preserve"> </w:t>
            </w:r>
            <w:r>
              <w:rPr>
                <w:rFonts w:ascii="Times New Roman" w:hAnsi="Times New Roman" w:eastAsia="Times New Roman" w:cs="Times New Roman"/>
                <w:spacing w:val="-7"/>
                <w:sz w:val="24"/>
                <w:szCs w:val="24"/>
              </w:rPr>
              <w:t xml:space="preserve">22  </w:t>
            </w:r>
            <w:r>
              <w:rPr>
                <w:spacing w:val="-7"/>
                <w:sz w:val="24"/>
                <w:szCs w:val="24"/>
              </w:rPr>
              <w:t>日。</w:t>
            </w:r>
          </w:p>
          <w:p w14:paraId="533D58E6">
            <w:pPr>
              <w:pStyle w:val="6"/>
              <w:spacing w:before="180" w:line="221" w:lineRule="auto"/>
              <w:ind w:left="60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）监测点位</w:t>
            </w:r>
          </w:p>
          <w:p w14:paraId="1939F1C1">
            <w:pPr>
              <w:pStyle w:val="6"/>
              <w:spacing w:before="179" w:line="219" w:lineRule="auto"/>
              <w:ind w:left="592"/>
              <w:rPr>
                <w:sz w:val="24"/>
                <w:szCs w:val="24"/>
              </w:rPr>
            </w:pPr>
            <w:r>
              <w:rPr>
                <w:spacing w:val="-1"/>
                <w:sz w:val="24"/>
                <w:szCs w:val="24"/>
              </w:rPr>
              <w:t>共设置</w:t>
            </w:r>
            <w:r>
              <w:rPr>
                <w:spacing w:val="-50"/>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个水质监测点，具体情况如下：</w:t>
            </w:r>
          </w:p>
          <w:p w14:paraId="7D4CE53B">
            <w:pPr>
              <w:pStyle w:val="6"/>
              <w:spacing w:before="178" w:line="227" w:lineRule="auto"/>
              <w:ind w:left="2758"/>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3-3    </w:t>
            </w:r>
            <w:r>
              <w:rPr>
                <w:b/>
                <w:bCs/>
                <w:spacing w:val="5"/>
                <w:sz w:val="20"/>
                <w:szCs w:val="20"/>
              </w:rPr>
              <w:t>监测点位布设情况表</w:t>
            </w:r>
          </w:p>
          <w:p w14:paraId="0F08ED7A">
            <w:pPr>
              <w:spacing w:line="131" w:lineRule="exact"/>
            </w:pPr>
          </w:p>
          <w:tbl>
            <w:tblPr>
              <w:tblStyle w:val="5"/>
              <w:tblW w:w="794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2920"/>
              <w:gridCol w:w="1489"/>
              <w:gridCol w:w="1354"/>
              <w:gridCol w:w="1359"/>
            </w:tblGrid>
            <w:tr w14:paraId="0A794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 w:type="dxa"/>
                  <w:vAlign w:val="top"/>
                </w:tcPr>
                <w:p w14:paraId="0FB52815">
                  <w:pPr>
                    <w:pStyle w:val="6"/>
                    <w:spacing w:before="37" w:line="216" w:lineRule="auto"/>
                    <w:ind w:left="204"/>
                    <w:rPr>
                      <w:sz w:val="20"/>
                      <w:szCs w:val="20"/>
                    </w:rPr>
                  </w:pPr>
                  <w:r>
                    <w:rPr>
                      <w:spacing w:val="5"/>
                      <w:sz w:val="20"/>
                      <w:szCs w:val="20"/>
                    </w:rPr>
                    <w:t>序号</w:t>
                  </w:r>
                </w:p>
              </w:tc>
              <w:tc>
                <w:tcPr>
                  <w:tcW w:w="2920" w:type="dxa"/>
                  <w:vAlign w:val="top"/>
                </w:tcPr>
                <w:p w14:paraId="04E8E1C9">
                  <w:pPr>
                    <w:pStyle w:val="6"/>
                    <w:spacing w:before="37" w:line="216" w:lineRule="auto"/>
                    <w:ind w:left="1264"/>
                    <w:rPr>
                      <w:sz w:val="20"/>
                      <w:szCs w:val="20"/>
                    </w:rPr>
                  </w:pPr>
                  <w:r>
                    <w:rPr>
                      <w:spacing w:val="-1"/>
                      <w:sz w:val="20"/>
                      <w:szCs w:val="20"/>
                    </w:rPr>
                    <w:t>点位</w:t>
                  </w:r>
                </w:p>
              </w:tc>
              <w:tc>
                <w:tcPr>
                  <w:tcW w:w="1489" w:type="dxa"/>
                  <w:vAlign w:val="top"/>
                </w:tcPr>
                <w:p w14:paraId="1CA29544">
                  <w:pPr>
                    <w:pStyle w:val="6"/>
                    <w:spacing w:before="37" w:line="216" w:lineRule="auto"/>
                    <w:ind w:left="543"/>
                    <w:rPr>
                      <w:sz w:val="20"/>
                      <w:szCs w:val="20"/>
                    </w:rPr>
                  </w:pPr>
                  <w:r>
                    <w:rPr>
                      <w:spacing w:val="3"/>
                      <w:sz w:val="20"/>
                      <w:szCs w:val="20"/>
                    </w:rPr>
                    <w:t>经度</w:t>
                  </w:r>
                </w:p>
              </w:tc>
              <w:tc>
                <w:tcPr>
                  <w:tcW w:w="1354" w:type="dxa"/>
                  <w:vAlign w:val="top"/>
                </w:tcPr>
                <w:p w14:paraId="30E0FAE6">
                  <w:pPr>
                    <w:pStyle w:val="6"/>
                    <w:spacing w:before="37" w:line="216" w:lineRule="auto"/>
                    <w:ind w:left="474"/>
                    <w:rPr>
                      <w:sz w:val="20"/>
                      <w:szCs w:val="20"/>
                    </w:rPr>
                  </w:pPr>
                  <w:r>
                    <w:rPr>
                      <w:spacing w:val="4"/>
                      <w:sz w:val="20"/>
                      <w:szCs w:val="20"/>
                    </w:rPr>
                    <w:t>纬度</w:t>
                  </w:r>
                </w:p>
              </w:tc>
              <w:tc>
                <w:tcPr>
                  <w:tcW w:w="1359" w:type="dxa"/>
                  <w:vAlign w:val="top"/>
                </w:tcPr>
                <w:p w14:paraId="4191FF20">
                  <w:pPr>
                    <w:pStyle w:val="6"/>
                    <w:spacing w:before="37" w:line="216" w:lineRule="auto"/>
                    <w:ind w:left="264"/>
                    <w:rPr>
                      <w:sz w:val="20"/>
                      <w:szCs w:val="20"/>
                    </w:rPr>
                  </w:pPr>
                  <w:r>
                    <w:rPr>
                      <w:spacing w:val="7"/>
                      <w:sz w:val="20"/>
                      <w:szCs w:val="20"/>
                    </w:rPr>
                    <w:t>相对位置</w:t>
                  </w:r>
                </w:p>
              </w:tc>
            </w:tr>
            <w:tr w14:paraId="75B3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5AD11F27">
                  <w:pPr>
                    <w:spacing w:before="187"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920" w:type="dxa"/>
                  <w:vAlign w:val="top"/>
                </w:tcPr>
                <w:p w14:paraId="49E43DF1">
                  <w:pPr>
                    <w:pStyle w:val="6"/>
                    <w:spacing w:before="150" w:line="228" w:lineRule="auto"/>
                    <w:ind w:left="732"/>
                    <w:rPr>
                      <w:sz w:val="20"/>
                      <w:szCs w:val="20"/>
                    </w:rPr>
                  </w:pPr>
                  <w:r>
                    <w:rPr>
                      <w:spacing w:val="8"/>
                      <w:sz w:val="20"/>
                      <w:szCs w:val="20"/>
                    </w:rPr>
                    <w:t>污水处理站下游</w:t>
                  </w:r>
                </w:p>
              </w:tc>
              <w:tc>
                <w:tcPr>
                  <w:tcW w:w="1489" w:type="dxa"/>
                  <w:vAlign w:val="top"/>
                </w:tcPr>
                <w:p w14:paraId="5C56BEF5">
                  <w:pPr>
                    <w:spacing w:before="18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106°59'33"</w:t>
                  </w:r>
                </w:p>
              </w:tc>
              <w:tc>
                <w:tcPr>
                  <w:tcW w:w="1354" w:type="dxa"/>
                  <w:vAlign w:val="top"/>
                </w:tcPr>
                <w:p w14:paraId="4BCFB801">
                  <w:pPr>
                    <w:spacing w:before="18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39°21'25"</w:t>
                  </w:r>
                </w:p>
              </w:tc>
              <w:tc>
                <w:tcPr>
                  <w:tcW w:w="1359" w:type="dxa"/>
                  <w:vAlign w:val="top"/>
                </w:tcPr>
                <w:p w14:paraId="206916AF">
                  <w:pPr>
                    <w:pStyle w:val="6"/>
                    <w:spacing w:before="31" w:line="227" w:lineRule="auto"/>
                    <w:ind w:left="159"/>
                    <w:rPr>
                      <w:sz w:val="20"/>
                      <w:szCs w:val="20"/>
                    </w:rPr>
                  </w:pPr>
                  <w:r>
                    <w:rPr>
                      <w:spacing w:val="8"/>
                      <w:sz w:val="20"/>
                      <w:szCs w:val="20"/>
                    </w:rPr>
                    <w:t>本项目西侧</w:t>
                  </w:r>
                </w:p>
                <w:p w14:paraId="06C1B94A">
                  <w:pPr>
                    <w:spacing w:before="43" w:line="196"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1.97km</w:t>
                  </w:r>
                </w:p>
              </w:tc>
            </w:tr>
            <w:tr w14:paraId="3D33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75549A54">
                  <w:pPr>
                    <w:spacing w:before="18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920" w:type="dxa"/>
                  <w:vAlign w:val="top"/>
                </w:tcPr>
                <w:p w14:paraId="5639E4EC">
                  <w:pPr>
                    <w:pStyle w:val="6"/>
                    <w:spacing w:before="151" w:line="227" w:lineRule="auto"/>
                    <w:ind w:left="733"/>
                    <w:rPr>
                      <w:sz w:val="20"/>
                      <w:szCs w:val="20"/>
                    </w:rPr>
                  </w:pPr>
                  <w:r>
                    <w:rPr>
                      <w:spacing w:val="8"/>
                      <w:sz w:val="20"/>
                      <w:szCs w:val="20"/>
                    </w:rPr>
                    <w:t>厂区西北角下游</w:t>
                  </w:r>
                </w:p>
              </w:tc>
              <w:tc>
                <w:tcPr>
                  <w:tcW w:w="1489" w:type="dxa"/>
                  <w:vAlign w:val="top"/>
                </w:tcPr>
                <w:p w14:paraId="5E8ACCB5">
                  <w:pPr>
                    <w:spacing w:before="18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19"</w:t>
                  </w:r>
                </w:p>
              </w:tc>
              <w:tc>
                <w:tcPr>
                  <w:tcW w:w="1354" w:type="dxa"/>
                  <w:vAlign w:val="top"/>
                </w:tcPr>
                <w:p w14:paraId="46404890">
                  <w:pPr>
                    <w:spacing w:before="18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39°21'40"</w:t>
                  </w:r>
                </w:p>
              </w:tc>
              <w:tc>
                <w:tcPr>
                  <w:tcW w:w="1359" w:type="dxa"/>
                  <w:vAlign w:val="top"/>
                </w:tcPr>
                <w:p w14:paraId="15E7B107">
                  <w:pPr>
                    <w:pStyle w:val="6"/>
                    <w:spacing w:before="31" w:line="227" w:lineRule="auto"/>
                    <w:ind w:left="159"/>
                    <w:rPr>
                      <w:sz w:val="20"/>
                      <w:szCs w:val="20"/>
                    </w:rPr>
                  </w:pPr>
                  <w:r>
                    <w:rPr>
                      <w:spacing w:val="8"/>
                      <w:sz w:val="20"/>
                      <w:szCs w:val="20"/>
                    </w:rPr>
                    <w:t>本项目西侧</w:t>
                  </w:r>
                </w:p>
                <w:p w14:paraId="76B1B697">
                  <w:pPr>
                    <w:spacing w:before="43"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2.21</w:t>
                  </w:r>
                  <w:r>
                    <w:rPr>
                      <w:rFonts w:ascii="Times New Roman" w:hAnsi="Times New Roman" w:eastAsia="Times New Roman" w:cs="Times New Roman"/>
                      <w:sz w:val="20"/>
                      <w:szCs w:val="20"/>
                    </w:rPr>
                    <w:t>km</w:t>
                  </w:r>
                </w:p>
              </w:tc>
            </w:tr>
            <w:tr w14:paraId="3048A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59B73420">
                  <w:pPr>
                    <w:spacing w:before="18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20" w:type="dxa"/>
                  <w:vAlign w:val="top"/>
                </w:tcPr>
                <w:p w14:paraId="4DEB4AB6">
                  <w:pPr>
                    <w:pStyle w:val="6"/>
                    <w:spacing w:before="153" w:line="228" w:lineRule="auto"/>
                    <w:ind w:left="836"/>
                    <w:rPr>
                      <w:sz w:val="20"/>
                      <w:szCs w:val="20"/>
                    </w:rPr>
                  </w:pPr>
                  <w:r>
                    <w:rPr>
                      <w:spacing w:val="7"/>
                      <w:sz w:val="20"/>
                      <w:szCs w:val="20"/>
                    </w:rPr>
                    <w:t>危废库房下游</w:t>
                  </w:r>
                </w:p>
              </w:tc>
              <w:tc>
                <w:tcPr>
                  <w:tcW w:w="1489" w:type="dxa"/>
                  <w:vAlign w:val="top"/>
                </w:tcPr>
                <w:p w14:paraId="159C5869">
                  <w:pPr>
                    <w:spacing w:before="18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106°59'33"</w:t>
                  </w:r>
                </w:p>
              </w:tc>
              <w:tc>
                <w:tcPr>
                  <w:tcW w:w="1354" w:type="dxa"/>
                  <w:vAlign w:val="top"/>
                </w:tcPr>
                <w:p w14:paraId="34D6C6F9">
                  <w:pPr>
                    <w:spacing w:before="18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39°21'29"</w:t>
                  </w:r>
                </w:p>
              </w:tc>
              <w:tc>
                <w:tcPr>
                  <w:tcW w:w="1359" w:type="dxa"/>
                  <w:vAlign w:val="top"/>
                </w:tcPr>
                <w:p w14:paraId="65EEE1AE">
                  <w:pPr>
                    <w:pStyle w:val="6"/>
                    <w:spacing w:before="33" w:line="227" w:lineRule="auto"/>
                    <w:ind w:left="159"/>
                    <w:rPr>
                      <w:sz w:val="20"/>
                      <w:szCs w:val="20"/>
                    </w:rPr>
                  </w:pPr>
                  <w:r>
                    <w:rPr>
                      <w:spacing w:val="8"/>
                      <w:sz w:val="20"/>
                      <w:szCs w:val="20"/>
                    </w:rPr>
                    <w:t>本项目西侧</w:t>
                  </w:r>
                </w:p>
                <w:p w14:paraId="3FE0B8D2">
                  <w:pPr>
                    <w:spacing w:before="43" w:line="193"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1.93km</w:t>
                  </w:r>
                </w:p>
              </w:tc>
            </w:tr>
            <w:tr w14:paraId="630E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069BAD7E">
                  <w:pPr>
                    <w:spacing w:before="19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920" w:type="dxa"/>
                  <w:vAlign w:val="top"/>
                </w:tcPr>
                <w:p w14:paraId="68250612">
                  <w:pPr>
                    <w:pStyle w:val="6"/>
                    <w:spacing w:before="153" w:line="228" w:lineRule="auto"/>
                    <w:ind w:left="1046"/>
                    <w:rPr>
                      <w:sz w:val="20"/>
                      <w:szCs w:val="20"/>
                    </w:rPr>
                  </w:pPr>
                  <w:r>
                    <w:rPr>
                      <w:spacing w:val="6"/>
                      <w:sz w:val="20"/>
                      <w:szCs w:val="20"/>
                    </w:rPr>
                    <w:t>罐区下游</w:t>
                  </w:r>
                </w:p>
              </w:tc>
              <w:tc>
                <w:tcPr>
                  <w:tcW w:w="1489" w:type="dxa"/>
                  <w:vAlign w:val="top"/>
                </w:tcPr>
                <w:p w14:paraId="34F71792">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106°59'51"</w:t>
                  </w:r>
                </w:p>
              </w:tc>
              <w:tc>
                <w:tcPr>
                  <w:tcW w:w="1354" w:type="dxa"/>
                  <w:vAlign w:val="top"/>
                </w:tcPr>
                <w:p w14:paraId="020923FB">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39°21'33"</w:t>
                  </w:r>
                </w:p>
              </w:tc>
              <w:tc>
                <w:tcPr>
                  <w:tcW w:w="1359" w:type="dxa"/>
                  <w:vAlign w:val="top"/>
                </w:tcPr>
                <w:p w14:paraId="2698660B">
                  <w:pPr>
                    <w:pStyle w:val="6"/>
                    <w:spacing w:before="34" w:line="227" w:lineRule="auto"/>
                    <w:ind w:left="159"/>
                    <w:rPr>
                      <w:sz w:val="20"/>
                      <w:szCs w:val="20"/>
                    </w:rPr>
                  </w:pPr>
                  <w:r>
                    <w:rPr>
                      <w:spacing w:val="8"/>
                      <w:sz w:val="20"/>
                      <w:szCs w:val="20"/>
                    </w:rPr>
                    <w:t>本项目西侧</w:t>
                  </w:r>
                </w:p>
                <w:p w14:paraId="554A7216">
                  <w:pPr>
                    <w:spacing w:before="42" w:line="193"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1.48km</w:t>
                  </w:r>
                </w:p>
              </w:tc>
            </w:tr>
            <w:tr w14:paraId="2D6E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19" w:type="dxa"/>
                  <w:vAlign w:val="top"/>
                </w:tcPr>
                <w:p w14:paraId="74F04512">
                  <w:pPr>
                    <w:spacing w:before="193" w:line="192"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920" w:type="dxa"/>
                  <w:vAlign w:val="top"/>
                </w:tcPr>
                <w:p w14:paraId="6AACFC6E">
                  <w:pPr>
                    <w:pStyle w:val="6"/>
                    <w:spacing w:before="154" w:line="227" w:lineRule="auto"/>
                    <w:ind w:left="733"/>
                    <w:rPr>
                      <w:sz w:val="20"/>
                      <w:szCs w:val="20"/>
                    </w:rPr>
                  </w:pPr>
                  <w:r>
                    <w:rPr>
                      <w:spacing w:val="8"/>
                      <w:sz w:val="20"/>
                      <w:szCs w:val="20"/>
                    </w:rPr>
                    <w:t>厂区东南角上游</w:t>
                  </w:r>
                </w:p>
              </w:tc>
              <w:tc>
                <w:tcPr>
                  <w:tcW w:w="1489" w:type="dxa"/>
                  <w:vAlign w:val="top"/>
                </w:tcPr>
                <w:p w14:paraId="02480B94">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106°59'51"</w:t>
                  </w:r>
                </w:p>
              </w:tc>
              <w:tc>
                <w:tcPr>
                  <w:tcW w:w="1354" w:type="dxa"/>
                  <w:vAlign w:val="top"/>
                </w:tcPr>
                <w:p w14:paraId="370EF2CF">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39°21'33"</w:t>
                  </w:r>
                </w:p>
              </w:tc>
              <w:tc>
                <w:tcPr>
                  <w:tcW w:w="1359" w:type="dxa"/>
                  <w:vAlign w:val="top"/>
                </w:tcPr>
                <w:p w14:paraId="2DC16605">
                  <w:pPr>
                    <w:pStyle w:val="6"/>
                    <w:spacing w:before="34" w:line="227" w:lineRule="auto"/>
                    <w:ind w:left="159"/>
                    <w:rPr>
                      <w:sz w:val="20"/>
                      <w:szCs w:val="20"/>
                    </w:rPr>
                  </w:pPr>
                  <w:r>
                    <w:rPr>
                      <w:spacing w:val="8"/>
                      <w:sz w:val="20"/>
                      <w:szCs w:val="20"/>
                    </w:rPr>
                    <w:t>本项目西侧</w:t>
                  </w:r>
                </w:p>
                <w:p w14:paraId="6E875C51">
                  <w:pPr>
                    <w:spacing w:before="43" w:line="192"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1.48km</w:t>
                  </w:r>
                </w:p>
              </w:tc>
            </w:tr>
            <w:tr w14:paraId="702E1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19" w:type="dxa"/>
                  <w:vAlign w:val="top"/>
                </w:tcPr>
                <w:p w14:paraId="30CACFDC">
                  <w:pPr>
                    <w:spacing w:before="19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920" w:type="dxa"/>
                  <w:vAlign w:val="top"/>
                </w:tcPr>
                <w:p w14:paraId="6BACBBD3">
                  <w:pPr>
                    <w:pStyle w:val="6"/>
                    <w:spacing w:before="154" w:line="228" w:lineRule="auto"/>
                    <w:ind w:left="836"/>
                    <w:rPr>
                      <w:sz w:val="20"/>
                      <w:szCs w:val="20"/>
                    </w:rPr>
                  </w:pPr>
                  <w:r>
                    <w:rPr>
                      <w:spacing w:val="7"/>
                      <w:sz w:val="20"/>
                      <w:szCs w:val="20"/>
                    </w:rPr>
                    <w:t>厂区东界上游</w:t>
                  </w:r>
                </w:p>
              </w:tc>
              <w:tc>
                <w:tcPr>
                  <w:tcW w:w="1489" w:type="dxa"/>
                  <w:vAlign w:val="top"/>
                </w:tcPr>
                <w:p w14:paraId="01BDDEA5">
                  <w:pPr>
                    <w:spacing w:before="19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106°59'52"</w:t>
                  </w:r>
                </w:p>
              </w:tc>
              <w:tc>
                <w:tcPr>
                  <w:tcW w:w="1354" w:type="dxa"/>
                  <w:vAlign w:val="top"/>
                </w:tcPr>
                <w:p w14:paraId="019FA81D">
                  <w:pPr>
                    <w:spacing w:before="19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39°21'46"</w:t>
                  </w:r>
                </w:p>
              </w:tc>
              <w:tc>
                <w:tcPr>
                  <w:tcW w:w="1359" w:type="dxa"/>
                  <w:vAlign w:val="top"/>
                </w:tcPr>
                <w:p w14:paraId="04ACB1A4">
                  <w:pPr>
                    <w:pStyle w:val="6"/>
                    <w:spacing w:before="34" w:line="227" w:lineRule="auto"/>
                    <w:ind w:left="159"/>
                    <w:rPr>
                      <w:sz w:val="20"/>
                      <w:szCs w:val="20"/>
                    </w:rPr>
                  </w:pPr>
                  <w:r>
                    <w:rPr>
                      <w:spacing w:val="8"/>
                      <w:sz w:val="20"/>
                      <w:szCs w:val="20"/>
                    </w:rPr>
                    <w:t>本项目西侧</w:t>
                  </w:r>
                </w:p>
                <w:p w14:paraId="493FCA1C">
                  <w:pPr>
                    <w:spacing w:before="43" w:line="196"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1.44km</w:t>
                  </w:r>
                </w:p>
              </w:tc>
            </w:tr>
          </w:tbl>
          <w:p w14:paraId="588EF047">
            <w:pPr>
              <w:spacing w:line="144" w:lineRule="exact"/>
              <w:rPr>
                <w:rFonts w:ascii="Arial"/>
                <w:sz w:val="12"/>
              </w:rPr>
            </w:pPr>
          </w:p>
        </w:tc>
      </w:tr>
      <w:tr w14:paraId="5495B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460" w:type="dxa"/>
            <w:vMerge w:val="continue"/>
            <w:tcBorders>
              <w:top w:val="nil"/>
              <w:bottom w:val="nil"/>
            </w:tcBorders>
            <w:vAlign w:val="top"/>
          </w:tcPr>
          <w:p w14:paraId="3FE00EDF">
            <w:pPr>
              <w:rPr>
                <w:rFonts w:ascii="Arial"/>
                <w:sz w:val="21"/>
              </w:rPr>
            </w:pPr>
          </w:p>
        </w:tc>
        <w:tc>
          <w:tcPr>
            <w:tcW w:w="8165" w:type="dxa"/>
            <w:gridSpan w:val="12"/>
            <w:tcBorders>
              <w:top w:val="nil"/>
              <w:bottom w:val="nil"/>
            </w:tcBorders>
            <w:vAlign w:val="top"/>
          </w:tcPr>
          <w:p w14:paraId="159D65D0">
            <w:pPr>
              <w:spacing w:before="1" w:line="4361" w:lineRule="exact"/>
              <w:ind w:firstLine="103"/>
            </w:pPr>
            <w:r>
              <w:rPr>
                <w:position w:val="-87"/>
              </w:rPr>
              <w:drawing>
                <wp:inline distT="0" distB="0" distL="0" distR="0">
                  <wp:extent cx="5111115" cy="27692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7"/>
                          <a:stretch>
                            <a:fillRect/>
                          </a:stretch>
                        </pic:blipFill>
                        <pic:spPr>
                          <a:xfrm>
                            <a:off x="0" y="0"/>
                            <a:ext cx="5111495" cy="2769489"/>
                          </a:xfrm>
                          <a:prstGeom prst="rect">
                            <a:avLst/>
                          </a:prstGeom>
                        </pic:spPr>
                      </pic:pic>
                    </a:graphicData>
                  </a:graphic>
                </wp:inline>
              </w:drawing>
            </w:r>
          </w:p>
        </w:tc>
      </w:tr>
      <w:tr w14:paraId="5875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1" w:hRule="atLeast"/>
        </w:trPr>
        <w:tc>
          <w:tcPr>
            <w:tcW w:w="460" w:type="dxa"/>
            <w:vMerge w:val="continue"/>
            <w:tcBorders>
              <w:top w:val="nil"/>
              <w:bottom w:val="nil"/>
            </w:tcBorders>
            <w:vAlign w:val="top"/>
          </w:tcPr>
          <w:p w14:paraId="1A80B74E">
            <w:pPr>
              <w:rPr>
                <w:rFonts w:ascii="Arial"/>
                <w:sz w:val="21"/>
              </w:rPr>
            </w:pPr>
          </w:p>
        </w:tc>
        <w:tc>
          <w:tcPr>
            <w:tcW w:w="8165" w:type="dxa"/>
            <w:gridSpan w:val="12"/>
            <w:tcBorders>
              <w:top w:val="nil"/>
            </w:tcBorders>
            <w:vAlign w:val="top"/>
          </w:tcPr>
          <w:p w14:paraId="4EEFE856">
            <w:pPr>
              <w:pStyle w:val="6"/>
              <w:spacing w:before="173" w:line="227" w:lineRule="auto"/>
              <w:ind w:left="2990"/>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3-2    </w:t>
            </w:r>
            <w:r>
              <w:rPr>
                <w:b/>
                <w:bCs/>
                <w:spacing w:val="3"/>
                <w:sz w:val="20"/>
                <w:szCs w:val="20"/>
              </w:rPr>
              <w:t>监测点位分布图</w:t>
            </w:r>
          </w:p>
          <w:p w14:paraId="326A6F89">
            <w:pPr>
              <w:pStyle w:val="6"/>
              <w:spacing w:before="166"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）监测因子</w:t>
            </w:r>
          </w:p>
          <w:p w14:paraId="38C332D2">
            <w:pPr>
              <w:pStyle w:val="6"/>
              <w:spacing w:before="183" w:line="353" w:lineRule="auto"/>
              <w:ind w:left="107" w:right="27" w:firstLine="486"/>
              <w:rPr>
                <w:sz w:val="24"/>
                <w:szCs w:val="24"/>
              </w:rPr>
            </w:pPr>
            <w:r>
              <w:rPr>
                <w:spacing w:val="-8"/>
                <w:sz w:val="24"/>
                <w:szCs w:val="24"/>
              </w:rPr>
              <w:t>监测因子包括</w:t>
            </w:r>
            <w:r>
              <w:rPr>
                <w:spacing w:val="-52"/>
                <w:sz w:val="24"/>
                <w:szCs w:val="24"/>
              </w:rPr>
              <w:t xml:space="preserve"> </w:t>
            </w:r>
            <w:r>
              <w:rPr>
                <w:rFonts w:ascii="Times New Roman" w:hAnsi="Times New Roman" w:eastAsia="Times New Roman" w:cs="Times New Roman"/>
                <w:spacing w:val="-8"/>
                <w:sz w:val="24"/>
                <w:szCs w:val="24"/>
              </w:rPr>
              <w:t>pH</w:t>
            </w:r>
            <w:r>
              <w:rPr>
                <w:spacing w:val="-8"/>
                <w:sz w:val="24"/>
                <w:szCs w:val="24"/>
              </w:rPr>
              <w:t>、溶解性、总固体、耗氧量、总硬度、氟化物、硫酸盐、</w:t>
            </w:r>
            <w:r>
              <w:rPr>
                <w:sz w:val="24"/>
                <w:szCs w:val="24"/>
              </w:rPr>
              <w:t xml:space="preserve"> </w:t>
            </w:r>
            <w:r>
              <w:rPr>
                <w:spacing w:val="1"/>
                <w:sz w:val="24"/>
                <w:szCs w:val="24"/>
              </w:rPr>
              <w:t>氯化物、硝酸盐、亚硝酸、盐、氨氮、挥发酚、氰化物、汞、砷、铅、镉、</w:t>
            </w:r>
            <w:r>
              <w:rPr>
                <w:spacing w:val="16"/>
                <w:sz w:val="24"/>
                <w:szCs w:val="24"/>
              </w:rPr>
              <w:t xml:space="preserve"> </w:t>
            </w:r>
            <w:r>
              <w:rPr>
                <w:spacing w:val="-7"/>
                <w:sz w:val="24"/>
                <w:szCs w:val="24"/>
              </w:rPr>
              <w:t>铁、锰、锌、六价铬、总大肠菌群、菌落总数、</w:t>
            </w:r>
            <w:r>
              <w:rPr>
                <w:rFonts w:ascii="Times New Roman" w:hAnsi="Times New Roman" w:eastAsia="Times New Roman" w:cs="Times New Roman"/>
                <w:spacing w:val="-7"/>
                <w:sz w:val="24"/>
                <w:szCs w:val="24"/>
              </w:rPr>
              <w:t>K</w:t>
            </w:r>
            <w:r>
              <w:rPr>
                <w:rFonts w:ascii="Times New Roman" w:hAnsi="Times New Roman" w:eastAsia="Times New Roman" w:cs="Times New Roman"/>
                <w:spacing w:val="-7"/>
                <w:position w:val="7"/>
                <w:sz w:val="15"/>
                <w:szCs w:val="15"/>
              </w:rPr>
              <w:t>+</w:t>
            </w:r>
            <w:r>
              <w:rPr>
                <w:spacing w:val="-7"/>
                <w:sz w:val="24"/>
                <w:szCs w:val="24"/>
              </w:rPr>
              <w:t>、</w:t>
            </w:r>
            <w:r>
              <w:rPr>
                <w:rFonts w:ascii="Times New Roman" w:hAnsi="Times New Roman" w:eastAsia="Times New Roman" w:cs="Times New Roman"/>
                <w:spacing w:val="-7"/>
                <w:sz w:val="24"/>
                <w:szCs w:val="24"/>
              </w:rPr>
              <w:t>Na</w:t>
            </w:r>
            <w:r>
              <w:rPr>
                <w:rFonts w:ascii="Times New Roman" w:hAnsi="Times New Roman" w:eastAsia="Times New Roman" w:cs="Times New Roman"/>
                <w:spacing w:val="-7"/>
                <w:position w:val="7"/>
                <w:sz w:val="15"/>
                <w:szCs w:val="15"/>
              </w:rPr>
              <w:t>+</w:t>
            </w:r>
            <w:r>
              <w:rPr>
                <w:spacing w:val="-7"/>
                <w:sz w:val="24"/>
                <w:szCs w:val="24"/>
              </w:rPr>
              <w:t>、</w:t>
            </w:r>
            <w:r>
              <w:rPr>
                <w:rFonts w:ascii="Times New Roman" w:hAnsi="Times New Roman" w:eastAsia="Times New Roman" w:cs="Times New Roman"/>
                <w:spacing w:val="-7"/>
                <w:sz w:val="24"/>
                <w:szCs w:val="24"/>
              </w:rPr>
              <w:t>Ca</w:t>
            </w:r>
            <w:r>
              <w:rPr>
                <w:rFonts w:ascii="Times New Roman" w:hAnsi="Times New Roman" w:eastAsia="Times New Roman" w:cs="Times New Roman"/>
                <w:spacing w:val="-7"/>
                <w:position w:val="7"/>
                <w:sz w:val="15"/>
                <w:szCs w:val="15"/>
              </w:rPr>
              <w:t>2+</w:t>
            </w:r>
            <w:r>
              <w:rPr>
                <w:spacing w:val="-7"/>
                <w:sz w:val="24"/>
                <w:szCs w:val="24"/>
              </w:rPr>
              <w:t>、</w:t>
            </w:r>
            <w:r>
              <w:rPr>
                <w:rFonts w:ascii="Times New Roman" w:hAnsi="Times New Roman" w:eastAsia="Times New Roman" w:cs="Times New Roman"/>
                <w:spacing w:val="-7"/>
                <w:sz w:val="24"/>
                <w:szCs w:val="24"/>
              </w:rPr>
              <w:t>Mg</w:t>
            </w:r>
            <w:r>
              <w:rPr>
                <w:rFonts w:ascii="Times New Roman" w:hAnsi="Times New Roman" w:eastAsia="Times New Roman" w:cs="Times New Roman"/>
                <w:spacing w:val="-7"/>
                <w:position w:val="7"/>
                <w:sz w:val="15"/>
                <w:szCs w:val="15"/>
              </w:rPr>
              <w:t>2+</w:t>
            </w:r>
            <w:r>
              <w:rPr>
                <w:spacing w:val="-7"/>
                <w:sz w:val="24"/>
                <w:szCs w:val="24"/>
              </w:rPr>
              <w:t>、</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7"/>
                <w:position w:val="-2"/>
                <w:sz w:val="15"/>
                <w:szCs w:val="15"/>
              </w:rPr>
              <w:t>3</w:t>
            </w:r>
            <w:r>
              <w:rPr>
                <w:rFonts w:ascii="Times New Roman" w:hAnsi="Times New Roman" w:eastAsia="Times New Roman" w:cs="Times New Roman"/>
                <w:spacing w:val="-7"/>
                <w:position w:val="7"/>
                <w:sz w:val="15"/>
                <w:szCs w:val="15"/>
              </w:rPr>
              <w:t>2-</w:t>
            </w:r>
            <w:r>
              <w:rPr>
                <w:spacing w:val="-7"/>
                <w:sz w:val="24"/>
                <w:szCs w:val="24"/>
              </w:rPr>
              <w:t>、</w:t>
            </w:r>
            <w:r>
              <w:rPr>
                <w:spacing w:val="17"/>
                <w:sz w:val="24"/>
                <w:szCs w:val="24"/>
              </w:rPr>
              <w:t xml:space="preserve"> </w:t>
            </w:r>
            <w:r>
              <w:rPr>
                <w:rFonts w:ascii="Times New Roman" w:hAnsi="Times New Roman" w:eastAsia="Times New Roman" w:cs="Times New Roman"/>
                <w:spacing w:val="-1"/>
                <w:sz w:val="24"/>
                <w:szCs w:val="24"/>
              </w:rPr>
              <w:t>HCO</w:t>
            </w:r>
            <w:r>
              <w:rPr>
                <w:rFonts w:ascii="Times New Roman" w:hAnsi="Times New Roman" w:eastAsia="Times New Roman" w:cs="Times New Roman"/>
                <w:spacing w:val="-1"/>
                <w:position w:val="-1"/>
                <w:sz w:val="15"/>
                <w:szCs w:val="15"/>
              </w:rPr>
              <w:t>3</w:t>
            </w:r>
            <w:r>
              <w:rPr>
                <w:rFonts w:ascii="Times New Roman" w:hAnsi="Times New Roman" w:eastAsia="Times New Roman" w:cs="Times New Roman"/>
                <w:spacing w:val="-1"/>
                <w:position w:val="8"/>
                <w:sz w:val="15"/>
                <w:szCs w:val="15"/>
              </w:rPr>
              <w:t>-</w:t>
            </w:r>
            <w:r>
              <w:rPr>
                <w:spacing w:val="-1"/>
                <w:sz w:val="24"/>
                <w:szCs w:val="24"/>
              </w:rPr>
              <w:t>。</w:t>
            </w:r>
          </w:p>
          <w:p w14:paraId="66BAEF07">
            <w:pPr>
              <w:pStyle w:val="6"/>
              <w:spacing w:before="30" w:line="218" w:lineRule="auto"/>
              <w:ind w:left="604"/>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）监测与评价结果</w:t>
            </w:r>
          </w:p>
          <w:p w14:paraId="683DF065">
            <w:pPr>
              <w:pStyle w:val="6"/>
              <w:spacing w:before="180" w:line="228" w:lineRule="auto"/>
              <w:ind w:left="2969"/>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3-4    </w:t>
            </w:r>
            <w:r>
              <w:rPr>
                <w:b/>
                <w:bCs/>
                <w:spacing w:val="5"/>
                <w:sz w:val="20"/>
                <w:szCs w:val="20"/>
              </w:rPr>
              <w:t>监测结果一览表</w:t>
            </w:r>
          </w:p>
        </w:tc>
      </w:tr>
      <w:tr w14:paraId="46CC4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460" w:type="dxa"/>
            <w:vMerge w:val="continue"/>
            <w:tcBorders>
              <w:top w:val="nil"/>
            </w:tcBorders>
            <w:vAlign w:val="top"/>
          </w:tcPr>
          <w:p w14:paraId="35994D4A">
            <w:pPr>
              <w:rPr>
                <w:rFonts w:ascii="Arial"/>
                <w:sz w:val="21"/>
              </w:rPr>
            </w:pPr>
          </w:p>
        </w:tc>
        <w:tc>
          <w:tcPr>
            <w:tcW w:w="113" w:type="dxa"/>
            <w:tcBorders>
              <w:top w:val="nil"/>
            </w:tcBorders>
            <w:vAlign w:val="top"/>
          </w:tcPr>
          <w:p w14:paraId="2A55F12C">
            <w:pPr>
              <w:rPr>
                <w:rFonts w:ascii="Arial"/>
                <w:sz w:val="21"/>
              </w:rPr>
            </w:pPr>
          </w:p>
        </w:tc>
        <w:tc>
          <w:tcPr>
            <w:tcW w:w="427" w:type="dxa"/>
            <w:vAlign w:val="top"/>
          </w:tcPr>
          <w:p w14:paraId="5A09085F">
            <w:pPr>
              <w:pStyle w:val="6"/>
              <w:spacing w:before="51" w:line="228" w:lineRule="auto"/>
              <w:ind w:left="110"/>
              <w:rPr>
                <w:sz w:val="20"/>
                <w:szCs w:val="20"/>
              </w:rPr>
            </w:pPr>
            <w:r>
              <w:rPr>
                <w:spacing w:val="1"/>
                <w:sz w:val="20"/>
                <w:szCs w:val="20"/>
              </w:rPr>
              <w:t>序</w:t>
            </w:r>
          </w:p>
        </w:tc>
        <w:tc>
          <w:tcPr>
            <w:tcW w:w="927" w:type="dxa"/>
            <w:vAlign w:val="top"/>
          </w:tcPr>
          <w:p w14:paraId="0325C3AD">
            <w:pPr>
              <w:pStyle w:val="6"/>
              <w:spacing w:before="50" w:line="228" w:lineRule="auto"/>
              <w:ind w:left="152"/>
              <w:rPr>
                <w:sz w:val="20"/>
                <w:szCs w:val="20"/>
              </w:rPr>
            </w:pPr>
            <w:r>
              <w:rPr>
                <w:spacing w:val="6"/>
                <w:sz w:val="20"/>
                <w:szCs w:val="20"/>
              </w:rPr>
              <w:t>检测项</w:t>
            </w:r>
          </w:p>
        </w:tc>
        <w:tc>
          <w:tcPr>
            <w:tcW w:w="708" w:type="dxa"/>
            <w:vAlign w:val="top"/>
          </w:tcPr>
          <w:p w14:paraId="79DF8EBA">
            <w:pPr>
              <w:pStyle w:val="6"/>
              <w:spacing w:before="50" w:line="228" w:lineRule="auto"/>
              <w:ind w:left="149"/>
              <w:rPr>
                <w:sz w:val="20"/>
                <w:szCs w:val="20"/>
              </w:rPr>
            </w:pPr>
            <w:r>
              <w:rPr>
                <w:spacing w:val="3"/>
                <w:sz w:val="20"/>
                <w:szCs w:val="20"/>
              </w:rPr>
              <w:t>单位</w:t>
            </w:r>
          </w:p>
        </w:tc>
        <w:tc>
          <w:tcPr>
            <w:tcW w:w="960" w:type="dxa"/>
            <w:vAlign w:val="top"/>
          </w:tcPr>
          <w:p w14:paraId="276FB50F">
            <w:pPr>
              <w:pStyle w:val="6"/>
              <w:spacing w:before="50" w:line="228" w:lineRule="auto"/>
              <w:ind w:left="170"/>
              <w:rPr>
                <w:sz w:val="20"/>
                <w:szCs w:val="20"/>
              </w:rPr>
            </w:pPr>
            <w:r>
              <w:rPr>
                <w:spacing w:val="6"/>
                <w:sz w:val="20"/>
                <w:szCs w:val="20"/>
              </w:rPr>
              <w:t>污水处</w:t>
            </w:r>
          </w:p>
        </w:tc>
        <w:tc>
          <w:tcPr>
            <w:tcW w:w="960" w:type="dxa"/>
            <w:vAlign w:val="top"/>
          </w:tcPr>
          <w:p w14:paraId="29272DA8">
            <w:pPr>
              <w:pStyle w:val="6"/>
              <w:spacing w:before="50" w:line="228" w:lineRule="auto"/>
              <w:ind w:left="171"/>
              <w:rPr>
                <w:sz w:val="20"/>
                <w:szCs w:val="20"/>
              </w:rPr>
            </w:pPr>
            <w:r>
              <w:rPr>
                <w:spacing w:val="6"/>
                <w:sz w:val="20"/>
                <w:szCs w:val="20"/>
              </w:rPr>
              <w:t>厂区西</w:t>
            </w:r>
          </w:p>
        </w:tc>
        <w:tc>
          <w:tcPr>
            <w:tcW w:w="852" w:type="dxa"/>
            <w:vAlign w:val="top"/>
          </w:tcPr>
          <w:p w14:paraId="27F9CA63">
            <w:pPr>
              <w:pStyle w:val="6"/>
              <w:spacing w:before="50" w:line="228" w:lineRule="auto"/>
              <w:ind w:left="118"/>
              <w:rPr>
                <w:sz w:val="20"/>
                <w:szCs w:val="20"/>
              </w:rPr>
            </w:pPr>
            <w:r>
              <w:rPr>
                <w:spacing w:val="6"/>
                <w:sz w:val="20"/>
                <w:szCs w:val="20"/>
              </w:rPr>
              <w:t>危废库</w:t>
            </w:r>
          </w:p>
        </w:tc>
        <w:tc>
          <w:tcPr>
            <w:tcW w:w="640" w:type="dxa"/>
            <w:vAlign w:val="top"/>
          </w:tcPr>
          <w:p w14:paraId="217DCC39">
            <w:pPr>
              <w:pStyle w:val="6"/>
              <w:spacing w:before="50" w:line="228" w:lineRule="auto"/>
              <w:ind w:left="117"/>
              <w:rPr>
                <w:sz w:val="20"/>
                <w:szCs w:val="20"/>
              </w:rPr>
            </w:pPr>
            <w:r>
              <w:rPr>
                <w:spacing w:val="3"/>
                <w:sz w:val="20"/>
                <w:szCs w:val="20"/>
              </w:rPr>
              <w:t>罐区</w:t>
            </w:r>
          </w:p>
        </w:tc>
        <w:tc>
          <w:tcPr>
            <w:tcW w:w="960" w:type="dxa"/>
            <w:vAlign w:val="top"/>
          </w:tcPr>
          <w:p w14:paraId="1BC68F29">
            <w:pPr>
              <w:pStyle w:val="6"/>
              <w:spacing w:before="50" w:line="228" w:lineRule="auto"/>
              <w:ind w:left="174"/>
              <w:rPr>
                <w:sz w:val="20"/>
                <w:szCs w:val="20"/>
              </w:rPr>
            </w:pPr>
            <w:r>
              <w:rPr>
                <w:spacing w:val="6"/>
                <w:sz w:val="20"/>
                <w:szCs w:val="20"/>
              </w:rPr>
              <w:t>厂区东</w:t>
            </w:r>
          </w:p>
        </w:tc>
        <w:tc>
          <w:tcPr>
            <w:tcW w:w="852" w:type="dxa"/>
            <w:vAlign w:val="top"/>
          </w:tcPr>
          <w:p w14:paraId="7C21568F">
            <w:pPr>
              <w:pStyle w:val="6"/>
              <w:spacing w:before="50" w:line="228" w:lineRule="auto"/>
              <w:ind w:left="121"/>
              <w:rPr>
                <w:sz w:val="20"/>
                <w:szCs w:val="20"/>
              </w:rPr>
            </w:pPr>
            <w:r>
              <w:rPr>
                <w:spacing w:val="6"/>
                <w:sz w:val="20"/>
                <w:szCs w:val="20"/>
              </w:rPr>
              <w:t>厂区东</w:t>
            </w:r>
          </w:p>
        </w:tc>
        <w:tc>
          <w:tcPr>
            <w:tcW w:w="642" w:type="dxa"/>
            <w:vAlign w:val="top"/>
          </w:tcPr>
          <w:p w14:paraId="0A32C15B">
            <w:pPr>
              <w:pStyle w:val="6"/>
              <w:spacing w:before="50" w:line="228" w:lineRule="auto"/>
              <w:ind w:left="120"/>
              <w:rPr>
                <w:sz w:val="20"/>
                <w:szCs w:val="20"/>
              </w:rPr>
            </w:pPr>
            <w:r>
              <w:rPr>
                <w:spacing w:val="4"/>
                <w:sz w:val="20"/>
                <w:szCs w:val="20"/>
              </w:rPr>
              <w:t>标准</w:t>
            </w:r>
          </w:p>
        </w:tc>
        <w:tc>
          <w:tcPr>
            <w:tcW w:w="124" w:type="dxa"/>
            <w:tcBorders>
              <w:top w:val="nil"/>
            </w:tcBorders>
            <w:vAlign w:val="top"/>
          </w:tcPr>
          <w:p w14:paraId="563FB9F2">
            <w:pPr>
              <w:rPr>
                <w:rFonts w:ascii="Arial"/>
                <w:sz w:val="21"/>
              </w:rPr>
            </w:pPr>
          </w:p>
        </w:tc>
      </w:tr>
    </w:tbl>
    <w:p w14:paraId="025107F7">
      <w:pPr>
        <w:pStyle w:val="2"/>
      </w:pPr>
    </w:p>
    <w:p w14:paraId="606D12F3">
      <w:pPr>
        <w:sectPr>
          <w:footerReference r:id="rId56" w:type="default"/>
          <w:pgSz w:w="11906" w:h="16839"/>
          <w:pgMar w:top="400" w:right="1588" w:bottom="1259" w:left="1687" w:header="0" w:footer="1097" w:gutter="0"/>
          <w:cols w:space="720" w:num="1"/>
        </w:sectPr>
      </w:pPr>
    </w:p>
    <w:p w14:paraId="2176AA12">
      <w:pPr>
        <w:spacing w:before="19"/>
      </w:pPr>
    </w:p>
    <w:p w14:paraId="48552D8A">
      <w:pPr>
        <w:spacing w:before="19"/>
      </w:pPr>
    </w:p>
    <w:p w14:paraId="56893AC9">
      <w:pPr>
        <w:spacing w:before="18"/>
      </w:pPr>
    </w:p>
    <w:p w14:paraId="5F03138A">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427"/>
        <w:gridCol w:w="927"/>
        <w:gridCol w:w="708"/>
        <w:gridCol w:w="960"/>
        <w:gridCol w:w="960"/>
        <w:gridCol w:w="852"/>
        <w:gridCol w:w="640"/>
        <w:gridCol w:w="960"/>
        <w:gridCol w:w="852"/>
        <w:gridCol w:w="642"/>
        <w:gridCol w:w="124"/>
      </w:tblGrid>
      <w:tr w14:paraId="7C0C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0" w:type="dxa"/>
            <w:vMerge w:val="restart"/>
            <w:tcBorders>
              <w:bottom w:val="nil"/>
            </w:tcBorders>
            <w:vAlign w:val="top"/>
          </w:tcPr>
          <w:p w14:paraId="2C7574CF">
            <w:pPr>
              <w:rPr>
                <w:rFonts w:ascii="Arial"/>
                <w:sz w:val="21"/>
              </w:rPr>
            </w:pPr>
          </w:p>
        </w:tc>
        <w:tc>
          <w:tcPr>
            <w:tcW w:w="113" w:type="dxa"/>
            <w:tcBorders>
              <w:bottom w:val="nil"/>
            </w:tcBorders>
            <w:vAlign w:val="top"/>
          </w:tcPr>
          <w:p w14:paraId="1D201D47">
            <w:pPr>
              <w:rPr>
                <w:rFonts w:ascii="Arial"/>
                <w:sz w:val="21"/>
              </w:rPr>
            </w:pPr>
          </w:p>
        </w:tc>
        <w:tc>
          <w:tcPr>
            <w:tcW w:w="427" w:type="dxa"/>
            <w:vAlign w:val="top"/>
          </w:tcPr>
          <w:p w14:paraId="421965ED">
            <w:pPr>
              <w:pStyle w:val="6"/>
              <w:spacing w:before="46" w:line="229" w:lineRule="auto"/>
              <w:ind w:left="116"/>
              <w:rPr>
                <w:sz w:val="20"/>
                <w:szCs w:val="20"/>
              </w:rPr>
            </w:pPr>
            <w:r>
              <w:rPr>
                <w:sz w:val="20"/>
                <w:szCs w:val="20"/>
              </w:rPr>
              <w:t>号</w:t>
            </w:r>
          </w:p>
        </w:tc>
        <w:tc>
          <w:tcPr>
            <w:tcW w:w="927" w:type="dxa"/>
            <w:vAlign w:val="top"/>
          </w:tcPr>
          <w:p w14:paraId="622C4281">
            <w:pPr>
              <w:pStyle w:val="6"/>
              <w:spacing w:before="46" w:line="231" w:lineRule="auto"/>
              <w:ind w:left="401"/>
              <w:rPr>
                <w:sz w:val="20"/>
                <w:szCs w:val="20"/>
              </w:rPr>
            </w:pPr>
            <w:r>
              <w:rPr>
                <w:sz w:val="20"/>
                <w:szCs w:val="20"/>
              </w:rPr>
              <w:t>目</w:t>
            </w:r>
          </w:p>
        </w:tc>
        <w:tc>
          <w:tcPr>
            <w:tcW w:w="708" w:type="dxa"/>
            <w:vAlign w:val="top"/>
          </w:tcPr>
          <w:p w14:paraId="422B0C16">
            <w:pPr>
              <w:rPr>
                <w:rFonts w:ascii="Arial"/>
                <w:sz w:val="21"/>
              </w:rPr>
            </w:pPr>
          </w:p>
        </w:tc>
        <w:tc>
          <w:tcPr>
            <w:tcW w:w="960" w:type="dxa"/>
            <w:vAlign w:val="top"/>
          </w:tcPr>
          <w:p w14:paraId="523AC54A">
            <w:pPr>
              <w:pStyle w:val="6"/>
              <w:spacing w:before="47" w:line="234" w:lineRule="auto"/>
              <w:ind w:left="377" w:right="165" w:hanging="206"/>
              <w:rPr>
                <w:sz w:val="20"/>
                <w:szCs w:val="20"/>
              </w:rPr>
            </w:pPr>
            <w:r>
              <w:rPr>
                <w:spacing w:val="6"/>
                <w:sz w:val="20"/>
                <w:szCs w:val="20"/>
              </w:rPr>
              <w:t>理站下</w:t>
            </w:r>
            <w:r>
              <w:rPr>
                <w:sz w:val="20"/>
                <w:szCs w:val="20"/>
              </w:rPr>
              <w:t xml:space="preserve"> 游</w:t>
            </w:r>
          </w:p>
        </w:tc>
        <w:tc>
          <w:tcPr>
            <w:tcW w:w="960" w:type="dxa"/>
            <w:vAlign w:val="top"/>
          </w:tcPr>
          <w:p w14:paraId="7764ABE6">
            <w:pPr>
              <w:pStyle w:val="6"/>
              <w:spacing w:before="47" w:line="234" w:lineRule="auto"/>
              <w:ind w:left="379" w:right="165" w:hanging="207"/>
              <w:rPr>
                <w:sz w:val="20"/>
                <w:szCs w:val="20"/>
              </w:rPr>
            </w:pPr>
            <w:r>
              <w:rPr>
                <w:spacing w:val="5"/>
                <w:sz w:val="20"/>
                <w:szCs w:val="20"/>
              </w:rPr>
              <w:t>北角下</w:t>
            </w:r>
            <w:r>
              <w:rPr>
                <w:spacing w:val="1"/>
                <w:sz w:val="20"/>
                <w:szCs w:val="20"/>
              </w:rPr>
              <w:t xml:space="preserve"> </w:t>
            </w:r>
            <w:r>
              <w:rPr>
                <w:sz w:val="20"/>
                <w:szCs w:val="20"/>
              </w:rPr>
              <w:t>游</w:t>
            </w:r>
          </w:p>
        </w:tc>
        <w:tc>
          <w:tcPr>
            <w:tcW w:w="852" w:type="dxa"/>
            <w:vAlign w:val="top"/>
          </w:tcPr>
          <w:p w14:paraId="192B8FCD">
            <w:pPr>
              <w:pStyle w:val="6"/>
              <w:spacing w:before="47" w:line="228" w:lineRule="auto"/>
              <w:ind w:left="116"/>
              <w:rPr>
                <w:sz w:val="20"/>
                <w:szCs w:val="20"/>
              </w:rPr>
            </w:pPr>
            <w:r>
              <w:rPr>
                <w:spacing w:val="6"/>
                <w:sz w:val="20"/>
                <w:szCs w:val="20"/>
              </w:rPr>
              <w:t>房下游</w:t>
            </w:r>
          </w:p>
        </w:tc>
        <w:tc>
          <w:tcPr>
            <w:tcW w:w="640" w:type="dxa"/>
            <w:vAlign w:val="top"/>
          </w:tcPr>
          <w:p w14:paraId="0AF6C5B9">
            <w:pPr>
              <w:pStyle w:val="6"/>
              <w:spacing w:before="47" w:line="228" w:lineRule="auto"/>
              <w:ind w:left="122"/>
              <w:rPr>
                <w:sz w:val="20"/>
                <w:szCs w:val="20"/>
              </w:rPr>
            </w:pPr>
            <w:r>
              <w:rPr>
                <w:spacing w:val="1"/>
                <w:sz w:val="20"/>
                <w:szCs w:val="20"/>
              </w:rPr>
              <w:t>下游</w:t>
            </w:r>
          </w:p>
        </w:tc>
        <w:tc>
          <w:tcPr>
            <w:tcW w:w="960" w:type="dxa"/>
            <w:vAlign w:val="top"/>
          </w:tcPr>
          <w:p w14:paraId="3B30EBCA">
            <w:pPr>
              <w:pStyle w:val="6"/>
              <w:spacing w:before="47" w:line="234" w:lineRule="auto"/>
              <w:ind w:left="380" w:right="162" w:hanging="206"/>
              <w:rPr>
                <w:sz w:val="20"/>
                <w:szCs w:val="20"/>
              </w:rPr>
            </w:pPr>
            <w:r>
              <w:rPr>
                <w:spacing w:val="6"/>
                <w:sz w:val="20"/>
                <w:szCs w:val="20"/>
              </w:rPr>
              <w:t>南角上</w:t>
            </w:r>
            <w:r>
              <w:rPr>
                <w:sz w:val="20"/>
                <w:szCs w:val="20"/>
              </w:rPr>
              <w:t xml:space="preserve"> 游</w:t>
            </w:r>
          </w:p>
        </w:tc>
        <w:tc>
          <w:tcPr>
            <w:tcW w:w="852" w:type="dxa"/>
            <w:vAlign w:val="top"/>
          </w:tcPr>
          <w:p w14:paraId="7104E7A6">
            <w:pPr>
              <w:pStyle w:val="6"/>
              <w:spacing w:before="47" w:line="228" w:lineRule="auto"/>
              <w:ind w:left="124"/>
              <w:rPr>
                <w:sz w:val="20"/>
                <w:szCs w:val="20"/>
              </w:rPr>
            </w:pPr>
            <w:r>
              <w:rPr>
                <w:spacing w:val="5"/>
                <w:sz w:val="20"/>
                <w:szCs w:val="20"/>
              </w:rPr>
              <w:t>界上游</w:t>
            </w:r>
          </w:p>
        </w:tc>
        <w:tc>
          <w:tcPr>
            <w:tcW w:w="642" w:type="dxa"/>
            <w:vAlign w:val="top"/>
          </w:tcPr>
          <w:p w14:paraId="7EA637D1">
            <w:pPr>
              <w:pStyle w:val="6"/>
              <w:spacing w:before="46" w:line="228" w:lineRule="auto"/>
              <w:ind w:left="133"/>
              <w:rPr>
                <w:sz w:val="20"/>
                <w:szCs w:val="20"/>
              </w:rPr>
            </w:pPr>
            <w:r>
              <w:rPr>
                <w:spacing w:val="-3"/>
                <w:sz w:val="20"/>
                <w:szCs w:val="20"/>
              </w:rPr>
              <w:t>限值</w:t>
            </w:r>
          </w:p>
        </w:tc>
        <w:tc>
          <w:tcPr>
            <w:tcW w:w="124" w:type="dxa"/>
            <w:tcBorders>
              <w:bottom w:val="nil"/>
            </w:tcBorders>
            <w:vAlign w:val="top"/>
          </w:tcPr>
          <w:p w14:paraId="5A4053AA">
            <w:pPr>
              <w:rPr>
                <w:rFonts w:ascii="Arial"/>
                <w:sz w:val="21"/>
              </w:rPr>
            </w:pPr>
          </w:p>
        </w:tc>
      </w:tr>
      <w:tr w14:paraId="3EB1A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16E3AE4F">
            <w:pPr>
              <w:rPr>
                <w:rFonts w:ascii="Arial"/>
                <w:sz w:val="21"/>
              </w:rPr>
            </w:pPr>
          </w:p>
        </w:tc>
        <w:tc>
          <w:tcPr>
            <w:tcW w:w="113" w:type="dxa"/>
            <w:tcBorders>
              <w:top w:val="nil"/>
              <w:bottom w:val="nil"/>
            </w:tcBorders>
            <w:vAlign w:val="top"/>
          </w:tcPr>
          <w:p w14:paraId="06550299">
            <w:pPr>
              <w:rPr>
                <w:rFonts w:ascii="Arial"/>
                <w:sz w:val="21"/>
              </w:rPr>
            </w:pPr>
          </w:p>
        </w:tc>
        <w:tc>
          <w:tcPr>
            <w:tcW w:w="427" w:type="dxa"/>
            <w:vAlign w:val="top"/>
          </w:tcPr>
          <w:p w14:paraId="70A3C1FE">
            <w:pPr>
              <w:spacing w:before="20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27" w:type="dxa"/>
            <w:vAlign w:val="top"/>
          </w:tcPr>
          <w:p w14:paraId="737C7728">
            <w:pPr>
              <w:spacing w:before="205" w:line="194"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08" w:type="dxa"/>
            <w:vAlign w:val="top"/>
          </w:tcPr>
          <w:p w14:paraId="4C3907F9">
            <w:pPr>
              <w:pStyle w:val="6"/>
              <w:spacing w:before="32" w:line="234" w:lineRule="auto"/>
              <w:ind w:left="256" w:right="146" w:hanging="107"/>
              <w:rPr>
                <w:sz w:val="20"/>
                <w:szCs w:val="20"/>
              </w:rPr>
            </w:pPr>
            <w:r>
              <w:rPr>
                <w:spacing w:val="3"/>
                <w:sz w:val="20"/>
                <w:szCs w:val="20"/>
              </w:rPr>
              <w:t>无量</w:t>
            </w:r>
            <w:r>
              <w:rPr>
                <w:sz w:val="20"/>
                <w:szCs w:val="20"/>
              </w:rPr>
              <w:t xml:space="preserve"> 纲</w:t>
            </w:r>
          </w:p>
        </w:tc>
        <w:tc>
          <w:tcPr>
            <w:tcW w:w="960" w:type="dxa"/>
            <w:vAlign w:val="top"/>
          </w:tcPr>
          <w:p w14:paraId="62E79A7A">
            <w:pPr>
              <w:spacing w:before="20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60" w:type="dxa"/>
            <w:vAlign w:val="top"/>
          </w:tcPr>
          <w:p w14:paraId="55561D46">
            <w:pPr>
              <w:spacing w:before="202"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852" w:type="dxa"/>
            <w:vAlign w:val="top"/>
          </w:tcPr>
          <w:p w14:paraId="1215865D">
            <w:pPr>
              <w:spacing w:before="202"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640" w:type="dxa"/>
            <w:vAlign w:val="top"/>
          </w:tcPr>
          <w:p w14:paraId="04614623">
            <w:pPr>
              <w:spacing w:before="202"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60" w:type="dxa"/>
            <w:vAlign w:val="top"/>
          </w:tcPr>
          <w:p w14:paraId="50FC0CE6">
            <w:pPr>
              <w:spacing w:before="20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852" w:type="dxa"/>
            <w:vAlign w:val="top"/>
          </w:tcPr>
          <w:p w14:paraId="580EBB1C">
            <w:pPr>
              <w:spacing w:before="20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642" w:type="dxa"/>
            <w:vAlign w:val="top"/>
          </w:tcPr>
          <w:p w14:paraId="4D34183B">
            <w:pPr>
              <w:spacing w:before="8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w:t>
            </w:r>
          </w:p>
          <w:p w14:paraId="3EFA354B">
            <w:pPr>
              <w:spacing w:before="5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124" w:type="dxa"/>
            <w:tcBorders>
              <w:top w:val="nil"/>
              <w:bottom w:val="nil"/>
            </w:tcBorders>
            <w:vAlign w:val="top"/>
          </w:tcPr>
          <w:p w14:paraId="6EACACE5">
            <w:pPr>
              <w:rPr>
                <w:rFonts w:ascii="Arial"/>
                <w:sz w:val="21"/>
              </w:rPr>
            </w:pPr>
          </w:p>
        </w:tc>
      </w:tr>
      <w:tr w14:paraId="4345A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7CD4FFBD">
            <w:pPr>
              <w:rPr>
                <w:rFonts w:ascii="Arial"/>
                <w:sz w:val="21"/>
              </w:rPr>
            </w:pPr>
          </w:p>
        </w:tc>
        <w:tc>
          <w:tcPr>
            <w:tcW w:w="113" w:type="dxa"/>
            <w:tcBorders>
              <w:top w:val="nil"/>
              <w:bottom w:val="nil"/>
            </w:tcBorders>
            <w:vAlign w:val="top"/>
          </w:tcPr>
          <w:p w14:paraId="6488D8BD">
            <w:pPr>
              <w:rPr>
                <w:rFonts w:ascii="Arial"/>
                <w:sz w:val="21"/>
              </w:rPr>
            </w:pPr>
          </w:p>
        </w:tc>
        <w:tc>
          <w:tcPr>
            <w:tcW w:w="427" w:type="dxa"/>
            <w:vAlign w:val="top"/>
          </w:tcPr>
          <w:p w14:paraId="65D3B480">
            <w:pPr>
              <w:spacing w:before="205"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27" w:type="dxa"/>
            <w:vAlign w:val="top"/>
          </w:tcPr>
          <w:p w14:paraId="2635BC45">
            <w:pPr>
              <w:pStyle w:val="6"/>
              <w:spacing w:before="33" w:line="228" w:lineRule="auto"/>
              <w:ind w:left="155"/>
              <w:rPr>
                <w:sz w:val="20"/>
                <w:szCs w:val="20"/>
              </w:rPr>
            </w:pPr>
            <w:r>
              <w:rPr>
                <w:spacing w:val="6"/>
                <w:sz w:val="20"/>
                <w:szCs w:val="20"/>
              </w:rPr>
              <w:t>溶解性</w:t>
            </w:r>
          </w:p>
          <w:p w14:paraId="6FAFB581">
            <w:pPr>
              <w:pStyle w:val="6"/>
              <w:spacing w:before="23" w:line="217" w:lineRule="auto"/>
              <w:ind w:left="158"/>
              <w:rPr>
                <w:sz w:val="20"/>
                <w:szCs w:val="20"/>
              </w:rPr>
            </w:pPr>
            <w:r>
              <w:rPr>
                <w:spacing w:val="5"/>
                <w:sz w:val="20"/>
                <w:szCs w:val="20"/>
              </w:rPr>
              <w:t>总固体</w:t>
            </w:r>
          </w:p>
        </w:tc>
        <w:tc>
          <w:tcPr>
            <w:tcW w:w="708" w:type="dxa"/>
            <w:vAlign w:val="top"/>
          </w:tcPr>
          <w:p w14:paraId="21CC5BF4">
            <w:pPr>
              <w:spacing w:before="20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C686DFC">
            <w:pPr>
              <w:spacing w:before="20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1398</w:t>
            </w:r>
          </w:p>
        </w:tc>
        <w:tc>
          <w:tcPr>
            <w:tcW w:w="960" w:type="dxa"/>
            <w:vAlign w:val="top"/>
          </w:tcPr>
          <w:p w14:paraId="6E024A87">
            <w:pPr>
              <w:spacing w:before="20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984</w:t>
            </w:r>
          </w:p>
        </w:tc>
        <w:tc>
          <w:tcPr>
            <w:tcW w:w="852" w:type="dxa"/>
            <w:vAlign w:val="top"/>
          </w:tcPr>
          <w:p w14:paraId="7E1154C1">
            <w:pPr>
              <w:spacing w:before="2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1309</w:t>
            </w:r>
          </w:p>
        </w:tc>
        <w:tc>
          <w:tcPr>
            <w:tcW w:w="640" w:type="dxa"/>
            <w:vAlign w:val="top"/>
          </w:tcPr>
          <w:p w14:paraId="443EF3EA">
            <w:pPr>
              <w:spacing w:before="20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942</w:t>
            </w:r>
          </w:p>
        </w:tc>
        <w:tc>
          <w:tcPr>
            <w:tcW w:w="960" w:type="dxa"/>
            <w:vAlign w:val="top"/>
          </w:tcPr>
          <w:p w14:paraId="6216759E">
            <w:pPr>
              <w:spacing w:before="205"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787</w:t>
            </w:r>
          </w:p>
        </w:tc>
        <w:tc>
          <w:tcPr>
            <w:tcW w:w="852" w:type="dxa"/>
            <w:vAlign w:val="top"/>
          </w:tcPr>
          <w:p w14:paraId="5E84A44D">
            <w:pPr>
              <w:spacing w:before="20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950</w:t>
            </w:r>
          </w:p>
        </w:tc>
        <w:tc>
          <w:tcPr>
            <w:tcW w:w="642" w:type="dxa"/>
            <w:vAlign w:val="top"/>
          </w:tcPr>
          <w:p w14:paraId="1350ED2E">
            <w:pPr>
              <w:spacing w:before="205" w:line="195" w:lineRule="auto"/>
              <w:ind w:left="1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24" w:type="dxa"/>
            <w:tcBorders>
              <w:top w:val="nil"/>
              <w:bottom w:val="nil"/>
            </w:tcBorders>
            <w:vAlign w:val="top"/>
          </w:tcPr>
          <w:p w14:paraId="4E71531C">
            <w:pPr>
              <w:rPr>
                <w:rFonts w:ascii="Arial"/>
                <w:sz w:val="21"/>
              </w:rPr>
            </w:pPr>
          </w:p>
        </w:tc>
      </w:tr>
      <w:tr w14:paraId="33E5F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40D6A08">
            <w:pPr>
              <w:rPr>
                <w:rFonts w:ascii="Arial"/>
                <w:sz w:val="21"/>
              </w:rPr>
            </w:pPr>
          </w:p>
        </w:tc>
        <w:tc>
          <w:tcPr>
            <w:tcW w:w="113" w:type="dxa"/>
            <w:tcBorders>
              <w:top w:val="nil"/>
              <w:bottom w:val="nil"/>
            </w:tcBorders>
            <w:vAlign w:val="top"/>
          </w:tcPr>
          <w:p w14:paraId="01BA00E9">
            <w:pPr>
              <w:rPr>
                <w:rFonts w:ascii="Arial"/>
                <w:sz w:val="21"/>
              </w:rPr>
            </w:pPr>
          </w:p>
        </w:tc>
        <w:tc>
          <w:tcPr>
            <w:tcW w:w="427" w:type="dxa"/>
            <w:vAlign w:val="top"/>
          </w:tcPr>
          <w:p w14:paraId="52C6432E">
            <w:pPr>
              <w:spacing w:before="8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27" w:type="dxa"/>
            <w:vAlign w:val="top"/>
          </w:tcPr>
          <w:p w14:paraId="420C0E15">
            <w:pPr>
              <w:pStyle w:val="6"/>
              <w:spacing w:before="47" w:line="227" w:lineRule="auto"/>
              <w:ind w:left="153"/>
              <w:rPr>
                <w:sz w:val="20"/>
                <w:szCs w:val="20"/>
              </w:rPr>
            </w:pPr>
            <w:r>
              <w:rPr>
                <w:spacing w:val="6"/>
                <w:sz w:val="20"/>
                <w:szCs w:val="20"/>
              </w:rPr>
              <w:t>耗氧量</w:t>
            </w:r>
          </w:p>
        </w:tc>
        <w:tc>
          <w:tcPr>
            <w:tcW w:w="708" w:type="dxa"/>
            <w:vAlign w:val="top"/>
          </w:tcPr>
          <w:p w14:paraId="6D0838FE">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254449C">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2.79</w:t>
            </w:r>
          </w:p>
        </w:tc>
        <w:tc>
          <w:tcPr>
            <w:tcW w:w="960" w:type="dxa"/>
            <w:vAlign w:val="top"/>
          </w:tcPr>
          <w:p w14:paraId="01C73FBD">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w:t>
            </w:r>
          </w:p>
        </w:tc>
        <w:tc>
          <w:tcPr>
            <w:tcW w:w="852" w:type="dxa"/>
            <w:vAlign w:val="top"/>
          </w:tcPr>
          <w:p w14:paraId="5506EE02">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640" w:type="dxa"/>
            <w:vAlign w:val="top"/>
          </w:tcPr>
          <w:p w14:paraId="54F52D76">
            <w:pPr>
              <w:spacing w:before="8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2.62</w:t>
            </w:r>
          </w:p>
        </w:tc>
        <w:tc>
          <w:tcPr>
            <w:tcW w:w="960" w:type="dxa"/>
            <w:vAlign w:val="top"/>
          </w:tcPr>
          <w:p w14:paraId="6FB15D2B">
            <w:pPr>
              <w:spacing w:before="8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w:t>
            </w:r>
          </w:p>
        </w:tc>
        <w:tc>
          <w:tcPr>
            <w:tcW w:w="852" w:type="dxa"/>
            <w:vAlign w:val="top"/>
          </w:tcPr>
          <w:p w14:paraId="0A7821D7">
            <w:pPr>
              <w:spacing w:before="83"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642" w:type="dxa"/>
            <w:vAlign w:val="top"/>
          </w:tcPr>
          <w:p w14:paraId="0C8D1C2C">
            <w:pPr>
              <w:spacing w:before="8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 w:type="dxa"/>
            <w:tcBorders>
              <w:top w:val="nil"/>
              <w:bottom w:val="nil"/>
            </w:tcBorders>
            <w:vAlign w:val="top"/>
          </w:tcPr>
          <w:p w14:paraId="4C1D8483">
            <w:pPr>
              <w:rPr>
                <w:rFonts w:ascii="Arial"/>
                <w:sz w:val="21"/>
              </w:rPr>
            </w:pPr>
          </w:p>
        </w:tc>
      </w:tr>
      <w:tr w14:paraId="10074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0F6E263">
            <w:pPr>
              <w:rPr>
                <w:rFonts w:ascii="Arial"/>
                <w:sz w:val="21"/>
              </w:rPr>
            </w:pPr>
          </w:p>
        </w:tc>
        <w:tc>
          <w:tcPr>
            <w:tcW w:w="113" w:type="dxa"/>
            <w:tcBorders>
              <w:top w:val="nil"/>
              <w:bottom w:val="nil"/>
            </w:tcBorders>
            <w:vAlign w:val="top"/>
          </w:tcPr>
          <w:p w14:paraId="494EB8E5">
            <w:pPr>
              <w:rPr>
                <w:rFonts w:ascii="Arial"/>
                <w:sz w:val="21"/>
              </w:rPr>
            </w:pPr>
          </w:p>
        </w:tc>
        <w:tc>
          <w:tcPr>
            <w:tcW w:w="427" w:type="dxa"/>
            <w:vAlign w:val="top"/>
          </w:tcPr>
          <w:p w14:paraId="44C38662">
            <w:pPr>
              <w:spacing w:before="83"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27" w:type="dxa"/>
            <w:vAlign w:val="top"/>
          </w:tcPr>
          <w:p w14:paraId="3AA0EB84">
            <w:pPr>
              <w:pStyle w:val="6"/>
              <w:spacing w:before="47" w:line="228" w:lineRule="auto"/>
              <w:ind w:left="158"/>
              <w:rPr>
                <w:sz w:val="20"/>
                <w:szCs w:val="20"/>
              </w:rPr>
            </w:pPr>
            <w:r>
              <w:rPr>
                <w:spacing w:val="5"/>
                <w:sz w:val="20"/>
                <w:szCs w:val="20"/>
              </w:rPr>
              <w:t>总硬度</w:t>
            </w:r>
          </w:p>
        </w:tc>
        <w:tc>
          <w:tcPr>
            <w:tcW w:w="708" w:type="dxa"/>
            <w:vAlign w:val="top"/>
          </w:tcPr>
          <w:p w14:paraId="3079F4BB">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A08A117">
            <w:pPr>
              <w:spacing w:before="8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358</w:t>
            </w:r>
          </w:p>
        </w:tc>
        <w:tc>
          <w:tcPr>
            <w:tcW w:w="960" w:type="dxa"/>
            <w:vAlign w:val="top"/>
          </w:tcPr>
          <w:p w14:paraId="2BDFACEB">
            <w:pPr>
              <w:spacing w:before="82"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406</w:t>
            </w:r>
          </w:p>
        </w:tc>
        <w:tc>
          <w:tcPr>
            <w:tcW w:w="852" w:type="dxa"/>
            <w:vAlign w:val="top"/>
          </w:tcPr>
          <w:p w14:paraId="009ECA6C">
            <w:pPr>
              <w:spacing w:before="82"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482</w:t>
            </w:r>
          </w:p>
        </w:tc>
        <w:tc>
          <w:tcPr>
            <w:tcW w:w="640" w:type="dxa"/>
            <w:vAlign w:val="top"/>
          </w:tcPr>
          <w:p w14:paraId="71A5295B">
            <w:pPr>
              <w:spacing w:before="8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419</w:t>
            </w:r>
          </w:p>
        </w:tc>
        <w:tc>
          <w:tcPr>
            <w:tcW w:w="960" w:type="dxa"/>
            <w:vAlign w:val="top"/>
          </w:tcPr>
          <w:p w14:paraId="7F224D95">
            <w:pPr>
              <w:spacing w:before="82"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852" w:type="dxa"/>
            <w:vAlign w:val="top"/>
          </w:tcPr>
          <w:p w14:paraId="251C73E4">
            <w:pPr>
              <w:spacing w:before="8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w:t>
            </w:r>
          </w:p>
        </w:tc>
        <w:tc>
          <w:tcPr>
            <w:tcW w:w="642" w:type="dxa"/>
            <w:vAlign w:val="top"/>
          </w:tcPr>
          <w:p w14:paraId="5188DFAE">
            <w:pPr>
              <w:spacing w:before="8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24" w:type="dxa"/>
            <w:tcBorders>
              <w:top w:val="nil"/>
              <w:bottom w:val="nil"/>
            </w:tcBorders>
            <w:vAlign w:val="top"/>
          </w:tcPr>
          <w:p w14:paraId="50C88BE8">
            <w:pPr>
              <w:rPr>
                <w:rFonts w:ascii="Arial"/>
                <w:sz w:val="21"/>
              </w:rPr>
            </w:pPr>
          </w:p>
        </w:tc>
      </w:tr>
      <w:tr w14:paraId="2E5EA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2B296C4">
            <w:pPr>
              <w:rPr>
                <w:rFonts w:ascii="Arial"/>
                <w:sz w:val="21"/>
              </w:rPr>
            </w:pPr>
          </w:p>
        </w:tc>
        <w:tc>
          <w:tcPr>
            <w:tcW w:w="113" w:type="dxa"/>
            <w:tcBorders>
              <w:top w:val="nil"/>
              <w:bottom w:val="nil"/>
            </w:tcBorders>
            <w:vAlign w:val="top"/>
          </w:tcPr>
          <w:p w14:paraId="725772B8">
            <w:pPr>
              <w:rPr>
                <w:rFonts w:ascii="Arial"/>
                <w:sz w:val="21"/>
              </w:rPr>
            </w:pPr>
          </w:p>
        </w:tc>
        <w:tc>
          <w:tcPr>
            <w:tcW w:w="427" w:type="dxa"/>
            <w:vAlign w:val="top"/>
          </w:tcPr>
          <w:p w14:paraId="498A9798">
            <w:pPr>
              <w:spacing w:before="85" w:line="192" w:lineRule="auto"/>
              <w:ind w:left="1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7" w:type="dxa"/>
            <w:vAlign w:val="top"/>
          </w:tcPr>
          <w:p w14:paraId="3C04A377">
            <w:pPr>
              <w:pStyle w:val="6"/>
              <w:spacing w:before="46" w:line="228" w:lineRule="auto"/>
              <w:ind w:left="153"/>
              <w:rPr>
                <w:sz w:val="20"/>
                <w:szCs w:val="20"/>
              </w:rPr>
            </w:pPr>
            <w:r>
              <w:rPr>
                <w:spacing w:val="6"/>
                <w:sz w:val="20"/>
                <w:szCs w:val="20"/>
              </w:rPr>
              <w:t>氟化物</w:t>
            </w:r>
          </w:p>
        </w:tc>
        <w:tc>
          <w:tcPr>
            <w:tcW w:w="708" w:type="dxa"/>
            <w:vAlign w:val="top"/>
          </w:tcPr>
          <w:p w14:paraId="7CD4B54E">
            <w:pPr>
              <w:spacing w:before="78"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D370278">
            <w:pPr>
              <w:spacing w:before="8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2.68</w:t>
            </w:r>
          </w:p>
        </w:tc>
        <w:tc>
          <w:tcPr>
            <w:tcW w:w="960" w:type="dxa"/>
            <w:vAlign w:val="top"/>
          </w:tcPr>
          <w:p w14:paraId="52FAFFBF">
            <w:pPr>
              <w:spacing w:before="8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0.722</w:t>
            </w:r>
          </w:p>
        </w:tc>
        <w:tc>
          <w:tcPr>
            <w:tcW w:w="852" w:type="dxa"/>
            <w:vAlign w:val="top"/>
          </w:tcPr>
          <w:p w14:paraId="6C97F5CA">
            <w:pPr>
              <w:spacing w:before="8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w:t>
            </w:r>
          </w:p>
        </w:tc>
        <w:tc>
          <w:tcPr>
            <w:tcW w:w="640" w:type="dxa"/>
            <w:vAlign w:val="top"/>
          </w:tcPr>
          <w:p w14:paraId="10447A72">
            <w:pPr>
              <w:spacing w:before="8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960" w:type="dxa"/>
            <w:vAlign w:val="top"/>
          </w:tcPr>
          <w:p w14:paraId="77730098">
            <w:pPr>
              <w:spacing w:before="8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w:t>
            </w:r>
          </w:p>
        </w:tc>
        <w:tc>
          <w:tcPr>
            <w:tcW w:w="852" w:type="dxa"/>
            <w:vAlign w:val="top"/>
          </w:tcPr>
          <w:p w14:paraId="39C17F60">
            <w:pPr>
              <w:spacing w:before="8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0.351</w:t>
            </w:r>
          </w:p>
        </w:tc>
        <w:tc>
          <w:tcPr>
            <w:tcW w:w="642" w:type="dxa"/>
            <w:vAlign w:val="top"/>
          </w:tcPr>
          <w:p w14:paraId="491A188E">
            <w:pPr>
              <w:spacing w:before="8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574A22B9">
            <w:pPr>
              <w:rPr>
                <w:rFonts w:ascii="Arial"/>
                <w:sz w:val="21"/>
              </w:rPr>
            </w:pPr>
          </w:p>
        </w:tc>
      </w:tr>
      <w:tr w14:paraId="5B74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703924">
            <w:pPr>
              <w:rPr>
                <w:rFonts w:ascii="Arial"/>
                <w:sz w:val="21"/>
              </w:rPr>
            </w:pPr>
          </w:p>
        </w:tc>
        <w:tc>
          <w:tcPr>
            <w:tcW w:w="113" w:type="dxa"/>
            <w:tcBorders>
              <w:top w:val="nil"/>
              <w:bottom w:val="nil"/>
            </w:tcBorders>
            <w:vAlign w:val="top"/>
          </w:tcPr>
          <w:p w14:paraId="0707129D">
            <w:pPr>
              <w:rPr>
                <w:rFonts w:ascii="Arial"/>
                <w:sz w:val="21"/>
              </w:rPr>
            </w:pPr>
          </w:p>
        </w:tc>
        <w:tc>
          <w:tcPr>
            <w:tcW w:w="427" w:type="dxa"/>
            <w:vAlign w:val="top"/>
          </w:tcPr>
          <w:p w14:paraId="58091110">
            <w:pPr>
              <w:spacing w:before="8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27" w:type="dxa"/>
            <w:vAlign w:val="top"/>
          </w:tcPr>
          <w:p w14:paraId="6D102D0D">
            <w:pPr>
              <w:pStyle w:val="6"/>
              <w:spacing w:before="46" w:line="229" w:lineRule="auto"/>
              <w:ind w:left="151"/>
              <w:rPr>
                <w:sz w:val="20"/>
                <w:szCs w:val="20"/>
              </w:rPr>
            </w:pPr>
            <w:r>
              <w:rPr>
                <w:spacing w:val="7"/>
                <w:sz w:val="20"/>
                <w:szCs w:val="20"/>
              </w:rPr>
              <w:t>硫酸盐</w:t>
            </w:r>
          </w:p>
        </w:tc>
        <w:tc>
          <w:tcPr>
            <w:tcW w:w="708" w:type="dxa"/>
            <w:vAlign w:val="top"/>
          </w:tcPr>
          <w:p w14:paraId="72F4E535">
            <w:pPr>
              <w:spacing w:before="78"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15F4BF7">
            <w:pPr>
              <w:spacing w:before="8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960" w:type="dxa"/>
            <w:vAlign w:val="top"/>
          </w:tcPr>
          <w:p w14:paraId="1B1239D8">
            <w:pPr>
              <w:spacing w:before="82"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852" w:type="dxa"/>
            <w:vAlign w:val="top"/>
          </w:tcPr>
          <w:p w14:paraId="28DC9732">
            <w:pPr>
              <w:spacing w:before="8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c>
          <w:tcPr>
            <w:tcW w:w="640" w:type="dxa"/>
            <w:vAlign w:val="top"/>
          </w:tcPr>
          <w:p w14:paraId="2E651E59">
            <w:pPr>
              <w:spacing w:before="8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960" w:type="dxa"/>
            <w:vAlign w:val="top"/>
          </w:tcPr>
          <w:p w14:paraId="3C375725">
            <w:pPr>
              <w:spacing w:before="82"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192</w:t>
            </w:r>
          </w:p>
        </w:tc>
        <w:tc>
          <w:tcPr>
            <w:tcW w:w="852" w:type="dxa"/>
            <w:vAlign w:val="top"/>
          </w:tcPr>
          <w:p w14:paraId="7A4CCA28">
            <w:pPr>
              <w:spacing w:before="8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194</w:t>
            </w:r>
          </w:p>
        </w:tc>
        <w:tc>
          <w:tcPr>
            <w:tcW w:w="642" w:type="dxa"/>
            <w:vAlign w:val="top"/>
          </w:tcPr>
          <w:p w14:paraId="390EDFF0">
            <w:pPr>
              <w:spacing w:before="82"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4" w:type="dxa"/>
            <w:tcBorders>
              <w:top w:val="nil"/>
              <w:bottom w:val="nil"/>
            </w:tcBorders>
            <w:vAlign w:val="top"/>
          </w:tcPr>
          <w:p w14:paraId="13A41946">
            <w:pPr>
              <w:rPr>
                <w:rFonts w:ascii="Arial"/>
                <w:sz w:val="21"/>
              </w:rPr>
            </w:pPr>
          </w:p>
        </w:tc>
      </w:tr>
      <w:tr w14:paraId="10697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EF2B4CF">
            <w:pPr>
              <w:rPr>
                <w:rFonts w:ascii="Arial"/>
                <w:sz w:val="21"/>
              </w:rPr>
            </w:pPr>
          </w:p>
        </w:tc>
        <w:tc>
          <w:tcPr>
            <w:tcW w:w="113" w:type="dxa"/>
            <w:tcBorders>
              <w:top w:val="nil"/>
              <w:bottom w:val="nil"/>
            </w:tcBorders>
            <w:vAlign w:val="top"/>
          </w:tcPr>
          <w:p w14:paraId="33C30B49">
            <w:pPr>
              <w:rPr>
                <w:rFonts w:ascii="Arial"/>
                <w:sz w:val="21"/>
              </w:rPr>
            </w:pPr>
          </w:p>
        </w:tc>
        <w:tc>
          <w:tcPr>
            <w:tcW w:w="427" w:type="dxa"/>
            <w:vAlign w:val="top"/>
          </w:tcPr>
          <w:p w14:paraId="0F0DCB3E">
            <w:pPr>
              <w:spacing w:before="87" w:line="192"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927" w:type="dxa"/>
            <w:vAlign w:val="top"/>
          </w:tcPr>
          <w:p w14:paraId="4DE1CCD0">
            <w:pPr>
              <w:pStyle w:val="6"/>
              <w:spacing w:before="45" w:line="229" w:lineRule="auto"/>
              <w:ind w:left="156"/>
              <w:rPr>
                <w:sz w:val="20"/>
                <w:szCs w:val="20"/>
              </w:rPr>
            </w:pPr>
            <w:r>
              <w:rPr>
                <w:spacing w:val="5"/>
                <w:sz w:val="20"/>
                <w:szCs w:val="20"/>
              </w:rPr>
              <w:t>氯化物</w:t>
            </w:r>
          </w:p>
        </w:tc>
        <w:tc>
          <w:tcPr>
            <w:tcW w:w="708" w:type="dxa"/>
            <w:vAlign w:val="top"/>
          </w:tcPr>
          <w:p w14:paraId="40870CD2">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0930EFAF">
            <w:pPr>
              <w:spacing w:before="8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960" w:type="dxa"/>
            <w:vAlign w:val="top"/>
          </w:tcPr>
          <w:p w14:paraId="14B3B57F">
            <w:pPr>
              <w:spacing w:before="84"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w:t>
            </w:r>
          </w:p>
        </w:tc>
        <w:tc>
          <w:tcPr>
            <w:tcW w:w="852" w:type="dxa"/>
            <w:vAlign w:val="top"/>
          </w:tcPr>
          <w:p w14:paraId="0C8F31B3">
            <w:pPr>
              <w:spacing w:before="8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w:t>
            </w:r>
          </w:p>
        </w:tc>
        <w:tc>
          <w:tcPr>
            <w:tcW w:w="640" w:type="dxa"/>
            <w:vAlign w:val="top"/>
          </w:tcPr>
          <w:p w14:paraId="26CAE109">
            <w:pPr>
              <w:spacing w:before="8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960" w:type="dxa"/>
            <w:vAlign w:val="top"/>
          </w:tcPr>
          <w:p w14:paraId="27784E82">
            <w:pPr>
              <w:spacing w:before="8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w:t>
            </w:r>
          </w:p>
        </w:tc>
        <w:tc>
          <w:tcPr>
            <w:tcW w:w="852" w:type="dxa"/>
            <w:vAlign w:val="top"/>
          </w:tcPr>
          <w:p w14:paraId="162D6CC9">
            <w:pPr>
              <w:spacing w:before="8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c>
          <w:tcPr>
            <w:tcW w:w="642" w:type="dxa"/>
            <w:vAlign w:val="top"/>
          </w:tcPr>
          <w:p w14:paraId="7271C127">
            <w:pPr>
              <w:spacing w:before="84"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4" w:type="dxa"/>
            <w:tcBorders>
              <w:top w:val="nil"/>
              <w:bottom w:val="nil"/>
            </w:tcBorders>
            <w:vAlign w:val="top"/>
          </w:tcPr>
          <w:p w14:paraId="6AF4B8CF">
            <w:pPr>
              <w:rPr>
                <w:rFonts w:ascii="Arial"/>
                <w:sz w:val="21"/>
              </w:rPr>
            </w:pPr>
          </w:p>
        </w:tc>
      </w:tr>
      <w:tr w14:paraId="5DC6A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6611994">
            <w:pPr>
              <w:rPr>
                <w:rFonts w:ascii="Arial"/>
                <w:sz w:val="21"/>
              </w:rPr>
            </w:pPr>
          </w:p>
        </w:tc>
        <w:tc>
          <w:tcPr>
            <w:tcW w:w="113" w:type="dxa"/>
            <w:tcBorders>
              <w:top w:val="nil"/>
              <w:bottom w:val="nil"/>
            </w:tcBorders>
            <w:vAlign w:val="top"/>
          </w:tcPr>
          <w:p w14:paraId="50ACED2A">
            <w:pPr>
              <w:rPr>
                <w:rFonts w:ascii="Arial"/>
                <w:sz w:val="21"/>
              </w:rPr>
            </w:pPr>
          </w:p>
        </w:tc>
        <w:tc>
          <w:tcPr>
            <w:tcW w:w="427" w:type="dxa"/>
            <w:vAlign w:val="top"/>
          </w:tcPr>
          <w:p w14:paraId="22450ABA">
            <w:pPr>
              <w:spacing w:before="8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27" w:type="dxa"/>
            <w:vAlign w:val="top"/>
          </w:tcPr>
          <w:p w14:paraId="643EC971">
            <w:pPr>
              <w:pStyle w:val="6"/>
              <w:spacing w:before="45" w:line="229" w:lineRule="auto"/>
              <w:ind w:left="154"/>
              <w:rPr>
                <w:sz w:val="20"/>
                <w:szCs w:val="20"/>
              </w:rPr>
            </w:pPr>
            <w:r>
              <w:rPr>
                <w:spacing w:val="6"/>
                <w:sz w:val="20"/>
                <w:szCs w:val="20"/>
              </w:rPr>
              <w:t>硝酸盐</w:t>
            </w:r>
          </w:p>
        </w:tc>
        <w:tc>
          <w:tcPr>
            <w:tcW w:w="708" w:type="dxa"/>
            <w:vAlign w:val="top"/>
          </w:tcPr>
          <w:p w14:paraId="126B8FC7">
            <w:pPr>
              <w:spacing w:before="7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4F6C01C">
            <w:pPr>
              <w:spacing w:before="8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960" w:type="dxa"/>
            <w:vAlign w:val="top"/>
          </w:tcPr>
          <w:p w14:paraId="507B7A6A">
            <w:pPr>
              <w:spacing w:before="83"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w:t>
            </w:r>
          </w:p>
        </w:tc>
        <w:tc>
          <w:tcPr>
            <w:tcW w:w="852" w:type="dxa"/>
            <w:vAlign w:val="top"/>
          </w:tcPr>
          <w:p w14:paraId="25B53972">
            <w:pPr>
              <w:spacing w:before="8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4.56</w:t>
            </w:r>
          </w:p>
        </w:tc>
        <w:tc>
          <w:tcPr>
            <w:tcW w:w="640" w:type="dxa"/>
            <w:vAlign w:val="top"/>
          </w:tcPr>
          <w:p w14:paraId="0284442D">
            <w:pPr>
              <w:spacing w:before="8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6.44</w:t>
            </w:r>
          </w:p>
        </w:tc>
        <w:tc>
          <w:tcPr>
            <w:tcW w:w="960" w:type="dxa"/>
            <w:vAlign w:val="top"/>
          </w:tcPr>
          <w:p w14:paraId="5E406568">
            <w:pPr>
              <w:spacing w:before="8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6.82</w:t>
            </w:r>
          </w:p>
        </w:tc>
        <w:tc>
          <w:tcPr>
            <w:tcW w:w="852" w:type="dxa"/>
            <w:vAlign w:val="top"/>
          </w:tcPr>
          <w:p w14:paraId="03752679">
            <w:pPr>
              <w:spacing w:before="8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w:t>
            </w:r>
          </w:p>
        </w:tc>
        <w:tc>
          <w:tcPr>
            <w:tcW w:w="642" w:type="dxa"/>
            <w:vAlign w:val="top"/>
          </w:tcPr>
          <w:p w14:paraId="76F4A1D2">
            <w:pPr>
              <w:spacing w:before="8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4" w:type="dxa"/>
            <w:tcBorders>
              <w:top w:val="nil"/>
              <w:bottom w:val="nil"/>
            </w:tcBorders>
            <w:vAlign w:val="top"/>
          </w:tcPr>
          <w:p w14:paraId="59359DCC">
            <w:pPr>
              <w:rPr>
                <w:rFonts w:ascii="Arial"/>
                <w:sz w:val="21"/>
              </w:rPr>
            </w:pPr>
          </w:p>
        </w:tc>
      </w:tr>
      <w:tr w14:paraId="48EDD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60" w:type="dxa"/>
            <w:vMerge w:val="continue"/>
            <w:tcBorders>
              <w:top w:val="nil"/>
              <w:bottom w:val="nil"/>
            </w:tcBorders>
            <w:vAlign w:val="top"/>
          </w:tcPr>
          <w:p w14:paraId="43CB707F">
            <w:pPr>
              <w:rPr>
                <w:rFonts w:ascii="Arial"/>
                <w:sz w:val="21"/>
              </w:rPr>
            </w:pPr>
          </w:p>
        </w:tc>
        <w:tc>
          <w:tcPr>
            <w:tcW w:w="113" w:type="dxa"/>
            <w:tcBorders>
              <w:top w:val="nil"/>
              <w:bottom w:val="nil"/>
            </w:tcBorders>
            <w:vAlign w:val="top"/>
          </w:tcPr>
          <w:p w14:paraId="14432E7B">
            <w:pPr>
              <w:rPr>
                <w:rFonts w:ascii="Arial"/>
                <w:sz w:val="21"/>
              </w:rPr>
            </w:pPr>
          </w:p>
        </w:tc>
        <w:tc>
          <w:tcPr>
            <w:tcW w:w="427" w:type="dxa"/>
            <w:vAlign w:val="top"/>
          </w:tcPr>
          <w:p w14:paraId="78F99E84">
            <w:pPr>
              <w:spacing w:before="20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927" w:type="dxa"/>
            <w:vAlign w:val="top"/>
          </w:tcPr>
          <w:p w14:paraId="66368CD1">
            <w:pPr>
              <w:pStyle w:val="6"/>
              <w:spacing w:before="33" w:line="229" w:lineRule="auto"/>
              <w:ind w:left="154"/>
              <w:rPr>
                <w:sz w:val="20"/>
                <w:szCs w:val="20"/>
              </w:rPr>
            </w:pPr>
            <w:r>
              <w:rPr>
                <w:spacing w:val="6"/>
                <w:sz w:val="20"/>
                <w:szCs w:val="20"/>
              </w:rPr>
              <w:t>亚硝酸</w:t>
            </w:r>
          </w:p>
          <w:p w14:paraId="154A2EFC">
            <w:pPr>
              <w:pStyle w:val="6"/>
              <w:spacing w:before="22" w:line="218" w:lineRule="auto"/>
              <w:ind w:left="363"/>
              <w:rPr>
                <w:sz w:val="20"/>
                <w:szCs w:val="20"/>
              </w:rPr>
            </w:pPr>
            <w:r>
              <w:rPr>
                <w:sz w:val="20"/>
                <w:szCs w:val="20"/>
              </w:rPr>
              <w:t>盐</w:t>
            </w:r>
          </w:p>
        </w:tc>
        <w:tc>
          <w:tcPr>
            <w:tcW w:w="708" w:type="dxa"/>
            <w:vAlign w:val="top"/>
          </w:tcPr>
          <w:p w14:paraId="1BEAAC33">
            <w:pPr>
              <w:spacing w:before="20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73384A59">
            <w:pPr>
              <w:spacing w:before="205"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960" w:type="dxa"/>
            <w:vAlign w:val="top"/>
          </w:tcPr>
          <w:p w14:paraId="0BAB1C51">
            <w:pPr>
              <w:spacing w:before="2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852" w:type="dxa"/>
            <w:vAlign w:val="top"/>
          </w:tcPr>
          <w:p w14:paraId="0A448449">
            <w:pPr>
              <w:spacing w:before="20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640" w:type="dxa"/>
            <w:vAlign w:val="top"/>
          </w:tcPr>
          <w:p w14:paraId="5CA59956">
            <w:pPr>
              <w:spacing w:before="8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BF789DD">
            <w:pPr>
              <w:spacing w:before="55"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6L</w:t>
            </w:r>
          </w:p>
        </w:tc>
        <w:tc>
          <w:tcPr>
            <w:tcW w:w="960" w:type="dxa"/>
            <w:vAlign w:val="top"/>
          </w:tcPr>
          <w:p w14:paraId="158ABBEC">
            <w:pPr>
              <w:spacing w:before="2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852" w:type="dxa"/>
            <w:vAlign w:val="top"/>
          </w:tcPr>
          <w:p w14:paraId="585427C3">
            <w:pPr>
              <w:spacing w:before="20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0.016L</w:t>
            </w:r>
          </w:p>
        </w:tc>
        <w:tc>
          <w:tcPr>
            <w:tcW w:w="642" w:type="dxa"/>
            <w:vAlign w:val="top"/>
          </w:tcPr>
          <w:p w14:paraId="470E2DC3">
            <w:pPr>
              <w:spacing w:before="20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47F149A3">
            <w:pPr>
              <w:rPr>
                <w:rFonts w:ascii="Arial"/>
                <w:sz w:val="21"/>
              </w:rPr>
            </w:pPr>
          </w:p>
        </w:tc>
      </w:tr>
      <w:tr w14:paraId="3FCC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57ECDC2">
            <w:pPr>
              <w:rPr>
                <w:rFonts w:ascii="Arial"/>
                <w:sz w:val="21"/>
              </w:rPr>
            </w:pPr>
          </w:p>
        </w:tc>
        <w:tc>
          <w:tcPr>
            <w:tcW w:w="113" w:type="dxa"/>
            <w:tcBorders>
              <w:top w:val="nil"/>
              <w:bottom w:val="nil"/>
            </w:tcBorders>
            <w:vAlign w:val="top"/>
          </w:tcPr>
          <w:p w14:paraId="24FFE45D">
            <w:pPr>
              <w:rPr>
                <w:rFonts w:ascii="Arial"/>
                <w:sz w:val="21"/>
              </w:rPr>
            </w:pPr>
          </w:p>
        </w:tc>
        <w:tc>
          <w:tcPr>
            <w:tcW w:w="427" w:type="dxa"/>
            <w:vAlign w:val="top"/>
          </w:tcPr>
          <w:p w14:paraId="0F408A18">
            <w:pPr>
              <w:spacing w:before="1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Align w:val="top"/>
          </w:tcPr>
          <w:p w14:paraId="769994C3">
            <w:pPr>
              <w:pStyle w:val="6"/>
              <w:spacing w:before="135" w:line="227" w:lineRule="auto"/>
              <w:ind w:left="255"/>
              <w:rPr>
                <w:sz w:val="20"/>
                <w:szCs w:val="20"/>
              </w:rPr>
            </w:pPr>
            <w:r>
              <w:rPr>
                <w:spacing w:val="4"/>
                <w:sz w:val="20"/>
                <w:szCs w:val="20"/>
              </w:rPr>
              <w:t>氨氮</w:t>
            </w:r>
          </w:p>
        </w:tc>
        <w:tc>
          <w:tcPr>
            <w:tcW w:w="708" w:type="dxa"/>
            <w:vAlign w:val="top"/>
          </w:tcPr>
          <w:p w14:paraId="30230C2C">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48702E31">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0.299</w:t>
            </w:r>
          </w:p>
        </w:tc>
        <w:tc>
          <w:tcPr>
            <w:tcW w:w="960" w:type="dxa"/>
            <w:vAlign w:val="top"/>
          </w:tcPr>
          <w:p w14:paraId="4774F0AE">
            <w:pPr>
              <w:spacing w:before="173"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0.119</w:t>
            </w:r>
          </w:p>
        </w:tc>
        <w:tc>
          <w:tcPr>
            <w:tcW w:w="852" w:type="dxa"/>
            <w:vAlign w:val="top"/>
          </w:tcPr>
          <w:p w14:paraId="7B1CE8CD">
            <w:pPr>
              <w:spacing w:before="1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0.474</w:t>
            </w:r>
          </w:p>
        </w:tc>
        <w:tc>
          <w:tcPr>
            <w:tcW w:w="640" w:type="dxa"/>
            <w:vAlign w:val="top"/>
          </w:tcPr>
          <w:p w14:paraId="5C402EC6">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p w14:paraId="4ADC6AA6">
            <w:pPr>
              <w:spacing w:before="53" w:line="192"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60" w:type="dxa"/>
            <w:vAlign w:val="top"/>
          </w:tcPr>
          <w:p w14:paraId="570AA98C">
            <w:pPr>
              <w:spacing w:before="173"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852" w:type="dxa"/>
            <w:vAlign w:val="top"/>
          </w:tcPr>
          <w:p w14:paraId="57F5E851">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0.287</w:t>
            </w:r>
          </w:p>
        </w:tc>
        <w:tc>
          <w:tcPr>
            <w:tcW w:w="642" w:type="dxa"/>
            <w:vAlign w:val="top"/>
          </w:tcPr>
          <w:p w14:paraId="76FA2C08">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24" w:type="dxa"/>
            <w:tcBorders>
              <w:top w:val="nil"/>
              <w:bottom w:val="nil"/>
            </w:tcBorders>
            <w:vAlign w:val="top"/>
          </w:tcPr>
          <w:p w14:paraId="0CB881E5">
            <w:pPr>
              <w:rPr>
                <w:rFonts w:ascii="Arial"/>
                <w:sz w:val="21"/>
              </w:rPr>
            </w:pPr>
          </w:p>
        </w:tc>
      </w:tr>
      <w:tr w14:paraId="200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2C121915">
            <w:pPr>
              <w:rPr>
                <w:rFonts w:ascii="Arial"/>
                <w:sz w:val="21"/>
              </w:rPr>
            </w:pPr>
          </w:p>
        </w:tc>
        <w:tc>
          <w:tcPr>
            <w:tcW w:w="113" w:type="dxa"/>
            <w:tcBorders>
              <w:top w:val="nil"/>
              <w:bottom w:val="nil"/>
            </w:tcBorders>
            <w:vAlign w:val="top"/>
          </w:tcPr>
          <w:p w14:paraId="2EEC794C">
            <w:pPr>
              <w:rPr>
                <w:rFonts w:ascii="Arial"/>
                <w:sz w:val="21"/>
              </w:rPr>
            </w:pPr>
          </w:p>
        </w:tc>
        <w:tc>
          <w:tcPr>
            <w:tcW w:w="427" w:type="dxa"/>
            <w:vAlign w:val="top"/>
          </w:tcPr>
          <w:p w14:paraId="3C0C2218">
            <w:pPr>
              <w:spacing w:before="173"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927" w:type="dxa"/>
            <w:vAlign w:val="top"/>
          </w:tcPr>
          <w:p w14:paraId="0320EFE0">
            <w:pPr>
              <w:pStyle w:val="6"/>
              <w:spacing w:before="137" w:line="228" w:lineRule="auto"/>
              <w:ind w:left="151"/>
              <w:rPr>
                <w:sz w:val="20"/>
                <w:szCs w:val="20"/>
              </w:rPr>
            </w:pPr>
            <w:r>
              <w:rPr>
                <w:spacing w:val="7"/>
                <w:sz w:val="20"/>
                <w:szCs w:val="20"/>
              </w:rPr>
              <w:t>挥发酚</w:t>
            </w:r>
          </w:p>
        </w:tc>
        <w:tc>
          <w:tcPr>
            <w:tcW w:w="708" w:type="dxa"/>
            <w:vAlign w:val="top"/>
          </w:tcPr>
          <w:p w14:paraId="45E5611D">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AC48E84">
            <w:pPr>
              <w:spacing w:before="172"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0" w:type="dxa"/>
            <w:vAlign w:val="top"/>
          </w:tcPr>
          <w:p w14:paraId="2A985190">
            <w:pPr>
              <w:spacing w:before="17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57192A1F">
            <w:pPr>
              <w:spacing w:before="5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3B83C91D">
            <w:pPr>
              <w:spacing w:before="58"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2067232C">
            <w:pPr>
              <w:spacing w:before="52"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6F77BB6">
            <w:pPr>
              <w:spacing w:before="56" w:line="190"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03L</w:t>
            </w:r>
          </w:p>
        </w:tc>
        <w:tc>
          <w:tcPr>
            <w:tcW w:w="960" w:type="dxa"/>
            <w:vAlign w:val="top"/>
          </w:tcPr>
          <w:p w14:paraId="1C36348B">
            <w:pPr>
              <w:spacing w:before="172"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553E2389">
            <w:pPr>
              <w:spacing w:before="5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164E08F9">
            <w:pPr>
              <w:spacing w:before="58"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37715202">
            <w:pPr>
              <w:spacing w:before="5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32E6E3D4">
            <w:pPr>
              <w:spacing w:before="56" w:line="190"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 w:type="dxa"/>
            <w:tcBorders>
              <w:top w:val="nil"/>
              <w:bottom w:val="nil"/>
            </w:tcBorders>
            <w:vAlign w:val="top"/>
          </w:tcPr>
          <w:p w14:paraId="122A04AE">
            <w:pPr>
              <w:rPr>
                <w:rFonts w:ascii="Arial"/>
                <w:sz w:val="21"/>
              </w:rPr>
            </w:pPr>
          </w:p>
        </w:tc>
      </w:tr>
      <w:tr w14:paraId="1EBC5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3885D74A">
            <w:pPr>
              <w:rPr>
                <w:rFonts w:ascii="Arial"/>
                <w:sz w:val="21"/>
              </w:rPr>
            </w:pPr>
          </w:p>
        </w:tc>
        <w:tc>
          <w:tcPr>
            <w:tcW w:w="113" w:type="dxa"/>
            <w:tcBorders>
              <w:top w:val="nil"/>
              <w:bottom w:val="nil"/>
            </w:tcBorders>
            <w:vAlign w:val="top"/>
          </w:tcPr>
          <w:p w14:paraId="0F99C661">
            <w:pPr>
              <w:rPr>
                <w:rFonts w:ascii="Arial"/>
                <w:sz w:val="21"/>
              </w:rPr>
            </w:pPr>
          </w:p>
        </w:tc>
        <w:tc>
          <w:tcPr>
            <w:tcW w:w="427" w:type="dxa"/>
            <w:vAlign w:val="top"/>
          </w:tcPr>
          <w:p w14:paraId="5ADF35DD">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27" w:type="dxa"/>
            <w:vAlign w:val="top"/>
          </w:tcPr>
          <w:p w14:paraId="041D9977">
            <w:pPr>
              <w:pStyle w:val="6"/>
              <w:spacing w:before="135" w:line="228" w:lineRule="auto"/>
              <w:ind w:left="151"/>
              <w:rPr>
                <w:sz w:val="20"/>
                <w:szCs w:val="20"/>
              </w:rPr>
            </w:pPr>
            <w:r>
              <w:rPr>
                <w:spacing w:val="7"/>
                <w:sz w:val="20"/>
                <w:szCs w:val="20"/>
              </w:rPr>
              <w:t>氰化物</w:t>
            </w:r>
          </w:p>
        </w:tc>
        <w:tc>
          <w:tcPr>
            <w:tcW w:w="708" w:type="dxa"/>
            <w:vAlign w:val="top"/>
          </w:tcPr>
          <w:p w14:paraId="19878DAC">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7C8C00F">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960" w:type="dxa"/>
            <w:vAlign w:val="top"/>
          </w:tcPr>
          <w:p w14:paraId="0B7D4487">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52" w:type="dxa"/>
            <w:vAlign w:val="top"/>
          </w:tcPr>
          <w:p w14:paraId="58880E9E">
            <w:pPr>
              <w:spacing w:before="17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640" w:type="dxa"/>
            <w:vAlign w:val="top"/>
          </w:tcPr>
          <w:p w14:paraId="4A90C887">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1AD48BF">
            <w:pPr>
              <w:spacing w:before="53" w:line="191"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66DC578C">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852" w:type="dxa"/>
            <w:vAlign w:val="top"/>
          </w:tcPr>
          <w:p w14:paraId="428621DF">
            <w:pPr>
              <w:spacing w:before="174"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0.002L</w:t>
            </w:r>
          </w:p>
        </w:tc>
        <w:tc>
          <w:tcPr>
            <w:tcW w:w="642" w:type="dxa"/>
            <w:vAlign w:val="top"/>
          </w:tcPr>
          <w:p w14:paraId="3121C424">
            <w:pPr>
              <w:spacing w:before="17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4" w:type="dxa"/>
            <w:tcBorders>
              <w:top w:val="nil"/>
              <w:bottom w:val="nil"/>
            </w:tcBorders>
            <w:vAlign w:val="top"/>
          </w:tcPr>
          <w:p w14:paraId="430E4BC8">
            <w:pPr>
              <w:rPr>
                <w:rFonts w:ascii="Arial"/>
                <w:sz w:val="21"/>
              </w:rPr>
            </w:pPr>
          </w:p>
        </w:tc>
      </w:tr>
      <w:tr w14:paraId="67558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60" w:type="dxa"/>
            <w:vMerge w:val="continue"/>
            <w:tcBorders>
              <w:top w:val="nil"/>
              <w:bottom w:val="nil"/>
            </w:tcBorders>
            <w:vAlign w:val="top"/>
          </w:tcPr>
          <w:p w14:paraId="6CE81872">
            <w:pPr>
              <w:rPr>
                <w:rFonts w:ascii="Arial"/>
                <w:sz w:val="21"/>
              </w:rPr>
            </w:pPr>
          </w:p>
        </w:tc>
        <w:tc>
          <w:tcPr>
            <w:tcW w:w="113" w:type="dxa"/>
            <w:tcBorders>
              <w:top w:val="nil"/>
              <w:bottom w:val="nil"/>
            </w:tcBorders>
            <w:vAlign w:val="top"/>
          </w:tcPr>
          <w:p w14:paraId="41056B0A">
            <w:pPr>
              <w:rPr>
                <w:rFonts w:ascii="Arial"/>
                <w:sz w:val="21"/>
              </w:rPr>
            </w:pPr>
          </w:p>
        </w:tc>
        <w:tc>
          <w:tcPr>
            <w:tcW w:w="427" w:type="dxa"/>
            <w:vAlign w:val="top"/>
          </w:tcPr>
          <w:p w14:paraId="1A8C31BA">
            <w:pPr>
              <w:spacing w:before="29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27" w:type="dxa"/>
            <w:vAlign w:val="top"/>
          </w:tcPr>
          <w:p w14:paraId="383C53F1">
            <w:pPr>
              <w:pStyle w:val="6"/>
              <w:spacing w:before="257" w:line="228" w:lineRule="auto"/>
              <w:ind w:left="362"/>
              <w:rPr>
                <w:sz w:val="20"/>
                <w:szCs w:val="20"/>
              </w:rPr>
            </w:pPr>
            <w:r>
              <w:rPr>
                <w:sz w:val="20"/>
                <w:szCs w:val="20"/>
              </w:rPr>
              <w:t>汞</w:t>
            </w:r>
          </w:p>
        </w:tc>
        <w:tc>
          <w:tcPr>
            <w:tcW w:w="708" w:type="dxa"/>
            <w:vAlign w:val="top"/>
          </w:tcPr>
          <w:p w14:paraId="4E482B52">
            <w:pPr>
              <w:spacing w:before="28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2FA47EB">
            <w:pPr>
              <w:spacing w:before="17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491AAABB">
            <w:pPr>
              <w:spacing w:before="56"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55684357">
            <w:pPr>
              <w:spacing w:before="17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3B0D5AA8">
            <w:pPr>
              <w:spacing w:before="56" w:line="192"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852" w:type="dxa"/>
            <w:vAlign w:val="top"/>
          </w:tcPr>
          <w:p w14:paraId="55CAC00C">
            <w:pPr>
              <w:spacing w:before="17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15D86E03">
            <w:pPr>
              <w:spacing w:before="5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640" w:type="dxa"/>
            <w:vAlign w:val="top"/>
          </w:tcPr>
          <w:p w14:paraId="6A26B23C">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5BAADC05">
            <w:pPr>
              <w:spacing w:before="53"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p w14:paraId="2049AA3D">
            <w:pPr>
              <w:spacing w:before="58" w:line="187"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213F2F61">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p w14:paraId="71FCFE46">
            <w:pPr>
              <w:spacing w:before="56" w:line="192"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852" w:type="dxa"/>
            <w:vAlign w:val="top"/>
          </w:tcPr>
          <w:p w14:paraId="302EFF02">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34E524A3">
            <w:pPr>
              <w:spacing w:before="5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4L</w:t>
            </w:r>
          </w:p>
        </w:tc>
        <w:tc>
          <w:tcPr>
            <w:tcW w:w="642" w:type="dxa"/>
            <w:vAlign w:val="top"/>
          </w:tcPr>
          <w:p w14:paraId="24B1C433">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06F88673">
            <w:pPr>
              <w:spacing w:before="5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13967874">
            <w:pPr>
              <w:rPr>
                <w:rFonts w:ascii="Arial"/>
                <w:sz w:val="21"/>
              </w:rPr>
            </w:pPr>
          </w:p>
        </w:tc>
      </w:tr>
      <w:tr w14:paraId="06317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21642EC">
            <w:pPr>
              <w:rPr>
                <w:rFonts w:ascii="Arial"/>
                <w:sz w:val="21"/>
              </w:rPr>
            </w:pPr>
          </w:p>
        </w:tc>
        <w:tc>
          <w:tcPr>
            <w:tcW w:w="113" w:type="dxa"/>
            <w:tcBorders>
              <w:top w:val="nil"/>
              <w:bottom w:val="nil"/>
            </w:tcBorders>
            <w:vAlign w:val="top"/>
          </w:tcPr>
          <w:p w14:paraId="4081A8CF">
            <w:pPr>
              <w:rPr>
                <w:rFonts w:ascii="Arial"/>
                <w:sz w:val="21"/>
              </w:rPr>
            </w:pPr>
          </w:p>
        </w:tc>
        <w:tc>
          <w:tcPr>
            <w:tcW w:w="427" w:type="dxa"/>
            <w:vAlign w:val="top"/>
          </w:tcPr>
          <w:p w14:paraId="5BEC35AB">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27" w:type="dxa"/>
            <w:vAlign w:val="top"/>
          </w:tcPr>
          <w:p w14:paraId="13223F70">
            <w:pPr>
              <w:pStyle w:val="6"/>
              <w:spacing w:before="139" w:line="228" w:lineRule="auto"/>
              <w:ind w:left="360"/>
              <w:rPr>
                <w:sz w:val="20"/>
                <w:szCs w:val="20"/>
              </w:rPr>
            </w:pPr>
            <w:r>
              <w:rPr>
                <w:spacing w:val="1"/>
                <w:sz w:val="20"/>
                <w:szCs w:val="20"/>
              </w:rPr>
              <w:t>砷</w:t>
            </w:r>
          </w:p>
        </w:tc>
        <w:tc>
          <w:tcPr>
            <w:tcW w:w="708" w:type="dxa"/>
            <w:vAlign w:val="top"/>
          </w:tcPr>
          <w:p w14:paraId="475C4794">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35BCF46">
            <w:pPr>
              <w:spacing w:before="174"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960" w:type="dxa"/>
            <w:vAlign w:val="top"/>
          </w:tcPr>
          <w:p w14:paraId="07A86493">
            <w:pPr>
              <w:spacing w:before="174"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0.0003L</w:t>
            </w:r>
          </w:p>
        </w:tc>
        <w:tc>
          <w:tcPr>
            <w:tcW w:w="852" w:type="dxa"/>
            <w:vAlign w:val="top"/>
          </w:tcPr>
          <w:p w14:paraId="4AAA2E93">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p w14:paraId="6954E58A">
            <w:pPr>
              <w:spacing w:before="59" w:line="18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179B7D81">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7E27AB86">
            <w:pPr>
              <w:spacing w:before="56" w:line="188"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03L</w:t>
            </w:r>
          </w:p>
        </w:tc>
        <w:tc>
          <w:tcPr>
            <w:tcW w:w="960" w:type="dxa"/>
            <w:vAlign w:val="top"/>
          </w:tcPr>
          <w:p w14:paraId="5B40AF53">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852" w:type="dxa"/>
            <w:vAlign w:val="top"/>
          </w:tcPr>
          <w:p w14:paraId="66779B65">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642" w:type="dxa"/>
            <w:vAlign w:val="top"/>
          </w:tcPr>
          <w:p w14:paraId="06D06156">
            <w:pPr>
              <w:spacing w:before="17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4" w:type="dxa"/>
            <w:tcBorders>
              <w:top w:val="nil"/>
              <w:bottom w:val="nil"/>
            </w:tcBorders>
            <w:vAlign w:val="top"/>
          </w:tcPr>
          <w:p w14:paraId="1EDADE30">
            <w:pPr>
              <w:rPr>
                <w:rFonts w:ascii="Arial"/>
                <w:sz w:val="21"/>
              </w:rPr>
            </w:pPr>
          </w:p>
        </w:tc>
      </w:tr>
      <w:tr w14:paraId="5C680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5BFFCC09">
            <w:pPr>
              <w:rPr>
                <w:rFonts w:ascii="Arial"/>
                <w:sz w:val="21"/>
              </w:rPr>
            </w:pPr>
          </w:p>
        </w:tc>
        <w:tc>
          <w:tcPr>
            <w:tcW w:w="113" w:type="dxa"/>
            <w:tcBorders>
              <w:top w:val="nil"/>
              <w:bottom w:val="nil"/>
            </w:tcBorders>
            <w:vAlign w:val="top"/>
          </w:tcPr>
          <w:p w14:paraId="0852957D">
            <w:pPr>
              <w:rPr>
                <w:rFonts w:ascii="Arial"/>
                <w:sz w:val="21"/>
              </w:rPr>
            </w:pPr>
          </w:p>
        </w:tc>
        <w:tc>
          <w:tcPr>
            <w:tcW w:w="427" w:type="dxa"/>
            <w:vAlign w:val="top"/>
          </w:tcPr>
          <w:p w14:paraId="6A892951">
            <w:pPr>
              <w:spacing w:before="17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7" w:type="dxa"/>
            <w:vAlign w:val="top"/>
          </w:tcPr>
          <w:p w14:paraId="10DCCF91">
            <w:pPr>
              <w:pStyle w:val="6"/>
              <w:spacing w:before="137" w:line="232" w:lineRule="auto"/>
              <w:ind w:left="361"/>
              <w:rPr>
                <w:sz w:val="20"/>
                <w:szCs w:val="20"/>
              </w:rPr>
            </w:pPr>
            <w:r>
              <w:rPr>
                <w:sz w:val="20"/>
                <w:szCs w:val="20"/>
              </w:rPr>
              <w:t>铅</w:t>
            </w:r>
          </w:p>
        </w:tc>
        <w:tc>
          <w:tcPr>
            <w:tcW w:w="708" w:type="dxa"/>
            <w:vAlign w:val="top"/>
          </w:tcPr>
          <w:p w14:paraId="1F9339E6">
            <w:pPr>
              <w:spacing w:before="17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E62EE2C">
            <w:pPr>
              <w:spacing w:before="17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960" w:type="dxa"/>
            <w:vAlign w:val="top"/>
          </w:tcPr>
          <w:p w14:paraId="4674A13F">
            <w:pPr>
              <w:spacing w:before="176"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852" w:type="dxa"/>
            <w:vAlign w:val="top"/>
          </w:tcPr>
          <w:p w14:paraId="3297E19A">
            <w:pPr>
              <w:spacing w:before="56"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p w14:paraId="7922F9F3">
            <w:pPr>
              <w:spacing w:before="56" w:line="186"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3B2C3491">
            <w:pPr>
              <w:spacing w:before="56"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11463733">
            <w:pPr>
              <w:spacing w:before="53" w:line="189"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25L</w:t>
            </w:r>
          </w:p>
        </w:tc>
        <w:tc>
          <w:tcPr>
            <w:tcW w:w="960" w:type="dxa"/>
            <w:vAlign w:val="top"/>
          </w:tcPr>
          <w:p w14:paraId="2D1EE48D">
            <w:pPr>
              <w:spacing w:before="176"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0.0025L</w:t>
            </w:r>
          </w:p>
        </w:tc>
        <w:tc>
          <w:tcPr>
            <w:tcW w:w="852" w:type="dxa"/>
            <w:vAlign w:val="top"/>
          </w:tcPr>
          <w:p w14:paraId="4530FF80">
            <w:pPr>
              <w:spacing w:before="5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p w14:paraId="142FD6F6">
            <w:pPr>
              <w:spacing w:before="56" w:line="186"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386B6CCB">
            <w:pPr>
              <w:spacing w:before="17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4" w:type="dxa"/>
            <w:tcBorders>
              <w:top w:val="nil"/>
              <w:bottom w:val="nil"/>
            </w:tcBorders>
            <w:vAlign w:val="top"/>
          </w:tcPr>
          <w:p w14:paraId="63082020">
            <w:pPr>
              <w:rPr>
                <w:rFonts w:ascii="Arial"/>
                <w:sz w:val="21"/>
              </w:rPr>
            </w:pPr>
          </w:p>
        </w:tc>
      </w:tr>
      <w:tr w14:paraId="703F9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364A33EE">
            <w:pPr>
              <w:rPr>
                <w:rFonts w:ascii="Arial"/>
                <w:sz w:val="21"/>
              </w:rPr>
            </w:pPr>
          </w:p>
        </w:tc>
        <w:tc>
          <w:tcPr>
            <w:tcW w:w="113" w:type="dxa"/>
            <w:tcBorders>
              <w:top w:val="nil"/>
              <w:bottom w:val="nil"/>
            </w:tcBorders>
            <w:vAlign w:val="top"/>
          </w:tcPr>
          <w:p w14:paraId="3232D755">
            <w:pPr>
              <w:rPr>
                <w:rFonts w:ascii="Arial"/>
                <w:sz w:val="21"/>
              </w:rPr>
            </w:pPr>
          </w:p>
        </w:tc>
        <w:tc>
          <w:tcPr>
            <w:tcW w:w="427" w:type="dxa"/>
            <w:vAlign w:val="top"/>
          </w:tcPr>
          <w:p w14:paraId="48EE781D">
            <w:pPr>
              <w:spacing w:before="17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927" w:type="dxa"/>
            <w:vAlign w:val="top"/>
          </w:tcPr>
          <w:p w14:paraId="796C0A6A">
            <w:pPr>
              <w:pStyle w:val="6"/>
              <w:spacing w:before="136" w:line="231" w:lineRule="auto"/>
              <w:ind w:left="359"/>
              <w:rPr>
                <w:sz w:val="20"/>
                <w:szCs w:val="20"/>
              </w:rPr>
            </w:pPr>
            <w:r>
              <w:rPr>
                <w:spacing w:val="2"/>
                <w:sz w:val="20"/>
                <w:szCs w:val="20"/>
              </w:rPr>
              <w:t>镉</w:t>
            </w:r>
          </w:p>
        </w:tc>
        <w:tc>
          <w:tcPr>
            <w:tcW w:w="708" w:type="dxa"/>
            <w:vAlign w:val="top"/>
          </w:tcPr>
          <w:p w14:paraId="773679ED">
            <w:pPr>
              <w:spacing w:before="17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06F8F58C">
            <w:pPr>
              <w:spacing w:before="175"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960" w:type="dxa"/>
            <w:vAlign w:val="top"/>
          </w:tcPr>
          <w:p w14:paraId="23611B13">
            <w:pPr>
              <w:spacing w:before="17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852" w:type="dxa"/>
            <w:vAlign w:val="top"/>
          </w:tcPr>
          <w:p w14:paraId="5F3E17B5">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p w14:paraId="667CDAC7">
            <w:pPr>
              <w:spacing w:before="56"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0" w:type="dxa"/>
            <w:vAlign w:val="top"/>
          </w:tcPr>
          <w:p w14:paraId="37431005">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4716F7AE">
            <w:pPr>
              <w:spacing w:before="52" w:line="191"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05L</w:t>
            </w:r>
          </w:p>
        </w:tc>
        <w:tc>
          <w:tcPr>
            <w:tcW w:w="960" w:type="dxa"/>
            <w:vAlign w:val="top"/>
          </w:tcPr>
          <w:p w14:paraId="44EB7424">
            <w:pPr>
              <w:spacing w:before="175"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0.0005L</w:t>
            </w:r>
          </w:p>
        </w:tc>
        <w:tc>
          <w:tcPr>
            <w:tcW w:w="852" w:type="dxa"/>
            <w:vAlign w:val="top"/>
          </w:tcPr>
          <w:p w14:paraId="2D632B96">
            <w:pPr>
              <w:spacing w:before="5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p w14:paraId="67A1152C">
            <w:pPr>
              <w:spacing w:before="56" w:line="187"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642" w:type="dxa"/>
            <w:vAlign w:val="top"/>
          </w:tcPr>
          <w:p w14:paraId="15DF8C08">
            <w:pPr>
              <w:spacing w:before="5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282205D6">
            <w:pPr>
              <w:spacing w:before="56" w:line="187"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4" w:type="dxa"/>
            <w:tcBorders>
              <w:top w:val="nil"/>
              <w:bottom w:val="nil"/>
            </w:tcBorders>
            <w:vAlign w:val="top"/>
          </w:tcPr>
          <w:p w14:paraId="2EDE93DB">
            <w:pPr>
              <w:rPr>
                <w:rFonts w:ascii="Arial"/>
                <w:sz w:val="21"/>
              </w:rPr>
            </w:pPr>
          </w:p>
        </w:tc>
      </w:tr>
      <w:tr w14:paraId="2E22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758F462E">
            <w:pPr>
              <w:rPr>
                <w:rFonts w:ascii="Arial"/>
                <w:sz w:val="21"/>
              </w:rPr>
            </w:pPr>
          </w:p>
        </w:tc>
        <w:tc>
          <w:tcPr>
            <w:tcW w:w="113" w:type="dxa"/>
            <w:tcBorders>
              <w:top w:val="nil"/>
              <w:bottom w:val="nil"/>
            </w:tcBorders>
            <w:vAlign w:val="top"/>
          </w:tcPr>
          <w:p w14:paraId="0F226899">
            <w:pPr>
              <w:rPr>
                <w:rFonts w:ascii="Arial"/>
                <w:sz w:val="21"/>
              </w:rPr>
            </w:pPr>
          </w:p>
        </w:tc>
        <w:tc>
          <w:tcPr>
            <w:tcW w:w="427" w:type="dxa"/>
            <w:vAlign w:val="top"/>
          </w:tcPr>
          <w:p w14:paraId="6554E9AF">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927" w:type="dxa"/>
            <w:vAlign w:val="top"/>
          </w:tcPr>
          <w:p w14:paraId="43BF2A8F">
            <w:pPr>
              <w:pStyle w:val="6"/>
              <w:spacing w:before="138" w:line="229" w:lineRule="auto"/>
              <w:ind w:left="360"/>
              <w:rPr>
                <w:sz w:val="20"/>
                <w:szCs w:val="20"/>
              </w:rPr>
            </w:pPr>
            <w:r>
              <w:rPr>
                <w:spacing w:val="1"/>
                <w:sz w:val="20"/>
                <w:szCs w:val="20"/>
              </w:rPr>
              <w:t>铁</w:t>
            </w:r>
          </w:p>
        </w:tc>
        <w:tc>
          <w:tcPr>
            <w:tcW w:w="708" w:type="dxa"/>
            <w:vAlign w:val="top"/>
          </w:tcPr>
          <w:p w14:paraId="403E45DF">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4D8378EC">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960" w:type="dxa"/>
            <w:vAlign w:val="top"/>
          </w:tcPr>
          <w:p w14:paraId="41E0E6EA">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852" w:type="dxa"/>
            <w:vAlign w:val="top"/>
          </w:tcPr>
          <w:p w14:paraId="34AD3FD9">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0.03L</w:t>
            </w:r>
          </w:p>
        </w:tc>
        <w:tc>
          <w:tcPr>
            <w:tcW w:w="640" w:type="dxa"/>
            <w:vAlign w:val="top"/>
          </w:tcPr>
          <w:p w14:paraId="04277A19">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p w14:paraId="3A0F4A0D">
            <w:pPr>
              <w:spacing w:before="55" w:line="189"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156C1C2F">
            <w:pPr>
              <w:spacing w:before="17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852" w:type="dxa"/>
            <w:vAlign w:val="top"/>
          </w:tcPr>
          <w:p w14:paraId="0458F577">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0.03L</w:t>
            </w:r>
          </w:p>
        </w:tc>
        <w:tc>
          <w:tcPr>
            <w:tcW w:w="642" w:type="dxa"/>
            <w:vAlign w:val="top"/>
          </w:tcPr>
          <w:p w14:paraId="7DCEDDE9">
            <w:pPr>
              <w:spacing w:before="17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4" w:type="dxa"/>
            <w:tcBorders>
              <w:top w:val="nil"/>
              <w:bottom w:val="nil"/>
            </w:tcBorders>
            <w:vAlign w:val="top"/>
          </w:tcPr>
          <w:p w14:paraId="2D033269">
            <w:pPr>
              <w:rPr>
                <w:rFonts w:ascii="Arial"/>
                <w:sz w:val="21"/>
              </w:rPr>
            </w:pPr>
          </w:p>
        </w:tc>
      </w:tr>
      <w:tr w14:paraId="06AA1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4BEC3E5A">
            <w:pPr>
              <w:rPr>
                <w:rFonts w:ascii="Arial"/>
                <w:sz w:val="21"/>
              </w:rPr>
            </w:pPr>
          </w:p>
        </w:tc>
        <w:tc>
          <w:tcPr>
            <w:tcW w:w="113" w:type="dxa"/>
            <w:tcBorders>
              <w:top w:val="nil"/>
              <w:bottom w:val="nil"/>
            </w:tcBorders>
            <w:vAlign w:val="top"/>
          </w:tcPr>
          <w:p w14:paraId="478A390F">
            <w:pPr>
              <w:rPr>
                <w:rFonts w:ascii="Arial"/>
                <w:sz w:val="21"/>
              </w:rPr>
            </w:pPr>
          </w:p>
        </w:tc>
        <w:tc>
          <w:tcPr>
            <w:tcW w:w="427" w:type="dxa"/>
            <w:vAlign w:val="top"/>
          </w:tcPr>
          <w:p w14:paraId="0DA628ED">
            <w:pPr>
              <w:spacing w:before="17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927" w:type="dxa"/>
            <w:vAlign w:val="top"/>
          </w:tcPr>
          <w:p w14:paraId="5029F8A0">
            <w:pPr>
              <w:pStyle w:val="6"/>
              <w:spacing w:before="137" w:line="234" w:lineRule="auto"/>
              <w:ind w:left="361"/>
              <w:rPr>
                <w:sz w:val="20"/>
                <w:szCs w:val="20"/>
              </w:rPr>
            </w:pPr>
            <w:r>
              <w:rPr>
                <w:sz w:val="20"/>
                <w:szCs w:val="20"/>
              </w:rPr>
              <w:t>锰</w:t>
            </w:r>
          </w:p>
        </w:tc>
        <w:tc>
          <w:tcPr>
            <w:tcW w:w="708" w:type="dxa"/>
            <w:vAlign w:val="top"/>
          </w:tcPr>
          <w:p w14:paraId="354947CD">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BD53968">
            <w:pPr>
              <w:spacing w:before="17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960" w:type="dxa"/>
            <w:vAlign w:val="top"/>
          </w:tcPr>
          <w:p w14:paraId="346AB8BA">
            <w:pPr>
              <w:spacing w:before="17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52" w:type="dxa"/>
            <w:vAlign w:val="top"/>
          </w:tcPr>
          <w:p w14:paraId="218CE96C">
            <w:pPr>
              <w:spacing w:before="173"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640" w:type="dxa"/>
            <w:vAlign w:val="top"/>
          </w:tcPr>
          <w:p w14:paraId="5742ADD4">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p w14:paraId="12278C1B">
            <w:pPr>
              <w:spacing w:before="58" w:line="187"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72F71A4B">
            <w:pPr>
              <w:spacing w:before="17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852" w:type="dxa"/>
            <w:vAlign w:val="top"/>
          </w:tcPr>
          <w:p w14:paraId="06CB4903">
            <w:pPr>
              <w:spacing w:before="17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0.01L</w:t>
            </w:r>
          </w:p>
        </w:tc>
        <w:tc>
          <w:tcPr>
            <w:tcW w:w="642" w:type="dxa"/>
            <w:vAlign w:val="top"/>
          </w:tcPr>
          <w:p w14:paraId="1B5D30E4">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4" w:type="dxa"/>
            <w:tcBorders>
              <w:top w:val="nil"/>
              <w:bottom w:val="nil"/>
            </w:tcBorders>
            <w:vAlign w:val="top"/>
          </w:tcPr>
          <w:p w14:paraId="70F2B0F9">
            <w:pPr>
              <w:rPr>
                <w:rFonts w:ascii="Arial"/>
                <w:sz w:val="21"/>
              </w:rPr>
            </w:pPr>
          </w:p>
        </w:tc>
      </w:tr>
      <w:tr w14:paraId="350A3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2DAE0A85">
            <w:pPr>
              <w:rPr>
                <w:rFonts w:ascii="Arial"/>
                <w:sz w:val="21"/>
              </w:rPr>
            </w:pPr>
          </w:p>
        </w:tc>
        <w:tc>
          <w:tcPr>
            <w:tcW w:w="113" w:type="dxa"/>
            <w:tcBorders>
              <w:top w:val="nil"/>
              <w:bottom w:val="nil"/>
            </w:tcBorders>
            <w:vAlign w:val="top"/>
          </w:tcPr>
          <w:p w14:paraId="6C5A9E10">
            <w:pPr>
              <w:rPr>
                <w:rFonts w:ascii="Arial"/>
                <w:sz w:val="21"/>
              </w:rPr>
            </w:pPr>
          </w:p>
        </w:tc>
        <w:tc>
          <w:tcPr>
            <w:tcW w:w="427" w:type="dxa"/>
            <w:vAlign w:val="top"/>
          </w:tcPr>
          <w:p w14:paraId="2B753EDC">
            <w:pPr>
              <w:spacing w:before="17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927" w:type="dxa"/>
            <w:vAlign w:val="top"/>
          </w:tcPr>
          <w:p w14:paraId="0F499ED8">
            <w:pPr>
              <w:pStyle w:val="6"/>
              <w:spacing w:before="136" w:line="228" w:lineRule="auto"/>
              <w:ind w:left="360"/>
              <w:rPr>
                <w:sz w:val="20"/>
                <w:szCs w:val="20"/>
              </w:rPr>
            </w:pPr>
            <w:r>
              <w:rPr>
                <w:spacing w:val="1"/>
                <w:sz w:val="20"/>
                <w:szCs w:val="20"/>
              </w:rPr>
              <w:t>锌</w:t>
            </w:r>
          </w:p>
        </w:tc>
        <w:tc>
          <w:tcPr>
            <w:tcW w:w="708" w:type="dxa"/>
            <w:vAlign w:val="top"/>
          </w:tcPr>
          <w:p w14:paraId="2318E388">
            <w:pPr>
              <w:spacing w:before="17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D94F385">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960" w:type="dxa"/>
            <w:vAlign w:val="top"/>
          </w:tcPr>
          <w:p w14:paraId="167CC00E">
            <w:pPr>
              <w:spacing w:before="174"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852" w:type="dxa"/>
            <w:vAlign w:val="top"/>
          </w:tcPr>
          <w:p w14:paraId="6578CC6E">
            <w:pPr>
              <w:spacing w:before="174"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0.05L</w:t>
            </w:r>
          </w:p>
        </w:tc>
        <w:tc>
          <w:tcPr>
            <w:tcW w:w="640" w:type="dxa"/>
            <w:vAlign w:val="top"/>
          </w:tcPr>
          <w:p w14:paraId="7B4088EA">
            <w:pPr>
              <w:spacing w:before="54"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p w14:paraId="722B68F5">
            <w:pPr>
              <w:spacing w:before="56" w:line="188"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w:t>
            </w:r>
          </w:p>
        </w:tc>
        <w:tc>
          <w:tcPr>
            <w:tcW w:w="960" w:type="dxa"/>
            <w:vAlign w:val="top"/>
          </w:tcPr>
          <w:p w14:paraId="68C64335">
            <w:pPr>
              <w:spacing w:before="17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852" w:type="dxa"/>
            <w:vAlign w:val="top"/>
          </w:tcPr>
          <w:p w14:paraId="16ED6C35">
            <w:pPr>
              <w:spacing w:before="17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642" w:type="dxa"/>
            <w:vAlign w:val="top"/>
          </w:tcPr>
          <w:p w14:paraId="463BD935">
            <w:pPr>
              <w:spacing w:before="17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tcBorders>
              <w:top w:val="nil"/>
              <w:bottom w:val="nil"/>
            </w:tcBorders>
            <w:vAlign w:val="top"/>
          </w:tcPr>
          <w:p w14:paraId="57899D70">
            <w:pPr>
              <w:rPr>
                <w:rFonts w:ascii="Arial"/>
                <w:sz w:val="21"/>
              </w:rPr>
            </w:pPr>
          </w:p>
        </w:tc>
      </w:tr>
      <w:tr w14:paraId="1FD09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60" w:type="dxa"/>
            <w:vMerge w:val="continue"/>
            <w:tcBorders>
              <w:top w:val="nil"/>
              <w:bottom w:val="nil"/>
            </w:tcBorders>
            <w:vAlign w:val="top"/>
          </w:tcPr>
          <w:p w14:paraId="06AD7A51">
            <w:pPr>
              <w:rPr>
                <w:rFonts w:ascii="Arial"/>
                <w:sz w:val="21"/>
              </w:rPr>
            </w:pPr>
          </w:p>
        </w:tc>
        <w:tc>
          <w:tcPr>
            <w:tcW w:w="113" w:type="dxa"/>
            <w:tcBorders>
              <w:top w:val="nil"/>
              <w:bottom w:val="nil"/>
            </w:tcBorders>
            <w:vAlign w:val="top"/>
          </w:tcPr>
          <w:p w14:paraId="78AA0F50">
            <w:pPr>
              <w:rPr>
                <w:rFonts w:ascii="Arial"/>
                <w:sz w:val="21"/>
              </w:rPr>
            </w:pPr>
          </w:p>
        </w:tc>
        <w:tc>
          <w:tcPr>
            <w:tcW w:w="427" w:type="dxa"/>
            <w:vAlign w:val="top"/>
          </w:tcPr>
          <w:p w14:paraId="67528325">
            <w:pPr>
              <w:spacing w:before="173"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7" w:type="dxa"/>
            <w:vAlign w:val="top"/>
          </w:tcPr>
          <w:p w14:paraId="132BE5EF">
            <w:pPr>
              <w:pStyle w:val="6"/>
              <w:spacing w:before="137" w:line="226" w:lineRule="auto"/>
              <w:ind w:left="154"/>
              <w:rPr>
                <w:sz w:val="20"/>
                <w:szCs w:val="20"/>
              </w:rPr>
            </w:pPr>
            <w:r>
              <w:rPr>
                <w:spacing w:val="6"/>
                <w:sz w:val="20"/>
                <w:szCs w:val="20"/>
              </w:rPr>
              <w:t>六价铬</w:t>
            </w:r>
          </w:p>
        </w:tc>
        <w:tc>
          <w:tcPr>
            <w:tcW w:w="708" w:type="dxa"/>
            <w:vAlign w:val="top"/>
          </w:tcPr>
          <w:p w14:paraId="0E621CEB">
            <w:pPr>
              <w:spacing w:before="169"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D872826">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960" w:type="dxa"/>
            <w:vAlign w:val="top"/>
          </w:tcPr>
          <w:p w14:paraId="4E9B471D">
            <w:pPr>
              <w:spacing w:before="1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852" w:type="dxa"/>
            <w:vAlign w:val="top"/>
          </w:tcPr>
          <w:p w14:paraId="13E97B1A">
            <w:pPr>
              <w:spacing w:before="1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640" w:type="dxa"/>
            <w:vAlign w:val="top"/>
          </w:tcPr>
          <w:p w14:paraId="21B03D44">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p w14:paraId="7F2FA14F">
            <w:pPr>
              <w:spacing w:before="55" w:line="190"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60" w:type="dxa"/>
            <w:vAlign w:val="top"/>
          </w:tcPr>
          <w:p w14:paraId="24BD35AB">
            <w:pPr>
              <w:spacing w:before="173" w:line="195"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52" w:type="dxa"/>
            <w:vAlign w:val="top"/>
          </w:tcPr>
          <w:p w14:paraId="6515ADBD">
            <w:pPr>
              <w:spacing w:before="17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642" w:type="dxa"/>
            <w:vAlign w:val="top"/>
          </w:tcPr>
          <w:p w14:paraId="19079453">
            <w:pPr>
              <w:spacing w:before="1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4" w:type="dxa"/>
            <w:tcBorders>
              <w:top w:val="nil"/>
              <w:bottom w:val="nil"/>
            </w:tcBorders>
            <w:vAlign w:val="top"/>
          </w:tcPr>
          <w:p w14:paraId="19AFBA08">
            <w:pPr>
              <w:rPr>
                <w:rFonts w:ascii="Arial"/>
                <w:sz w:val="21"/>
              </w:rPr>
            </w:pPr>
          </w:p>
        </w:tc>
      </w:tr>
      <w:tr w14:paraId="22AA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60" w:type="dxa"/>
            <w:vMerge w:val="continue"/>
            <w:tcBorders>
              <w:top w:val="nil"/>
              <w:bottom w:val="nil"/>
            </w:tcBorders>
            <w:vAlign w:val="top"/>
          </w:tcPr>
          <w:p w14:paraId="7FD5FC47">
            <w:pPr>
              <w:rPr>
                <w:rFonts w:ascii="Arial"/>
                <w:sz w:val="21"/>
              </w:rPr>
            </w:pPr>
          </w:p>
        </w:tc>
        <w:tc>
          <w:tcPr>
            <w:tcW w:w="113" w:type="dxa"/>
            <w:tcBorders>
              <w:top w:val="nil"/>
              <w:bottom w:val="nil"/>
            </w:tcBorders>
            <w:vAlign w:val="top"/>
          </w:tcPr>
          <w:p w14:paraId="3ADE3588">
            <w:pPr>
              <w:rPr>
                <w:rFonts w:ascii="Arial"/>
                <w:sz w:val="21"/>
              </w:rPr>
            </w:pPr>
          </w:p>
        </w:tc>
        <w:tc>
          <w:tcPr>
            <w:tcW w:w="427" w:type="dxa"/>
            <w:vAlign w:val="top"/>
          </w:tcPr>
          <w:p w14:paraId="02ECF01E">
            <w:pPr>
              <w:spacing w:before="29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27" w:type="dxa"/>
            <w:vAlign w:val="top"/>
          </w:tcPr>
          <w:p w14:paraId="0570139F">
            <w:pPr>
              <w:pStyle w:val="6"/>
              <w:spacing w:before="121" w:line="252" w:lineRule="auto"/>
              <w:ind w:left="259" w:right="148" w:hanging="101"/>
              <w:rPr>
                <w:sz w:val="20"/>
                <w:szCs w:val="20"/>
              </w:rPr>
            </w:pPr>
            <w:r>
              <w:rPr>
                <w:spacing w:val="5"/>
                <w:sz w:val="20"/>
                <w:szCs w:val="20"/>
              </w:rPr>
              <w:t>总大肠</w:t>
            </w:r>
            <w:r>
              <w:rPr>
                <w:sz w:val="20"/>
                <w:szCs w:val="20"/>
              </w:rPr>
              <w:t xml:space="preserve"> </w:t>
            </w:r>
            <w:r>
              <w:rPr>
                <w:spacing w:val="2"/>
                <w:sz w:val="20"/>
                <w:szCs w:val="20"/>
              </w:rPr>
              <w:t>菌群</w:t>
            </w:r>
          </w:p>
        </w:tc>
        <w:tc>
          <w:tcPr>
            <w:tcW w:w="708" w:type="dxa"/>
            <w:vAlign w:val="top"/>
          </w:tcPr>
          <w:p w14:paraId="5948AC6F">
            <w:pPr>
              <w:spacing w:before="57" w:line="192"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MPN</w:t>
            </w:r>
          </w:p>
          <w:p w14:paraId="60954354">
            <w:pPr>
              <w:spacing w:before="49" w:line="199"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/100</w:t>
            </w:r>
          </w:p>
          <w:p w14:paraId="31B4E211">
            <w:pPr>
              <w:spacing w:before="58" w:line="18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mL</w:t>
            </w:r>
          </w:p>
        </w:tc>
        <w:tc>
          <w:tcPr>
            <w:tcW w:w="960" w:type="dxa"/>
            <w:vAlign w:val="top"/>
          </w:tcPr>
          <w:p w14:paraId="014B6982">
            <w:pPr>
              <w:spacing w:before="29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1EBF0E35">
            <w:pPr>
              <w:spacing w:before="29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852" w:type="dxa"/>
            <w:vAlign w:val="top"/>
          </w:tcPr>
          <w:p w14:paraId="42344AF6">
            <w:pPr>
              <w:spacing w:before="29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640" w:type="dxa"/>
            <w:vAlign w:val="top"/>
          </w:tcPr>
          <w:p w14:paraId="02231E84">
            <w:pPr>
              <w:spacing w:before="295"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960" w:type="dxa"/>
            <w:vAlign w:val="top"/>
          </w:tcPr>
          <w:p w14:paraId="2DEF1DF3">
            <w:pPr>
              <w:spacing w:before="29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852" w:type="dxa"/>
            <w:vAlign w:val="top"/>
          </w:tcPr>
          <w:p w14:paraId="54191FA5">
            <w:pPr>
              <w:spacing w:before="295"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2L</w:t>
            </w:r>
          </w:p>
        </w:tc>
        <w:tc>
          <w:tcPr>
            <w:tcW w:w="642" w:type="dxa"/>
            <w:vAlign w:val="top"/>
          </w:tcPr>
          <w:p w14:paraId="411C2610">
            <w:pPr>
              <w:spacing w:before="29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4" w:type="dxa"/>
            <w:tcBorders>
              <w:top w:val="nil"/>
              <w:bottom w:val="nil"/>
            </w:tcBorders>
            <w:vAlign w:val="top"/>
          </w:tcPr>
          <w:p w14:paraId="4907632A">
            <w:pPr>
              <w:rPr>
                <w:rFonts w:ascii="Arial"/>
                <w:sz w:val="21"/>
              </w:rPr>
            </w:pPr>
          </w:p>
        </w:tc>
      </w:tr>
      <w:tr w14:paraId="018D2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60" w:type="dxa"/>
            <w:vMerge w:val="continue"/>
            <w:tcBorders>
              <w:top w:val="nil"/>
              <w:bottom w:val="nil"/>
            </w:tcBorders>
            <w:vAlign w:val="top"/>
          </w:tcPr>
          <w:p w14:paraId="6DB83A14">
            <w:pPr>
              <w:rPr>
                <w:rFonts w:ascii="Arial"/>
                <w:sz w:val="21"/>
              </w:rPr>
            </w:pPr>
          </w:p>
        </w:tc>
        <w:tc>
          <w:tcPr>
            <w:tcW w:w="113" w:type="dxa"/>
            <w:tcBorders>
              <w:top w:val="nil"/>
              <w:bottom w:val="nil"/>
            </w:tcBorders>
            <w:vAlign w:val="top"/>
          </w:tcPr>
          <w:p w14:paraId="53504D2A">
            <w:pPr>
              <w:rPr>
                <w:rFonts w:ascii="Arial"/>
                <w:sz w:val="21"/>
              </w:rPr>
            </w:pPr>
          </w:p>
        </w:tc>
        <w:tc>
          <w:tcPr>
            <w:tcW w:w="427" w:type="dxa"/>
            <w:vAlign w:val="top"/>
          </w:tcPr>
          <w:p w14:paraId="20D0A1E8">
            <w:pPr>
              <w:spacing w:before="207"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927" w:type="dxa"/>
            <w:vAlign w:val="top"/>
          </w:tcPr>
          <w:p w14:paraId="6DBCF127">
            <w:pPr>
              <w:pStyle w:val="6"/>
              <w:spacing w:before="34" w:line="233" w:lineRule="auto"/>
              <w:ind w:left="362" w:right="148" w:hanging="206"/>
              <w:rPr>
                <w:sz w:val="20"/>
                <w:szCs w:val="20"/>
              </w:rPr>
            </w:pPr>
            <w:r>
              <w:rPr>
                <w:spacing w:val="5"/>
                <w:sz w:val="20"/>
                <w:szCs w:val="20"/>
              </w:rPr>
              <w:t>菌落总</w:t>
            </w:r>
            <w:r>
              <w:rPr>
                <w:sz w:val="20"/>
                <w:szCs w:val="20"/>
              </w:rPr>
              <w:t xml:space="preserve"> 数</w:t>
            </w:r>
          </w:p>
        </w:tc>
        <w:tc>
          <w:tcPr>
            <w:tcW w:w="708" w:type="dxa"/>
            <w:vAlign w:val="top"/>
          </w:tcPr>
          <w:p w14:paraId="29F91C5B">
            <w:pPr>
              <w:spacing w:before="81" w:line="199"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CFU</w:t>
            </w:r>
            <w:r>
              <w:rPr>
                <w:rFonts w:ascii="Times New Roman" w:hAnsi="Times New Roman" w:eastAsia="Times New Roman" w:cs="Times New Roman"/>
                <w:spacing w:val="14"/>
                <w:sz w:val="20"/>
                <w:szCs w:val="20"/>
              </w:rPr>
              <w:t>/</w:t>
            </w:r>
          </w:p>
          <w:p w14:paraId="5FD0DECC">
            <w:pPr>
              <w:spacing w:before="5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mL</w:t>
            </w:r>
          </w:p>
        </w:tc>
        <w:tc>
          <w:tcPr>
            <w:tcW w:w="960" w:type="dxa"/>
            <w:vAlign w:val="top"/>
          </w:tcPr>
          <w:p w14:paraId="03326EF6">
            <w:pPr>
              <w:spacing w:before="207"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960" w:type="dxa"/>
            <w:vAlign w:val="top"/>
          </w:tcPr>
          <w:p w14:paraId="3479017A">
            <w:pPr>
              <w:spacing w:before="20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52" w:type="dxa"/>
            <w:vAlign w:val="top"/>
          </w:tcPr>
          <w:p w14:paraId="02EBCAFC">
            <w:pPr>
              <w:spacing w:before="207"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40" w:type="dxa"/>
            <w:vAlign w:val="top"/>
          </w:tcPr>
          <w:p w14:paraId="6FB981FD">
            <w:pPr>
              <w:spacing w:before="207"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960" w:type="dxa"/>
            <w:vAlign w:val="top"/>
          </w:tcPr>
          <w:p w14:paraId="6F950BDF">
            <w:pPr>
              <w:spacing w:before="20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52" w:type="dxa"/>
            <w:vAlign w:val="top"/>
          </w:tcPr>
          <w:p w14:paraId="13D15924">
            <w:pPr>
              <w:spacing w:before="207"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642" w:type="dxa"/>
            <w:vAlign w:val="top"/>
          </w:tcPr>
          <w:p w14:paraId="0E49EF87">
            <w:pPr>
              <w:spacing w:before="20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4" w:type="dxa"/>
            <w:tcBorders>
              <w:top w:val="nil"/>
              <w:bottom w:val="nil"/>
            </w:tcBorders>
            <w:vAlign w:val="top"/>
          </w:tcPr>
          <w:p w14:paraId="3B43E4FE">
            <w:pPr>
              <w:rPr>
                <w:rFonts w:ascii="Arial"/>
                <w:sz w:val="21"/>
              </w:rPr>
            </w:pPr>
          </w:p>
        </w:tc>
      </w:tr>
      <w:tr w14:paraId="18A9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B6BC752">
            <w:pPr>
              <w:rPr>
                <w:rFonts w:ascii="Arial"/>
                <w:sz w:val="21"/>
              </w:rPr>
            </w:pPr>
          </w:p>
        </w:tc>
        <w:tc>
          <w:tcPr>
            <w:tcW w:w="113" w:type="dxa"/>
            <w:tcBorders>
              <w:top w:val="nil"/>
              <w:bottom w:val="nil"/>
            </w:tcBorders>
            <w:vAlign w:val="top"/>
          </w:tcPr>
          <w:p w14:paraId="4CFEA91C">
            <w:pPr>
              <w:rPr>
                <w:rFonts w:ascii="Arial"/>
                <w:sz w:val="21"/>
              </w:rPr>
            </w:pPr>
          </w:p>
        </w:tc>
        <w:tc>
          <w:tcPr>
            <w:tcW w:w="427" w:type="dxa"/>
            <w:vAlign w:val="top"/>
          </w:tcPr>
          <w:p w14:paraId="39B8E6C3">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927" w:type="dxa"/>
            <w:vAlign w:val="top"/>
          </w:tcPr>
          <w:p w14:paraId="1223A0B6">
            <w:pPr>
              <w:spacing w:before="76" w:line="204" w:lineRule="auto"/>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K</w:t>
            </w:r>
            <w:r>
              <w:rPr>
                <w:rFonts w:ascii="Times New Roman" w:hAnsi="Times New Roman" w:eastAsia="Times New Roman" w:cs="Times New Roman"/>
                <w:spacing w:val="3"/>
                <w:position w:val="5"/>
                <w:sz w:val="13"/>
                <w:szCs w:val="13"/>
              </w:rPr>
              <w:t>+</w:t>
            </w:r>
          </w:p>
        </w:tc>
        <w:tc>
          <w:tcPr>
            <w:tcW w:w="708" w:type="dxa"/>
            <w:vAlign w:val="top"/>
          </w:tcPr>
          <w:p w14:paraId="19B98A78">
            <w:pPr>
              <w:spacing w:before="8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540E1E01">
            <w:pPr>
              <w:spacing w:before="8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19.1</w:t>
            </w:r>
          </w:p>
        </w:tc>
        <w:tc>
          <w:tcPr>
            <w:tcW w:w="960" w:type="dxa"/>
            <w:vAlign w:val="top"/>
          </w:tcPr>
          <w:p w14:paraId="06649A83">
            <w:pPr>
              <w:spacing w:before="85" w:line="195"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c>
          <w:tcPr>
            <w:tcW w:w="852" w:type="dxa"/>
            <w:vAlign w:val="top"/>
          </w:tcPr>
          <w:p w14:paraId="69D55739">
            <w:pPr>
              <w:spacing w:before="8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640" w:type="dxa"/>
            <w:vAlign w:val="top"/>
          </w:tcPr>
          <w:p w14:paraId="47639878">
            <w:pPr>
              <w:spacing w:before="8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960" w:type="dxa"/>
            <w:vAlign w:val="top"/>
          </w:tcPr>
          <w:p w14:paraId="02F5C409">
            <w:pPr>
              <w:spacing w:before="8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52" w:type="dxa"/>
            <w:vAlign w:val="top"/>
          </w:tcPr>
          <w:p w14:paraId="5130C04D">
            <w:pPr>
              <w:spacing w:before="8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642" w:type="dxa"/>
            <w:vAlign w:val="top"/>
          </w:tcPr>
          <w:p w14:paraId="149DA39B">
            <w:pPr>
              <w:spacing w:before="81"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27459D2C">
            <w:pPr>
              <w:rPr>
                <w:rFonts w:ascii="Arial"/>
                <w:sz w:val="21"/>
              </w:rPr>
            </w:pPr>
          </w:p>
        </w:tc>
      </w:tr>
      <w:tr w14:paraId="2E98C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897005D">
            <w:pPr>
              <w:rPr>
                <w:rFonts w:ascii="Arial"/>
                <w:sz w:val="21"/>
              </w:rPr>
            </w:pPr>
          </w:p>
        </w:tc>
        <w:tc>
          <w:tcPr>
            <w:tcW w:w="113" w:type="dxa"/>
            <w:tcBorders>
              <w:top w:val="nil"/>
              <w:bottom w:val="nil"/>
            </w:tcBorders>
            <w:vAlign w:val="top"/>
          </w:tcPr>
          <w:p w14:paraId="27FC76FF">
            <w:pPr>
              <w:rPr>
                <w:rFonts w:ascii="Arial"/>
                <w:sz w:val="21"/>
              </w:rPr>
            </w:pPr>
          </w:p>
        </w:tc>
        <w:tc>
          <w:tcPr>
            <w:tcW w:w="427" w:type="dxa"/>
            <w:vAlign w:val="top"/>
          </w:tcPr>
          <w:p w14:paraId="07536A94">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927" w:type="dxa"/>
            <w:vAlign w:val="top"/>
          </w:tcPr>
          <w:p w14:paraId="2DF751CB">
            <w:pPr>
              <w:spacing w:before="76" w:line="204" w:lineRule="auto"/>
              <w:ind w:left="295"/>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Na</w:t>
            </w:r>
            <w:r>
              <w:rPr>
                <w:rFonts w:ascii="Times New Roman" w:hAnsi="Times New Roman" w:eastAsia="Times New Roman" w:cs="Times New Roman"/>
                <w:spacing w:val="15"/>
                <w:position w:val="5"/>
                <w:sz w:val="13"/>
                <w:szCs w:val="13"/>
              </w:rPr>
              <w:t>+</w:t>
            </w:r>
          </w:p>
        </w:tc>
        <w:tc>
          <w:tcPr>
            <w:tcW w:w="708" w:type="dxa"/>
            <w:vAlign w:val="top"/>
          </w:tcPr>
          <w:p w14:paraId="4AAA5D3E">
            <w:pPr>
              <w:spacing w:before="81"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3CE698D">
            <w:pPr>
              <w:spacing w:before="85"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284</w:t>
            </w:r>
          </w:p>
        </w:tc>
        <w:tc>
          <w:tcPr>
            <w:tcW w:w="960" w:type="dxa"/>
            <w:vAlign w:val="top"/>
          </w:tcPr>
          <w:p w14:paraId="42BBE293">
            <w:pPr>
              <w:spacing w:before="85"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217</w:t>
            </w:r>
          </w:p>
        </w:tc>
        <w:tc>
          <w:tcPr>
            <w:tcW w:w="852" w:type="dxa"/>
            <w:vAlign w:val="top"/>
          </w:tcPr>
          <w:p w14:paraId="4C82CEC9">
            <w:pPr>
              <w:spacing w:before="8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640" w:type="dxa"/>
            <w:vAlign w:val="top"/>
          </w:tcPr>
          <w:p w14:paraId="07E658B0">
            <w:pPr>
              <w:spacing w:before="8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w:t>
            </w:r>
          </w:p>
        </w:tc>
        <w:tc>
          <w:tcPr>
            <w:tcW w:w="960" w:type="dxa"/>
            <w:vAlign w:val="top"/>
          </w:tcPr>
          <w:p w14:paraId="42D98861">
            <w:pPr>
              <w:spacing w:before="8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175</w:t>
            </w:r>
          </w:p>
        </w:tc>
        <w:tc>
          <w:tcPr>
            <w:tcW w:w="852" w:type="dxa"/>
            <w:vAlign w:val="top"/>
          </w:tcPr>
          <w:p w14:paraId="3F0C51C6">
            <w:pPr>
              <w:spacing w:before="85"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179</w:t>
            </w:r>
          </w:p>
        </w:tc>
        <w:tc>
          <w:tcPr>
            <w:tcW w:w="642" w:type="dxa"/>
            <w:vAlign w:val="top"/>
          </w:tcPr>
          <w:p w14:paraId="2BCE34C5">
            <w:pPr>
              <w:spacing w:before="8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4" w:type="dxa"/>
            <w:tcBorders>
              <w:top w:val="nil"/>
              <w:bottom w:val="nil"/>
            </w:tcBorders>
            <w:vAlign w:val="top"/>
          </w:tcPr>
          <w:p w14:paraId="09F86756">
            <w:pPr>
              <w:rPr>
                <w:rFonts w:ascii="Arial"/>
                <w:sz w:val="21"/>
              </w:rPr>
            </w:pPr>
          </w:p>
        </w:tc>
      </w:tr>
      <w:tr w14:paraId="43EB9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E285DED">
            <w:pPr>
              <w:rPr>
                <w:rFonts w:ascii="Arial"/>
                <w:sz w:val="21"/>
              </w:rPr>
            </w:pPr>
          </w:p>
        </w:tc>
        <w:tc>
          <w:tcPr>
            <w:tcW w:w="113" w:type="dxa"/>
            <w:tcBorders>
              <w:top w:val="nil"/>
              <w:bottom w:val="nil"/>
            </w:tcBorders>
            <w:vAlign w:val="top"/>
          </w:tcPr>
          <w:p w14:paraId="5D080344">
            <w:pPr>
              <w:rPr>
                <w:rFonts w:ascii="Arial"/>
                <w:sz w:val="21"/>
              </w:rPr>
            </w:pPr>
          </w:p>
        </w:tc>
        <w:tc>
          <w:tcPr>
            <w:tcW w:w="427" w:type="dxa"/>
            <w:vAlign w:val="top"/>
          </w:tcPr>
          <w:p w14:paraId="56559202">
            <w:pPr>
              <w:spacing w:before="8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27" w:type="dxa"/>
            <w:vAlign w:val="top"/>
          </w:tcPr>
          <w:p w14:paraId="2A75566E">
            <w:pPr>
              <w:spacing w:before="64" w:line="216" w:lineRule="auto"/>
              <w:ind w:left="276"/>
              <w:rPr>
                <w:rFonts w:ascii="Times New Roman" w:hAnsi="Times New Roman" w:eastAsia="Times New Roman" w:cs="Times New Roman"/>
                <w:sz w:val="13"/>
                <w:szCs w:val="13"/>
              </w:rPr>
            </w:pPr>
            <w:r>
              <w:rPr>
                <w:rFonts w:ascii="Times New Roman" w:hAnsi="Times New Roman" w:eastAsia="Times New Roman" w:cs="Times New Roman"/>
                <w:position w:val="-2"/>
                <w:sz w:val="20"/>
                <w:szCs w:val="20"/>
              </w:rPr>
              <w:t>Ca</w:t>
            </w:r>
            <w:r>
              <w:rPr>
                <w:rFonts w:ascii="Times New Roman" w:hAnsi="Times New Roman" w:eastAsia="Times New Roman" w:cs="Times New Roman"/>
                <w:spacing w:val="5"/>
                <w:position w:val="4"/>
                <w:sz w:val="13"/>
                <w:szCs w:val="13"/>
              </w:rPr>
              <w:t>2+</w:t>
            </w:r>
          </w:p>
        </w:tc>
        <w:tc>
          <w:tcPr>
            <w:tcW w:w="708" w:type="dxa"/>
            <w:vAlign w:val="top"/>
          </w:tcPr>
          <w:p w14:paraId="2E4642A7">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69E42EF6">
            <w:pPr>
              <w:spacing w:before="8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116</w:t>
            </w:r>
          </w:p>
        </w:tc>
        <w:tc>
          <w:tcPr>
            <w:tcW w:w="960" w:type="dxa"/>
            <w:vAlign w:val="top"/>
          </w:tcPr>
          <w:p w14:paraId="101CB868">
            <w:pPr>
              <w:spacing w:before="8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852" w:type="dxa"/>
            <w:vAlign w:val="top"/>
          </w:tcPr>
          <w:p w14:paraId="6B04388C">
            <w:pPr>
              <w:spacing w:before="8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148</w:t>
            </w:r>
          </w:p>
        </w:tc>
        <w:tc>
          <w:tcPr>
            <w:tcW w:w="640" w:type="dxa"/>
            <w:vAlign w:val="top"/>
          </w:tcPr>
          <w:p w14:paraId="3D9FE907">
            <w:pPr>
              <w:spacing w:before="8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147</w:t>
            </w:r>
          </w:p>
        </w:tc>
        <w:tc>
          <w:tcPr>
            <w:tcW w:w="960" w:type="dxa"/>
            <w:vAlign w:val="top"/>
          </w:tcPr>
          <w:p w14:paraId="763C5C66">
            <w:pPr>
              <w:spacing w:before="8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85.3</w:t>
            </w:r>
          </w:p>
        </w:tc>
        <w:tc>
          <w:tcPr>
            <w:tcW w:w="852" w:type="dxa"/>
            <w:vAlign w:val="top"/>
          </w:tcPr>
          <w:p w14:paraId="621D1A6C">
            <w:pPr>
              <w:spacing w:before="8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80.2</w:t>
            </w:r>
          </w:p>
        </w:tc>
        <w:tc>
          <w:tcPr>
            <w:tcW w:w="642" w:type="dxa"/>
            <w:vAlign w:val="top"/>
          </w:tcPr>
          <w:p w14:paraId="54B12A73">
            <w:pPr>
              <w:spacing w:before="80"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7DE2E2FD">
            <w:pPr>
              <w:rPr>
                <w:rFonts w:ascii="Arial"/>
                <w:sz w:val="21"/>
              </w:rPr>
            </w:pPr>
          </w:p>
        </w:tc>
      </w:tr>
      <w:tr w14:paraId="1559A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75BA137">
            <w:pPr>
              <w:rPr>
                <w:rFonts w:ascii="Arial"/>
                <w:sz w:val="21"/>
              </w:rPr>
            </w:pPr>
          </w:p>
        </w:tc>
        <w:tc>
          <w:tcPr>
            <w:tcW w:w="113" w:type="dxa"/>
            <w:tcBorders>
              <w:top w:val="nil"/>
              <w:bottom w:val="nil"/>
            </w:tcBorders>
            <w:vAlign w:val="top"/>
          </w:tcPr>
          <w:p w14:paraId="28C0C7D2">
            <w:pPr>
              <w:rPr>
                <w:rFonts w:ascii="Arial"/>
                <w:sz w:val="21"/>
              </w:rPr>
            </w:pPr>
          </w:p>
        </w:tc>
        <w:tc>
          <w:tcPr>
            <w:tcW w:w="427" w:type="dxa"/>
            <w:vAlign w:val="top"/>
          </w:tcPr>
          <w:p w14:paraId="75CE3EE8">
            <w:pPr>
              <w:spacing w:before="84"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927" w:type="dxa"/>
            <w:vAlign w:val="top"/>
          </w:tcPr>
          <w:p w14:paraId="6D7FA295">
            <w:pPr>
              <w:spacing w:before="67" w:line="215" w:lineRule="auto"/>
              <w:ind w:left="24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Mg</w:t>
            </w:r>
            <w:r>
              <w:rPr>
                <w:rFonts w:ascii="Times New Roman" w:hAnsi="Times New Roman" w:eastAsia="Times New Roman" w:cs="Times New Roman"/>
                <w:spacing w:val="8"/>
                <w:position w:val="4"/>
                <w:sz w:val="13"/>
                <w:szCs w:val="13"/>
              </w:rPr>
              <w:t>2+</w:t>
            </w:r>
          </w:p>
        </w:tc>
        <w:tc>
          <w:tcPr>
            <w:tcW w:w="708" w:type="dxa"/>
            <w:vAlign w:val="top"/>
          </w:tcPr>
          <w:p w14:paraId="6A22F344">
            <w:pPr>
              <w:spacing w:before="80"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17D11215">
            <w:pPr>
              <w:spacing w:before="84"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960" w:type="dxa"/>
            <w:vAlign w:val="top"/>
          </w:tcPr>
          <w:p w14:paraId="088D794B">
            <w:pPr>
              <w:spacing w:before="8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w:t>
            </w:r>
          </w:p>
        </w:tc>
        <w:tc>
          <w:tcPr>
            <w:tcW w:w="852" w:type="dxa"/>
            <w:vAlign w:val="top"/>
          </w:tcPr>
          <w:p w14:paraId="07751D77">
            <w:pPr>
              <w:spacing w:before="8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640" w:type="dxa"/>
            <w:vAlign w:val="top"/>
          </w:tcPr>
          <w:p w14:paraId="0D5D20DF">
            <w:pPr>
              <w:spacing w:before="8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8.77</w:t>
            </w:r>
          </w:p>
        </w:tc>
        <w:tc>
          <w:tcPr>
            <w:tcW w:w="960" w:type="dxa"/>
            <w:vAlign w:val="top"/>
          </w:tcPr>
          <w:p w14:paraId="161138F4">
            <w:pPr>
              <w:spacing w:before="8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6.95</w:t>
            </w:r>
          </w:p>
        </w:tc>
        <w:tc>
          <w:tcPr>
            <w:tcW w:w="852" w:type="dxa"/>
            <w:vAlign w:val="top"/>
          </w:tcPr>
          <w:p w14:paraId="7903302A">
            <w:pPr>
              <w:spacing w:before="8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642" w:type="dxa"/>
            <w:vAlign w:val="top"/>
          </w:tcPr>
          <w:p w14:paraId="7E8C3020">
            <w:pPr>
              <w:spacing w:before="80"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60DDA392">
            <w:pPr>
              <w:rPr>
                <w:rFonts w:ascii="Arial"/>
                <w:sz w:val="21"/>
              </w:rPr>
            </w:pPr>
          </w:p>
        </w:tc>
      </w:tr>
      <w:tr w14:paraId="49AD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7B594C2">
            <w:pPr>
              <w:rPr>
                <w:rFonts w:ascii="Arial"/>
                <w:sz w:val="21"/>
              </w:rPr>
            </w:pPr>
          </w:p>
        </w:tc>
        <w:tc>
          <w:tcPr>
            <w:tcW w:w="113" w:type="dxa"/>
            <w:tcBorders>
              <w:top w:val="nil"/>
              <w:bottom w:val="nil"/>
            </w:tcBorders>
            <w:vAlign w:val="top"/>
          </w:tcPr>
          <w:p w14:paraId="26FE6837">
            <w:pPr>
              <w:rPr>
                <w:rFonts w:ascii="Arial"/>
                <w:sz w:val="21"/>
              </w:rPr>
            </w:pPr>
          </w:p>
        </w:tc>
        <w:tc>
          <w:tcPr>
            <w:tcW w:w="427" w:type="dxa"/>
            <w:vAlign w:val="top"/>
          </w:tcPr>
          <w:p w14:paraId="1FB884E1">
            <w:pPr>
              <w:spacing w:before="86"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927" w:type="dxa"/>
            <w:vAlign w:val="top"/>
          </w:tcPr>
          <w:p w14:paraId="3848B744">
            <w:pPr>
              <w:spacing w:before="66" w:line="212" w:lineRule="auto"/>
              <w:ind w:left="228"/>
              <w:rPr>
                <w:rFonts w:ascii="Times New Roman" w:hAnsi="Times New Roman" w:eastAsia="Times New Roman" w:cs="Times New Roman"/>
                <w:sz w:val="13"/>
                <w:szCs w:val="13"/>
              </w:rPr>
            </w:pPr>
            <w:r>
              <w:rPr>
                <w:rFonts w:ascii="Times New Roman" w:hAnsi="Times New Roman" w:eastAsia="Times New Roman" w:cs="Times New Roman"/>
                <w:sz w:val="20"/>
                <w:szCs w:val="20"/>
              </w:rPr>
              <w:t>CO</w:t>
            </w:r>
            <w:r>
              <w:rPr>
                <w:rFonts w:ascii="Times New Roman" w:hAnsi="Times New Roman" w:eastAsia="Times New Roman" w:cs="Times New Roman"/>
                <w:spacing w:val="5"/>
                <w:position w:val="-2"/>
                <w:sz w:val="13"/>
                <w:szCs w:val="13"/>
              </w:rPr>
              <w:t>3</w:t>
            </w:r>
            <w:r>
              <w:rPr>
                <w:rFonts w:ascii="Times New Roman" w:hAnsi="Times New Roman" w:eastAsia="Times New Roman" w:cs="Times New Roman"/>
                <w:spacing w:val="5"/>
                <w:position w:val="6"/>
                <w:sz w:val="13"/>
                <w:szCs w:val="13"/>
              </w:rPr>
              <w:t>2-</w:t>
            </w:r>
          </w:p>
        </w:tc>
        <w:tc>
          <w:tcPr>
            <w:tcW w:w="708" w:type="dxa"/>
            <w:vAlign w:val="top"/>
          </w:tcPr>
          <w:p w14:paraId="68A5A2F3">
            <w:pPr>
              <w:spacing w:before="8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24580DF8">
            <w:pPr>
              <w:spacing w:before="8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60" w:type="dxa"/>
            <w:vAlign w:val="top"/>
          </w:tcPr>
          <w:p w14:paraId="0FCEA930">
            <w:pPr>
              <w:spacing w:before="86"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2" w:type="dxa"/>
            <w:vAlign w:val="top"/>
          </w:tcPr>
          <w:p w14:paraId="36FE7C37">
            <w:pPr>
              <w:spacing w:before="8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0" w:type="dxa"/>
            <w:vAlign w:val="top"/>
          </w:tcPr>
          <w:p w14:paraId="28729D71">
            <w:pPr>
              <w:spacing w:before="8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60" w:type="dxa"/>
            <w:vAlign w:val="top"/>
          </w:tcPr>
          <w:p w14:paraId="3A60E193">
            <w:pPr>
              <w:spacing w:before="86" w:line="195"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52" w:type="dxa"/>
            <w:vAlign w:val="top"/>
          </w:tcPr>
          <w:p w14:paraId="626F87B5">
            <w:pPr>
              <w:spacing w:before="86"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2" w:type="dxa"/>
            <w:vAlign w:val="top"/>
          </w:tcPr>
          <w:p w14:paraId="00113B33">
            <w:pPr>
              <w:spacing w:before="8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7741D0DB">
            <w:pPr>
              <w:rPr>
                <w:rFonts w:ascii="Arial"/>
                <w:sz w:val="21"/>
              </w:rPr>
            </w:pPr>
          </w:p>
        </w:tc>
      </w:tr>
      <w:tr w14:paraId="3077D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2321F7A">
            <w:pPr>
              <w:rPr>
                <w:rFonts w:ascii="Arial"/>
                <w:sz w:val="21"/>
              </w:rPr>
            </w:pPr>
          </w:p>
        </w:tc>
        <w:tc>
          <w:tcPr>
            <w:tcW w:w="113" w:type="dxa"/>
            <w:tcBorders>
              <w:top w:val="nil"/>
              <w:bottom w:val="nil"/>
            </w:tcBorders>
            <w:vAlign w:val="top"/>
          </w:tcPr>
          <w:p w14:paraId="037F6163">
            <w:pPr>
              <w:rPr>
                <w:rFonts w:ascii="Arial"/>
                <w:sz w:val="21"/>
              </w:rPr>
            </w:pPr>
          </w:p>
        </w:tc>
        <w:tc>
          <w:tcPr>
            <w:tcW w:w="427" w:type="dxa"/>
            <w:vAlign w:val="top"/>
          </w:tcPr>
          <w:p w14:paraId="44664D14">
            <w:pPr>
              <w:spacing w:before="85" w:line="195" w:lineRule="auto"/>
              <w:ind w:left="1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927" w:type="dxa"/>
            <w:vAlign w:val="top"/>
          </w:tcPr>
          <w:p w14:paraId="41003594">
            <w:pPr>
              <w:spacing w:before="86" w:line="197" w:lineRule="auto"/>
              <w:ind w:left="184"/>
              <w:rPr>
                <w:rFonts w:ascii="Times New Roman" w:hAnsi="Times New Roman" w:eastAsia="Times New Roman" w:cs="Times New Roman"/>
                <w:sz w:val="13"/>
                <w:szCs w:val="13"/>
              </w:rPr>
            </w:pPr>
            <w:r>
              <w:rPr>
                <w:rFonts w:ascii="Times New Roman" w:hAnsi="Times New Roman" w:eastAsia="Times New Roman" w:cs="Times New Roman"/>
                <w:sz w:val="20"/>
                <w:szCs w:val="20"/>
              </w:rPr>
              <w:t>HCO</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position w:val="7"/>
                <w:sz w:val="13"/>
                <w:szCs w:val="13"/>
              </w:rPr>
              <w:t>-</w:t>
            </w:r>
          </w:p>
        </w:tc>
        <w:tc>
          <w:tcPr>
            <w:tcW w:w="708" w:type="dxa"/>
            <w:vAlign w:val="top"/>
          </w:tcPr>
          <w:p w14:paraId="738FD730">
            <w:pPr>
              <w:spacing w:before="82" w:line="201" w:lineRule="auto"/>
              <w:ind w:left="124"/>
              <w:rPr>
                <w:rFonts w:ascii="Times New Roman" w:hAnsi="Times New Roman" w:eastAsia="Times New Roman" w:cs="Times New Roman"/>
                <w:sz w:val="20"/>
                <w:szCs w:val="20"/>
              </w:rPr>
            </w:pP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960" w:type="dxa"/>
            <w:vAlign w:val="top"/>
          </w:tcPr>
          <w:p w14:paraId="35FD7B80">
            <w:pPr>
              <w:spacing w:before="8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364</w:t>
            </w:r>
          </w:p>
        </w:tc>
        <w:tc>
          <w:tcPr>
            <w:tcW w:w="960" w:type="dxa"/>
            <w:vAlign w:val="top"/>
          </w:tcPr>
          <w:p w14:paraId="4EF31008">
            <w:pPr>
              <w:spacing w:before="85"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168</w:t>
            </w:r>
          </w:p>
        </w:tc>
        <w:tc>
          <w:tcPr>
            <w:tcW w:w="852" w:type="dxa"/>
            <w:vAlign w:val="top"/>
          </w:tcPr>
          <w:p w14:paraId="1ACA9EA2">
            <w:pPr>
              <w:spacing w:before="8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190</w:t>
            </w:r>
          </w:p>
        </w:tc>
        <w:tc>
          <w:tcPr>
            <w:tcW w:w="640" w:type="dxa"/>
            <w:vAlign w:val="top"/>
          </w:tcPr>
          <w:p w14:paraId="3246DE99">
            <w:pPr>
              <w:spacing w:before="8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304</w:t>
            </w:r>
          </w:p>
        </w:tc>
        <w:tc>
          <w:tcPr>
            <w:tcW w:w="960" w:type="dxa"/>
            <w:vAlign w:val="top"/>
          </w:tcPr>
          <w:p w14:paraId="0EFB0DDF">
            <w:pPr>
              <w:spacing w:before="85"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852" w:type="dxa"/>
            <w:vAlign w:val="top"/>
          </w:tcPr>
          <w:p w14:paraId="55787CF4">
            <w:pPr>
              <w:spacing w:before="8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642" w:type="dxa"/>
            <w:vAlign w:val="top"/>
          </w:tcPr>
          <w:p w14:paraId="4AA06426">
            <w:pPr>
              <w:spacing w:before="82" w:line="199"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4" w:type="dxa"/>
            <w:tcBorders>
              <w:top w:val="nil"/>
              <w:bottom w:val="nil"/>
            </w:tcBorders>
            <w:vAlign w:val="top"/>
          </w:tcPr>
          <w:p w14:paraId="1BB83B90">
            <w:pPr>
              <w:rPr>
                <w:rFonts w:ascii="Arial"/>
                <w:sz w:val="21"/>
              </w:rPr>
            </w:pPr>
          </w:p>
        </w:tc>
      </w:tr>
      <w:tr w14:paraId="7101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60" w:type="dxa"/>
            <w:vMerge w:val="continue"/>
            <w:tcBorders>
              <w:top w:val="nil"/>
            </w:tcBorders>
            <w:vAlign w:val="top"/>
          </w:tcPr>
          <w:p w14:paraId="2DB9F663">
            <w:pPr>
              <w:rPr>
                <w:rFonts w:ascii="Arial"/>
                <w:sz w:val="21"/>
              </w:rPr>
            </w:pPr>
          </w:p>
        </w:tc>
        <w:tc>
          <w:tcPr>
            <w:tcW w:w="8165" w:type="dxa"/>
            <w:gridSpan w:val="12"/>
            <w:vAlign w:val="top"/>
          </w:tcPr>
          <w:p w14:paraId="343B91C7">
            <w:pPr>
              <w:pStyle w:val="6"/>
              <w:spacing w:before="196" w:line="219" w:lineRule="auto"/>
              <w:ind w:left="593"/>
              <w:rPr>
                <w:sz w:val="24"/>
                <w:szCs w:val="24"/>
              </w:rPr>
            </w:pPr>
            <w:r>
              <w:rPr>
                <w:sz w:val="24"/>
                <w:szCs w:val="24"/>
              </w:rPr>
              <w:t>根据监测结果，溶解性总固体</w:t>
            </w:r>
            <w:r>
              <w:rPr>
                <w:spacing w:val="-55"/>
                <w:sz w:val="24"/>
                <w:szCs w:val="24"/>
              </w:rPr>
              <w:t xml:space="preserve"> </w:t>
            </w:r>
            <w:r>
              <w:rPr>
                <w:rFonts w:ascii="Times New Roman" w:hAnsi="Times New Roman" w:eastAsia="Times New Roman" w:cs="Times New Roman"/>
                <w:sz w:val="24"/>
                <w:szCs w:val="24"/>
              </w:rPr>
              <w:t xml:space="preserve">2 </w:t>
            </w:r>
            <w:r>
              <w:rPr>
                <w:sz w:val="24"/>
                <w:szCs w:val="24"/>
              </w:rPr>
              <w:t>个点位超标，总硬度</w:t>
            </w:r>
            <w:r>
              <w:rPr>
                <w:spacing w:val="-30"/>
                <w:sz w:val="24"/>
                <w:szCs w:val="24"/>
              </w:rPr>
              <w:t xml:space="preserve"> </w:t>
            </w:r>
            <w:r>
              <w:rPr>
                <w:rFonts w:ascii="Times New Roman" w:hAnsi="Times New Roman" w:eastAsia="Times New Roman" w:cs="Times New Roman"/>
                <w:sz w:val="24"/>
                <w:szCs w:val="24"/>
              </w:rPr>
              <w:t xml:space="preserve">1 </w:t>
            </w:r>
            <w:r>
              <w:rPr>
                <w:spacing w:val="-1"/>
                <w:sz w:val="24"/>
                <w:szCs w:val="24"/>
              </w:rPr>
              <w:t>个点位超标，氟</w:t>
            </w:r>
          </w:p>
        </w:tc>
      </w:tr>
    </w:tbl>
    <w:p w14:paraId="264CF1E3">
      <w:pPr>
        <w:pStyle w:val="2"/>
      </w:pPr>
    </w:p>
    <w:p w14:paraId="77AEAA11">
      <w:pPr>
        <w:sectPr>
          <w:footerReference r:id="rId57" w:type="default"/>
          <w:pgSz w:w="11906" w:h="16839"/>
          <w:pgMar w:top="400" w:right="1588" w:bottom="1259" w:left="1687" w:header="0" w:footer="1097" w:gutter="0"/>
          <w:cols w:space="720" w:num="1"/>
        </w:sectPr>
      </w:pPr>
    </w:p>
    <w:p w14:paraId="7AD49691">
      <w:pPr>
        <w:spacing w:before="19"/>
      </w:pPr>
    </w:p>
    <w:p w14:paraId="6374D733">
      <w:pPr>
        <w:spacing w:before="19"/>
      </w:pPr>
    </w:p>
    <w:p w14:paraId="398300DB">
      <w:pPr>
        <w:spacing w:before="18"/>
      </w:pPr>
    </w:p>
    <w:p w14:paraId="4BCD194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348"/>
        <w:gridCol w:w="1124"/>
        <w:gridCol w:w="1319"/>
        <w:gridCol w:w="1426"/>
        <w:gridCol w:w="3718"/>
        <w:gridCol w:w="118"/>
      </w:tblGrid>
      <w:tr w14:paraId="1B59F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6" w:hRule="atLeast"/>
        </w:trPr>
        <w:tc>
          <w:tcPr>
            <w:tcW w:w="459" w:type="dxa"/>
            <w:vMerge w:val="restart"/>
            <w:tcBorders>
              <w:bottom w:val="nil"/>
            </w:tcBorders>
            <w:vAlign w:val="top"/>
          </w:tcPr>
          <w:p w14:paraId="13FD55FB">
            <w:pPr>
              <w:rPr>
                <w:rFonts w:ascii="Arial"/>
                <w:sz w:val="21"/>
              </w:rPr>
            </w:pPr>
          </w:p>
        </w:tc>
        <w:tc>
          <w:tcPr>
            <w:tcW w:w="8166" w:type="dxa"/>
            <w:gridSpan w:val="7"/>
            <w:vAlign w:val="top"/>
          </w:tcPr>
          <w:p w14:paraId="03F7B4ED">
            <w:pPr>
              <w:pStyle w:val="6"/>
              <w:spacing w:before="41" w:line="359" w:lineRule="auto"/>
              <w:ind w:left="113" w:right="107" w:firstLine="1"/>
              <w:jc w:val="both"/>
              <w:rPr>
                <w:sz w:val="24"/>
                <w:szCs w:val="24"/>
              </w:rPr>
            </w:pPr>
            <w:r>
              <w:rPr>
                <w:spacing w:val="-1"/>
                <w:sz w:val="24"/>
                <w:szCs w:val="24"/>
              </w:rPr>
              <w:t>化物</w:t>
            </w:r>
            <w:r>
              <w:rPr>
                <w:spacing w:val="-40"/>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个点位超标，硫酸盐</w:t>
            </w:r>
            <w:r>
              <w:rPr>
                <w:spacing w:val="-48"/>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个点位超标，氯化物</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个点位超标，钠</w:t>
            </w:r>
            <w:r>
              <w:rPr>
                <w:spacing w:val="-48"/>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个点</w:t>
            </w:r>
            <w:r>
              <w:rPr>
                <w:sz w:val="24"/>
                <w:szCs w:val="24"/>
              </w:rPr>
              <w:t xml:space="preserve"> </w:t>
            </w:r>
            <w:r>
              <w:rPr>
                <w:spacing w:val="1"/>
                <w:sz w:val="24"/>
                <w:szCs w:val="24"/>
              </w:rPr>
              <w:t>位超标。总硬度、硫酸盐、氟化物、溶解性</w:t>
            </w:r>
            <w:r>
              <w:rPr>
                <w:sz w:val="24"/>
                <w:szCs w:val="24"/>
              </w:rPr>
              <w:t xml:space="preserve">总固体、氯化物、钠超标，主要 </w:t>
            </w:r>
            <w:r>
              <w:rPr>
                <w:spacing w:val="1"/>
                <w:sz w:val="24"/>
                <w:szCs w:val="24"/>
              </w:rPr>
              <w:t>原因是评价区地下水接受鄂尔多斯西缘二叠</w:t>
            </w:r>
            <w:r>
              <w:rPr>
                <w:sz w:val="24"/>
                <w:szCs w:val="24"/>
              </w:rPr>
              <w:t xml:space="preserve">系地下水的补给，而二叠系盆地 </w:t>
            </w:r>
            <w:r>
              <w:rPr>
                <w:spacing w:val="1"/>
                <w:sz w:val="24"/>
                <w:szCs w:val="24"/>
              </w:rPr>
              <w:t>西缘二叠系含水层颗粒物较细、地下水径流</w:t>
            </w:r>
            <w:r>
              <w:rPr>
                <w:sz w:val="24"/>
                <w:szCs w:val="24"/>
              </w:rPr>
              <w:t xml:space="preserve">速度慢、水质矿化度较高，导致 </w:t>
            </w:r>
            <w:r>
              <w:rPr>
                <w:spacing w:val="-1"/>
                <w:sz w:val="24"/>
                <w:szCs w:val="24"/>
              </w:rPr>
              <w:t>评价区地下水中这几项指标值略微有些超标，系地质原因。</w:t>
            </w:r>
          </w:p>
          <w:p w14:paraId="493BA0D2">
            <w:pPr>
              <w:pStyle w:val="6"/>
              <w:spacing w:before="1" w:line="359" w:lineRule="auto"/>
              <w:ind w:left="115" w:right="107" w:firstLine="480"/>
              <w:jc w:val="both"/>
              <w:rPr>
                <w:sz w:val="24"/>
                <w:szCs w:val="24"/>
              </w:rPr>
            </w:pPr>
            <w:r>
              <w:rPr>
                <w:spacing w:val="1"/>
                <w:sz w:val="24"/>
                <w:szCs w:val="24"/>
              </w:rPr>
              <w:t>本项目位于工业园区，厂界外</w:t>
            </w:r>
            <w:r>
              <w:rPr>
                <w:spacing w:val="-42"/>
                <w:sz w:val="24"/>
                <w:szCs w:val="24"/>
              </w:rPr>
              <w:t xml:space="preserve"> </w:t>
            </w:r>
            <w:r>
              <w:rPr>
                <w:rFonts w:ascii="Times New Roman" w:hAnsi="Times New Roman" w:eastAsia="Times New Roman" w:cs="Times New Roman"/>
                <w:spacing w:val="1"/>
                <w:sz w:val="24"/>
                <w:szCs w:val="24"/>
              </w:rPr>
              <w:t>500m</w:t>
            </w:r>
            <w:r>
              <w:rPr>
                <w:rFonts w:ascii="Times New Roman" w:hAnsi="Times New Roman" w:eastAsia="Times New Roman" w:cs="Times New Roman"/>
                <w:spacing w:val="20"/>
                <w:w w:val="101"/>
                <w:sz w:val="24"/>
                <w:szCs w:val="24"/>
              </w:rPr>
              <w:t xml:space="preserve"> </w:t>
            </w:r>
            <w:r>
              <w:rPr>
                <w:spacing w:val="1"/>
                <w:sz w:val="24"/>
                <w:szCs w:val="24"/>
              </w:rPr>
              <w:t>范围内无地下水集中式饮用水水源</w:t>
            </w:r>
            <w:r>
              <w:rPr>
                <w:sz w:val="24"/>
                <w:szCs w:val="24"/>
              </w:rPr>
              <w:t xml:space="preserve"> 和热水、矿泉水、温泉等特殊地下水资源；项目用水均由园区管网提供，不</w:t>
            </w:r>
            <w:r>
              <w:rPr>
                <w:spacing w:val="17"/>
                <w:sz w:val="24"/>
                <w:szCs w:val="24"/>
              </w:rPr>
              <w:t xml:space="preserve"> </w:t>
            </w:r>
            <w:r>
              <w:rPr>
                <w:sz w:val="24"/>
                <w:szCs w:val="24"/>
              </w:rPr>
              <w:t>涉及取用地下水；运营期产生的废水主要为生活污水、洗车废水、地面冲洗</w:t>
            </w:r>
            <w:r>
              <w:rPr>
                <w:spacing w:val="17"/>
                <w:sz w:val="24"/>
                <w:szCs w:val="24"/>
              </w:rPr>
              <w:t xml:space="preserve"> </w:t>
            </w:r>
            <w:r>
              <w:rPr>
                <w:sz w:val="24"/>
                <w:szCs w:val="24"/>
              </w:rPr>
              <w:t>水和消防废水，运营期废水全部合理处置，在采取本报告提出的废水污染防</w:t>
            </w:r>
            <w:r>
              <w:rPr>
                <w:spacing w:val="17"/>
                <w:sz w:val="24"/>
                <w:szCs w:val="24"/>
              </w:rPr>
              <w:t xml:space="preserve"> </w:t>
            </w:r>
            <w:r>
              <w:rPr>
                <w:sz w:val="24"/>
                <w:szCs w:val="24"/>
              </w:rPr>
              <w:t>治措施后，一般不会导致地下水污染，对地</w:t>
            </w:r>
            <w:r>
              <w:rPr>
                <w:spacing w:val="-1"/>
                <w:sz w:val="24"/>
                <w:szCs w:val="24"/>
              </w:rPr>
              <w:t>下水环境基本无影响途径。</w:t>
            </w:r>
          </w:p>
          <w:p w14:paraId="7FB7B8DE">
            <w:pPr>
              <w:pStyle w:val="6"/>
              <w:spacing w:line="220" w:lineRule="auto"/>
              <w:ind w:left="108"/>
              <w:outlineLvl w:val="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、土壤环境质量</w:t>
            </w:r>
          </w:p>
          <w:p w14:paraId="3D4F1F41">
            <w:pPr>
              <w:pStyle w:val="6"/>
              <w:spacing w:before="179" w:line="219" w:lineRule="auto"/>
              <w:ind w:left="60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）数据引用</w:t>
            </w:r>
          </w:p>
          <w:p w14:paraId="0174A78D">
            <w:pPr>
              <w:pStyle w:val="6"/>
              <w:spacing w:before="181" w:line="359" w:lineRule="auto"/>
              <w:ind w:left="114" w:right="107" w:firstLine="480"/>
              <w:rPr>
                <w:sz w:val="24"/>
                <w:szCs w:val="24"/>
              </w:rPr>
            </w:pPr>
            <w:r>
              <w:rPr>
                <w:spacing w:val="-2"/>
                <w:sz w:val="24"/>
                <w:szCs w:val="24"/>
              </w:rPr>
              <w:t>本次评价引用《鄂托克经济开发区国土空间总体规划（</w:t>
            </w:r>
            <w:r>
              <w:rPr>
                <w:rFonts w:ascii="Times New Roman" w:hAnsi="Times New Roman" w:eastAsia="Times New Roman" w:cs="Times New Roman"/>
                <w:spacing w:val="-2"/>
                <w:sz w:val="24"/>
                <w:szCs w:val="24"/>
              </w:rPr>
              <w:t>2021-2035</w:t>
            </w:r>
            <w:r>
              <w:rPr>
                <w:spacing w:val="-2"/>
                <w:sz w:val="24"/>
                <w:szCs w:val="24"/>
              </w:rPr>
              <w:t>）棋盘</w:t>
            </w:r>
            <w:r>
              <w:rPr>
                <w:spacing w:val="9"/>
                <w:sz w:val="24"/>
                <w:szCs w:val="24"/>
              </w:rPr>
              <w:t xml:space="preserve"> </w:t>
            </w:r>
            <w:r>
              <w:rPr>
                <w:sz w:val="24"/>
                <w:szCs w:val="24"/>
              </w:rPr>
              <w:t>井产业园环境影响报告书》（</w:t>
            </w:r>
            <w:r>
              <w:rPr>
                <w:rFonts w:ascii="Times New Roman" w:hAnsi="Times New Roman" w:eastAsia="Times New Roman" w:cs="Times New Roman"/>
                <w:sz w:val="24"/>
                <w:szCs w:val="24"/>
              </w:rPr>
              <w:t>2023</w:t>
            </w:r>
            <w:r>
              <w:rPr>
                <w:sz w:val="24"/>
                <w:szCs w:val="24"/>
              </w:rPr>
              <w:t>年</w:t>
            </w:r>
            <w:r>
              <w:rPr>
                <w:spacing w:val="-51"/>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pacing w:val="15"/>
                <w:sz w:val="24"/>
                <w:szCs w:val="24"/>
              </w:rPr>
              <w:t xml:space="preserve"> </w:t>
            </w:r>
            <w:r>
              <w:rPr>
                <w:sz w:val="24"/>
                <w:szCs w:val="24"/>
              </w:rPr>
              <w:t>月）中“棋西项目区土</w:t>
            </w:r>
            <w:r>
              <w:rPr>
                <w:spacing w:val="-1"/>
                <w:sz w:val="24"/>
                <w:szCs w:val="24"/>
              </w:rPr>
              <w:t>壤环境质量现</w:t>
            </w:r>
            <w:r>
              <w:rPr>
                <w:sz w:val="24"/>
                <w:szCs w:val="24"/>
              </w:rPr>
              <w:t xml:space="preserve"> </w:t>
            </w:r>
            <w:r>
              <w:rPr>
                <w:spacing w:val="-3"/>
                <w:sz w:val="24"/>
                <w:szCs w:val="24"/>
              </w:rPr>
              <w:t>状及变化趋势</w:t>
            </w:r>
            <w:r>
              <w:rPr>
                <w:spacing w:val="-89"/>
                <w:sz w:val="24"/>
                <w:szCs w:val="24"/>
              </w:rPr>
              <w:t xml:space="preserve"> </w:t>
            </w:r>
            <w:r>
              <w:rPr>
                <w:spacing w:val="-3"/>
                <w:sz w:val="24"/>
                <w:szCs w:val="24"/>
              </w:rPr>
              <w:t>”土壤监测数据。</w:t>
            </w:r>
          </w:p>
          <w:p w14:paraId="26836189">
            <w:pPr>
              <w:pStyle w:val="6"/>
              <w:spacing w:line="220" w:lineRule="auto"/>
              <w:ind w:left="605"/>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）监测点位与监测因子</w:t>
            </w:r>
          </w:p>
          <w:p w14:paraId="586F204E">
            <w:pPr>
              <w:pStyle w:val="6"/>
              <w:spacing w:before="183" w:line="356" w:lineRule="auto"/>
              <w:ind w:left="112" w:right="27" w:firstLine="480"/>
              <w:rPr>
                <w:sz w:val="24"/>
                <w:szCs w:val="24"/>
              </w:rPr>
            </w:pPr>
            <w:r>
              <w:rPr>
                <w:spacing w:val="-2"/>
                <w:sz w:val="24"/>
                <w:szCs w:val="24"/>
              </w:rPr>
              <w:t>共布设了</w:t>
            </w:r>
            <w:r>
              <w:rPr>
                <w:spacing w:val="-51"/>
                <w:sz w:val="24"/>
                <w:szCs w:val="24"/>
              </w:rPr>
              <w:t xml:space="preserve"> </w:t>
            </w:r>
            <w:r>
              <w:rPr>
                <w:rFonts w:ascii="Times New Roman" w:hAnsi="Times New Roman" w:eastAsia="Times New Roman" w:cs="Times New Roman"/>
                <w:spacing w:val="-2"/>
                <w:sz w:val="24"/>
                <w:szCs w:val="24"/>
              </w:rPr>
              <w:t xml:space="preserve">21 </w:t>
            </w:r>
            <w:r>
              <w:rPr>
                <w:spacing w:val="-2"/>
                <w:sz w:val="24"/>
                <w:szCs w:val="24"/>
              </w:rPr>
              <w:t>个土壤监测点，其中</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8"/>
                <w:sz w:val="24"/>
                <w:szCs w:val="24"/>
              </w:rPr>
              <w:t xml:space="preserve"> </w:t>
            </w:r>
            <w:r>
              <w:rPr>
                <w:spacing w:val="-2"/>
                <w:sz w:val="24"/>
                <w:szCs w:val="24"/>
              </w:rPr>
              <w:t>号点、</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sz w:val="24"/>
                <w:szCs w:val="24"/>
              </w:rPr>
              <w:t xml:space="preserve"> </w:t>
            </w:r>
            <w:r>
              <w:rPr>
                <w:spacing w:val="-2"/>
                <w:sz w:val="24"/>
                <w:szCs w:val="24"/>
              </w:rPr>
              <w:t>号点、</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sz w:val="24"/>
                <w:szCs w:val="24"/>
              </w:rPr>
              <w:t xml:space="preserve"> </w:t>
            </w:r>
            <w:r>
              <w:rPr>
                <w:spacing w:val="-2"/>
                <w:sz w:val="24"/>
                <w:szCs w:val="24"/>
              </w:rPr>
              <w:t>号点距离本项目较</w:t>
            </w:r>
            <w:r>
              <w:rPr>
                <w:sz w:val="24"/>
                <w:szCs w:val="24"/>
              </w:rPr>
              <w:t xml:space="preserve"> </w:t>
            </w:r>
            <w:r>
              <w:rPr>
                <w:spacing w:val="-3"/>
                <w:sz w:val="24"/>
                <w:szCs w:val="24"/>
              </w:rPr>
              <w:t>近。</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w w:val="101"/>
                <w:sz w:val="24"/>
                <w:szCs w:val="24"/>
              </w:rPr>
              <w:t xml:space="preserve"> </w:t>
            </w:r>
            <w:r>
              <w:rPr>
                <w:spacing w:val="-3"/>
                <w:sz w:val="24"/>
                <w:szCs w:val="24"/>
              </w:rPr>
              <w:t>号点、</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sz w:val="24"/>
                <w:szCs w:val="24"/>
              </w:rPr>
              <w:t xml:space="preserve"> </w:t>
            </w:r>
            <w:r>
              <w:rPr>
                <w:spacing w:val="-3"/>
                <w:sz w:val="24"/>
                <w:szCs w:val="24"/>
              </w:rPr>
              <w:t>号点为柱状样，</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sz w:val="24"/>
                <w:szCs w:val="24"/>
              </w:rPr>
              <w:t xml:space="preserve"> </w:t>
            </w:r>
            <w:r>
              <w:rPr>
                <w:spacing w:val="-3"/>
                <w:sz w:val="24"/>
                <w:szCs w:val="24"/>
              </w:rPr>
              <w:t>号点为表层样。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号点监测项目为</w:t>
            </w:r>
            <w:r>
              <w:rPr>
                <w:spacing w:val="-61"/>
                <w:sz w:val="24"/>
                <w:szCs w:val="24"/>
              </w:rPr>
              <w:t xml:space="preserve"> </w:t>
            </w:r>
            <w:r>
              <w:rPr>
                <w:rFonts w:ascii="Times New Roman" w:hAnsi="Times New Roman" w:eastAsia="Times New Roman" w:cs="Times New Roman"/>
                <w:spacing w:val="-3"/>
                <w:sz w:val="24"/>
                <w:szCs w:val="24"/>
              </w:rPr>
              <w:t>pH</w:t>
            </w:r>
            <w:r>
              <w:rPr>
                <w:rFonts w:ascii="Times New Roman" w:hAnsi="Times New Roman" w:eastAsia="Times New Roman" w:cs="Times New Roman"/>
                <w:spacing w:val="-34"/>
                <w:sz w:val="24"/>
                <w:szCs w:val="24"/>
              </w:rPr>
              <w:t xml:space="preserve"> </w:t>
            </w:r>
            <w:r>
              <w:rPr>
                <w:spacing w:val="-3"/>
                <w:sz w:val="24"/>
                <w:szCs w:val="24"/>
              </w:rPr>
              <w:t>、砷、</w:t>
            </w:r>
            <w:r>
              <w:rPr>
                <w:sz w:val="24"/>
                <w:szCs w:val="24"/>
              </w:rPr>
              <w:t xml:space="preserve"> </w:t>
            </w:r>
            <w:r>
              <w:rPr>
                <w:spacing w:val="-7"/>
                <w:sz w:val="24"/>
                <w:szCs w:val="24"/>
              </w:rPr>
              <w:t>镉、六价铬、铜、铅、汞、镍、四氯化碳、氯仿、氯甲烷</w:t>
            </w:r>
            <w:r>
              <w:rPr>
                <w:spacing w:val="-8"/>
                <w:sz w:val="24"/>
                <w:szCs w:val="24"/>
              </w:rPr>
              <w:t>、</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w:t>
            </w:r>
            <w:r>
              <w:rPr>
                <w:spacing w:val="-8"/>
                <w:sz w:val="24"/>
                <w:szCs w:val="24"/>
              </w:rPr>
              <w:t>二氯乙烷、</w:t>
            </w:r>
            <w:r>
              <w:rPr>
                <w:rFonts w:ascii="Times New Roman" w:hAnsi="Times New Roman" w:eastAsia="Times New Roman" w:cs="Times New Roman"/>
                <w:spacing w:val="-8"/>
                <w:sz w:val="24"/>
                <w:szCs w:val="24"/>
              </w:rPr>
              <w:t>1,2-</w:t>
            </w:r>
            <w:r>
              <w:rPr>
                <w:rFonts w:ascii="Times New Roman" w:hAnsi="Times New Roman" w:eastAsia="Times New Roman" w:cs="Times New Roman"/>
                <w:sz w:val="24"/>
                <w:szCs w:val="24"/>
              </w:rPr>
              <w:t xml:space="preserve">  </w:t>
            </w:r>
            <w:r>
              <w:rPr>
                <w:spacing w:val="-5"/>
                <w:sz w:val="24"/>
                <w:szCs w:val="24"/>
              </w:rPr>
              <w:t>二氯乙烷、</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spacing w:val="-5"/>
                <w:sz w:val="24"/>
                <w:szCs w:val="24"/>
              </w:rPr>
              <w:t>二氯乙烯、顺</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w:t>
            </w:r>
            <w:r>
              <w:rPr>
                <w:rFonts w:ascii="Times New Roman" w:hAnsi="Times New Roman" w:eastAsia="Times New Roman" w:cs="Times New Roman"/>
                <w:spacing w:val="-5"/>
                <w:sz w:val="24"/>
                <w:szCs w:val="24"/>
              </w:rPr>
              <w:t>2-</w:t>
            </w:r>
            <w:r>
              <w:rPr>
                <w:spacing w:val="-5"/>
                <w:sz w:val="24"/>
                <w:szCs w:val="24"/>
              </w:rPr>
              <w:t>二氯乙烯、反</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w:t>
            </w:r>
            <w:r>
              <w:rPr>
                <w:rFonts w:ascii="Times New Roman" w:hAnsi="Times New Roman" w:eastAsia="Times New Roman" w:cs="Times New Roman"/>
                <w:spacing w:val="-5"/>
                <w:sz w:val="24"/>
                <w:szCs w:val="24"/>
              </w:rPr>
              <w:t>2-</w:t>
            </w:r>
            <w:r>
              <w:rPr>
                <w:spacing w:val="-5"/>
                <w:sz w:val="24"/>
                <w:szCs w:val="24"/>
              </w:rPr>
              <w:t>二氯乙烯、二氯甲烷、</w:t>
            </w:r>
          </w:p>
          <w:p w14:paraId="69210280">
            <w:pPr>
              <w:pStyle w:val="6"/>
              <w:spacing w:before="15" w:line="357" w:lineRule="auto"/>
              <w:ind w:left="115" w:right="107" w:firstLine="17"/>
              <w:rPr>
                <w:sz w:val="24"/>
                <w:szCs w:val="24"/>
              </w:rPr>
            </w:pPr>
            <w:r>
              <w:rPr>
                <w:rFonts w:ascii="Times New Roman" w:hAnsi="Times New Roman" w:eastAsia="Times New Roman" w:cs="Times New Roman"/>
                <w:spacing w:val="-3"/>
                <w:sz w:val="24"/>
                <w:szCs w:val="24"/>
              </w:rPr>
              <w:t>1,2-</w:t>
            </w:r>
            <w:r>
              <w:rPr>
                <w:spacing w:val="-3"/>
                <w:sz w:val="24"/>
                <w:szCs w:val="24"/>
              </w:rPr>
              <w:t>二氯丙烷、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w:t>
            </w:r>
            <w:r>
              <w:rPr>
                <w:spacing w:val="-3"/>
                <w:sz w:val="24"/>
                <w:szCs w:val="24"/>
              </w:rPr>
              <w:t>四氯乙烷、</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1,2,2-</w:t>
            </w:r>
            <w:r>
              <w:rPr>
                <w:spacing w:val="-3"/>
                <w:sz w:val="24"/>
                <w:szCs w:val="24"/>
              </w:rPr>
              <w:t>四氯乙</w:t>
            </w:r>
            <w:r>
              <w:rPr>
                <w:spacing w:val="-4"/>
                <w:sz w:val="24"/>
                <w:szCs w:val="24"/>
              </w:rPr>
              <w:t>烷、四氯乙烯、</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spacing w:val="-4"/>
                <w:sz w:val="24"/>
                <w:szCs w:val="24"/>
              </w:rPr>
              <w:t>三氯乙</w:t>
            </w:r>
            <w:r>
              <w:rPr>
                <w:sz w:val="24"/>
                <w:szCs w:val="24"/>
              </w:rPr>
              <w:t xml:space="preserve"> </w:t>
            </w:r>
            <w:r>
              <w:rPr>
                <w:spacing w:val="-2"/>
                <w:sz w:val="24"/>
                <w:szCs w:val="24"/>
              </w:rPr>
              <w:t>烷、</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pacing w:val="-2"/>
                <w:sz w:val="24"/>
                <w:szCs w:val="24"/>
              </w:rPr>
              <w:t>1,2-</w:t>
            </w:r>
            <w:r>
              <w:rPr>
                <w:spacing w:val="-2"/>
                <w:sz w:val="24"/>
                <w:szCs w:val="24"/>
              </w:rPr>
              <w:t>三氯乙烷、三氯乙烯、</w:t>
            </w:r>
            <w:r>
              <w:rPr>
                <w:rFonts w:ascii="Times New Roman" w:hAnsi="Times New Roman" w:eastAsia="Times New Roman" w:cs="Times New Roman"/>
                <w:spacing w:val="-2"/>
                <w:sz w:val="24"/>
                <w:szCs w:val="24"/>
              </w:rPr>
              <w:t>1,2,3-</w:t>
            </w:r>
            <w:r>
              <w:rPr>
                <w:spacing w:val="-2"/>
                <w:sz w:val="24"/>
                <w:szCs w:val="24"/>
              </w:rPr>
              <w:t>三氯丙烷、氯乙烯、苯、氯苯、</w:t>
            </w:r>
            <w:r>
              <w:rPr>
                <w:rFonts w:ascii="Times New Roman" w:hAnsi="Times New Roman" w:eastAsia="Times New Roman" w:cs="Times New Roman"/>
                <w:spacing w:val="-2"/>
                <w:sz w:val="24"/>
                <w:szCs w:val="24"/>
              </w:rPr>
              <w:t>1,2-</w:t>
            </w:r>
            <w:r>
              <w:rPr>
                <w:spacing w:val="-2"/>
                <w:sz w:val="24"/>
                <w:szCs w:val="24"/>
              </w:rPr>
              <w:t>二</w:t>
            </w:r>
            <w:r>
              <w:rPr>
                <w:sz w:val="24"/>
                <w:szCs w:val="24"/>
              </w:rPr>
              <w:t xml:space="preserve"> 氯苯、</w:t>
            </w:r>
            <w:r>
              <w:rPr>
                <w:rFonts w:ascii="Times New Roman" w:hAnsi="Times New Roman" w:eastAsia="Times New Roman" w:cs="Times New Roman"/>
                <w:sz w:val="24"/>
                <w:szCs w:val="24"/>
              </w:rPr>
              <w:t>1,4-</w:t>
            </w:r>
            <w:r>
              <w:rPr>
                <w:sz w:val="24"/>
                <w:szCs w:val="24"/>
              </w:rPr>
              <w:t>二氯苯、乙苯、苯乙烯、甲苯、间二</w:t>
            </w:r>
            <w:r>
              <w:rPr>
                <w:spacing w:val="-1"/>
                <w:sz w:val="24"/>
                <w:szCs w:val="24"/>
              </w:rPr>
              <w:t>甲苯</w:t>
            </w:r>
            <w:r>
              <w:rPr>
                <w:rFonts w:ascii="Times New Roman" w:hAnsi="Times New Roman" w:eastAsia="Times New Roman" w:cs="Times New Roman"/>
                <w:spacing w:val="-1"/>
                <w:sz w:val="24"/>
                <w:szCs w:val="24"/>
              </w:rPr>
              <w:t>+</w:t>
            </w:r>
            <w:r>
              <w:rPr>
                <w:spacing w:val="-1"/>
                <w:sz w:val="24"/>
                <w:szCs w:val="24"/>
              </w:rPr>
              <w:t>对二甲苯、邻二甲苯、</w:t>
            </w:r>
          </w:p>
          <w:p w14:paraId="5AE8FF02">
            <w:pPr>
              <w:pStyle w:val="6"/>
              <w:spacing w:before="9" w:line="357" w:lineRule="auto"/>
              <w:ind w:left="112" w:firstLine="3"/>
              <w:rPr>
                <w:sz w:val="24"/>
                <w:szCs w:val="24"/>
              </w:rPr>
            </w:pPr>
            <w:r>
              <w:rPr>
                <w:spacing w:val="-1"/>
                <w:sz w:val="24"/>
                <w:szCs w:val="24"/>
              </w:rPr>
              <w:t>硝基苯、苯胺、</w:t>
            </w:r>
            <w:r>
              <w:rPr>
                <w:rFonts w:ascii="Times New Roman" w:hAnsi="Times New Roman" w:eastAsia="Times New Roman" w:cs="Times New Roman"/>
                <w:spacing w:val="-1"/>
                <w:sz w:val="24"/>
                <w:szCs w:val="24"/>
              </w:rPr>
              <w:t>2-</w:t>
            </w:r>
            <w:r>
              <w:rPr>
                <w:spacing w:val="-1"/>
                <w:sz w:val="24"/>
                <w:szCs w:val="24"/>
              </w:rPr>
              <w:t>氯酚、苯并</w:t>
            </w:r>
            <w:r>
              <w:rPr>
                <w:rFonts w:ascii="Times New Roman" w:hAnsi="Times New Roman" w:eastAsia="Times New Roman" w:cs="Times New Roman"/>
                <w:spacing w:val="-1"/>
                <w:sz w:val="24"/>
                <w:szCs w:val="24"/>
              </w:rPr>
              <w:t>[a]</w:t>
            </w:r>
            <w:r>
              <w:rPr>
                <w:spacing w:val="-1"/>
                <w:sz w:val="24"/>
                <w:szCs w:val="24"/>
              </w:rPr>
              <w:t>蒽、</w:t>
            </w:r>
            <w:r>
              <w:rPr>
                <w:spacing w:val="-2"/>
                <w:sz w:val="24"/>
                <w:szCs w:val="24"/>
              </w:rPr>
              <w:t>苯并</w:t>
            </w:r>
            <w:r>
              <w:rPr>
                <w:rFonts w:ascii="Times New Roman" w:hAnsi="Times New Roman" w:eastAsia="Times New Roman" w:cs="Times New Roman"/>
                <w:spacing w:val="-2"/>
                <w:sz w:val="24"/>
                <w:szCs w:val="24"/>
              </w:rPr>
              <w:t>[a]</w:t>
            </w:r>
            <w:r>
              <w:rPr>
                <w:spacing w:val="-2"/>
                <w:sz w:val="24"/>
                <w:szCs w:val="24"/>
              </w:rPr>
              <w:t>芘、苯并</w:t>
            </w:r>
            <w:r>
              <w:rPr>
                <w:rFonts w:ascii="Times New Roman" w:hAnsi="Times New Roman" w:eastAsia="Times New Roman" w:cs="Times New Roman"/>
                <w:spacing w:val="-2"/>
                <w:sz w:val="24"/>
                <w:szCs w:val="24"/>
              </w:rPr>
              <w:t>[b]</w:t>
            </w:r>
            <w:r>
              <w:rPr>
                <w:spacing w:val="-2"/>
                <w:sz w:val="24"/>
                <w:szCs w:val="24"/>
              </w:rPr>
              <w:t>荧蒽、苯并</w:t>
            </w:r>
            <w:r>
              <w:rPr>
                <w:rFonts w:ascii="Times New Roman" w:hAnsi="Times New Roman" w:eastAsia="Times New Roman" w:cs="Times New Roman"/>
                <w:spacing w:val="-2"/>
                <w:sz w:val="24"/>
                <w:szCs w:val="24"/>
              </w:rPr>
              <w:t>[k]</w:t>
            </w:r>
            <w:r>
              <w:rPr>
                <w:spacing w:val="-2"/>
                <w:sz w:val="24"/>
                <w:szCs w:val="24"/>
              </w:rPr>
              <w:t>荧蒽、</w:t>
            </w:r>
            <w:r>
              <w:rPr>
                <w:sz w:val="24"/>
                <w:szCs w:val="24"/>
              </w:rPr>
              <w:t xml:space="preserve"> </w:t>
            </w:r>
            <w:r>
              <w:rPr>
                <w:spacing w:val="-2"/>
                <w:sz w:val="24"/>
                <w:szCs w:val="24"/>
              </w:rPr>
              <w:t>䓛、苯并</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6"/>
                <w:sz w:val="24"/>
                <w:szCs w:val="24"/>
              </w:rPr>
              <w:t xml:space="preserve"> </w:t>
            </w:r>
            <w:r>
              <w:rPr>
                <w:spacing w:val="-2"/>
                <w:sz w:val="24"/>
                <w:szCs w:val="24"/>
              </w:rPr>
              <w:t>，</w:t>
            </w:r>
            <w:r>
              <w:rPr>
                <w:rFonts w:ascii="Times New Roman" w:hAnsi="Times New Roman" w:eastAsia="Times New Roman" w:cs="Times New Roman"/>
                <w:spacing w:val="-2"/>
                <w:sz w:val="24"/>
                <w:szCs w:val="24"/>
              </w:rPr>
              <w:t>h]</w:t>
            </w:r>
            <w:r>
              <w:rPr>
                <w:spacing w:val="-2"/>
                <w:sz w:val="24"/>
                <w:szCs w:val="24"/>
              </w:rPr>
              <w:t>蒽、茚并</w:t>
            </w:r>
            <w:r>
              <w:rPr>
                <w:rFonts w:ascii="Times New Roman" w:hAnsi="Times New Roman" w:eastAsia="Times New Roman" w:cs="Times New Roman"/>
                <w:spacing w:val="-2"/>
                <w:sz w:val="24"/>
                <w:szCs w:val="24"/>
              </w:rPr>
              <w:t>[1,2,3-cd]</w:t>
            </w:r>
            <w:r>
              <w:rPr>
                <w:spacing w:val="-2"/>
                <w:sz w:val="24"/>
                <w:szCs w:val="24"/>
              </w:rPr>
              <w:t>芘、萘、苯并（</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9"/>
                <w:sz w:val="24"/>
                <w:szCs w:val="24"/>
              </w:rPr>
              <w:t xml:space="preserve"> </w:t>
            </w:r>
            <w:r>
              <w:rPr>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9"/>
                <w:sz w:val="24"/>
                <w:szCs w:val="24"/>
              </w:rPr>
              <w:t xml:space="preserve"> </w:t>
            </w:r>
            <w:r>
              <w:rPr>
                <w:spacing w:val="-2"/>
                <w:sz w:val="24"/>
                <w:szCs w:val="24"/>
              </w:rPr>
              <w:t>，</w:t>
            </w:r>
            <w:r>
              <w:rPr>
                <w:rFonts w:ascii="Times New Roman" w:hAnsi="Times New Roman" w:eastAsia="Times New Roman" w:cs="Times New Roman"/>
                <w:spacing w:val="-2"/>
                <w:sz w:val="24"/>
                <w:szCs w:val="24"/>
              </w:rPr>
              <w:t>i</w:t>
            </w:r>
            <w:r>
              <w:rPr>
                <w:spacing w:val="-2"/>
                <w:sz w:val="24"/>
                <w:szCs w:val="24"/>
              </w:rPr>
              <w:t>）苝、苊烯、苊、</w:t>
            </w:r>
            <w:r>
              <w:rPr>
                <w:sz w:val="24"/>
                <w:szCs w:val="24"/>
              </w:rPr>
              <w:t xml:space="preserve">  </w:t>
            </w:r>
            <w:r>
              <w:rPr>
                <w:spacing w:val="-6"/>
                <w:sz w:val="24"/>
                <w:szCs w:val="24"/>
              </w:rPr>
              <w:t>芴、菲、蒽、荧蒽、芘、苯酚、总石油烃、氰化物、氟化物；</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sz w:val="24"/>
                <w:szCs w:val="24"/>
              </w:rPr>
              <w:t xml:space="preserve"> </w:t>
            </w:r>
            <w:r>
              <w:rPr>
                <w:spacing w:val="-6"/>
                <w:sz w:val="24"/>
                <w:szCs w:val="24"/>
              </w:rPr>
              <w:t>号点</w:t>
            </w:r>
            <w:r>
              <w:rPr>
                <w:spacing w:val="-7"/>
                <w:sz w:val="24"/>
                <w:szCs w:val="24"/>
              </w:rPr>
              <w:t>、</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4"/>
                <w:sz w:val="24"/>
                <w:szCs w:val="24"/>
              </w:rPr>
              <w:t xml:space="preserve"> </w:t>
            </w:r>
            <w:r>
              <w:rPr>
                <w:spacing w:val="-7"/>
                <w:sz w:val="24"/>
                <w:szCs w:val="24"/>
              </w:rPr>
              <w:t>号点</w:t>
            </w:r>
            <w:r>
              <w:rPr>
                <w:sz w:val="24"/>
                <w:szCs w:val="24"/>
              </w:rPr>
              <w:t xml:space="preserve">  </w:t>
            </w:r>
            <w:r>
              <w:rPr>
                <w:spacing w:val="-7"/>
                <w:sz w:val="24"/>
                <w:szCs w:val="24"/>
              </w:rPr>
              <w:t>监测项目为</w:t>
            </w:r>
            <w:r>
              <w:rPr>
                <w:spacing w:val="-61"/>
                <w:sz w:val="24"/>
                <w:szCs w:val="24"/>
              </w:rPr>
              <w:t xml:space="preserve"> </w:t>
            </w:r>
            <w:r>
              <w:rPr>
                <w:rFonts w:ascii="Times New Roman" w:hAnsi="Times New Roman" w:eastAsia="Times New Roman" w:cs="Times New Roman"/>
                <w:spacing w:val="-7"/>
                <w:sz w:val="24"/>
                <w:szCs w:val="24"/>
              </w:rPr>
              <w:t>pH</w:t>
            </w:r>
            <w:r>
              <w:rPr>
                <w:rFonts w:ascii="Times New Roman" w:hAnsi="Times New Roman" w:eastAsia="Times New Roman" w:cs="Times New Roman"/>
                <w:spacing w:val="-34"/>
                <w:sz w:val="24"/>
                <w:szCs w:val="24"/>
              </w:rPr>
              <w:t xml:space="preserve"> </w:t>
            </w:r>
            <w:r>
              <w:rPr>
                <w:spacing w:val="-7"/>
                <w:sz w:val="24"/>
                <w:szCs w:val="24"/>
              </w:rPr>
              <w:t>、苯、石油烃、苯并</w:t>
            </w:r>
            <w:r>
              <w:rPr>
                <w:rFonts w:ascii="Times New Roman" w:hAnsi="Times New Roman" w:eastAsia="Times New Roman" w:cs="Times New Roman"/>
                <w:spacing w:val="-7"/>
                <w:sz w:val="24"/>
                <w:szCs w:val="24"/>
              </w:rPr>
              <w:t>[а]</w:t>
            </w:r>
            <w:r>
              <w:rPr>
                <w:spacing w:val="-8"/>
                <w:sz w:val="24"/>
                <w:szCs w:val="24"/>
              </w:rPr>
              <w:t>芘、镉、汞、砷、铜、铅、铬（六价）、</w:t>
            </w:r>
            <w:r>
              <w:rPr>
                <w:sz w:val="24"/>
                <w:szCs w:val="24"/>
              </w:rPr>
              <w:t xml:space="preserve"> </w:t>
            </w:r>
            <w:r>
              <w:rPr>
                <w:spacing w:val="-4"/>
                <w:sz w:val="24"/>
                <w:szCs w:val="24"/>
              </w:rPr>
              <w:t>镍、氟化物。</w:t>
            </w:r>
          </w:p>
          <w:p w14:paraId="6C7C63CB">
            <w:pPr>
              <w:pStyle w:val="6"/>
              <w:spacing w:before="8" w:line="227" w:lineRule="auto"/>
              <w:ind w:left="2444"/>
              <w:outlineLvl w:val="1"/>
              <w:rPr>
                <w:sz w:val="20"/>
                <w:szCs w:val="20"/>
              </w:rPr>
            </w:pPr>
            <w:r>
              <w:rPr>
                <w:b/>
                <w:bCs/>
                <w:spacing w:val="6"/>
                <w:sz w:val="20"/>
                <w:szCs w:val="20"/>
              </w:rPr>
              <w:t>表</w:t>
            </w:r>
            <w:r>
              <w:rPr>
                <w:spacing w:val="-44"/>
                <w:sz w:val="20"/>
                <w:szCs w:val="20"/>
              </w:rPr>
              <w:t xml:space="preserve"> </w:t>
            </w:r>
            <w:r>
              <w:rPr>
                <w:rFonts w:ascii="Times New Roman" w:hAnsi="Times New Roman" w:eastAsia="Times New Roman" w:cs="Times New Roman"/>
                <w:b/>
                <w:bCs/>
                <w:spacing w:val="6"/>
                <w:sz w:val="20"/>
                <w:szCs w:val="20"/>
              </w:rPr>
              <w:t xml:space="preserve">3-5    </w:t>
            </w:r>
            <w:r>
              <w:rPr>
                <w:b/>
                <w:bCs/>
                <w:spacing w:val="6"/>
                <w:sz w:val="20"/>
                <w:szCs w:val="20"/>
              </w:rPr>
              <w:t>监测布点与监测因子情况表</w:t>
            </w:r>
          </w:p>
        </w:tc>
      </w:tr>
      <w:tr w14:paraId="3484B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top w:val="nil"/>
            </w:tcBorders>
            <w:vAlign w:val="top"/>
          </w:tcPr>
          <w:p w14:paraId="7B9381CF">
            <w:pPr>
              <w:rPr>
                <w:rFonts w:ascii="Arial"/>
                <w:sz w:val="21"/>
              </w:rPr>
            </w:pPr>
          </w:p>
        </w:tc>
        <w:tc>
          <w:tcPr>
            <w:tcW w:w="113" w:type="dxa"/>
            <w:vAlign w:val="top"/>
          </w:tcPr>
          <w:p w14:paraId="694116D1">
            <w:pPr>
              <w:rPr>
                <w:rFonts w:ascii="Arial"/>
                <w:sz w:val="21"/>
              </w:rPr>
            </w:pPr>
          </w:p>
        </w:tc>
        <w:tc>
          <w:tcPr>
            <w:tcW w:w="348" w:type="dxa"/>
            <w:vAlign w:val="top"/>
          </w:tcPr>
          <w:p w14:paraId="473F553E">
            <w:pPr>
              <w:pStyle w:val="6"/>
              <w:spacing w:before="37" w:line="214" w:lineRule="auto"/>
              <w:ind w:left="111"/>
              <w:rPr>
                <w:sz w:val="20"/>
                <w:szCs w:val="20"/>
              </w:rPr>
            </w:pPr>
            <w:r>
              <w:rPr>
                <w:spacing w:val="1"/>
                <w:sz w:val="20"/>
                <w:szCs w:val="20"/>
              </w:rPr>
              <w:t>序</w:t>
            </w:r>
          </w:p>
        </w:tc>
        <w:tc>
          <w:tcPr>
            <w:tcW w:w="1124" w:type="dxa"/>
            <w:vAlign w:val="top"/>
          </w:tcPr>
          <w:p w14:paraId="1A369464">
            <w:pPr>
              <w:pStyle w:val="6"/>
              <w:spacing w:before="37" w:line="214" w:lineRule="auto"/>
              <w:ind w:left="365"/>
              <w:rPr>
                <w:sz w:val="20"/>
                <w:szCs w:val="20"/>
              </w:rPr>
            </w:pPr>
            <w:r>
              <w:rPr>
                <w:spacing w:val="-1"/>
                <w:sz w:val="20"/>
                <w:szCs w:val="20"/>
              </w:rPr>
              <w:t>点位</w:t>
            </w:r>
          </w:p>
        </w:tc>
        <w:tc>
          <w:tcPr>
            <w:tcW w:w="1319" w:type="dxa"/>
            <w:vAlign w:val="top"/>
          </w:tcPr>
          <w:p w14:paraId="2FC2DA2F">
            <w:pPr>
              <w:pStyle w:val="6"/>
              <w:spacing w:before="37" w:line="214" w:lineRule="auto"/>
              <w:ind w:left="456"/>
              <w:rPr>
                <w:sz w:val="20"/>
                <w:szCs w:val="20"/>
              </w:rPr>
            </w:pPr>
            <w:r>
              <w:rPr>
                <w:spacing w:val="3"/>
                <w:sz w:val="20"/>
                <w:szCs w:val="20"/>
              </w:rPr>
              <w:t>经度</w:t>
            </w:r>
          </w:p>
        </w:tc>
        <w:tc>
          <w:tcPr>
            <w:tcW w:w="1426" w:type="dxa"/>
            <w:vAlign w:val="top"/>
          </w:tcPr>
          <w:p w14:paraId="5A698472">
            <w:pPr>
              <w:pStyle w:val="6"/>
              <w:spacing w:before="37" w:line="214" w:lineRule="auto"/>
              <w:ind w:left="509"/>
              <w:rPr>
                <w:sz w:val="20"/>
                <w:szCs w:val="20"/>
              </w:rPr>
            </w:pPr>
            <w:r>
              <w:rPr>
                <w:spacing w:val="4"/>
                <w:sz w:val="20"/>
                <w:szCs w:val="20"/>
              </w:rPr>
              <w:t>纬度</w:t>
            </w:r>
          </w:p>
        </w:tc>
        <w:tc>
          <w:tcPr>
            <w:tcW w:w="3718" w:type="dxa"/>
            <w:vAlign w:val="top"/>
          </w:tcPr>
          <w:p w14:paraId="323A62D2">
            <w:pPr>
              <w:pStyle w:val="6"/>
              <w:spacing w:before="37" w:line="214" w:lineRule="auto"/>
              <w:ind w:left="1447"/>
              <w:rPr>
                <w:sz w:val="20"/>
                <w:szCs w:val="20"/>
              </w:rPr>
            </w:pPr>
            <w:r>
              <w:rPr>
                <w:spacing w:val="7"/>
                <w:sz w:val="20"/>
                <w:szCs w:val="20"/>
              </w:rPr>
              <w:t>监测项目</w:t>
            </w:r>
          </w:p>
        </w:tc>
        <w:tc>
          <w:tcPr>
            <w:tcW w:w="118" w:type="dxa"/>
            <w:vAlign w:val="top"/>
          </w:tcPr>
          <w:p w14:paraId="5FAF0981">
            <w:pPr>
              <w:rPr>
                <w:rFonts w:ascii="Arial"/>
                <w:sz w:val="21"/>
              </w:rPr>
            </w:pPr>
          </w:p>
        </w:tc>
      </w:tr>
    </w:tbl>
    <w:p w14:paraId="30FF576C">
      <w:pPr>
        <w:pStyle w:val="2"/>
      </w:pPr>
    </w:p>
    <w:p w14:paraId="3A5E526A">
      <w:pPr>
        <w:sectPr>
          <w:footerReference r:id="rId58" w:type="default"/>
          <w:pgSz w:w="11906" w:h="16839"/>
          <w:pgMar w:top="400" w:right="1588" w:bottom="1259" w:left="1687" w:header="0" w:footer="1097" w:gutter="0"/>
          <w:cols w:space="720" w:num="1"/>
        </w:sectPr>
      </w:pPr>
    </w:p>
    <w:p w14:paraId="1F65155E">
      <w:pPr>
        <w:spacing w:before="19"/>
      </w:pPr>
    </w:p>
    <w:p w14:paraId="14AE3BC4">
      <w:pPr>
        <w:spacing w:before="19"/>
      </w:pPr>
    </w:p>
    <w:p w14:paraId="662932DB">
      <w:pPr>
        <w:spacing w:before="18"/>
      </w:pPr>
    </w:p>
    <w:p w14:paraId="3C7B225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348"/>
        <w:gridCol w:w="1124"/>
        <w:gridCol w:w="1319"/>
        <w:gridCol w:w="1426"/>
        <w:gridCol w:w="3718"/>
        <w:gridCol w:w="118"/>
      </w:tblGrid>
      <w:tr w14:paraId="0973C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59" w:type="dxa"/>
            <w:vMerge w:val="restart"/>
            <w:tcBorders>
              <w:bottom w:val="nil"/>
            </w:tcBorders>
            <w:vAlign w:val="top"/>
          </w:tcPr>
          <w:p w14:paraId="1A60B6D7">
            <w:pPr>
              <w:rPr>
                <w:rFonts w:ascii="Arial"/>
                <w:sz w:val="21"/>
              </w:rPr>
            </w:pPr>
          </w:p>
        </w:tc>
        <w:tc>
          <w:tcPr>
            <w:tcW w:w="113" w:type="dxa"/>
            <w:tcBorders>
              <w:bottom w:val="nil"/>
            </w:tcBorders>
            <w:vAlign w:val="top"/>
          </w:tcPr>
          <w:p w14:paraId="5964C269">
            <w:pPr>
              <w:rPr>
                <w:rFonts w:ascii="Arial"/>
                <w:sz w:val="21"/>
              </w:rPr>
            </w:pPr>
          </w:p>
        </w:tc>
        <w:tc>
          <w:tcPr>
            <w:tcW w:w="348" w:type="dxa"/>
            <w:vAlign w:val="top"/>
          </w:tcPr>
          <w:p w14:paraId="4300515C">
            <w:pPr>
              <w:pStyle w:val="6"/>
              <w:spacing w:before="46" w:line="217" w:lineRule="auto"/>
              <w:ind w:left="117"/>
              <w:rPr>
                <w:sz w:val="20"/>
                <w:szCs w:val="20"/>
              </w:rPr>
            </w:pPr>
            <w:r>
              <w:rPr>
                <w:sz w:val="20"/>
                <w:szCs w:val="20"/>
              </w:rPr>
              <w:t>号</w:t>
            </w:r>
          </w:p>
        </w:tc>
        <w:tc>
          <w:tcPr>
            <w:tcW w:w="1124" w:type="dxa"/>
            <w:vAlign w:val="top"/>
          </w:tcPr>
          <w:p w14:paraId="7F2F7867">
            <w:pPr>
              <w:rPr>
                <w:rFonts w:ascii="Arial"/>
                <w:sz w:val="21"/>
              </w:rPr>
            </w:pPr>
          </w:p>
        </w:tc>
        <w:tc>
          <w:tcPr>
            <w:tcW w:w="1319" w:type="dxa"/>
            <w:vAlign w:val="top"/>
          </w:tcPr>
          <w:p w14:paraId="105C4B21">
            <w:pPr>
              <w:rPr>
                <w:rFonts w:ascii="Arial"/>
                <w:sz w:val="21"/>
              </w:rPr>
            </w:pPr>
          </w:p>
        </w:tc>
        <w:tc>
          <w:tcPr>
            <w:tcW w:w="1426" w:type="dxa"/>
            <w:vAlign w:val="top"/>
          </w:tcPr>
          <w:p w14:paraId="0CE43FEA">
            <w:pPr>
              <w:rPr>
                <w:rFonts w:ascii="Arial"/>
                <w:sz w:val="21"/>
              </w:rPr>
            </w:pPr>
          </w:p>
        </w:tc>
        <w:tc>
          <w:tcPr>
            <w:tcW w:w="3718" w:type="dxa"/>
            <w:vAlign w:val="top"/>
          </w:tcPr>
          <w:p w14:paraId="29417E69">
            <w:pPr>
              <w:rPr>
                <w:rFonts w:ascii="Arial"/>
                <w:sz w:val="21"/>
              </w:rPr>
            </w:pPr>
          </w:p>
        </w:tc>
        <w:tc>
          <w:tcPr>
            <w:tcW w:w="118" w:type="dxa"/>
            <w:tcBorders>
              <w:bottom w:val="nil"/>
            </w:tcBorders>
            <w:vAlign w:val="top"/>
          </w:tcPr>
          <w:p w14:paraId="20B39A29">
            <w:pPr>
              <w:rPr>
                <w:rFonts w:ascii="Arial"/>
                <w:sz w:val="21"/>
              </w:rPr>
            </w:pPr>
          </w:p>
        </w:tc>
      </w:tr>
      <w:tr w14:paraId="614F4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1" w:hRule="atLeast"/>
        </w:trPr>
        <w:tc>
          <w:tcPr>
            <w:tcW w:w="459" w:type="dxa"/>
            <w:vMerge w:val="continue"/>
            <w:tcBorders>
              <w:top w:val="nil"/>
              <w:bottom w:val="nil"/>
            </w:tcBorders>
            <w:vAlign w:val="top"/>
          </w:tcPr>
          <w:p w14:paraId="404FEF33">
            <w:pPr>
              <w:rPr>
                <w:rFonts w:ascii="Arial"/>
                <w:sz w:val="21"/>
              </w:rPr>
            </w:pPr>
          </w:p>
        </w:tc>
        <w:tc>
          <w:tcPr>
            <w:tcW w:w="113" w:type="dxa"/>
            <w:tcBorders>
              <w:top w:val="nil"/>
              <w:bottom w:val="nil"/>
            </w:tcBorders>
            <w:vAlign w:val="top"/>
          </w:tcPr>
          <w:p w14:paraId="34E5F67C">
            <w:pPr>
              <w:rPr>
                <w:rFonts w:ascii="Arial"/>
                <w:sz w:val="21"/>
              </w:rPr>
            </w:pPr>
          </w:p>
        </w:tc>
        <w:tc>
          <w:tcPr>
            <w:tcW w:w="348" w:type="dxa"/>
            <w:vAlign w:val="top"/>
          </w:tcPr>
          <w:p w14:paraId="2921D338">
            <w:pPr>
              <w:spacing w:line="254" w:lineRule="auto"/>
              <w:rPr>
                <w:rFonts w:ascii="Arial"/>
                <w:sz w:val="21"/>
              </w:rPr>
            </w:pPr>
          </w:p>
          <w:p w14:paraId="3A76DD47">
            <w:pPr>
              <w:spacing w:line="254" w:lineRule="auto"/>
              <w:rPr>
                <w:rFonts w:ascii="Arial"/>
                <w:sz w:val="21"/>
              </w:rPr>
            </w:pPr>
          </w:p>
          <w:p w14:paraId="54931636">
            <w:pPr>
              <w:spacing w:line="255" w:lineRule="auto"/>
              <w:rPr>
                <w:rFonts w:ascii="Arial"/>
                <w:sz w:val="21"/>
              </w:rPr>
            </w:pPr>
          </w:p>
          <w:p w14:paraId="38F0B244">
            <w:pPr>
              <w:spacing w:line="255" w:lineRule="auto"/>
              <w:rPr>
                <w:rFonts w:ascii="Arial"/>
                <w:sz w:val="21"/>
              </w:rPr>
            </w:pPr>
          </w:p>
          <w:p w14:paraId="655551BC">
            <w:pPr>
              <w:spacing w:line="255" w:lineRule="auto"/>
              <w:rPr>
                <w:rFonts w:ascii="Arial"/>
                <w:sz w:val="21"/>
              </w:rPr>
            </w:pPr>
          </w:p>
          <w:p w14:paraId="07C84FD1">
            <w:pPr>
              <w:spacing w:line="255" w:lineRule="auto"/>
              <w:rPr>
                <w:rFonts w:ascii="Arial"/>
                <w:sz w:val="21"/>
              </w:rPr>
            </w:pPr>
          </w:p>
          <w:p w14:paraId="08D515F2">
            <w:pPr>
              <w:spacing w:line="255" w:lineRule="auto"/>
              <w:rPr>
                <w:rFonts w:ascii="Arial"/>
                <w:sz w:val="21"/>
              </w:rPr>
            </w:pPr>
          </w:p>
          <w:p w14:paraId="231E2D1E">
            <w:pPr>
              <w:spacing w:line="255" w:lineRule="auto"/>
              <w:rPr>
                <w:rFonts w:ascii="Arial"/>
                <w:sz w:val="21"/>
              </w:rPr>
            </w:pPr>
          </w:p>
          <w:p w14:paraId="38283B16">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tcPr>
          <w:p w14:paraId="4AA0BC6D">
            <w:pPr>
              <w:spacing w:line="263" w:lineRule="auto"/>
              <w:rPr>
                <w:rFonts w:ascii="Arial"/>
                <w:sz w:val="21"/>
              </w:rPr>
            </w:pPr>
          </w:p>
          <w:p w14:paraId="32BF8EF9">
            <w:pPr>
              <w:spacing w:line="264" w:lineRule="auto"/>
              <w:rPr>
                <w:rFonts w:ascii="Arial"/>
                <w:sz w:val="21"/>
              </w:rPr>
            </w:pPr>
          </w:p>
          <w:p w14:paraId="210C815F">
            <w:pPr>
              <w:spacing w:line="264" w:lineRule="auto"/>
              <w:rPr>
                <w:rFonts w:ascii="Arial"/>
                <w:sz w:val="21"/>
              </w:rPr>
            </w:pPr>
          </w:p>
          <w:p w14:paraId="69946CEA">
            <w:pPr>
              <w:spacing w:line="264" w:lineRule="auto"/>
              <w:rPr>
                <w:rFonts w:ascii="Arial"/>
                <w:sz w:val="21"/>
              </w:rPr>
            </w:pPr>
          </w:p>
          <w:p w14:paraId="7499DF15">
            <w:pPr>
              <w:spacing w:line="264" w:lineRule="auto"/>
              <w:rPr>
                <w:rFonts w:ascii="Arial"/>
                <w:sz w:val="21"/>
              </w:rPr>
            </w:pPr>
          </w:p>
          <w:p w14:paraId="2D105A75">
            <w:pPr>
              <w:pStyle w:val="6"/>
              <w:spacing w:before="65" w:line="251" w:lineRule="auto"/>
              <w:ind w:left="148" w:right="107" w:hanging="19"/>
              <w:rPr>
                <w:sz w:val="20"/>
                <w:szCs w:val="20"/>
              </w:rPr>
            </w:pPr>
            <w:r>
              <w:rPr>
                <w:rFonts w:ascii="Times New Roman" w:hAnsi="Times New Roman" w:eastAsia="Times New Roman" w:cs="Times New Roman"/>
                <w:spacing w:val="-17"/>
                <w:sz w:val="20"/>
                <w:szCs w:val="20"/>
              </w:rPr>
              <w:t>1</w:t>
            </w:r>
            <w:r>
              <w:rPr>
                <w:rFonts w:ascii="Times New Roman" w:hAnsi="Times New Roman" w:eastAsia="Times New Roman" w:cs="Times New Roman"/>
                <w:spacing w:val="16"/>
                <w:w w:val="101"/>
                <w:sz w:val="20"/>
                <w:szCs w:val="20"/>
              </w:rPr>
              <w:t xml:space="preserve"> </w:t>
            </w:r>
            <w:r>
              <w:rPr>
                <w:spacing w:val="-17"/>
                <w:sz w:val="20"/>
                <w:szCs w:val="20"/>
              </w:rPr>
              <w:t>号点（一</w:t>
            </w:r>
            <w:r>
              <w:rPr>
                <w:sz w:val="20"/>
                <w:szCs w:val="20"/>
              </w:rPr>
              <w:t xml:space="preserve"> </w:t>
            </w:r>
            <w:r>
              <w:rPr>
                <w:spacing w:val="6"/>
                <w:sz w:val="20"/>
                <w:szCs w:val="20"/>
              </w:rPr>
              <w:t>期焦化污</w:t>
            </w:r>
          </w:p>
          <w:p w14:paraId="45014F7D">
            <w:pPr>
              <w:pStyle w:val="6"/>
              <w:spacing w:line="227" w:lineRule="auto"/>
              <w:ind w:left="148"/>
              <w:rPr>
                <w:sz w:val="20"/>
                <w:szCs w:val="20"/>
              </w:rPr>
            </w:pPr>
            <w:r>
              <w:rPr>
                <w:spacing w:val="6"/>
                <w:sz w:val="20"/>
                <w:szCs w:val="20"/>
              </w:rPr>
              <w:t>水处理站</w:t>
            </w:r>
          </w:p>
          <w:p w14:paraId="57273425">
            <w:pPr>
              <w:pStyle w:val="6"/>
              <w:spacing w:before="26" w:line="227" w:lineRule="auto"/>
              <w:ind w:left="162"/>
              <w:rPr>
                <w:sz w:val="20"/>
                <w:szCs w:val="20"/>
              </w:rPr>
            </w:pPr>
            <w:r>
              <w:rPr>
                <w:spacing w:val="3"/>
                <w:sz w:val="20"/>
                <w:szCs w:val="20"/>
              </w:rPr>
              <w:t>附近土壤</w:t>
            </w:r>
          </w:p>
          <w:p w14:paraId="678FE486">
            <w:pPr>
              <w:pStyle w:val="6"/>
              <w:spacing w:before="25" w:line="228" w:lineRule="auto"/>
              <w:ind w:left="180"/>
              <w:rPr>
                <w:sz w:val="20"/>
                <w:szCs w:val="20"/>
              </w:rPr>
            </w:pPr>
            <w:r>
              <w:rPr>
                <w:spacing w:val="-2"/>
                <w:sz w:val="20"/>
                <w:szCs w:val="20"/>
              </w:rPr>
              <w:t>自行监测</w:t>
            </w:r>
          </w:p>
          <w:p w14:paraId="0606E75D">
            <w:pPr>
              <w:pStyle w:val="6"/>
              <w:spacing w:before="24" w:line="232" w:lineRule="auto"/>
              <w:ind w:left="365"/>
              <w:rPr>
                <w:sz w:val="20"/>
                <w:szCs w:val="20"/>
              </w:rPr>
            </w:pPr>
            <w:r>
              <w:rPr>
                <w:spacing w:val="-5"/>
                <w:sz w:val="20"/>
                <w:szCs w:val="20"/>
              </w:rPr>
              <w:t>点）</w:t>
            </w:r>
          </w:p>
        </w:tc>
        <w:tc>
          <w:tcPr>
            <w:tcW w:w="1319" w:type="dxa"/>
            <w:vAlign w:val="top"/>
          </w:tcPr>
          <w:p w14:paraId="3C2B3EA3">
            <w:pPr>
              <w:spacing w:line="254" w:lineRule="auto"/>
              <w:rPr>
                <w:rFonts w:ascii="Arial"/>
                <w:sz w:val="21"/>
              </w:rPr>
            </w:pPr>
          </w:p>
          <w:p w14:paraId="06C149CF">
            <w:pPr>
              <w:spacing w:line="254" w:lineRule="auto"/>
              <w:rPr>
                <w:rFonts w:ascii="Arial"/>
                <w:sz w:val="21"/>
              </w:rPr>
            </w:pPr>
          </w:p>
          <w:p w14:paraId="3B788BE6">
            <w:pPr>
              <w:spacing w:line="255" w:lineRule="auto"/>
              <w:rPr>
                <w:rFonts w:ascii="Arial"/>
                <w:sz w:val="21"/>
              </w:rPr>
            </w:pPr>
          </w:p>
          <w:p w14:paraId="09BAEB71">
            <w:pPr>
              <w:spacing w:line="255" w:lineRule="auto"/>
              <w:rPr>
                <w:rFonts w:ascii="Arial"/>
                <w:sz w:val="21"/>
              </w:rPr>
            </w:pPr>
          </w:p>
          <w:p w14:paraId="71A73E04">
            <w:pPr>
              <w:spacing w:line="255" w:lineRule="auto"/>
              <w:rPr>
                <w:rFonts w:ascii="Arial"/>
                <w:sz w:val="21"/>
              </w:rPr>
            </w:pPr>
          </w:p>
          <w:p w14:paraId="57DD8D64">
            <w:pPr>
              <w:spacing w:line="255" w:lineRule="auto"/>
              <w:rPr>
                <w:rFonts w:ascii="Arial"/>
                <w:sz w:val="21"/>
              </w:rPr>
            </w:pPr>
          </w:p>
          <w:p w14:paraId="7A32C8DA">
            <w:pPr>
              <w:spacing w:line="255" w:lineRule="auto"/>
              <w:rPr>
                <w:rFonts w:ascii="Arial"/>
                <w:sz w:val="21"/>
              </w:rPr>
            </w:pPr>
          </w:p>
          <w:p w14:paraId="6796E1D2">
            <w:pPr>
              <w:spacing w:line="255" w:lineRule="auto"/>
              <w:rPr>
                <w:rFonts w:ascii="Arial"/>
                <w:sz w:val="21"/>
              </w:rPr>
            </w:pPr>
          </w:p>
          <w:p w14:paraId="6EAB364A">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106°59'34"</w:t>
            </w:r>
          </w:p>
        </w:tc>
        <w:tc>
          <w:tcPr>
            <w:tcW w:w="1426" w:type="dxa"/>
            <w:vAlign w:val="top"/>
          </w:tcPr>
          <w:p w14:paraId="190686BE">
            <w:pPr>
              <w:spacing w:line="254" w:lineRule="auto"/>
              <w:rPr>
                <w:rFonts w:ascii="Arial"/>
                <w:sz w:val="21"/>
              </w:rPr>
            </w:pPr>
          </w:p>
          <w:p w14:paraId="1D85E2E7">
            <w:pPr>
              <w:spacing w:line="254" w:lineRule="auto"/>
              <w:rPr>
                <w:rFonts w:ascii="Arial"/>
                <w:sz w:val="21"/>
              </w:rPr>
            </w:pPr>
          </w:p>
          <w:p w14:paraId="21F42E0C">
            <w:pPr>
              <w:spacing w:line="255" w:lineRule="auto"/>
              <w:rPr>
                <w:rFonts w:ascii="Arial"/>
                <w:sz w:val="21"/>
              </w:rPr>
            </w:pPr>
          </w:p>
          <w:p w14:paraId="0E9667D0">
            <w:pPr>
              <w:spacing w:line="255" w:lineRule="auto"/>
              <w:rPr>
                <w:rFonts w:ascii="Arial"/>
                <w:sz w:val="21"/>
              </w:rPr>
            </w:pPr>
          </w:p>
          <w:p w14:paraId="0F5B5FC9">
            <w:pPr>
              <w:spacing w:line="255" w:lineRule="auto"/>
              <w:rPr>
                <w:rFonts w:ascii="Arial"/>
                <w:sz w:val="21"/>
              </w:rPr>
            </w:pPr>
          </w:p>
          <w:p w14:paraId="4AC7B33A">
            <w:pPr>
              <w:spacing w:line="255" w:lineRule="auto"/>
              <w:rPr>
                <w:rFonts w:ascii="Arial"/>
                <w:sz w:val="21"/>
              </w:rPr>
            </w:pPr>
          </w:p>
          <w:p w14:paraId="2E8DB793">
            <w:pPr>
              <w:spacing w:line="255" w:lineRule="auto"/>
              <w:rPr>
                <w:rFonts w:ascii="Arial"/>
                <w:sz w:val="21"/>
              </w:rPr>
            </w:pPr>
          </w:p>
          <w:p w14:paraId="25E912ED">
            <w:pPr>
              <w:spacing w:line="255" w:lineRule="auto"/>
              <w:rPr>
                <w:rFonts w:ascii="Arial"/>
                <w:sz w:val="21"/>
              </w:rPr>
            </w:pPr>
          </w:p>
          <w:p w14:paraId="379C420B">
            <w:pPr>
              <w:spacing w:before="58"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39°20'37"</w:t>
            </w:r>
          </w:p>
        </w:tc>
        <w:tc>
          <w:tcPr>
            <w:tcW w:w="3718" w:type="dxa"/>
            <w:vAlign w:val="top"/>
          </w:tcPr>
          <w:p w14:paraId="66886303">
            <w:pPr>
              <w:pStyle w:val="6"/>
              <w:spacing w:before="28" w:line="250" w:lineRule="auto"/>
              <w:ind w:left="115" w:right="33" w:firstLine="38"/>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10"/>
                <w:sz w:val="20"/>
                <w:szCs w:val="20"/>
              </w:rPr>
              <w:t>、砷、镉、六价铬、铜、铅、汞、</w:t>
            </w:r>
            <w:r>
              <w:rPr>
                <w:sz w:val="20"/>
                <w:szCs w:val="20"/>
              </w:rPr>
              <w:t xml:space="preserve">  </w:t>
            </w:r>
            <w:r>
              <w:rPr>
                <w:spacing w:val="7"/>
                <w:sz w:val="20"/>
                <w:szCs w:val="20"/>
              </w:rPr>
              <w:t>镍、四氯化碳、氯仿、氯甲烷、</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7"/>
                <w:sz w:val="20"/>
                <w:szCs w:val="20"/>
              </w:rPr>
              <w:t>1-</w:t>
            </w:r>
            <w:r>
              <w:rPr>
                <w:spacing w:val="7"/>
                <w:sz w:val="20"/>
                <w:szCs w:val="20"/>
              </w:rPr>
              <w:t>二</w:t>
            </w:r>
            <w:r>
              <w:rPr>
                <w:sz w:val="20"/>
                <w:szCs w:val="20"/>
              </w:rPr>
              <w:t xml:space="preserve">  </w:t>
            </w:r>
            <w:r>
              <w:rPr>
                <w:spacing w:val="4"/>
                <w:sz w:val="20"/>
                <w:szCs w:val="20"/>
              </w:rPr>
              <w:t>氯乙烷、</w:t>
            </w:r>
            <w:r>
              <w:rPr>
                <w:rFonts w:ascii="Times New Roman" w:hAnsi="Times New Roman" w:eastAsia="Times New Roman" w:cs="Times New Roman"/>
                <w:spacing w:val="4"/>
                <w:sz w:val="20"/>
                <w:szCs w:val="20"/>
              </w:rPr>
              <w:t>1,2-</w:t>
            </w:r>
            <w:r>
              <w:rPr>
                <w:spacing w:val="4"/>
                <w:sz w:val="20"/>
                <w:szCs w:val="20"/>
              </w:rPr>
              <w:t>二氯乙烷、</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4"/>
                <w:sz w:val="20"/>
                <w:szCs w:val="20"/>
              </w:rPr>
              <w:t>1-</w:t>
            </w:r>
            <w:r>
              <w:rPr>
                <w:spacing w:val="4"/>
                <w:sz w:val="20"/>
                <w:szCs w:val="20"/>
              </w:rPr>
              <w:t>二氯乙烯、</w:t>
            </w:r>
            <w:r>
              <w:rPr>
                <w:sz w:val="20"/>
                <w:szCs w:val="20"/>
              </w:rPr>
              <w:t xml:space="preserve"> </w:t>
            </w:r>
            <w:r>
              <w:rPr>
                <w:spacing w:val="2"/>
                <w:sz w:val="20"/>
                <w:szCs w:val="20"/>
              </w:rPr>
              <w:t>顺</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w:t>
            </w:r>
            <w:r>
              <w:rPr>
                <w:spacing w:val="2"/>
                <w:sz w:val="20"/>
                <w:szCs w:val="20"/>
              </w:rPr>
              <w:t>二氯乙烯、反</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spacing w:val="2"/>
                <w:sz w:val="20"/>
                <w:szCs w:val="20"/>
              </w:rPr>
              <w:t>，</w:t>
            </w:r>
            <w:r>
              <w:rPr>
                <w:rFonts w:ascii="Times New Roman" w:hAnsi="Times New Roman" w:eastAsia="Times New Roman" w:cs="Times New Roman"/>
                <w:spacing w:val="2"/>
                <w:sz w:val="20"/>
                <w:szCs w:val="20"/>
              </w:rPr>
              <w:t>2-</w:t>
            </w:r>
            <w:r>
              <w:rPr>
                <w:spacing w:val="2"/>
                <w:sz w:val="20"/>
                <w:szCs w:val="20"/>
              </w:rPr>
              <w:t>二氯乙烯、</w:t>
            </w:r>
            <w:r>
              <w:rPr>
                <w:sz w:val="20"/>
                <w:szCs w:val="20"/>
              </w:rPr>
              <w:t xml:space="preserve"> </w:t>
            </w:r>
            <w:r>
              <w:rPr>
                <w:spacing w:val="4"/>
                <w:sz w:val="20"/>
                <w:szCs w:val="20"/>
              </w:rPr>
              <w:t>二氯甲烷、</w:t>
            </w:r>
            <w:r>
              <w:rPr>
                <w:rFonts w:ascii="Times New Roman" w:hAnsi="Times New Roman" w:eastAsia="Times New Roman" w:cs="Times New Roman"/>
                <w:spacing w:val="4"/>
                <w:sz w:val="20"/>
                <w:szCs w:val="20"/>
              </w:rPr>
              <w:t>1,2-</w:t>
            </w:r>
            <w:r>
              <w:rPr>
                <w:spacing w:val="4"/>
                <w:sz w:val="20"/>
                <w:szCs w:val="20"/>
              </w:rPr>
              <w:t>二氯丙烷、</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r>
              <w:rPr>
                <w:spacing w:val="4"/>
                <w:sz w:val="20"/>
                <w:szCs w:val="20"/>
              </w:rPr>
              <w:t>四氯</w:t>
            </w:r>
            <w:r>
              <w:rPr>
                <w:sz w:val="20"/>
                <w:szCs w:val="20"/>
              </w:rPr>
              <w:t xml:space="preserve"> </w:t>
            </w:r>
            <w:r>
              <w:rPr>
                <w:spacing w:val="8"/>
                <w:sz w:val="20"/>
                <w:szCs w:val="20"/>
              </w:rPr>
              <w:t>乙烷、</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8"/>
                <w:sz w:val="20"/>
                <w:szCs w:val="20"/>
              </w:rPr>
              <w:t>1,2,2-</w:t>
            </w:r>
            <w:r>
              <w:rPr>
                <w:spacing w:val="8"/>
                <w:sz w:val="20"/>
                <w:szCs w:val="20"/>
              </w:rPr>
              <w:t>四氯乙烷、四氯乙烯、</w:t>
            </w:r>
          </w:p>
          <w:p w14:paraId="5D6657DD">
            <w:pPr>
              <w:pStyle w:val="6"/>
              <w:spacing w:before="10" w:line="221" w:lineRule="auto"/>
              <w:ind w:left="133"/>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三氯乙烷、</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1,2-</w:t>
            </w:r>
            <w:r>
              <w:rPr>
                <w:spacing w:val="2"/>
                <w:sz w:val="20"/>
                <w:szCs w:val="20"/>
              </w:rPr>
              <w:t>三氯乙烷、三氯</w:t>
            </w:r>
          </w:p>
          <w:p w14:paraId="369CF9C3">
            <w:pPr>
              <w:pStyle w:val="6"/>
              <w:spacing w:before="31" w:line="221" w:lineRule="auto"/>
              <w:ind w:left="171"/>
              <w:rPr>
                <w:sz w:val="20"/>
                <w:szCs w:val="20"/>
              </w:rPr>
            </w:pPr>
            <w:r>
              <w:rPr>
                <w:spacing w:val="6"/>
                <w:sz w:val="20"/>
                <w:szCs w:val="20"/>
              </w:rPr>
              <w:t>乙烯、</w:t>
            </w:r>
            <w:r>
              <w:rPr>
                <w:rFonts w:ascii="Times New Roman" w:hAnsi="Times New Roman" w:eastAsia="Times New Roman" w:cs="Times New Roman"/>
                <w:spacing w:val="6"/>
                <w:sz w:val="20"/>
                <w:szCs w:val="20"/>
              </w:rPr>
              <w:t>1,2,3-</w:t>
            </w:r>
            <w:r>
              <w:rPr>
                <w:spacing w:val="6"/>
                <w:sz w:val="20"/>
                <w:szCs w:val="20"/>
              </w:rPr>
              <w:t>三氯丙烷、氯乙烯、苯、</w:t>
            </w:r>
          </w:p>
          <w:p w14:paraId="717B42C8">
            <w:pPr>
              <w:pStyle w:val="6"/>
              <w:spacing w:before="34" w:line="221" w:lineRule="auto"/>
              <w:ind w:right="14"/>
              <w:jc w:val="right"/>
              <w:rPr>
                <w:sz w:val="20"/>
                <w:szCs w:val="20"/>
              </w:rPr>
            </w:pPr>
            <w:r>
              <w:rPr>
                <w:spacing w:val="6"/>
                <w:sz w:val="20"/>
                <w:szCs w:val="20"/>
              </w:rPr>
              <w:t>氯苯、</w:t>
            </w:r>
            <w:r>
              <w:rPr>
                <w:rFonts w:ascii="Times New Roman" w:hAnsi="Times New Roman" w:eastAsia="Times New Roman" w:cs="Times New Roman"/>
                <w:spacing w:val="6"/>
                <w:sz w:val="20"/>
                <w:szCs w:val="20"/>
              </w:rPr>
              <w:t>1,2-</w:t>
            </w:r>
            <w:r>
              <w:rPr>
                <w:spacing w:val="6"/>
                <w:sz w:val="20"/>
                <w:szCs w:val="20"/>
              </w:rPr>
              <w:t>二氯苯、</w:t>
            </w:r>
            <w:r>
              <w:rPr>
                <w:rFonts w:ascii="Times New Roman" w:hAnsi="Times New Roman" w:eastAsia="Times New Roman" w:cs="Times New Roman"/>
                <w:spacing w:val="6"/>
                <w:sz w:val="20"/>
                <w:szCs w:val="20"/>
              </w:rPr>
              <w:t>1,4-</w:t>
            </w:r>
            <w:r>
              <w:rPr>
                <w:spacing w:val="6"/>
                <w:sz w:val="20"/>
                <w:szCs w:val="20"/>
              </w:rPr>
              <w:t>二氯苯、乙苯、</w:t>
            </w:r>
          </w:p>
          <w:p w14:paraId="400DC2E6">
            <w:pPr>
              <w:pStyle w:val="6"/>
              <w:spacing w:before="35" w:line="227" w:lineRule="auto"/>
              <w:ind w:left="129"/>
              <w:rPr>
                <w:sz w:val="20"/>
                <w:szCs w:val="20"/>
              </w:rPr>
            </w:pPr>
            <w:r>
              <w:rPr>
                <w:spacing w:val="5"/>
                <w:sz w:val="20"/>
                <w:szCs w:val="20"/>
              </w:rPr>
              <w:t>苯乙烯、</w:t>
            </w:r>
            <w:r>
              <w:rPr>
                <w:spacing w:val="-43"/>
                <w:sz w:val="20"/>
                <w:szCs w:val="20"/>
              </w:rPr>
              <w:t xml:space="preserve"> </w:t>
            </w:r>
            <w:r>
              <w:rPr>
                <w:spacing w:val="5"/>
                <w:sz w:val="20"/>
                <w:szCs w:val="20"/>
              </w:rPr>
              <w:t>甲苯、间二甲苯</w:t>
            </w:r>
            <w:r>
              <w:rPr>
                <w:rFonts w:ascii="Times New Roman" w:hAnsi="Times New Roman" w:eastAsia="Times New Roman" w:cs="Times New Roman"/>
                <w:spacing w:val="5"/>
                <w:sz w:val="20"/>
                <w:szCs w:val="20"/>
              </w:rPr>
              <w:t>+</w:t>
            </w:r>
            <w:r>
              <w:rPr>
                <w:spacing w:val="5"/>
                <w:sz w:val="20"/>
                <w:szCs w:val="20"/>
              </w:rPr>
              <w:t>对二甲苯、</w:t>
            </w:r>
          </w:p>
          <w:p w14:paraId="7B8E9C89">
            <w:pPr>
              <w:pStyle w:val="6"/>
              <w:spacing w:before="25" w:line="227" w:lineRule="auto"/>
              <w:ind w:left="114"/>
              <w:rPr>
                <w:sz w:val="20"/>
                <w:szCs w:val="20"/>
              </w:rPr>
            </w:pPr>
            <w:r>
              <w:rPr>
                <w:spacing w:val="7"/>
                <w:sz w:val="20"/>
                <w:szCs w:val="20"/>
              </w:rPr>
              <w:t>邻二甲苯、硝基苯、苯胺、</w:t>
            </w:r>
            <w:r>
              <w:rPr>
                <w:rFonts w:ascii="Times New Roman" w:hAnsi="Times New Roman" w:eastAsia="Times New Roman" w:cs="Times New Roman"/>
                <w:spacing w:val="7"/>
                <w:sz w:val="20"/>
                <w:szCs w:val="20"/>
              </w:rPr>
              <w:t>2-</w:t>
            </w:r>
            <w:r>
              <w:rPr>
                <w:spacing w:val="7"/>
                <w:sz w:val="20"/>
                <w:szCs w:val="20"/>
              </w:rPr>
              <w:t>氯酚、苯</w:t>
            </w:r>
          </w:p>
          <w:p w14:paraId="7354E934">
            <w:pPr>
              <w:pStyle w:val="6"/>
              <w:spacing w:before="25" w:line="221" w:lineRule="auto"/>
              <w:ind w:left="151"/>
              <w:rPr>
                <w:sz w:val="20"/>
                <w:szCs w:val="20"/>
              </w:rPr>
            </w:pPr>
            <w:r>
              <w:rPr>
                <w:spacing w:val="6"/>
                <w:sz w:val="20"/>
                <w:szCs w:val="20"/>
              </w:rPr>
              <w:t>并</w:t>
            </w:r>
            <w:r>
              <w:rPr>
                <w:rFonts w:ascii="Times New Roman" w:hAnsi="Times New Roman" w:eastAsia="Times New Roman" w:cs="Times New Roman"/>
                <w:spacing w:val="6"/>
                <w:sz w:val="20"/>
                <w:szCs w:val="20"/>
              </w:rPr>
              <w:t>[a]</w:t>
            </w:r>
            <w:r>
              <w:rPr>
                <w:spacing w:val="6"/>
                <w:sz w:val="20"/>
                <w:szCs w:val="20"/>
              </w:rPr>
              <w:t>蒽、苯并</w:t>
            </w:r>
            <w:r>
              <w:rPr>
                <w:rFonts w:ascii="Times New Roman" w:hAnsi="Times New Roman" w:eastAsia="Times New Roman" w:cs="Times New Roman"/>
                <w:spacing w:val="6"/>
                <w:sz w:val="20"/>
                <w:szCs w:val="20"/>
              </w:rPr>
              <w:t>[a]</w:t>
            </w:r>
            <w:r>
              <w:rPr>
                <w:spacing w:val="6"/>
                <w:sz w:val="20"/>
                <w:szCs w:val="20"/>
              </w:rPr>
              <w:t>芘、苯并</w:t>
            </w:r>
            <w:r>
              <w:rPr>
                <w:rFonts w:ascii="Times New Roman" w:hAnsi="Times New Roman" w:eastAsia="Times New Roman" w:cs="Times New Roman"/>
                <w:spacing w:val="6"/>
                <w:sz w:val="20"/>
                <w:szCs w:val="20"/>
              </w:rPr>
              <w:t>[b]</w:t>
            </w:r>
            <w:r>
              <w:rPr>
                <w:spacing w:val="6"/>
                <w:sz w:val="20"/>
                <w:szCs w:val="20"/>
              </w:rPr>
              <w:t>荧蒽、苯</w:t>
            </w:r>
          </w:p>
          <w:p w14:paraId="655A1782">
            <w:pPr>
              <w:pStyle w:val="6"/>
              <w:spacing w:before="34" w:line="221" w:lineRule="auto"/>
              <w:ind w:left="215"/>
              <w:rPr>
                <w:sz w:val="20"/>
                <w:szCs w:val="20"/>
              </w:rPr>
            </w:pPr>
            <w:r>
              <w:rPr>
                <w:spacing w:val="5"/>
                <w:sz w:val="20"/>
                <w:szCs w:val="20"/>
              </w:rPr>
              <w:t>并</w:t>
            </w:r>
            <w:r>
              <w:rPr>
                <w:rFonts w:ascii="Times New Roman" w:hAnsi="Times New Roman" w:eastAsia="Times New Roman" w:cs="Times New Roman"/>
                <w:spacing w:val="5"/>
                <w:sz w:val="20"/>
                <w:szCs w:val="20"/>
              </w:rPr>
              <w:t>[k]</w:t>
            </w:r>
            <w:r>
              <w:rPr>
                <w:spacing w:val="5"/>
                <w:sz w:val="20"/>
                <w:szCs w:val="20"/>
              </w:rPr>
              <w:t>荧蒽、䓛、苯并</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0"/>
                <w:sz w:val="20"/>
                <w:szCs w:val="20"/>
              </w:rPr>
              <w:t xml:space="preserve"> </w:t>
            </w:r>
            <w:r>
              <w:rPr>
                <w:spacing w:val="5"/>
                <w:sz w:val="20"/>
                <w:szCs w:val="20"/>
              </w:rPr>
              <w:t>，</w:t>
            </w:r>
            <w:r>
              <w:rPr>
                <w:rFonts w:ascii="Times New Roman" w:hAnsi="Times New Roman" w:eastAsia="Times New Roman" w:cs="Times New Roman"/>
                <w:spacing w:val="5"/>
                <w:sz w:val="20"/>
                <w:szCs w:val="20"/>
              </w:rPr>
              <w:t>h]</w:t>
            </w:r>
            <w:r>
              <w:rPr>
                <w:spacing w:val="5"/>
                <w:sz w:val="20"/>
                <w:szCs w:val="20"/>
              </w:rPr>
              <w:t>蒽、茚并</w:t>
            </w:r>
          </w:p>
          <w:p w14:paraId="56BB68D3">
            <w:pPr>
              <w:pStyle w:val="6"/>
              <w:spacing w:before="32" w:line="221" w:lineRule="auto"/>
              <w:ind w:right="7"/>
              <w:jc w:val="right"/>
              <w:rPr>
                <w:sz w:val="20"/>
                <w:szCs w:val="20"/>
              </w:rPr>
            </w:pPr>
            <w:r>
              <w:rPr>
                <w:rFonts w:ascii="Times New Roman" w:hAnsi="Times New Roman" w:eastAsia="Times New Roman" w:cs="Times New Roman"/>
                <w:spacing w:val="3"/>
                <w:sz w:val="20"/>
                <w:szCs w:val="20"/>
              </w:rPr>
              <w:t>[1,2,3-</w:t>
            </w:r>
            <w:r>
              <w:rPr>
                <w:rFonts w:ascii="Times New Roman" w:hAnsi="Times New Roman" w:eastAsia="Times New Roman" w:cs="Times New Roman"/>
                <w:sz w:val="20"/>
                <w:szCs w:val="20"/>
              </w:rPr>
              <w:t>cd</w:t>
            </w:r>
            <w:r>
              <w:rPr>
                <w:rFonts w:ascii="Times New Roman" w:hAnsi="Times New Roman" w:eastAsia="Times New Roman" w:cs="Times New Roman"/>
                <w:spacing w:val="3"/>
                <w:sz w:val="20"/>
                <w:szCs w:val="20"/>
              </w:rPr>
              <w:t>]</w:t>
            </w:r>
            <w:r>
              <w:rPr>
                <w:spacing w:val="3"/>
                <w:sz w:val="20"/>
                <w:szCs w:val="20"/>
              </w:rPr>
              <w:t>芘、萘、苯并（</w:t>
            </w:r>
            <w:r>
              <w:rPr>
                <w:rFonts w:ascii="Times New Roman" w:hAnsi="Times New Roman" w:eastAsia="Times New Roman" w:cs="Times New Roman"/>
                <w:spacing w:val="3"/>
                <w:sz w:val="20"/>
                <w:szCs w:val="20"/>
              </w:rPr>
              <w:t>g</w:t>
            </w:r>
            <w:r>
              <w:rPr>
                <w:rFonts w:ascii="Times New Roman" w:hAnsi="Times New Roman" w:eastAsia="Times New Roman" w:cs="Times New Roman"/>
                <w:spacing w:val="-7"/>
                <w:sz w:val="20"/>
                <w:szCs w:val="20"/>
              </w:rPr>
              <w:t xml:space="preserve"> </w:t>
            </w:r>
            <w:r>
              <w:rPr>
                <w:spacing w:val="3"/>
                <w:sz w:val="20"/>
                <w:szCs w:val="20"/>
              </w:rPr>
              <w:t>，</w:t>
            </w:r>
            <w:r>
              <w:rPr>
                <w:rFonts w:ascii="Times New Roman" w:hAnsi="Times New Roman" w:eastAsia="Times New Roman" w:cs="Times New Roman"/>
                <w:spacing w:val="3"/>
                <w:sz w:val="20"/>
                <w:szCs w:val="20"/>
              </w:rPr>
              <w:t>h</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i</w:t>
            </w:r>
            <w:r>
              <w:rPr>
                <w:spacing w:val="3"/>
                <w:sz w:val="20"/>
                <w:szCs w:val="20"/>
              </w:rPr>
              <w:t>）苝、</w:t>
            </w:r>
          </w:p>
          <w:p w14:paraId="2C33889F">
            <w:pPr>
              <w:pStyle w:val="6"/>
              <w:spacing w:before="34" w:line="227" w:lineRule="auto"/>
              <w:ind w:left="115"/>
              <w:rPr>
                <w:sz w:val="20"/>
                <w:szCs w:val="20"/>
              </w:rPr>
            </w:pPr>
            <w:r>
              <w:rPr>
                <w:spacing w:val="5"/>
                <w:sz w:val="20"/>
                <w:szCs w:val="20"/>
              </w:rPr>
              <w:t>苊烯、苊、芴、菲、蒽、荧蒽、芘、苯</w:t>
            </w:r>
          </w:p>
          <w:p w14:paraId="02C03FEC">
            <w:pPr>
              <w:pStyle w:val="6"/>
              <w:spacing w:before="26" w:line="217" w:lineRule="auto"/>
              <w:ind w:left="395"/>
              <w:rPr>
                <w:sz w:val="20"/>
                <w:szCs w:val="20"/>
              </w:rPr>
            </w:pPr>
            <w:r>
              <w:rPr>
                <w:spacing w:val="9"/>
                <w:sz w:val="20"/>
                <w:szCs w:val="20"/>
              </w:rPr>
              <w:t>酚、总石油烃、氰化物、氟化物</w:t>
            </w:r>
          </w:p>
        </w:tc>
        <w:tc>
          <w:tcPr>
            <w:tcW w:w="118" w:type="dxa"/>
            <w:tcBorders>
              <w:top w:val="nil"/>
              <w:bottom w:val="nil"/>
            </w:tcBorders>
            <w:vAlign w:val="top"/>
          </w:tcPr>
          <w:p w14:paraId="5078CECF">
            <w:pPr>
              <w:rPr>
                <w:rFonts w:ascii="Arial"/>
                <w:sz w:val="21"/>
              </w:rPr>
            </w:pPr>
          </w:p>
        </w:tc>
      </w:tr>
      <w:tr w14:paraId="32CF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9" w:type="dxa"/>
            <w:vMerge w:val="continue"/>
            <w:tcBorders>
              <w:top w:val="nil"/>
              <w:bottom w:val="nil"/>
            </w:tcBorders>
            <w:vAlign w:val="top"/>
          </w:tcPr>
          <w:p w14:paraId="72204DEA">
            <w:pPr>
              <w:rPr>
                <w:rFonts w:ascii="Arial"/>
                <w:sz w:val="21"/>
              </w:rPr>
            </w:pPr>
          </w:p>
        </w:tc>
        <w:tc>
          <w:tcPr>
            <w:tcW w:w="113" w:type="dxa"/>
            <w:tcBorders>
              <w:top w:val="nil"/>
              <w:bottom w:val="nil"/>
            </w:tcBorders>
            <w:vAlign w:val="top"/>
          </w:tcPr>
          <w:p w14:paraId="32487805">
            <w:pPr>
              <w:rPr>
                <w:rFonts w:ascii="Arial"/>
                <w:sz w:val="21"/>
              </w:rPr>
            </w:pPr>
          </w:p>
        </w:tc>
        <w:tc>
          <w:tcPr>
            <w:tcW w:w="348" w:type="dxa"/>
            <w:vAlign w:val="top"/>
          </w:tcPr>
          <w:p w14:paraId="7509331E">
            <w:pPr>
              <w:spacing w:line="416" w:lineRule="auto"/>
              <w:rPr>
                <w:rFonts w:ascii="Arial"/>
                <w:sz w:val="21"/>
              </w:rPr>
            </w:pPr>
          </w:p>
          <w:p w14:paraId="6078BC4F">
            <w:pPr>
              <w:spacing w:before="58" w:line="195" w:lineRule="auto"/>
              <w:ind w:left="12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4" w:type="dxa"/>
            <w:vAlign w:val="top"/>
          </w:tcPr>
          <w:p w14:paraId="7E88B401">
            <w:pPr>
              <w:pStyle w:val="6"/>
              <w:spacing w:before="33" w:line="251" w:lineRule="auto"/>
              <w:ind w:left="144" w:right="107" w:hanging="31"/>
              <w:rPr>
                <w:sz w:val="20"/>
                <w:szCs w:val="20"/>
              </w:rPr>
            </w:pPr>
            <w:r>
              <w:rPr>
                <w:rFonts w:ascii="Times New Roman" w:hAnsi="Times New Roman" w:eastAsia="Times New Roman" w:cs="Times New Roman"/>
                <w:spacing w:val="-14"/>
                <w:sz w:val="20"/>
                <w:szCs w:val="20"/>
              </w:rPr>
              <w:t>3</w:t>
            </w:r>
            <w:r>
              <w:rPr>
                <w:rFonts w:ascii="Times New Roman" w:hAnsi="Times New Roman" w:eastAsia="Times New Roman" w:cs="Times New Roman"/>
                <w:spacing w:val="17"/>
                <w:w w:val="101"/>
                <w:sz w:val="20"/>
                <w:szCs w:val="20"/>
              </w:rPr>
              <w:t xml:space="preserve"> </w:t>
            </w:r>
            <w:r>
              <w:rPr>
                <w:spacing w:val="-14"/>
                <w:sz w:val="20"/>
                <w:szCs w:val="20"/>
              </w:rPr>
              <w:t>号点（氯</w:t>
            </w:r>
            <w:r>
              <w:rPr>
                <w:sz w:val="20"/>
                <w:szCs w:val="20"/>
              </w:rPr>
              <w:t xml:space="preserve"> </w:t>
            </w:r>
            <w:r>
              <w:rPr>
                <w:spacing w:val="7"/>
                <w:sz w:val="20"/>
                <w:szCs w:val="20"/>
              </w:rPr>
              <w:t>碱化工有</w:t>
            </w:r>
          </w:p>
          <w:p w14:paraId="14414BEF">
            <w:pPr>
              <w:pStyle w:val="6"/>
              <w:spacing w:line="228" w:lineRule="auto"/>
              <w:ind w:left="160"/>
              <w:rPr>
                <w:sz w:val="20"/>
                <w:szCs w:val="20"/>
              </w:rPr>
            </w:pPr>
            <w:r>
              <w:rPr>
                <w:spacing w:val="3"/>
                <w:sz w:val="20"/>
                <w:szCs w:val="20"/>
              </w:rPr>
              <w:t>限公司厂</w:t>
            </w:r>
          </w:p>
          <w:p w14:paraId="5709F6B7">
            <w:pPr>
              <w:pStyle w:val="6"/>
              <w:spacing w:before="24" w:line="216" w:lineRule="auto"/>
              <w:ind w:left="151"/>
              <w:rPr>
                <w:sz w:val="20"/>
                <w:szCs w:val="20"/>
              </w:rPr>
            </w:pPr>
            <w:r>
              <w:rPr>
                <w:spacing w:val="3"/>
                <w:sz w:val="20"/>
                <w:szCs w:val="20"/>
              </w:rPr>
              <w:t>界附近）</w:t>
            </w:r>
          </w:p>
        </w:tc>
        <w:tc>
          <w:tcPr>
            <w:tcW w:w="1319" w:type="dxa"/>
            <w:vAlign w:val="top"/>
          </w:tcPr>
          <w:p w14:paraId="107C890C">
            <w:pPr>
              <w:spacing w:line="297" w:lineRule="auto"/>
              <w:rPr>
                <w:rFonts w:ascii="Arial"/>
                <w:sz w:val="21"/>
              </w:rPr>
            </w:pPr>
          </w:p>
          <w:p w14:paraId="59CBF5E9">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106°59'53.8</w:t>
            </w:r>
          </w:p>
          <w:p w14:paraId="7B105C85">
            <w:pPr>
              <w:spacing w:before="53" w:line="195" w:lineRule="auto"/>
              <w:ind w:left="56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26" w:type="dxa"/>
            <w:vAlign w:val="top"/>
          </w:tcPr>
          <w:p w14:paraId="038CBE0A">
            <w:pPr>
              <w:spacing w:line="416" w:lineRule="auto"/>
              <w:rPr>
                <w:rFonts w:ascii="Arial"/>
                <w:sz w:val="21"/>
              </w:rPr>
            </w:pPr>
          </w:p>
          <w:p w14:paraId="04143DCA">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39°21'23.31"</w:t>
            </w:r>
          </w:p>
        </w:tc>
        <w:tc>
          <w:tcPr>
            <w:tcW w:w="3718" w:type="dxa"/>
            <w:vAlign w:val="top"/>
          </w:tcPr>
          <w:p w14:paraId="7AF4EBD4">
            <w:pPr>
              <w:pStyle w:val="6"/>
              <w:spacing w:before="303" w:line="247" w:lineRule="auto"/>
              <w:ind w:left="113" w:right="33" w:hanging="7"/>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7"/>
                <w:sz w:val="20"/>
                <w:szCs w:val="20"/>
              </w:rPr>
              <w:t xml:space="preserve"> </w:t>
            </w:r>
            <w:r>
              <w:rPr>
                <w:spacing w:val="4"/>
                <w:sz w:val="20"/>
                <w:szCs w:val="20"/>
              </w:rPr>
              <w:t>、苯、石油烃、苯并</w:t>
            </w:r>
            <w:r>
              <w:rPr>
                <w:rFonts w:ascii="Times New Roman" w:hAnsi="Times New Roman" w:eastAsia="Times New Roman" w:cs="Times New Roman"/>
                <w:spacing w:val="4"/>
                <w:sz w:val="20"/>
                <w:szCs w:val="20"/>
              </w:rPr>
              <w:t>[а]</w:t>
            </w:r>
            <w:r>
              <w:rPr>
                <w:spacing w:val="4"/>
                <w:sz w:val="20"/>
                <w:szCs w:val="20"/>
              </w:rPr>
              <w:t>芘、镉、汞、</w:t>
            </w:r>
            <w:r>
              <w:rPr>
                <w:sz w:val="20"/>
                <w:szCs w:val="20"/>
              </w:rPr>
              <w:t xml:space="preserve"> </w:t>
            </w:r>
            <w:r>
              <w:rPr>
                <w:spacing w:val="5"/>
                <w:sz w:val="20"/>
                <w:szCs w:val="20"/>
              </w:rPr>
              <w:t>砷、铜、铅、铬（六价）、镍、氟化物</w:t>
            </w:r>
          </w:p>
        </w:tc>
        <w:tc>
          <w:tcPr>
            <w:tcW w:w="118" w:type="dxa"/>
            <w:tcBorders>
              <w:top w:val="nil"/>
              <w:bottom w:val="nil"/>
            </w:tcBorders>
            <w:vAlign w:val="top"/>
          </w:tcPr>
          <w:p w14:paraId="5E47D8AB">
            <w:pPr>
              <w:rPr>
                <w:rFonts w:ascii="Arial"/>
                <w:sz w:val="21"/>
              </w:rPr>
            </w:pPr>
          </w:p>
        </w:tc>
      </w:tr>
      <w:tr w14:paraId="577D7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4F769524">
            <w:pPr>
              <w:rPr>
                <w:rFonts w:ascii="Arial"/>
                <w:sz w:val="21"/>
              </w:rPr>
            </w:pPr>
          </w:p>
        </w:tc>
        <w:tc>
          <w:tcPr>
            <w:tcW w:w="113" w:type="dxa"/>
            <w:tcBorders>
              <w:top w:val="nil"/>
              <w:bottom w:val="nil"/>
            </w:tcBorders>
            <w:vAlign w:val="top"/>
          </w:tcPr>
          <w:p w14:paraId="6B49ADDC">
            <w:pPr>
              <w:rPr>
                <w:rFonts w:ascii="Arial"/>
                <w:sz w:val="21"/>
              </w:rPr>
            </w:pPr>
          </w:p>
        </w:tc>
        <w:tc>
          <w:tcPr>
            <w:tcW w:w="348" w:type="dxa"/>
            <w:vAlign w:val="top"/>
          </w:tcPr>
          <w:p w14:paraId="54824B72">
            <w:pPr>
              <w:spacing w:line="284" w:lineRule="auto"/>
              <w:rPr>
                <w:rFonts w:ascii="Arial"/>
                <w:sz w:val="21"/>
              </w:rPr>
            </w:pPr>
          </w:p>
          <w:p w14:paraId="29332FF3">
            <w:pPr>
              <w:spacing w:before="57" w:line="195"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4" w:type="dxa"/>
            <w:vAlign w:val="top"/>
          </w:tcPr>
          <w:p w14:paraId="6CE3C18B">
            <w:pPr>
              <w:pStyle w:val="6"/>
              <w:spacing w:before="34" w:line="251" w:lineRule="auto"/>
              <w:ind w:left="251" w:right="107" w:hanging="138"/>
              <w:rPr>
                <w:sz w:val="20"/>
                <w:szCs w:val="20"/>
              </w:rPr>
            </w:pPr>
            <w:r>
              <w:rPr>
                <w:rFonts w:ascii="Times New Roman" w:hAnsi="Times New Roman" w:eastAsia="Times New Roman" w:cs="Times New Roman"/>
                <w:spacing w:val="-14"/>
                <w:sz w:val="20"/>
                <w:szCs w:val="20"/>
              </w:rPr>
              <w:t>6</w:t>
            </w:r>
            <w:r>
              <w:rPr>
                <w:rFonts w:ascii="Times New Roman" w:hAnsi="Times New Roman" w:eastAsia="Times New Roman" w:cs="Times New Roman"/>
                <w:spacing w:val="17"/>
                <w:sz w:val="20"/>
                <w:szCs w:val="20"/>
              </w:rPr>
              <w:t xml:space="preserve"> </w:t>
            </w:r>
            <w:r>
              <w:rPr>
                <w:spacing w:val="-14"/>
                <w:sz w:val="20"/>
                <w:szCs w:val="20"/>
              </w:rPr>
              <w:t>号点（棋</w:t>
            </w:r>
            <w:r>
              <w:rPr>
                <w:sz w:val="20"/>
                <w:szCs w:val="20"/>
              </w:rPr>
              <w:t xml:space="preserve"> </w:t>
            </w:r>
            <w:r>
              <w:rPr>
                <w:spacing w:val="6"/>
                <w:sz w:val="20"/>
                <w:szCs w:val="20"/>
              </w:rPr>
              <w:t>盘井镇</w:t>
            </w:r>
          </w:p>
          <w:p w14:paraId="4FD1A5C7">
            <w:pPr>
              <w:pStyle w:val="6"/>
              <w:spacing w:line="215" w:lineRule="auto"/>
              <w:ind w:left="370"/>
              <w:rPr>
                <w:sz w:val="20"/>
                <w:szCs w:val="20"/>
              </w:rPr>
            </w:pPr>
            <w:r>
              <w:rPr>
                <w:spacing w:val="-8"/>
                <w:sz w:val="20"/>
                <w:szCs w:val="20"/>
              </w:rPr>
              <w:t>区）</w:t>
            </w:r>
          </w:p>
        </w:tc>
        <w:tc>
          <w:tcPr>
            <w:tcW w:w="1319" w:type="dxa"/>
            <w:vAlign w:val="top"/>
          </w:tcPr>
          <w:p w14:paraId="394D0F24">
            <w:pPr>
              <w:spacing w:line="284" w:lineRule="auto"/>
              <w:rPr>
                <w:rFonts w:ascii="Arial"/>
                <w:sz w:val="21"/>
              </w:rPr>
            </w:pPr>
          </w:p>
          <w:p w14:paraId="26E120BF">
            <w:pPr>
              <w:spacing w:before="57" w:line="195"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107°0'</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19.29"</w:t>
            </w:r>
          </w:p>
        </w:tc>
        <w:tc>
          <w:tcPr>
            <w:tcW w:w="1426" w:type="dxa"/>
            <w:vAlign w:val="top"/>
          </w:tcPr>
          <w:p w14:paraId="0ED07ACB">
            <w:pPr>
              <w:spacing w:line="284" w:lineRule="auto"/>
              <w:rPr>
                <w:rFonts w:ascii="Arial"/>
                <w:sz w:val="21"/>
              </w:rPr>
            </w:pPr>
          </w:p>
          <w:p w14:paraId="4F55746E">
            <w:pPr>
              <w:spacing w:before="5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39°22'5.26"</w:t>
            </w:r>
          </w:p>
        </w:tc>
        <w:tc>
          <w:tcPr>
            <w:tcW w:w="3718" w:type="dxa"/>
            <w:vAlign w:val="top"/>
          </w:tcPr>
          <w:p w14:paraId="4A98B645">
            <w:pPr>
              <w:pStyle w:val="6"/>
              <w:spacing w:before="170" w:line="245" w:lineRule="auto"/>
              <w:ind w:left="113" w:right="33" w:hanging="7"/>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7"/>
                <w:sz w:val="20"/>
                <w:szCs w:val="20"/>
              </w:rPr>
              <w:t xml:space="preserve"> </w:t>
            </w:r>
            <w:r>
              <w:rPr>
                <w:spacing w:val="4"/>
                <w:sz w:val="20"/>
                <w:szCs w:val="20"/>
              </w:rPr>
              <w:t>、苯、石油烃、苯并</w:t>
            </w:r>
            <w:r>
              <w:rPr>
                <w:rFonts w:ascii="Times New Roman" w:hAnsi="Times New Roman" w:eastAsia="Times New Roman" w:cs="Times New Roman"/>
                <w:spacing w:val="4"/>
                <w:sz w:val="20"/>
                <w:szCs w:val="20"/>
              </w:rPr>
              <w:t>[а]</w:t>
            </w:r>
            <w:r>
              <w:rPr>
                <w:spacing w:val="4"/>
                <w:sz w:val="20"/>
                <w:szCs w:val="20"/>
              </w:rPr>
              <w:t>芘、镉、汞、</w:t>
            </w:r>
            <w:r>
              <w:rPr>
                <w:sz w:val="20"/>
                <w:szCs w:val="20"/>
              </w:rPr>
              <w:t xml:space="preserve"> </w:t>
            </w:r>
            <w:r>
              <w:rPr>
                <w:spacing w:val="5"/>
                <w:sz w:val="20"/>
                <w:szCs w:val="20"/>
              </w:rPr>
              <w:t>砷、铜、铅、铬（六价）、镍、氟化物</w:t>
            </w:r>
          </w:p>
        </w:tc>
        <w:tc>
          <w:tcPr>
            <w:tcW w:w="118" w:type="dxa"/>
            <w:tcBorders>
              <w:top w:val="nil"/>
              <w:bottom w:val="nil"/>
            </w:tcBorders>
            <w:vAlign w:val="top"/>
          </w:tcPr>
          <w:p w14:paraId="275137EE">
            <w:pPr>
              <w:rPr>
                <w:rFonts w:ascii="Arial"/>
                <w:sz w:val="21"/>
              </w:rPr>
            </w:pPr>
          </w:p>
        </w:tc>
      </w:tr>
      <w:tr w14:paraId="0D8D6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2" w:hRule="atLeast"/>
        </w:trPr>
        <w:tc>
          <w:tcPr>
            <w:tcW w:w="459" w:type="dxa"/>
            <w:vMerge w:val="continue"/>
            <w:tcBorders>
              <w:top w:val="nil"/>
              <w:bottom w:val="nil"/>
            </w:tcBorders>
            <w:vAlign w:val="top"/>
          </w:tcPr>
          <w:p w14:paraId="3DF6AD3B">
            <w:pPr>
              <w:rPr>
                <w:rFonts w:ascii="Arial"/>
                <w:sz w:val="21"/>
              </w:rPr>
            </w:pPr>
          </w:p>
        </w:tc>
        <w:tc>
          <w:tcPr>
            <w:tcW w:w="8166" w:type="dxa"/>
            <w:gridSpan w:val="7"/>
            <w:tcBorders>
              <w:bottom w:val="nil"/>
            </w:tcBorders>
            <w:vAlign w:val="top"/>
          </w:tcPr>
          <w:p w14:paraId="4D157744">
            <w:pPr>
              <w:spacing w:before="158" w:line="5174" w:lineRule="exact"/>
              <w:ind w:firstLine="111"/>
            </w:pPr>
            <w:r>
              <w:rPr>
                <w:position w:val="-103"/>
              </w:rPr>
              <w:drawing>
                <wp:inline distT="0" distB="0" distL="0" distR="0">
                  <wp:extent cx="5038090" cy="3284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8"/>
                          <a:stretch>
                            <a:fillRect/>
                          </a:stretch>
                        </pic:blipFill>
                        <pic:spPr>
                          <a:xfrm>
                            <a:off x="0" y="0"/>
                            <a:ext cx="5038344" cy="3285362"/>
                          </a:xfrm>
                          <a:prstGeom prst="rect">
                            <a:avLst/>
                          </a:prstGeom>
                        </pic:spPr>
                      </pic:pic>
                    </a:graphicData>
                  </a:graphic>
                </wp:inline>
              </w:drawing>
            </w:r>
          </w:p>
        </w:tc>
      </w:tr>
      <w:tr w14:paraId="32048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459" w:type="dxa"/>
            <w:vMerge w:val="continue"/>
            <w:tcBorders>
              <w:top w:val="nil"/>
            </w:tcBorders>
            <w:vAlign w:val="top"/>
          </w:tcPr>
          <w:p w14:paraId="35E691E9">
            <w:pPr>
              <w:rPr>
                <w:rFonts w:ascii="Arial"/>
                <w:sz w:val="21"/>
              </w:rPr>
            </w:pPr>
          </w:p>
        </w:tc>
        <w:tc>
          <w:tcPr>
            <w:tcW w:w="8166" w:type="dxa"/>
            <w:gridSpan w:val="7"/>
            <w:tcBorders>
              <w:top w:val="nil"/>
            </w:tcBorders>
            <w:vAlign w:val="top"/>
          </w:tcPr>
          <w:p w14:paraId="15771E60">
            <w:pPr>
              <w:pStyle w:val="6"/>
              <w:spacing w:before="157" w:line="227" w:lineRule="auto"/>
              <w:ind w:left="2991"/>
              <w:outlineLvl w:val="1"/>
              <w:rPr>
                <w:sz w:val="20"/>
                <w:szCs w:val="20"/>
              </w:rPr>
            </w:pPr>
            <w:r>
              <w:rPr>
                <w:b/>
                <w:bCs/>
                <w:spacing w:val="3"/>
                <w:sz w:val="20"/>
                <w:szCs w:val="20"/>
              </w:rPr>
              <w:t>图</w:t>
            </w:r>
            <w:r>
              <w:rPr>
                <w:spacing w:val="-31"/>
                <w:sz w:val="20"/>
                <w:szCs w:val="20"/>
              </w:rPr>
              <w:t xml:space="preserve"> </w:t>
            </w:r>
            <w:r>
              <w:rPr>
                <w:rFonts w:ascii="Times New Roman" w:hAnsi="Times New Roman" w:eastAsia="Times New Roman" w:cs="Times New Roman"/>
                <w:b/>
                <w:bCs/>
                <w:spacing w:val="3"/>
                <w:sz w:val="20"/>
                <w:szCs w:val="20"/>
              </w:rPr>
              <w:t xml:space="preserve">3-3    </w:t>
            </w:r>
            <w:r>
              <w:rPr>
                <w:b/>
                <w:bCs/>
                <w:spacing w:val="3"/>
                <w:sz w:val="20"/>
                <w:szCs w:val="20"/>
              </w:rPr>
              <w:t>监测布点示意图</w:t>
            </w:r>
          </w:p>
          <w:p w14:paraId="52EF4848">
            <w:pPr>
              <w:pStyle w:val="6"/>
              <w:spacing w:before="166" w:line="218" w:lineRule="auto"/>
              <w:ind w:left="605"/>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）监测与评价结果</w:t>
            </w:r>
          </w:p>
          <w:p w14:paraId="4C44E359">
            <w:pPr>
              <w:pStyle w:val="6"/>
              <w:spacing w:before="185" w:line="219" w:lineRule="auto"/>
              <w:ind w:left="595"/>
              <w:rPr>
                <w:sz w:val="24"/>
                <w:szCs w:val="24"/>
              </w:rPr>
            </w:pPr>
            <w:r>
              <w:rPr>
                <w:spacing w:val="-3"/>
                <w:sz w:val="24"/>
                <w:szCs w:val="24"/>
              </w:rPr>
              <w:t>监测结果详见表</w:t>
            </w:r>
            <w:r>
              <w:rPr>
                <w:spacing w:val="-38"/>
                <w:sz w:val="24"/>
                <w:szCs w:val="24"/>
              </w:rPr>
              <w:t xml:space="preserve"> </w:t>
            </w:r>
            <w:r>
              <w:rPr>
                <w:rFonts w:ascii="Times New Roman" w:hAnsi="Times New Roman" w:eastAsia="Times New Roman" w:cs="Times New Roman"/>
                <w:spacing w:val="-3"/>
                <w:sz w:val="24"/>
                <w:szCs w:val="24"/>
              </w:rPr>
              <w:t>3-6</w:t>
            </w:r>
            <w:r>
              <w:rPr>
                <w:spacing w:val="-3"/>
                <w:sz w:val="24"/>
                <w:szCs w:val="24"/>
              </w:rPr>
              <w:t>、表</w:t>
            </w:r>
            <w:r>
              <w:rPr>
                <w:spacing w:val="-50"/>
                <w:sz w:val="24"/>
                <w:szCs w:val="24"/>
              </w:rPr>
              <w:t xml:space="preserve"> </w:t>
            </w:r>
            <w:r>
              <w:rPr>
                <w:rFonts w:ascii="Times New Roman" w:hAnsi="Times New Roman" w:eastAsia="Times New Roman" w:cs="Times New Roman"/>
                <w:spacing w:val="-3"/>
                <w:sz w:val="24"/>
                <w:szCs w:val="24"/>
              </w:rPr>
              <w:t>3-7</w:t>
            </w:r>
            <w:r>
              <w:rPr>
                <w:spacing w:val="-3"/>
                <w:sz w:val="24"/>
                <w:szCs w:val="24"/>
              </w:rPr>
              <w:t>。</w:t>
            </w:r>
          </w:p>
          <w:p w14:paraId="1AE493AB">
            <w:pPr>
              <w:pStyle w:val="6"/>
              <w:spacing w:before="175" w:line="228" w:lineRule="auto"/>
              <w:ind w:left="2365"/>
              <w:outlineLvl w:val="1"/>
              <w:rPr>
                <w:sz w:val="20"/>
                <w:szCs w:val="20"/>
              </w:rPr>
            </w:pPr>
            <w:r>
              <w:rPr>
                <w:b/>
                <w:bCs/>
                <w:spacing w:val="5"/>
                <w:sz w:val="20"/>
                <w:szCs w:val="20"/>
              </w:rPr>
              <w:t>表</w:t>
            </w:r>
            <w:r>
              <w:rPr>
                <w:spacing w:val="-38"/>
                <w:sz w:val="20"/>
                <w:szCs w:val="20"/>
              </w:rPr>
              <w:t xml:space="preserve"> </w:t>
            </w:r>
            <w:r>
              <w:rPr>
                <w:rFonts w:ascii="Times New Roman" w:hAnsi="Times New Roman" w:eastAsia="Times New Roman" w:cs="Times New Roman"/>
                <w:b/>
                <w:bCs/>
                <w:spacing w:val="5"/>
                <w:sz w:val="20"/>
                <w:szCs w:val="20"/>
              </w:rPr>
              <w:t>3-6    1</w:t>
            </w:r>
            <w:r>
              <w:rPr>
                <w:rFonts w:ascii="Times New Roman" w:hAnsi="Times New Roman" w:eastAsia="Times New Roman" w:cs="Times New Roman"/>
                <w:b/>
                <w:bCs/>
                <w:spacing w:val="17"/>
                <w:w w:val="101"/>
                <w:sz w:val="20"/>
                <w:szCs w:val="20"/>
              </w:rPr>
              <w:t xml:space="preserve"> </w:t>
            </w:r>
            <w:r>
              <w:rPr>
                <w:b/>
                <w:bCs/>
                <w:spacing w:val="5"/>
                <w:sz w:val="20"/>
                <w:szCs w:val="20"/>
              </w:rPr>
              <w:t>号点土壤检测项目检测结果</w:t>
            </w:r>
          </w:p>
        </w:tc>
      </w:tr>
    </w:tbl>
    <w:p w14:paraId="1DA6CF0B">
      <w:pPr>
        <w:pStyle w:val="2"/>
      </w:pPr>
    </w:p>
    <w:p w14:paraId="19580DCE">
      <w:pPr>
        <w:sectPr>
          <w:footerReference r:id="rId59" w:type="default"/>
          <w:pgSz w:w="11906" w:h="16839"/>
          <w:pgMar w:top="400" w:right="1588" w:bottom="1259" w:left="1687" w:header="0" w:footer="1097" w:gutter="0"/>
          <w:cols w:space="720" w:num="1"/>
        </w:sectPr>
      </w:pPr>
    </w:p>
    <w:p w14:paraId="0262E8D6">
      <w:pPr>
        <w:spacing w:before="19"/>
      </w:pPr>
    </w:p>
    <w:p w14:paraId="48DD0D62">
      <w:pPr>
        <w:spacing w:before="19"/>
      </w:pPr>
    </w:p>
    <w:p w14:paraId="1868E7E4">
      <w:pPr>
        <w:spacing w:before="18"/>
      </w:pPr>
    </w:p>
    <w:p w14:paraId="16BC55E4">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648"/>
        <w:gridCol w:w="1901"/>
        <w:gridCol w:w="924"/>
        <w:gridCol w:w="1224"/>
        <w:gridCol w:w="1300"/>
        <w:gridCol w:w="1068"/>
        <w:gridCol w:w="869"/>
        <w:gridCol w:w="118"/>
      </w:tblGrid>
      <w:tr w14:paraId="7A78E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60" w:type="dxa"/>
            <w:vMerge w:val="restart"/>
            <w:tcBorders>
              <w:bottom w:val="nil"/>
            </w:tcBorders>
            <w:vAlign w:val="top"/>
          </w:tcPr>
          <w:p w14:paraId="66B684E1">
            <w:pPr>
              <w:rPr>
                <w:rFonts w:ascii="Arial"/>
                <w:sz w:val="21"/>
              </w:rPr>
            </w:pPr>
          </w:p>
        </w:tc>
        <w:tc>
          <w:tcPr>
            <w:tcW w:w="113" w:type="dxa"/>
            <w:tcBorders>
              <w:bottom w:val="nil"/>
            </w:tcBorders>
            <w:vAlign w:val="top"/>
          </w:tcPr>
          <w:p w14:paraId="53A301A2">
            <w:pPr>
              <w:rPr>
                <w:rFonts w:ascii="Arial"/>
                <w:sz w:val="21"/>
              </w:rPr>
            </w:pPr>
          </w:p>
        </w:tc>
        <w:tc>
          <w:tcPr>
            <w:tcW w:w="648" w:type="dxa"/>
            <w:vMerge w:val="restart"/>
            <w:tcBorders>
              <w:bottom w:val="nil"/>
            </w:tcBorders>
            <w:vAlign w:val="top"/>
          </w:tcPr>
          <w:p w14:paraId="3B2BED81">
            <w:pPr>
              <w:spacing w:line="270" w:lineRule="auto"/>
              <w:rPr>
                <w:rFonts w:ascii="Arial"/>
                <w:sz w:val="21"/>
              </w:rPr>
            </w:pPr>
          </w:p>
          <w:p w14:paraId="5BA07EC2">
            <w:pPr>
              <w:pStyle w:val="6"/>
              <w:spacing w:before="65" w:line="229" w:lineRule="auto"/>
              <w:ind w:left="115"/>
              <w:rPr>
                <w:sz w:val="20"/>
                <w:szCs w:val="20"/>
              </w:rPr>
            </w:pPr>
            <w:r>
              <w:rPr>
                <w:spacing w:val="5"/>
                <w:sz w:val="20"/>
                <w:szCs w:val="20"/>
              </w:rPr>
              <w:t>序号</w:t>
            </w:r>
          </w:p>
        </w:tc>
        <w:tc>
          <w:tcPr>
            <w:tcW w:w="1901" w:type="dxa"/>
            <w:vMerge w:val="restart"/>
            <w:tcBorders>
              <w:bottom w:val="nil"/>
            </w:tcBorders>
            <w:vAlign w:val="top"/>
          </w:tcPr>
          <w:p w14:paraId="476F3960">
            <w:pPr>
              <w:spacing w:line="270" w:lineRule="auto"/>
              <w:rPr>
                <w:rFonts w:ascii="Arial"/>
                <w:sz w:val="21"/>
              </w:rPr>
            </w:pPr>
          </w:p>
          <w:p w14:paraId="71377CA8">
            <w:pPr>
              <w:pStyle w:val="6"/>
              <w:spacing w:before="65" w:line="228" w:lineRule="auto"/>
              <w:ind w:left="534"/>
              <w:rPr>
                <w:sz w:val="20"/>
                <w:szCs w:val="20"/>
              </w:rPr>
            </w:pPr>
            <w:r>
              <w:rPr>
                <w:spacing w:val="7"/>
                <w:sz w:val="20"/>
                <w:szCs w:val="20"/>
              </w:rPr>
              <w:t>检测项目</w:t>
            </w:r>
          </w:p>
        </w:tc>
        <w:tc>
          <w:tcPr>
            <w:tcW w:w="924" w:type="dxa"/>
            <w:vMerge w:val="restart"/>
            <w:tcBorders>
              <w:bottom w:val="nil"/>
            </w:tcBorders>
            <w:vAlign w:val="top"/>
          </w:tcPr>
          <w:p w14:paraId="1CECD47E">
            <w:pPr>
              <w:spacing w:line="270" w:lineRule="auto"/>
              <w:rPr>
                <w:rFonts w:ascii="Arial"/>
                <w:sz w:val="21"/>
              </w:rPr>
            </w:pPr>
          </w:p>
          <w:p w14:paraId="016416D5">
            <w:pPr>
              <w:pStyle w:val="6"/>
              <w:spacing w:before="65" w:line="228" w:lineRule="auto"/>
              <w:ind w:left="257"/>
              <w:rPr>
                <w:sz w:val="20"/>
                <w:szCs w:val="20"/>
              </w:rPr>
            </w:pPr>
            <w:r>
              <w:rPr>
                <w:spacing w:val="3"/>
                <w:sz w:val="20"/>
                <w:szCs w:val="20"/>
              </w:rPr>
              <w:t>单位</w:t>
            </w:r>
          </w:p>
        </w:tc>
        <w:tc>
          <w:tcPr>
            <w:tcW w:w="2524" w:type="dxa"/>
            <w:gridSpan w:val="2"/>
            <w:vAlign w:val="top"/>
          </w:tcPr>
          <w:p w14:paraId="1DAB5BFE">
            <w:pPr>
              <w:pStyle w:val="6"/>
              <w:spacing w:before="59" w:line="226" w:lineRule="auto"/>
              <w:ind w:left="848"/>
              <w:rPr>
                <w:sz w:val="20"/>
                <w:szCs w:val="20"/>
              </w:rPr>
            </w:pPr>
            <w:r>
              <w:rPr>
                <w:spacing w:val="7"/>
                <w:sz w:val="20"/>
                <w:szCs w:val="20"/>
              </w:rPr>
              <w:t>检测结果</w:t>
            </w:r>
          </w:p>
        </w:tc>
        <w:tc>
          <w:tcPr>
            <w:tcW w:w="1068" w:type="dxa"/>
            <w:vMerge w:val="restart"/>
            <w:tcBorders>
              <w:bottom w:val="nil"/>
            </w:tcBorders>
            <w:vAlign w:val="top"/>
          </w:tcPr>
          <w:p w14:paraId="2FBF379D">
            <w:pPr>
              <w:spacing w:line="270" w:lineRule="auto"/>
              <w:rPr>
                <w:rFonts w:ascii="Arial"/>
                <w:sz w:val="21"/>
              </w:rPr>
            </w:pPr>
          </w:p>
          <w:p w14:paraId="426933BE">
            <w:pPr>
              <w:pStyle w:val="6"/>
              <w:spacing w:before="65" w:line="228" w:lineRule="auto"/>
              <w:ind w:left="122"/>
              <w:rPr>
                <w:sz w:val="20"/>
                <w:szCs w:val="20"/>
              </w:rPr>
            </w:pPr>
            <w:r>
              <w:rPr>
                <w:spacing w:val="7"/>
                <w:sz w:val="20"/>
                <w:szCs w:val="20"/>
              </w:rPr>
              <w:t>标准限值</w:t>
            </w:r>
          </w:p>
        </w:tc>
        <w:tc>
          <w:tcPr>
            <w:tcW w:w="869" w:type="dxa"/>
            <w:vMerge w:val="restart"/>
            <w:tcBorders>
              <w:bottom w:val="nil"/>
            </w:tcBorders>
            <w:vAlign w:val="top"/>
          </w:tcPr>
          <w:p w14:paraId="56F6D386">
            <w:pPr>
              <w:pStyle w:val="6"/>
              <w:spacing w:before="200" w:line="252" w:lineRule="auto"/>
              <w:ind w:left="338" w:right="116" w:hanging="208"/>
              <w:rPr>
                <w:sz w:val="20"/>
                <w:szCs w:val="20"/>
              </w:rPr>
            </w:pPr>
            <w:r>
              <w:rPr>
                <w:spacing w:val="5"/>
                <w:sz w:val="20"/>
                <w:szCs w:val="20"/>
              </w:rPr>
              <w:t>是否达</w:t>
            </w:r>
            <w:r>
              <w:rPr>
                <w:spacing w:val="1"/>
                <w:sz w:val="20"/>
                <w:szCs w:val="20"/>
              </w:rPr>
              <w:t xml:space="preserve"> </w:t>
            </w:r>
            <w:r>
              <w:rPr>
                <w:sz w:val="20"/>
                <w:szCs w:val="20"/>
              </w:rPr>
              <w:t>标</w:t>
            </w:r>
          </w:p>
        </w:tc>
        <w:tc>
          <w:tcPr>
            <w:tcW w:w="118" w:type="dxa"/>
            <w:tcBorders>
              <w:bottom w:val="nil"/>
            </w:tcBorders>
            <w:vAlign w:val="top"/>
          </w:tcPr>
          <w:p w14:paraId="05750BB7">
            <w:pPr>
              <w:rPr>
                <w:rFonts w:ascii="Arial"/>
                <w:sz w:val="21"/>
              </w:rPr>
            </w:pPr>
          </w:p>
        </w:tc>
      </w:tr>
      <w:tr w14:paraId="1891D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60" w:type="dxa"/>
            <w:vMerge w:val="continue"/>
            <w:tcBorders>
              <w:top w:val="nil"/>
              <w:bottom w:val="nil"/>
            </w:tcBorders>
            <w:vAlign w:val="top"/>
          </w:tcPr>
          <w:p w14:paraId="2BE77215">
            <w:pPr>
              <w:rPr>
                <w:rFonts w:ascii="Arial"/>
                <w:sz w:val="21"/>
              </w:rPr>
            </w:pPr>
          </w:p>
        </w:tc>
        <w:tc>
          <w:tcPr>
            <w:tcW w:w="113" w:type="dxa"/>
            <w:tcBorders>
              <w:top w:val="nil"/>
              <w:bottom w:val="nil"/>
            </w:tcBorders>
            <w:vAlign w:val="top"/>
          </w:tcPr>
          <w:p w14:paraId="131B145C">
            <w:pPr>
              <w:rPr>
                <w:rFonts w:ascii="Arial"/>
                <w:sz w:val="21"/>
              </w:rPr>
            </w:pPr>
          </w:p>
        </w:tc>
        <w:tc>
          <w:tcPr>
            <w:tcW w:w="648" w:type="dxa"/>
            <w:vMerge w:val="continue"/>
            <w:tcBorders>
              <w:top w:val="nil"/>
            </w:tcBorders>
            <w:vAlign w:val="top"/>
          </w:tcPr>
          <w:p w14:paraId="3501A3C8">
            <w:pPr>
              <w:rPr>
                <w:rFonts w:ascii="Arial"/>
                <w:sz w:val="21"/>
              </w:rPr>
            </w:pPr>
          </w:p>
        </w:tc>
        <w:tc>
          <w:tcPr>
            <w:tcW w:w="1901" w:type="dxa"/>
            <w:vMerge w:val="continue"/>
            <w:tcBorders>
              <w:top w:val="nil"/>
            </w:tcBorders>
            <w:vAlign w:val="top"/>
          </w:tcPr>
          <w:p w14:paraId="59F170CF">
            <w:pPr>
              <w:rPr>
                <w:rFonts w:ascii="Arial"/>
                <w:sz w:val="21"/>
              </w:rPr>
            </w:pPr>
          </w:p>
        </w:tc>
        <w:tc>
          <w:tcPr>
            <w:tcW w:w="924" w:type="dxa"/>
            <w:vMerge w:val="continue"/>
            <w:tcBorders>
              <w:top w:val="nil"/>
            </w:tcBorders>
            <w:vAlign w:val="top"/>
          </w:tcPr>
          <w:p w14:paraId="46371C13">
            <w:pPr>
              <w:rPr>
                <w:rFonts w:ascii="Arial"/>
                <w:sz w:val="21"/>
              </w:rPr>
            </w:pPr>
          </w:p>
        </w:tc>
        <w:tc>
          <w:tcPr>
            <w:tcW w:w="1224" w:type="dxa"/>
            <w:vAlign w:val="top"/>
          </w:tcPr>
          <w:p w14:paraId="4530FC9A">
            <w:pPr>
              <w:pStyle w:val="6"/>
              <w:spacing w:before="37" w:line="234" w:lineRule="auto"/>
              <w:ind w:left="143" w:right="136" w:firstLine="56"/>
              <w:rPr>
                <w:rFonts w:ascii="Times New Roman" w:hAnsi="Times New Roman" w:eastAsia="Times New Roman" w:cs="Times New Roman"/>
                <w:sz w:val="20"/>
                <w:szCs w:val="20"/>
              </w:rPr>
            </w:pPr>
            <w:r>
              <w:rPr>
                <w:spacing w:val="6"/>
                <w:sz w:val="20"/>
                <w:szCs w:val="20"/>
              </w:rPr>
              <w:t>污水处理</w:t>
            </w:r>
            <w:r>
              <w:rPr>
                <w:spacing w:val="2"/>
                <w:sz w:val="20"/>
                <w:szCs w:val="20"/>
              </w:rPr>
              <w:t xml:space="preserve"> </w:t>
            </w:r>
            <w:r>
              <w:rPr>
                <w:spacing w:val="3"/>
                <w:sz w:val="20"/>
                <w:szCs w:val="20"/>
              </w:rPr>
              <w:t>站</w:t>
            </w:r>
            <w:r>
              <w:rPr>
                <w:rFonts w:ascii="Times New Roman" w:hAnsi="Times New Roman" w:eastAsia="Times New Roman" w:cs="Times New Roman"/>
                <w:spacing w:val="3"/>
                <w:sz w:val="20"/>
                <w:szCs w:val="20"/>
              </w:rPr>
              <w:t>(0-0.5m)</w:t>
            </w:r>
          </w:p>
        </w:tc>
        <w:tc>
          <w:tcPr>
            <w:tcW w:w="1300" w:type="dxa"/>
            <w:vAlign w:val="top"/>
          </w:tcPr>
          <w:p w14:paraId="7D78361D">
            <w:pPr>
              <w:pStyle w:val="6"/>
              <w:spacing w:before="51" w:line="228" w:lineRule="auto"/>
              <w:ind w:left="132"/>
              <w:rPr>
                <w:sz w:val="20"/>
                <w:szCs w:val="20"/>
              </w:rPr>
            </w:pPr>
            <w:r>
              <w:rPr>
                <w:spacing w:val="7"/>
                <w:sz w:val="20"/>
                <w:szCs w:val="20"/>
              </w:rPr>
              <w:t>污水处理站</w:t>
            </w:r>
          </w:p>
          <w:p w14:paraId="125834A2">
            <w:pPr>
              <w:spacing w:before="42" w:line="201"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(4.8-5.3m)</w:t>
            </w:r>
          </w:p>
        </w:tc>
        <w:tc>
          <w:tcPr>
            <w:tcW w:w="1068" w:type="dxa"/>
            <w:vMerge w:val="continue"/>
            <w:tcBorders>
              <w:top w:val="nil"/>
            </w:tcBorders>
            <w:vAlign w:val="top"/>
          </w:tcPr>
          <w:p w14:paraId="38CC3BA0">
            <w:pPr>
              <w:rPr>
                <w:rFonts w:ascii="Arial"/>
                <w:sz w:val="21"/>
              </w:rPr>
            </w:pPr>
          </w:p>
        </w:tc>
        <w:tc>
          <w:tcPr>
            <w:tcW w:w="869" w:type="dxa"/>
            <w:vMerge w:val="continue"/>
            <w:tcBorders>
              <w:top w:val="nil"/>
            </w:tcBorders>
            <w:vAlign w:val="top"/>
          </w:tcPr>
          <w:p w14:paraId="10A239A3">
            <w:pPr>
              <w:rPr>
                <w:rFonts w:ascii="Arial"/>
                <w:sz w:val="21"/>
              </w:rPr>
            </w:pPr>
          </w:p>
        </w:tc>
        <w:tc>
          <w:tcPr>
            <w:tcW w:w="118" w:type="dxa"/>
            <w:tcBorders>
              <w:top w:val="nil"/>
              <w:bottom w:val="nil"/>
            </w:tcBorders>
            <w:vAlign w:val="top"/>
          </w:tcPr>
          <w:p w14:paraId="39B4C1A2">
            <w:pPr>
              <w:rPr>
                <w:rFonts w:ascii="Arial"/>
                <w:sz w:val="21"/>
              </w:rPr>
            </w:pPr>
          </w:p>
        </w:tc>
      </w:tr>
      <w:tr w14:paraId="66A2C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0650C48C">
            <w:pPr>
              <w:rPr>
                <w:rFonts w:ascii="Arial"/>
                <w:sz w:val="21"/>
              </w:rPr>
            </w:pPr>
          </w:p>
        </w:tc>
        <w:tc>
          <w:tcPr>
            <w:tcW w:w="113" w:type="dxa"/>
            <w:tcBorders>
              <w:top w:val="nil"/>
              <w:bottom w:val="nil"/>
            </w:tcBorders>
            <w:vAlign w:val="top"/>
          </w:tcPr>
          <w:p w14:paraId="0FA98FB8">
            <w:pPr>
              <w:rPr>
                <w:rFonts w:ascii="Arial"/>
                <w:sz w:val="21"/>
              </w:rPr>
            </w:pPr>
          </w:p>
        </w:tc>
        <w:tc>
          <w:tcPr>
            <w:tcW w:w="648" w:type="dxa"/>
            <w:vAlign w:val="top"/>
          </w:tcPr>
          <w:p w14:paraId="13023A71">
            <w:pPr>
              <w:spacing w:before="8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01" w:type="dxa"/>
            <w:vAlign w:val="top"/>
          </w:tcPr>
          <w:p w14:paraId="584F4153">
            <w:pPr>
              <w:spacing w:before="78" w:line="201" w:lineRule="auto"/>
              <w:ind w:left="778"/>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p>
        </w:tc>
        <w:tc>
          <w:tcPr>
            <w:tcW w:w="924" w:type="dxa"/>
            <w:vAlign w:val="top"/>
          </w:tcPr>
          <w:p w14:paraId="3861D782">
            <w:pPr>
              <w:pStyle w:val="6"/>
              <w:spacing w:before="44" w:line="228" w:lineRule="auto"/>
              <w:ind w:left="151"/>
              <w:rPr>
                <w:sz w:val="20"/>
                <w:szCs w:val="20"/>
              </w:rPr>
            </w:pPr>
            <w:r>
              <w:rPr>
                <w:spacing w:val="6"/>
                <w:sz w:val="20"/>
                <w:szCs w:val="20"/>
              </w:rPr>
              <w:t>无量纲</w:t>
            </w:r>
          </w:p>
        </w:tc>
        <w:tc>
          <w:tcPr>
            <w:tcW w:w="1224" w:type="dxa"/>
            <w:vAlign w:val="top"/>
          </w:tcPr>
          <w:p w14:paraId="6FE09677">
            <w:pPr>
              <w:spacing w:before="82"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9.85</w:t>
            </w:r>
          </w:p>
        </w:tc>
        <w:tc>
          <w:tcPr>
            <w:tcW w:w="1300" w:type="dxa"/>
            <w:vAlign w:val="top"/>
          </w:tcPr>
          <w:p w14:paraId="57FBC389">
            <w:pPr>
              <w:spacing w:before="82"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9.98</w:t>
            </w:r>
          </w:p>
        </w:tc>
        <w:tc>
          <w:tcPr>
            <w:tcW w:w="1068" w:type="dxa"/>
            <w:vAlign w:val="top"/>
          </w:tcPr>
          <w:p w14:paraId="4A6A27B9">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3A76E434">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3D87B6EC">
            <w:pPr>
              <w:rPr>
                <w:rFonts w:ascii="Arial"/>
                <w:sz w:val="21"/>
              </w:rPr>
            </w:pPr>
          </w:p>
        </w:tc>
      </w:tr>
      <w:tr w14:paraId="4BB99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75DD862E">
            <w:pPr>
              <w:rPr>
                <w:rFonts w:ascii="Arial"/>
                <w:sz w:val="21"/>
              </w:rPr>
            </w:pPr>
          </w:p>
        </w:tc>
        <w:tc>
          <w:tcPr>
            <w:tcW w:w="113" w:type="dxa"/>
            <w:tcBorders>
              <w:top w:val="nil"/>
              <w:bottom w:val="nil"/>
            </w:tcBorders>
            <w:vAlign w:val="top"/>
          </w:tcPr>
          <w:p w14:paraId="2C736BC1">
            <w:pPr>
              <w:rPr>
                <w:rFonts w:ascii="Arial"/>
                <w:sz w:val="21"/>
              </w:rPr>
            </w:pPr>
          </w:p>
        </w:tc>
        <w:tc>
          <w:tcPr>
            <w:tcW w:w="648" w:type="dxa"/>
            <w:vAlign w:val="top"/>
          </w:tcPr>
          <w:p w14:paraId="031D727F">
            <w:pPr>
              <w:spacing w:before="8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01" w:type="dxa"/>
            <w:vAlign w:val="top"/>
          </w:tcPr>
          <w:p w14:paraId="566E51D3">
            <w:pPr>
              <w:pStyle w:val="6"/>
              <w:spacing w:before="44"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总氟化物</w:t>
            </w:r>
          </w:p>
        </w:tc>
        <w:tc>
          <w:tcPr>
            <w:tcW w:w="924" w:type="dxa"/>
            <w:vAlign w:val="top"/>
          </w:tcPr>
          <w:p w14:paraId="29AEC650">
            <w:pPr>
              <w:spacing w:before="78"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995009D">
            <w:pPr>
              <w:spacing w:before="8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385</w:t>
            </w:r>
          </w:p>
        </w:tc>
        <w:tc>
          <w:tcPr>
            <w:tcW w:w="1300" w:type="dxa"/>
            <w:vAlign w:val="top"/>
          </w:tcPr>
          <w:p w14:paraId="634CAA1E">
            <w:pPr>
              <w:spacing w:before="82"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c>
          <w:tcPr>
            <w:tcW w:w="1068" w:type="dxa"/>
            <w:vAlign w:val="top"/>
          </w:tcPr>
          <w:p w14:paraId="7D145494">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4E2D3189">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27E66E71">
            <w:pPr>
              <w:rPr>
                <w:rFonts w:ascii="Arial"/>
                <w:sz w:val="21"/>
              </w:rPr>
            </w:pPr>
          </w:p>
        </w:tc>
      </w:tr>
      <w:tr w14:paraId="548DB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0717F796">
            <w:pPr>
              <w:rPr>
                <w:rFonts w:ascii="Arial"/>
                <w:sz w:val="21"/>
              </w:rPr>
            </w:pPr>
          </w:p>
        </w:tc>
        <w:tc>
          <w:tcPr>
            <w:tcW w:w="113" w:type="dxa"/>
            <w:tcBorders>
              <w:top w:val="nil"/>
              <w:bottom w:val="nil"/>
            </w:tcBorders>
            <w:vAlign w:val="top"/>
          </w:tcPr>
          <w:p w14:paraId="42C2F513">
            <w:pPr>
              <w:rPr>
                <w:rFonts w:ascii="Arial"/>
                <w:sz w:val="21"/>
              </w:rPr>
            </w:pPr>
          </w:p>
        </w:tc>
        <w:tc>
          <w:tcPr>
            <w:tcW w:w="648" w:type="dxa"/>
            <w:vAlign w:val="top"/>
          </w:tcPr>
          <w:p w14:paraId="7172B08E">
            <w:pPr>
              <w:spacing w:before="8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01" w:type="dxa"/>
            <w:vAlign w:val="top"/>
          </w:tcPr>
          <w:p w14:paraId="48CED4C7">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氰化物</w:t>
            </w:r>
          </w:p>
        </w:tc>
        <w:tc>
          <w:tcPr>
            <w:tcW w:w="924" w:type="dxa"/>
            <w:vAlign w:val="top"/>
          </w:tcPr>
          <w:p w14:paraId="287AB207">
            <w:pPr>
              <w:spacing w:before="79"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1AF9800">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E58093A">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061BEF4">
            <w:pPr>
              <w:spacing w:before="79"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19A3C0D1">
            <w:pPr>
              <w:spacing w:before="79"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65D3468D">
            <w:pPr>
              <w:rPr>
                <w:rFonts w:ascii="Arial"/>
                <w:sz w:val="21"/>
              </w:rPr>
            </w:pPr>
          </w:p>
        </w:tc>
      </w:tr>
      <w:tr w14:paraId="44F41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460" w:type="dxa"/>
            <w:vMerge w:val="continue"/>
            <w:tcBorders>
              <w:top w:val="nil"/>
              <w:bottom w:val="nil"/>
            </w:tcBorders>
            <w:vAlign w:val="top"/>
          </w:tcPr>
          <w:p w14:paraId="46A61923">
            <w:pPr>
              <w:rPr>
                <w:rFonts w:ascii="Arial"/>
                <w:sz w:val="21"/>
              </w:rPr>
            </w:pPr>
          </w:p>
        </w:tc>
        <w:tc>
          <w:tcPr>
            <w:tcW w:w="113" w:type="dxa"/>
            <w:tcBorders>
              <w:top w:val="nil"/>
              <w:bottom w:val="nil"/>
            </w:tcBorders>
            <w:vAlign w:val="top"/>
          </w:tcPr>
          <w:p w14:paraId="49E80034">
            <w:pPr>
              <w:rPr>
                <w:rFonts w:ascii="Arial"/>
                <w:sz w:val="21"/>
              </w:rPr>
            </w:pPr>
          </w:p>
        </w:tc>
        <w:tc>
          <w:tcPr>
            <w:tcW w:w="648" w:type="dxa"/>
            <w:vAlign w:val="top"/>
          </w:tcPr>
          <w:p w14:paraId="23D4D598">
            <w:pPr>
              <w:spacing w:before="8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01" w:type="dxa"/>
            <w:vAlign w:val="top"/>
          </w:tcPr>
          <w:p w14:paraId="6C635ED8">
            <w:pPr>
              <w:pStyle w:val="6"/>
              <w:spacing w:before="48"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砷</w:t>
            </w:r>
          </w:p>
        </w:tc>
        <w:tc>
          <w:tcPr>
            <w:tcW w:w="924" w:type="dxa"/>
            <w:vAlign w:val="top"/>
          </w:tcPr>
          <w:p w14:paraId="22793096">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6821DDE">
            <w:pPr>
              <w:spacing w:before="8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8.08</w:t>
            </w:r>
          </w:p>
        </w:tc>
        <w:tc>
          <w:tcPr>
            <w:tcW w:w="1300" w:type="dxa"/>
            <w:vAlign w:val="top"/>
          </w:tcPr>
          <w:p w14:paraId="5969EF31">
            <w:pPr>
              <w:spacing w:before="83"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7.83</w:t>
            </w:r>
          </w:p>
        </w:tc>
        <w:tc>
          <w:tcPr>
            <w:tcW w:w="1068" w:type="dxa"/>
            <w:vAlign w:val="top"/>
          </w:tcPr>
          <w:p w14:paraId="66E019ED">
            <w:pPr>
              <w:spacing w:before="8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69" w:type="dxa"/>
            <w:vAlign w:val="top"/>
          </w:tcPr>
          <w:p w14:paraId="1B18FF89">
            <w:pPr>
              <w:pStyle w:val="6"/>
              <w:spacing w:before="48" w:line="227" w:lineRule="auto"/>
              <w:ind w:left="341"/>
              <w:rPr>
                <w:sz w:val="20"/>
                <w:szCs w:val="20"/>
              </w:rPr>
            </w:pPr>
            <w:r>
              <w:rPr>
                <w:sz w:val="20"/>
                <w:szCs w:val="20"/>
              </w:rPr>
              <w:t>是</w:t>
            </w:r>
          </w:p>
        </w:tc>
        <w:tc>
          <w:tcPr>
            <w:tcW w:w="118" w:type="dxa"/>
            <w:tcBorders>
              <w:top w:val="nil"/>
              <w:bottom w:val="nil"/>
            </w:tcBorders>
            <w:vAlign w:val="top"/>
          </w:tcPr>
          <w:p w14:paraId="26C0C742">
            <w:pPr>
              <w:rPr>
                <w:rFonts w:ascii="Arial"/>
                <w:sz w:val="21"/>
              </w:rPr>
            </w:pPr>
          </w:p>
        </w:tc>
      </w:tr>
      <w:tr w14:paraId="16B44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9FC8146">
            <w:pPr>
              <w:rPr>
                <w:rFonts w:ascii="Arial"/>
                <w:sz w:val="21"/>
              </w:rPr>
            </w:pPr>
          </w:p>
        </w:tc>
        <w:tc>
          <w:tcPr>
            <w:tcW w:w="113" w:type="dxa"/>
            <w:tcBorders>
              <w:top w:val="nil"/>
              <w:bottom w:val="nil"/>
            </w:tcBorders>
            <w:vAlign w:val="top"/>
          </w:tcPr>
          <w:p w14:paraId="2B38520D">
            <w:pPr>
              <w:rPr>
                <w:rFonts w:ascii="Arial"/>
                <w:sz w:val="21"/>
              </w:rPr>
            </w:pPr>
          </w:p>
        </w:tc>
        <w:tc>
          <w:tcPr>
            <w:tcW w:w="648" w:type="dxa"/>
            <w:vAlign w:val="top"/>
          </w:tcPr>
          <w:p w14:paraId="6C7EEE87">
            <w:pPr>
              <w:spacing w:before="87" w:line="192"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01" w:type="dxa"/>
            <w:vAlign w:val="top"/>
          </w:tcPr>
          <w:p w14:paraId="72C79CA8">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镉</w:t>
            </w:r>
          </w:p>
        </w:tc>
        <w:tc>
          <w:tcPr>
            <w:tcW w:w="924" w:type="dxa"/>
            <w:vAlign w:val="top"/>
          </w:tcPr>
          <w:p w14:paraId="6A9EF7AF">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D3BD1D3">
            <w:pPr>
              <w:spacing w:before="8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vAlign w:val="top"/>
          </w:tcPr>
          <w:p w14:paraId="4191ED95">
            <w:pPr>
              <w:spacing w:before="8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068" w:type="dxa"/>
            <w:vAlign w:val="top"/>
          </w:tcPr>
          <w:p w14:paraId="13D7C318">
            <w:pPr>
              <w:spacing w:before="84"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69" w:type="dxa"/>
            <w:vAlign w:val="top"/>
          </w:tcPr>
          <w:p w14:paraId="67B897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78E78C6">
            <w:pPr>
              <w:rPr>
                <w:rFonts w:ascii="Arial"/>
                <w:sz w:val="21"/>
              </w:rPr>
            </w:pPr>
          </w:p>
        </w:tc>
      </w:tr>
      <w:tr w14:paraId="5390F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0BF4B59">
            <w:pPr>
              <w:rPr>
                <w:rFonts w:ascii="Arial"/>
                <w:sz w:val="21"/>
              </w:rPr>
            </w:pPr>
          </w:p>
        </w:tc>
        <w:tc>
          <w:tcPr>
            <w:tcW w:w="113" w:type="dxa"/>
            <w:tcBorders>
              <w:top w:val="nil"/>
              <w:bottom w:val="nil"/>
            </w:tcBorders>
            <w:vAlign w:val="top"/>
          </w:tcPr>
          <w:p w14:paraId="17B881A2">
            <w:pPr>
              <w:rPr>
                <w:rFonts w:ascii="Arial"/>
                <w:sz w:val="21"/>
              </w:rPr>
            </w:pPr>
          </w:p>
        </w:tc>
        <w:tc>
          <w:tcPr>
            <w:tcW w:w="648" w:type="dxa"/>
            <w:vAlign w:val="top"/>
          </w:tcPr>
          <w:p w14:paraId="3BDBE9EB">
            <w:pPr>
              <w:spacing w:before="8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01" w:type="dxa"/>
            <w:vAlign w:val="top"/>
          </w:tcPr>
          <w:p w14:paraId="4DC37461">
            <w:pPr>
              <w:pStyle w:val="6"/>
              <w:spacing w:before="48" w:line="226" w:lineRule="auto"/>
              <w:ind w:left="593"/>
              <w:rPr>
                <w:sz w:val="20"/>
                <w:szCs w:val="20"/>
              </w:rPr>
            </w:pPr>
            <w:r>
              <w:rPr>
                <w:rFonts w:ascii="Times New Roman" w:hAnsi="Times New Roman" w:eastAsia="Times New Roman" w:cs="Times New Roman"/>
                <w:spacing w:val="4"/>
                <w:sz w:val="20"/>
                <w:szCs w:val="20"/>
              </w:rPr>
              <w:t>*</w:t>
            </w:r>
            <w:r>
              <w:rPr>
                <w:spacing w:val="4"/>
                <w:sz w:val="20"/>
                <w:szCs w:val="20"/>
              </w:rPr>
              <w:t>六价铬</w:t>
            </w:r>
          </w:p>
        </w:tc>
        <w:tc>
          <w:tcPr>
            <w:tcW w:w="924" w:type="dxa"/>
            <w:vAlign w:val="top"/>
          </w:tcPr>
          <w:p w14:paraId="54F01AA7">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CB1DC17">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06D4385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17E6FD5">
            <w:pPr>
              <w:spacing w:before="87" w:line="192"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869" w:type="dxa"/>
            <w:vAlign w:val="top"/>
          </w:tcPr>
          <w:p w14:paraId="5C0F52E7">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80510BF">
            <w:pPr>
              <w:rPr>
                <w:rFonts w:ascii="Arial"/>
                <w:sz w:val="21"/>
              </w:rPr>
            </w:pPr>
          </w:p>
        </w:tc>
      </w:tr>
      <w:tr w14:paraId="1EBA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8B11B31">
            <w:pPr>
              <w:rPr>
                <w:rFonts w:ascii="Arial"/>
                <w:sz w:val="21"/>
              </w:rPr>
            </w:pPr>
          </w:p>
        </w:tc>
        <w:tc>
          <w:tcPr>
            <w:tcW w:w="113" w:type="dxa"/>
            <w:tcBorders>
              <w:top w:val="nil"/>
              <w:bottom w:val="nil"/>
            </w:tcBorders>
            <w:vAlign w:val="top"/>
          </w:tcPr>
          <w:p w14:paraId="13D010A1">
            <w:pPr>
              <w:rPr>
                <w:rFonts w:ascii="Arial"/>
                <w:sz w:val="21"/>
              </w:rPr>
            </w:pPr>
          </w:p>
        </w:tc>
        <w:tc>
          <w:tcPr>
            <w:tcW w:w="648" w:type="dxa"/>
            <w:vAlign w:val="top"/>
          </w:tcPr>
          <w:p w14:paraId="53832407">
            <w:pPr>
              <w:spacing w:before="89"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01" w:type="dxa"/>
            <w:vAlign w:val="top"/>
          </w:tcPr>
          <w:p w14:paraId="1A73F9C2">
            <w:pPr>
              <w:pStyle w:val="6"/>
              <w:spacing w:before="48"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铜</w:t>
            </w:r>
          </w:p>
        </w:tc>
        <w:tc>
          <w:tcPr>
            <w:tcW w:w="924" w:type="dxa"/>
            <w:vAlign w:val="top"/>
          </w:tcPr>
          <w:p w14:paraId="6A344795">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CCCD2BA">
            <w:pPr>
              <w:spacing w:before="86"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00" w:type="dxa"/>
            <w:vAlign w:val="top"/>
          </w:tcPr>
          <w:p w14:paraId="2B154132">
            <w:pPr>
              <w:spacing w:before="86"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68" w:type="dxa"/>
            <w:vAlign w:val="top"/>
          </w:tcPr>
          <w:p w14:paraId="3718BEDB">
            <w:pPr>
              <w:spacing w:before="8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869" w:type="dxa"/>
            <w:vAlign w:val="top"/>
          </w:tcPr>
          <w:p w14:paraId="510D6A73">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72125B9">
            <w:pPr>
              <w:rPr>
                <w:rFonts w:ascii="Arial"/>
                <w:sz w:val="21"/>
              </w:rPr>
            </w:pPr>
          </w:p>
        </w:tc>
      </w:tr>
      <w:tr w14:paraId="76BF7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F20A095">
            <w:pPr>
              <w:rPr>
                <w:rFonts w:ascii="Arial"/>
                <w:sz w:val="21"/>
              </w:rPr>
            </w:pPr>
          </w:p>
        </w:tc>
        <w:tc>
          <w:tcPr>
            <w:tcW w:w="113" w:type="dxa"/>
            <w:tcBorders>
              <w:top w:val="nil"/>
              <w:bottom w:val="nil"/>
            </w:tcBorders>
            <w:vAlign w:val="top"/>
          </w:tcPr>
          <w:p w14:paraId="3B8C1868">
            <w:pPr>
              <w:rPr>
                <w:rFonts w:ascii="Arial"/>
                <w:sz w:val="21"/>
              </w:rPr>
            </w:pPr>
          </w:p>
        </w:tc>
        <w:tc>
          <w:tcPr>
            <w:tcW w:w="648" w:type="dxa"/>
            <w:vAlign w:val="top"/>
          </w:tcPr>
          <w:p w14:paraId="04C3B15B">
            <w:pPr>
              <w:spacing w:before="8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01" w:type="dxa"/>
            <w:vAlign w:val="top"/>
          </w:tcPr>
          <w:p w14:paraId="29EC7AF7">
            <w:pPr>
              <w:pStyle w:val="6"/>
              <w:spacing w:before="48"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铅</w:t>
            </w:r>
          </w:p>
        </w:tc>
        <w:tc>
          <w:tcPr>
            <w:tcW w:w="924" w:type="dxa"/>
            <w:vAlign w:val="top"/>
          </w:tcPr>
          <w:p w14:paraId="66E4021F">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AED3494">
            <w:pPr>
              <w:spacing w:before="85"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00" w:type="dxa"/>
            <w:vAlign w:val="top"/>
          </w:tcPr>
          <w:p w14:paraId="243B99B9">
            <w:pPr>
              <w:spacing w:before="85"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68" w:type="dxa"/>
            <w:vAlign w:val="top"/>
          </w:tcPr>
          <w:p w14:paraId="2D325CBC">
            <w:pPr>
              <w:spacing w:before="8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869" w:type="dxa"/>
            <w:vAlign w:val="top"/>
          </w:tcPr>
          <w:p w14:paraId="3983AA1E">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C61CD49">
            <w:pPr>
              <w:rPr>
                <w:rFonts w:ascii="Arial"/>
                <w:sz w:val="21"/>
              </w:rPr>
            </w:pPr>
          </w:p>
        </w:tc>
      </w:tr>
      <w:tr w14:paraId="0CF66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95F0FFD">
            <w:pPr>
              <w:rPr>
                <w:rFonts w:ascii="Arial"/>
                <w:sz w:val="21"/>
              </w:rPr>
            </w:pPr>
          </w:p>
        </w:tc>
        <w:tc>
          <w:tcPr>
            <w:tcW w:w="113" w:type="dxa"/>
            <w:tcBorders>
              <w:top w:val="nil"/>
              <w:bottom w:val="nil"/>
            </w:tcBorders>
            <w:vAlign w:val="top"/>
          </w:tcPr>
          <w:p w14:paraId="1C3E6C1C">
            <w:pPr>
              <w:rPr>
                <w:rFonts w:ascii="Arial"/>
                <w:sz w:val="21"/>
              </w:rPr>
            </w:pPr>
          </w:p>
        </w:tc>
        <w:tc>
          <w:tcPr>
            <w:tcW w:w="648" w:type="dxa"/>
            <w:vAlign w:val="top"/>
          </w:tcPr>
          <w:p w14:paraId="0D296D58">
            <w:pPr>
              <w:spacing w:before="8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01" w:type="dxa"/>
            <w:vAlign w:val="top"/>
          </w:tcPr>
          <w:p w14:paraId="7284F91F">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汞</w:t>
            </w:r>
          </w:p>
        </w:tc>
        <w:tc>
          <w:tcPr>
            <w:tcW w:w="924" w:type="dxa"/>
            <w:vAlign w:val="top"/>
          </w:tcPr>
          <w:p w14:paraId="6F2029F8">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57A6696">
            <w:pPr>
              <w:spacing w:before="8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0.093</w:t>
            </w:r>
          </w:p>
        </w:tc>
        <w:tc>
          <w:tcPr>
            <w:tcW w:w="1300" w:type="dxa"/>
            <w:vAlign w:val="top"/>
          </w:tcPr>
          <w:p w14:paraId="0BB721E7">
            <w:pPr>
              <w:spacing w:before="8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0.097</w:t>
            </w:r>
          </w:p>
        </w:tc>
        <w:tc>
          <w:tcPr>
            <w:tcW w:w="1068" w:type="dxa"/>
            <w:vAlign w:val="top"/>
          </w:tcPr>
          <w:p w14:paraId="6916A880">
            <w:pPr>
              <w:spacing w:before="8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869" w:type="dxa"/>
            <w:vAlign w:val="top"/>
          </w:tcPr>
          <w:p w14:paraId="50C12B4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1D7575A2">
            <w:pPr>
              <w:rPr>
                <w:rFonts w:ascii="Arial"/>
                <w:sz w:val="21"/>
              </w:rPr>
            </w:pPr>
          </w:p>
        </w:tc>
      </w:tr>
      <w:tr w14:paraId="51731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149D429">
            <w:pPr>
              <w:rPr>
                <w:rFonts w:ascii="Arial"/>
                <w:sz w:val="21"/>
              </w:rPr>
            </w:pPr>
          </w:p>
        </w:tc>
        <w:tc>
          <w:tcPr>
            <w:tcW w:w="113" w:type="dxa"/>
            <w:tcBorders>
              <w:top w:val="nil"/>
              <w:bottom w:val="nil"/>
            </w:tcBorders>
            <w:vAlign w:val="top"/>
          </w:tcPr>
          <w:p w14:paraId="21BB0B3C">
            <w:pPr>
              <w:rPr>
                <w:rFonts w:ascii="Arial"/>
                <w:sz w:val="21"/>
              </w:rPr>
            </w:pPr>
          </w:p>
        </w:tc>
        <w:tc>
          <w:tcPr>
            <w:tcW w:w="648" w:type="dxa"/>
            <w:vAlign w:val="top"/>
          </w:tcPr>
          <w:p w14:paraId="248EFCBA">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01" w:type="dxa"/>
            <w:vAlign w:val="top"/>
          </w:tcPr>
          <w:p w14:paraId="40929300">
            <w:pPr>
              <w:pStyle w:val="6"/>
              <w:spacing w:before="49"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镍</w:t>
            </w:r>
          </w:p>
        </w:tc>
        <w:tc>
          <w:tcPr>
            <w:tcW w:w="924" w:type="dxa"/>
            <w:vAlign w:val="top"/>
          </w:tcPr>
          <w:p w14:paraId="4C0C4AA9">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D8E5054">
            <w:pPr>
              <w:spacing w:before="8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300" w:type="dxa"/>
            <w:vAlign w:val="top"/>
          </w:tcPr>
          <w:p w14:paraId="769AD6CD">
            <w:pPr>
              <w:spacing w:before="84"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68" w:type="dxa"/>
            <w:vAlign w:val="top"/>
          </w:tcPr>
          <w:p w14:paraId="2EE485A2">
            <w:pPr>
              <w:spacing w:before="84"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869" w:type="dxa"/>
            <w:vAlign w:val="top"/>
          </w:tcPr>
          <w:p w14:paraId="53E495F6">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384EF98F">
            <w:pPr>
              <w:rPr>
                <w:rFonts w:ascii="Arial"/>
                <w:sz w:val="21"/>
              </w:rPr>
            </w:pPr>
          </w:p>
        </w:tc>
      </w:tr>
      <w:tr w14:paraId="09FA8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F7EA10C">
            <w:pPr>
              <w:rPr>
                <w:rFonts w:ascii="Arial"/>
                <w:sz w:val="21"/>
              </w:rPr>
            </w:pPr>
          </w:p>
        </w:tc>
        <w:tc>
          <w:tcPr>
            <w:tcW w:w="113" w:type="dxa"/>
            <w:tcBorders>
              <w:top w:val="nil"/>
              <w:bottom w:val="nil"/>
            </w:tcBorders>
            <w:vAlign w:val="top"/>
          </w:tcPr>
          <w:p w14:paraId="690EC8CA">
            <w:pPr>
              <w:rPr>
                <w:rFonts w:ascii="Arial"/>
                <w:sz w:val="21"/>
              </w:rPr>
            </w:pPr>
          </w:p>
        </w:tc>
        <w:tc>
          <w:tcPr>
            <w:tcW w:w="648" w:type="dxa"/>
            <w:vAlign w:val="top"/>
          </w:tcPr>
          <w:p w14:paraId="616B287C">
            <w:pPr>
              <w:spacing w:before="84"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901" w:type="dxa"/>
            <w:vAlign w:val="top"/>
          </w:tcPr>
          <w:p w14:paraId="639F1745">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苯酚</w:t>
            </w:r>
          </w:p>
        </w:tc>
        <w:tc>
          <w:tcPr>
            <w:tcW w:w="924" w:type="dxa"/>
            <w:vAlign w:val="top"/>
          </w:tcPr>
          <w:p w14:paraId="69A24595">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43A2898">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F85FEC9">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E36F0E3">
            <w:pPr>
              <w:spacing w:before="80"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9" w:type="dxa"/>
            <w:vAlign w:val="top"/>
          </w:tcPr>
          <w:p w14:paraId="7AC3C43B">
            <w:pPr>
              <w:spacing w:before="80"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8" w:type="dxa"/>
            <w:tcBorders>
              <w:top w:val="nil"/>
              <w:bottom w:val="nil"/>
            </w:tcBorders>
            <w:vAlign w:val="top"/>
          </w:tcPr>
          <w:p w14:paraId="1F36F51F">
            <w:pPr>
              <w:rPr>
                <w:rFonts w:ascii="Arial"/>
                <w:sz w:val="21"/>
              </w:rPr>
            </w:pPr>
          </w:p>
        </w:tc>
      </w:tr>
      <w:tr w14:paraId="1D7F421F">
        <w:tblPrEx>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CEFF59">
            <w:pPr>
              <w:rPr>
                <w:rFonts w:ascii="Arial"/>
                <w:sz w:val="21"/>
              </w:rPr>
            </w:pPr>
          </w:p>
        </w:tc>
        <w:tc>
          <w:tcPr>
            <w:tcW w:w="113" w:type="dxa"/>
            <w:tcBorders>
              <w:top w:val="nil"/>
              <w:bottom w:val="nil"/>
            </w:tcBorders>
            <w:vAlign w:val="top"/>
          </w:tcPr>
          <w:p w14:paraId="32B17183">
            <w:pPr>
              <w:rPr>
                <w:rFonts w:ascii="Arial"/>
                <w:sz w:val="21"/>
              </w:rPr>
            </w:pPr>
          </w:p>
        </w:tc>
        <w:tc>
          <w:tcPr>
            <w:tcW w:w="648" w:type="dxa"/>
            <w:vAlign w:val="top"/>
          </w:tcPr>
          <w:p w14:paraId="79DCB8A8">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901" w:type="dxa"/>
            <w:vAlign w:val="top"/>
          </w:tcPr>
          <w:p w14:paraId="7C5CAEA8">
            <w:pPr>
              <w:pStyle w:val="6"/>
              <w:spacing w:before="48" w:line="228" w:lineRule="auto"/>
              <w:ind w:left="610"/>
              <w:rPr>
                <w:sz w:val="20"/>
                <w:szCs w:val="20"/>
              </w:rPr>
            </w:pPr>
            <w:r>
              <w:rPr>
                <w:rFonts w:ascii="Times New Roman" w:hAnsi="Times New Roman" w:eastAsia="Times New Roman" w:cs="Times New Roman"/>
                <w:spacing w:val="2"/>
                <w:sz w:val="20"/>
                <w:szCs w:val="20"/>
              </w:rPr>
              <w:t>*2-</w:t>
            </w:r>
            <w:r>
              <w:rPr>
                <w:spacing w:val="2"/>
                <w:sz w:val="20"/>
                <w:szCs w:val="20"/>
              </w:rPr>
              <w:t>氯酚</w:t>
            </w:r>
          </w:p>
        </w:tc>
        <w:tc>
          <w:tcPr>
            <w:tcW w:w="924" w:type="dxa"/>
            <w:vAlign w:val="top"/>
          </w:tcPr>
          <w:p w14:paraId="3424847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A3B0680">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0FA3320">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244D00C">
            <w:pPr>
              <w:spacing w:before="84"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2256</w:t>
            </w:r>
          </w:p>
        </w:tc>
        <w:tc>
          <w:tcPr>
            <w:tcW w:w="869" w:type="dxa"/>
            <w:vAlign w:val="top"/>
          </w:tcPr>
          <w:p w14:paraId="6DE73B5A">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655D7B12">
            <w:pPr>
              <w:rPr>
                <w:rFonts w:ascii="Arial"/>
                <w:sz w:val="21"/>
              </w:rPr>
            </w:pPr>
          </w:p>
        </w:tc>
      </w:tr>
      <w:tr w14:paraId="1B60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9D528F8">
            <w:pPr>
              <w:rPr>
                <w:rFonts w:ascii="Arial"/>
                <w:sz w:val="21"/>
              </w:rPr>
            </w:pPr>
          </w:p>
        </w:tc>
        <w:tc>
          <w:tcPr>
            <w:tcW w:w="113" w:type="dxa"/>
            <w:tcBorders>
              <w:top w:val="nil"/>
              <w:bottom w:val="nil"/>
            </w:tcBorders>
            <w:vAlign w:val="top"/>
          </w:tcPr>
          <w:p w14:paraId="2D4CFD5B">
            <w:pPr>
              <w:rPr>
                <w:rFonts w:ascii="Arial"/>
                <w:sz w:val="21"/>
              </w:rPr>
            </w:pPr>
          </w:p>
        </w:tc>
        <w:tc>
          <w:tcPr>
            <w:tcW w:w="648" w:type="dxa"/>
            <w:vAlign w:val="top"/>
          </w:tcPr>
          <w:p w14:paraId="63E4AE17">
            <w:pPr>
              <w:spacing w:before="8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901" w:type="dxa"/>
            <w:vAlign w:val="top"/>
          </w:tcPr>
          <w:p w14:paraId="3D3F67DF">
            <w:pPr>
              <w:pStyle w:val="6"/>
              <w:spacing w:before="47" w:line="221"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spacing w:val="4"/>
                <w:sz w:val="20"/>
                <w:szCs w:val="20"/>
              </w:rPr>
              <w:t>石油烃</w:t>
            </w:r>
            <w:r>
              <w:rPr>
                <w:rFonts w:ascii="Times New Roman" w:hAnsi="Times New Roman" w:eastAsia="Times New Roman" w:cs="Times New Roman"/>
                <w:spacing w:val="4"/>
                <w:sz w:val="20"/>
                <w:szCs w:val="20"/>
              </w:rPr>
              <w:t>(C10-C40)</w:t>
            </w:r>
          </w:p>
        </w:tc>
        <w:tc>
          <w:tcPr>
            <w:tcW w:w="924" w:type="dxa"/>
            <w:vAlign w:val="top"/>
          </w:tcPr>
          <w:p w14:paraId="0475B2FB">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47C44E4">
            <w:pPr>
              <w:spacing w:before="86"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00" w:type="dxa"/>
            <w:vAlign w:val="top"/>
          </w:tcPr>
          <w:p w14:paraId="4B34D25C">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AB7611F">
            <w:pPr>
              <w:spacing w:before="86"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869" w:type="dxa"/>
            <w:vAlign w:val="top"/>
          </w:tcPr>
          <w:p w14:paraId="0CD2EE6E">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9884419">
            <w:pPr>
              <w:rPr>
                <w:rFonts w:ascii="Arial"/>
                <w:sz w:val="21"/>
              </w:rPr>
            </w:pPr>
          </w:p>
        </w:tc>
      </w:tr>
      <w:tr w14:paraId="5220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351168C">
            <w:pPr>
              <w:rPr>
                <w:rFonts w:ascii="Arial"/>
                <w:sz w:val="21"/>
              </w:rPr>
            </w:pPr>
          </w:p>
        </w:tc>
        <w:tc>
          <w:tcPr>
            <w:tcW w:w="113" w:type="dxa"/>
            <w:tcBorders>
              <w:top w:val="nil"/>
              <w:bottom w:val="nil"/>
            </w:tcBorders>
            <w:vAlign w:val="top"/>
          </w:tcPr>
          <w:p w14:paraId="028CC284">
            <w:pPr>
              <w:rPr>
                <w:rFonts w:ascii="Arial"/>
                <w:sz w:val="21"/>
              </w:rPr>
            </w:pPr>
          </w:p>
        </w:tc>
        <w:tc>
          <w:tcPr>
            <w:tcW w:w="648" w:type="dxa"/>
            <w:vAlign w:val="top"/>
          </w:tcPr>
          <w:p w14:paraId="0DA13D57">
            <w:pPr>
              <w:spacing w:before="8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901" w:type="dxa"/>
            <w:vAlign w:val="top"/>
          </w:tcPr>
          <w:p w14:paraId="38528268">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氯甲烷</w:t>
            </w:r>
          </w:p>
        </w:tc>
        <w:tc>
          <w:tcPr>
            <w:tcW w:w="924" w:type="dxa"/>
            <w:vAlign w:val="top"/>
          </w:tcPr>
          <w:p w14:paraId="5205F44C">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0DFA28F">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BE00FAF">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8C0B6F3">
            <w:pPr>
              <w:spacing w:before="8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869" w:type="dxa"/>
            <w:vAlign w:val="top"/>
          </w:tcPr>
          <w:p w14:paraId="65CFC359">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1420A15">
            <w:pPr>
              <w:rPr>
                <w:rFonts w:ascii="Arial"/>
                <w:sz w:val="21"/>
              </w:rPr>
            </w:pPr>
          </w:p>
        </w:tc>
      </w:tr>
      <w:tr w14:paraId="15502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C90919">
            <w:pPr>
              <w:rPr>
                <w:rFonts w:ascii="Arial"/>
                <w:sz w:val="21"/>
              </w:rPr>
            </w:pPr>
          </w:p>
        </w:tc>
        <w:tc>
          <w:tcPr>
            <w:tcW w:w="113" w:type="dxa"/>
            <w:tcBorders>
              <w:top w:val="nil"/>
              <w:bottom w:val="nil"/>
            </w:tcBorders>
            <w:vAlign w:val="top"/>
          </w:tcPr>
          <w:p w14:paraId="72FF9E29">
            <w:pPr>
              <w:rPr>
                <w:rFonts w:ascii="Arial"/>
                <w:sz w:val="21"/>
              </w:rPr>
            </w:pPr>
          </w:p>
        </w:tc>
        <w:tc>
          <w:tcPr>
            <w:tcW w:w="648" w:type="dxa"/>
            <w:vAlign w:val="top"/>
          </w:tcPr>
          <w:p w14:paraId="42E5DF15">
            <w:pPr>
              <w:spacing w:before="8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901" w:type="dxa"/>
            <w:vAlign w:val="top"/>
          </w:tcPr>
          <w:p w14:paraId="20FA83B0">
            <w:pPr>
              <w:pStyle w:val="6"/>
              <w:spacing w:before="49" w:line="227" w:lineRule="auto"/>
              <w:ind w:left="593"/>
              <w:rPr>
                <w:sz w:val="20"/>
                <w:szCs w:val="20"/>
              </w:rPr>
            </w:pPr>
            <w:r>
              <w:rPr>
                <w:rFonts w:ascii="Times New Roman" w:hAnsi="Times New Roman" w:eastAsia="Times New Roman" w:cs="Times New Roman"/>
                <w:spacing w:val="4"/>
                <w:sz w:val="20"/>
                <w:szCs w:val="20"/>
              </w:rPr>
              <w:t>*</w:t>
            </w:r>
            <w:r>
              <w:rPr>
                <w:spacing w:val="4"/>
                <w:sz w:val="20"/>
                <w:szCs w:val="20"/>
              </w:rPr>
              <w:t>硝基苯</w:t>
            </w:r>
          </w:p>
        </w:tc>
        <w:tc>
          <w:tcPr>
            <w:tcW w:w="924" w:type="dxa"/>
            <w:vAlign w:val="top"/>
          </w:tcPr>
          <w:p w14:paraId="1DE351A5">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90FEF0E">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15DF326">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FA10DCB">
            <w:pPr>
              <w:spacing w:before="85"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869" w:type="dxa"/>
            <w:vAlign w:val="top"/>
          </w:tcPr>
          <w:p w14:paraId="47701A44">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00A0CA96">
            <w:pPr>
              <w:rPr>
                <w:rFonts w:ascii="Arial"/>
                <w:sz w:val="21"/>
              </w:rPr>
            </w:pPr>
          </w:p>
        </w:tc>
      </w:tr>
      <w:tr w14:paraId="6A674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C7BDEE">
            <w:pPr>
              <w:rPr>
                <w:rFonts w:ascii="Arial"/>
                <w:sz w:val="21"/>
              </w:rPr>
            </w:pPr>
          </w:p>
        </w:tc>
        <w:tc>
          <w:tcPr>
            <w:tcW w:w="113" w:type="dxa"/>
            <w:tcBorders>
              <w:top w:val="nil"/>
              <w:bottom w:val="nil"/>
            </w:tcBorders>
            <w:vAlign w:val="top"/>
          </w:tcPr>
          <w:p w14:paraId="6146DAF3">
            <w:pPr>
              <w:rPr>
                <w:rFonts w:ascii="Arial"/>
                <w:sz w:val="21"/>
              </w:rPr>
            </w:pPr>
          </w:p>
        </w:tc>
        <w:tc>
          <w:tcPr>
            <w:tcW w:w="648" w:type="dxa"/>
            <w:vAlign w:val="top"/>
          </w:tcPr>
          <w:p w14:paraId="387E6DB3">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901" w:type="dxa"/>
            <w:vAlign w:val="top"/>
          </w:tcPr>
          <w:p w14:paraId="7DFD218F">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苯胺</w:t>
            </w:r>
          </w:p>
        </w:tc>
        <w:tc>
          <w:tcPr>
            <w:tcW w:w="924" w:type="dxa"/>
            <w:vAlign w:val="top"/>
          </w:tcPr>
          <w:p w14:paraId="231BBC46">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2A1E591">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B9F2746">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317682D">
            <w:pPr>
              <w:spacing w:before="8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260</w:t>
            </w:r>
          </w:p>
        </w:tc>
        <w:tc>
          <w:tcPr>
            <w:tcW w:w="869" w:type="dxa"/>
            <w:vAlign w:val="top"/>
          </w:tcPr>
          <w:p w14:paraId="672D349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01DCDE39">
            <w:pPr>
              <w:rPr>
                <w:rFonts w:ascii="Arial"/>
                <w:sz w:val="21"/>
              </w:rPr>
            </w:pPr>
          </w:p>
        </w:tc>
      </w:tr>
      <w:tr w14:paraId="6A937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6545920">
            <w:pPr>
              <w:rPr>
                <w:rFonts w:ascii="Arial"/>
                <w:sz w:val="21"/>
              </w:rPr>
            </w:pPr>
          </w:p>
        </w:tc>
        <w:tc>
          <w:tcPr>
            <w:tcW w:w="113" w:type="dxa"/>
            <w:tcBorders>
              <w:top w:val="nil"/>
              <w:bottom w:val="nil"/>
            </w:tcBorders>
            <w:vAlign w:val="top"/>
          </w:tcPr>
          <w:p w14:paraId="2209297A">
            <w:pPr>
              <w:rPr>
                <w:rFonts w:ascii="Arial"/>
                <w:sz w:val="21"/>
              </w:rPr>
            </w:pPr>
          </w:p>
        </w:tc>
        <w:tc>
          <w:tcPr>
            <w:tcW w:w="648" w:type="dxa"/>
            <w:vAlign w:val="top"/>
          </w:tcPr>
          <w:p w14:paraId="66319B79">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901" w:type="dxa"/>
            <w:vAlign w:val="top"/>
          </w:tcPr>
          <w:p w14:paraId="3E89965C">
            <w:pPr>
              <w:pStyle w:val="6"/>
              <w:spacing w:before="48" w:line="227" w:lineRule="auto"/>
              <w:ind w:left="802"/>
              <w:rPr>
                <w:sz w:val="20"/>
                <w:szCs w:val="20"/>
              </w:rPr>
            </w:pPr>
            <w:r>
              <w:rPr>
                <w:rFonts w:ascii="Times New Roman" w:hAnsi="Times New Roman" w:eastAsia="Times New Roman" w:cs="Times New Roman"/>
                <w:spacing w:val="-1"/>
                <w:sz w:val="20"/>
                <w:szCs w:val="20"/>
              </w:rPr>
              <w:t>*</w:t>
            </w:r>
            <w:r>
              <w:rPr>
                <w:spacing w:val="-1"/>
                <w:sz w:val="20"/>
                <w:szCs w:val="20"/>
              </w:rPr>
              <w:t>苯</w:t>
            </w:r>
          </w:p>
        </w:tc>
        <w:tc>
          <w:tcPr>
            <w:tcW w:w="924" w:type="dxa"/>
            <w:vAlign w:val="top"/>
          </w:tcPr>
          <w:p w14:paraId="2D13F806">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72C826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2C72BEB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DC2ABA4">
            <w:pPr>
              <w:spacing w:before="84"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69" w:type="dxa"/>
            <w:vAlign w:val="top"/>
          </w:tcPr>
          <w:p w14:paraId="7CDD895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27892405">
            <w:pPr>
              <w:rPr>
                <w:rFonts w:ascii="Arial"/>
                <w:sz w:val="21"/>
              </w:rPr>
            </w:pPr>
          </w:p>
        </w:tc>
      </w:tr>
      <w:tr w14:paraId="2EC13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651621">
            <w:pPr>
              <w:rPr>
                <w:rFonts w:ascii="Arial"/>
                <w:sz w:val="21"/>
              </w:rPr>
            </w:pPr>
          </w:p>
        </w:tc>
        <w:tc>
          <w:tcPr>
            <w:tcW w:w="113" w:type="dxa"/>
            <w:tcBorders>
              <w:top w:val="nil"/>
              <w:bottom w:val="nil"/>
            </w:tcBorders>
            <w:vAlign w:val="top"/>
          </w:tcPr>
          <w:p w14:paraId="11473990">
            <w:pPr>
              <w:rPr>
                <w:rFonts w:ascii="Arial"/>
                <w:sz w:val="21"/>
              </w:rPr>
            </w:pPr>
          </w:p>
        </w:tc>
        <w:tc>
          <w:tcPr>
            <w:tcW w:w="648" w:type="dxa"/>
            <w:vAlign w:val="top"/>
          </w:tcPr>
          <w:p w14:paraId="1F2A7E19">
            <w:pPr>
              <w:spacing w:before="8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901" w:type="dxa"/>
            <w:vAlign w:val="top"/>
          </w:tcPr>
          <w:p w14:paraId="386EE07C">
            <w:pPr>
              <w:pStyle w:val="6"/>
              <w:spacing w:before="48"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甲苯</w:t>
            </w:r>
          </w:p>
        </w:tc>
        <w:tc>
          <w:tcPr>
            <w:tcW w:w="924" w:type="dxa"/>
            <w:vAlign w:val="top"/>
          </w:tcPr>
          <w:p w14:paraId="63656493">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3238ABE">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4395F19">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8073073">
            <w:pPr>
              <w:spacing w:before="84"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869" w:type="dxa"/>
            <w:vAlign w:val="top"/>
          </w:tcPr>
          <w:p w14:paraId="79E78D95">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F1B96E6">
            <w:pPr>
              <w:rPr>
                <w:rFonts w:ascii="Arial"/>
                <w:sz w:val="21"/>
              </w:rPr>
            </w:pPr>
          </w:p>
        </w:tc>
      </w:tr>
      <w:tr w14:paraId="358A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B79F2D">
            <w:pPr>
              <w:rPr>
                <w:rFonts w:ascii="Arial"/>
                <w:sz w:val="21"/>
              </w:rPr>
            </w:pPr>
          </w:p>
        </w:tc>
        <w:tc>
          <w:tcPr>
            <w:tcW w:w="113" w:type="dxa"/>
            <w:tcBorders>
              <w:top w:val="nil"/>
              <w:bottom w:val="nil"/>
            </w:tcBorders>
            <w:vAlign w:val="top"/>
          </w:tcPr>
          <w:p w14:paraId="6EC73AE7">
            <w:pPr>
              <w:rPr>
                <w:rFonts w:ascii="Arial"/>
                <w:sz w:val="21"/>
              </w:rPr>
            </w:pPr>
          </w:p>
        </w:tc>
        <w:tc>
          <w:tcPr>
            <w:tcW w:w="648" w:type="dxa"/>
            <w:vAlign w:val="top"/>
          </w:tcPr>
          <w:p w14:paraId="2E914845">
            <w:pPr>
              <w:spacing w:before="8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901" w:type="dxa"/>
            <w:vAlign w:val="top"/>
          </w:tcPr>
          <w:p w14:paraId="749C7197">
            <w:pPr>
              <w:pStyle w:val="6"/>
              <w:spacing w:before="47"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氯苯</w:t>
            </w:r>
          </w:p>
        </w:tc>
        <w:tc>
          <w:tcPr>
            <w:tcW w:w="924" w:type="dxa"/>
            <w:vAlign w:val="top"/>
          </w:tcPr>
          <w:p w14:paraId="1CDE0456">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4AB7C25">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1C414B9">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7EE4A6F">
            <w:pPr>
              <w:spacing w:before="8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869" w:type="dxa"/>
            <w:vAlign w:val="top"/>
          </w:tcPr>
          <w:p w14:paraId="11806EAC">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959095C">
            <w:pPr>
              <w:rPr>
                <w:rFonts w:ascii="Arial"/>
                <w:sz w:val="21"/>
              </w:rPr>
            </w:pPr>
          </w:p>
        </w:tc>
      </w:tr>
      <w:tr w14:paraId="06385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3B3E182">
            <w:pPr>
              <w:rPr>
                <w:rFonts w:ascii="Arial"/>
                <w:sz w:val="21"/>
              </w:rPr>
            </w:pPr>
          </w:p>
        </w:tc>
        <w:tc>
          <w:tcPr>
            <w:tcW w:w="113" w:type="dxa"/>
            <w:tcBorders>
              <w:top w:val="nil"/>
              <w:bottom w:val="nil"/>
            </w:tcBorders>
            <w:vAlign w:val="top"/>
          </w:tcPr>
          <w:p w14:paraId="027EF0E2">
            <w:pPr>
              <w:rPr>
                <w:rFonts w:ascii="Arial"/>
                <w:sz w:val="21"/>
              </w:rPr>
            </w:pPr>
          </w:p>
        </w:tc>
        <w:tc>
          <w:tcPr>
            <w:tcW w:w="648" w:type="dxa"/>
            <w:vAlign w:val="top"/>
          </w:tcPr>
          <w:p w14:paraId="570B7587">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01" w:type="dxa"/>
            <w:vAlign w:val="top"/>
          </w:tcPr>
          <w:p w14:paraId="55288639">
            <w:pPr>
              <w:pStyle w:val="6"/>
              <w:spacing w:before="47"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乙苯</w:t>
            </w:r>
          </w:p>
        </w:tc>
        <w:tc>
          <w:tcPr>
            <w:tcW w:w="924" w:type="dxa"/>
            <w:vAlign w:val="top"/>
          </w:tcPr>
          <w:p w14:paraId="75A5884B">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7AA5353">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8318831">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6A1DF24">
            <w:pPr>
              <w:spacing w:before="8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6B0017E8">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049B074F">
            <w:pPr>
              <w:rPr>
                <w:rFonts w:ascii="Arial"/>
                <w:sz w:val="21"/>
              </w:rPr>
            </w:pPr>
          </w:p>
        </w:tc>
      </w:tr>
      <w:tr w14:paraId="2C4D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2A58B6C">
            <w:pPr>
              <w:rPr>
                <w:rFonts w:ascii="Arial"/>
                <w:sz w:val="21"/>
              </w:rPr>
            </w:pPr>
          </w:p>
        </w:tc>
        <w:tc>
          <w:tcPr>
            <w:tcW w:w="113" w:type="dxa"/>
            <w:tcBorders>
              <w:top w:val="nil"/>
              <w:bottom w:val="nil"/>
            </w:tcBorders>
            <w:vAlign w:val="top"/>
          </w:tcPr>
          <w:p w14:paraId="10F438BC">
            <w:pPr>
              <w:rPr>
                <w:rFonts w:ascii="Arial"/>
                <w:sz w:val="21"/>
              </w:rPr>
            </w:pPr>
          </w:p>
        </w:tc>
        <w:tc>
          <w:tcPr>
            <w:tcW w:w="648" w:type="dxa"/>
            <w:vAlign w:val="top"/>
          </w:tcPr>
          <w:p w14:paraId="2627C0A0">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901" w:type="dxa"/>
            <w:vAlign w:val="top"/>
          </w:tcPr>
          <w:p w14:paraId="46F9D1B6">
            <w:pPr>
              <w:pStyle w:val="6"/>
              <w:spacing w:before="49" w:line="221" w:lineRule="auto"/>
              <w:ind w:left="322"/>
              <w:rPr>
                <w:sz w:val="20"/>
                <w:szCs w:val="20"/>
              </w:rPr>
            </w:pPr>
            <w:r>
              <w:rPr>
                <w:rFonts w:ascii="Times New Roman" w:hAnsi="Times New Roman" w:eastAsia="Times New Roman" w:cs="Times New Roman"/>
                <w:spacing w:val="5"/>
                <w:sz w:val="20"/>
                <w:szCs w:val="20"/>
              </w:rPr>
              <w:t>*</w:t>
            </w:r>
            <w:r>
              <w:rPr>
                <w:spacing w:val="5"/>
                <w:sz w:val="20"/>
                <w:szCs w:val="20"/>
              </w:rPr>
              <w:t>间</w:t>
            </w:r>
            <w:r>
              <w:rPr>
                <w:rFonts w:ascii="Times New Roman" w:hAnsi="Times New Roman" w:eastAsia="Times New Roman" w:cs="Times New Roman"/>
                <w:spacing w:val="5"/>
                <w:sz w:val="20"/>
                <w:szCs w:val="20"/>
              </w:rPr>
              <w:t>,</w:t>
            </w:r>
            <w:r>
              <w:rPr>
                <w:spacing w:val="5"/>
                <w:sz w:val="20"/>
                <w:szCs w:val="20"/>
              </w:rPr>
              <w:t>对</w:t>
            </w:r>
            <w:r>
              <w:rPr>
                <w:rFonts w:ascii="Times New Roman" w:hAnsi="Times New Roman" w:eastAsia="Times New Roman" w:cs="Times New Roman"/>
                <w:spacing w:val="5"/>
                <w:sz w:val="20"/>
                <w:szCs w:val="20"/>
              </w:rPr>
              <w:t>-</w:t>
            </w:r>
            <w:r>
              <w:rPr>
                <w:spacing w:val="5"/>
                <w:sz w:val="20"/>
                <w:szCs w:val="20"/>
              </w:rPr>
              <w:t>二甲苯</w:t>
            </w:r>
          </w:p>
        </w:tc>
        <w:tc>
          <w:tcPr>
            <w:tcW w:w="924" w:type="dxa"/>
            <w:vAlign w:val="top"/>
          </w:tcPr>
          <w:p w14:paraId="060EA24D">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F862CA9">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CC1147E">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B0C4C17">
            <w:pPr>
              <w:spacing w:before="85"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570</w:t>
            </w:r>
          </w:p>
        </w:tc>
        <w:tc>
          <w:tcPr>
            <w:tcW w:w="869" w:type="dxa"/>
            <w:vAlign w:val="top"/>
          </w:tcPr>
          <w:p w14:paraId="7F8E360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B80815B">
            <w:pPr>
              <w:rPr>
                <w:rFonts w:ascii="Arial"/>
                <w:sz w:val="21"/>
              </w:rPr>
            </w:pPr>
          </w:p>
        </w:tc>
      </w:tr>
      <w:tr w14:paraId="2675F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ADB011B">
            <w:pPr>
              <w:rPr>
                <w:rFonts w:ascii="Arial"/>
                <w:sz w:val="21"/>
              </w:rPr>
            </w:pPr>
          </w:p>
        </w:tc>
        <w:tc>
          <w:tcPr>
            <w:tcW w:w="113" w:type="dxa"/>
            <w:tcBorders>
              <w:top w:val="nil"/>
              <w:bottom w:val="nil"/>
            </w:tcBorders>
            <w:vAlign w:val="top"/>
          </w:tcPr>
          <w:p w14:paraId="457DEC94">
            <w:pPr>
              <w:rPr>
                <w:rFonts w:ascii="Arial"/>
                <w:sz w:val="21"/>
              </w:rPr>
            </w:pPr>
          </w:p>
        </w:tc>
        <w:tc>
          <w:tcPr>
            <w:tcW w:w="648" w:type="dxa"/>
            <w:vAlign w:val="top"/>
          </w:tcPr>
          <w:p w14:paraId="50D7672A">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901" w:type="dxa"/>
            <w:vAlign w:val="top"/>
          </w:tcPr>
          <w:p w14:paraId="4D980DCC">
            <w:pPr>
              <w:pStyle w:val="6"/>
              <w:spacing w:before="48" w:line="227" w:lineRule="auto"/>
              <w:ind w:left="452"/>
              <w:rPr>
                <w:sz w:val="20"/>
                <w:szCs w:val="20"/>
              </w:rPr>
            </w:pPr>
            <w:r>
              <w:rPr>
                <w:rFonts w:ascii="Times New Roman" w:hAnsi="Times New Roman" w:eastAsia="Times New Roman" w:cs="Times New Roman"/>
                <w:spacing w:val="5"/>
                <w:sz w:val="20"/>
                <w:szCs w:val="20"/>
              </w:rPr>
              <w:t>*</w:t>
            </w:r>
            <w:r>
              <w:rPr>
                <w:spacing w:val="5"/>
                <w:sz w:val="20"/>
                <w:szCs w:val="20"/>
              </w:rPr>
              <w:t>邻</w:t>
            </w:r>
            <w:r>
              <w:rPr>
                <w:rFonts w:ascii="Times New Roman" w:hAnsi="Times New Roman" w:eastAsia="Times New Roman" w:cs="Times New Roman"/>
                <w:spacing w:val="5"/>
                <w:sz w:val="20"/>
                <w:szCs w:val="20"/>
              </w:rPr>
              <w:t>-</w:t>
            </w:r>
            <w:r>
              <w:rPr>
                <w:spacing w:val="5"/>
                <w:sz w:val="20"/>
                <w:szCs w:val="20"/>
              </w:rPr>
              <w:t>二甲苯</w:t>
            </w:r>
          </w:p>
        </w:tc>
        <w:tc>
          <w:tcPr>
            <w:tcW w:w="924" w:type="dxa"/>
            <w:vAlign w:val="top"/>
          </w:tcPr>
          <w:p w14:paraId="61412321">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732C27B">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AAAC138">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2AC8A20">
            <w:pPr>
              <w:spacing w:before="84"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640</w:t>
            </w:r>
          </w:p>
        </w:tc>
        <w:tc>
          <w:tcPr>
            <w:tcW w:w="869" w:type="dxa"/>
            <w:vAlign w:val="top"/>
          </w:tcPr>
          <w:p w14:paraId="4EE50B2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72B50598">
            <w:pPr>
              <w:rPr>
                <w:rFonts w:ascii="Arial"/>
                <w:sz w:val="21"/>
              </w:rPr>
            </w:pPr>
          </w:p>
        </w:tc>
      </w:tr>
      <w:tr w14:paraId="3F4AF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2462B94">
            <w:pPr>
              <w:rPr>
                <w:rFonts w:ascii="Arial"/>
                <w:sz w:val="21"/>
              </w:rPr>
            </w:pPr>
          </w:p>
        </w:tc>
        <w:tc>
          <w:tcPr>
            <w:tcW w:w="113" w:type="dxa"/>
            <w:tcBorders>
              <w:top w:val="nil"/>
              <w:bottom w:val="nil"/>
            </w:tcBorders>
            <w:vAlign w:val="top"/>
          </w:tcPr>
          <w:p w14:paraId="18B7E5C3">
            <w:pPr>
              <w:rPr>
                <w:rFonts w:ascii="Arial"/>
                <w:sz w:val="21"/>
              </w:rPr>
            </w:pPr>
          </w:p>
        </w:tc>
        <w:tc>
          <w:tcPr>
            <w:tcW w:w="648" w:type="dxa"/>
            <w:vAlign w:val="top"/>
          </w:tcPr>
          <w:p w14:paraId="223E6037">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901" w:type="dxa"/>
            <w:vAlign w:val="top"/>
          </w:tcPr>
          <w:p w14:paraId="1D4FFFA4">
            <w:pPr>
              <w:pStyle w:val="6"/>
              <w:spacing w:before="48" w:line="227" w:lineRule="auto"/>
              <w:ind w:left="593"/>
              <w:rPr>
                <w:sz w:val="20"/>
                <w:szCs w:val="20"/>
              </w:rPr>
            </w:pPr>
            <w:r>
              <w:rPr>
                <w:rFonts w:ascii="Times New Roman" w:hAnsi="Times New Roman" w:eastAsia="Times New Roman" w:cs="Times New Roman"/>
                <w:spacing w:val="4"/>
                <w:sz w:val="20"/>
                <w:szCs w:val="20"/>
              </w:rPr>
              <w:t>*</w:t>
            </w:r>
            <w:r>
              <w:rPr>
                <w:spacing w:val="4"/>
                <w:sz w:val="20"/>
                <w:szCs w:val="20"/>
              </w:rPr>
              <w:t>苯乙烯</w:t>
            </w:r>
          </w:p>
        </w:tc>
        <w:tc>
          <w:tcPr>
            <w:tcW w:w="924" w:type="dxa"/>
            <w:vAlign w:val="top"/>
          </w:tcPr>
          <w:p w14:paraId="76955D6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10BA3D40">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EA066D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9BDA847">
            <w:pPr>
              <w:spacing w:before="84"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w:t>
            </w:r>
          </w:p>
        </w:tc>
        <w:tc>
          <w:tcPr>
            <w:tcW w:w="869" w:type="dxa"/>
            <w:vAlign w:val="top"/>
          </w:tcPr>
          <w:p w14:paraId="54829DCA">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3789F6A">
            <w:pPr>
              <w:rPr>
                <w:rFonts w:ascii="Arial"/>
                <w:sz w:val="21"/>
              </w:rPr>
            </w:pPr>
          </w:p>
        </w:tc>
      </w:tr>
      <w:tr w14:paraId="147A4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B2F016A">
            <w:pPr>
              <w:rPr>
                <w:rFonts w:ascii="Arial"/>
                <w:sz w:val="21"/>
              </w:rPr>
            </w:pPr>
          </w:p>
        </w:tc>
        <w:tc>
          <w:tcPr>
            <w:tcW w:w="113" w:type="dxa"/>
            <w:tcBorders>
              <w:top w:val="nil"/>
              <w:bottom w:val="nil"/>
            </w:tcBorders>
            <w:vAlign w:val="top"/>
          </w:tcPr>
          <w:p w14:paraId="3AC0488B">
            <w:pPr>
              <w:rPr>
                <w:rFonts w:ascii="Arial"/>
                <w:sz w:val="21"/>
              </w:rPr>
            </w:pPr>
          </w:p>
        </w:tc>
        <w:tc>
          <w:tcPr>
            <w:tcW w:w="648" w:type="dxa"/>
            <w:vAlign w:val="top"/>
          </w:tcPr>
          <w:p w14:paraId="70ACB2EA">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901" w:type="dxa"/>
            <w:vAlign w:val="top"/>
          </w:tcPr>
          <w:p w14:paraId="33752E46">
            <w:pPr>
              <w:pStyle w:val="6"/>
              <w:spacing w:before="47" w:line="221" w:lineRule="auto"/>
              <w:ind w:left="425"/>
              <w:rPr>
                <w:sz w:val="20"/>
                <w:szCs w:val="20"/>
              </w:rPr>
            </w:pPr>
            <w:r>
              <w:rPr>
                <w:rFonts w:ascii="Times New Roman" w:hAnsi="Times New Roman" w:eastAsia="Times New Roman" w:cs="Times New Roman"/>
                <w:spacing w:val="4"/>
                <w:sz w:val="20"/>
                <w:szCs w:val="20"/>
              </w:rPr>
              <w:t>*1,4-</w:t>
            </w:r>
            <w:r>
              <w:rPr>
                <w:spacing w:val="4"/>
                <w:sz w:val="20"/>
                <w:szCs w:val="20"/>
              </w:rPr>
              <w:t>二氯苯</w:t>
            </w:r>
          </w:p>
        </w:tc>
        <w:tc>
          <w:tcPr>
            <w:tcW w:w="924" w:type="dxa"/>
            <w:vAlign w:val="top"/>
          </w:tcPr>
          <w:p w14:paraId="0F7FBFAA">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90D026D">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0FBBA07">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EF3EB98">
            <w:pPr>
              <w:spacing w:before="84"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69" w:type="dxa"/>
            <w:vAlign w:val="top"/>
          </w:tcPr>
          <w:p w14:paraId="24B622D2">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2BC96888">
            <w:pPr>
              <w:rPr>
                <w:rFonts w:ascii="Arial"/>
                <w:sz w:val="21"/>
              </w:rPr>
            </w:pPr>
          </w:p>
        </w:tc>
      </w:tr>
      <w:tr w14:paraId="65E1D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47B4625">
            <w:pPr>
              <w:rPr>
                <w:rFonts w:ascii="Arial"/>
                <w:sz w:val="21"/>
              </w:rPr>
            </w:pPr>
          </w:p>
        </w:tc>
        <w:tc>
          <w:tcPr>
            <w:tcW w:w="113" w:type="dxa"/>
            <w:tcBorders>
              <w:top w:val="nil"/>
              <w:bottom w:val="nil"/>
            </w:tcBorders>
            <w:vAlign w:val="top"/>
          </w:tcPr>
          <w:p w14:paraId="77EB6E5A">
            <w:pPr>
              <w:rPr>
                <w:rFonts w:ascii="Arial"/>
                <w:sz w:val="21"/>
              </w:rPr>
            </w:pPr>
          </w:p>
        </w:tc>
        <w:tc>
          <w:tcPr>
            <w:tcW w:w="648" w:type="dxa"/>
            <w:vAlign w:val="top"/>
          </w:tcPr>
          <w:p w14:paraId="354966AC">
            <w:pPr>
              <w:spacing w:before="8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901" w:type="dxa"/>
            <w:vAlign w:val="top"/>
          </w:tcPr>
          <w:p w14:paraId="0F90B7FF">
            <w:pPr>
              <w:pStyle w:val="6"/>
              <w:spacing w:before="47" w:line="221" w:lineRule="auto"/>
              <w:ind w:left="425"/>
              <w:rPr>
                <w:sz w:val="20"/>
                <w:szCs w:val="20"/>
              </w:rPr>
            </w:pPr>
            <w:r>
              <w:rPr>
                <w:rFonts w:ascii="Times New Roman" w:hAnsi="Times New Roman" w:eastAsia="Times New Roman" w:cs="Times New Roman"/>
                <w:spacing w:val="4"/>
                <w:sz w:val="20"/>
                <w:szCs w:val="20"/>
              </w:rPr>
              <w:t>*1,2-</w:t>
            </w:r>
            <w:r>
              <w:rPr>
                <w:spacing w:val="4"/>
                <w:sz w:val="20"/>
                <w:szCs w:val="20"/>
              </w:rPr>
              <w:t>二氯苯</w:t>
            </w:r>
          </w:p>
        </w:tc>
        <w:tc>
          <w:tcPr>
            <w:tcW w:w="924" w:type="dxa"/>
            <w:vAlign w:val="top"/>
          </w:tcPr>
          <w:p w14:paraId="15E581FD">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6133569">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005127AE">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6CCCBA12">
            <w:pPr>
              <w:spacing w:before="8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869" w:type="dxa"/>
            <w:vAlign w:val="top"/>
          </w:tcPr>
          <w:p w14:paraId="737AC15F">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6CD8D0C">
            <w:pPr>
              <w:rPr>
                <w:rFonts w:ascii="Arial"/>
                <w:sz w:val="21"/>
              </w:rPr>
            </w:pPr>
          </w:p>
        </w:tc>
      </w:tr>
      <w:tr w14:paraId="41EDB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B2CC0D2">
            <w:pPr>
              <w:rPr>
                <w:rFonts w:ascii="Arial"/>
                <w:sz w:val="21"/>
              </w:rPr>
            </w:pPr>
          </w:p>
        </w:tc>
        <w:tc>
          <w:tcPr>
            <w:tcW w:w="113" w:type="dxa"/>
            <w:tcBorders>
              <w:top w:val="nil"/>
              <w:bottom w:val="nil"/>
            </w:tcBorders>
            <w:vAlign w:val="top"/>
          </w:tcPr>
          <w:p w14:paraId="68933DB4">
            <w:pPr>
              <w:rPr>
                <w:rFonts w:ascii="Arial"/>
                <w:sz w:val="21"/>
              </w:rPr>
            </w:pPr>
          </w:p>
        </w:tc>
        <w:tc>
          <w:tcPr>
            <w:tcW w:w="648" w:type="dxa"/>
            <w:vAlign w:val="top"/>
          </w:tcPr>
          <w:p w14:paraId="5975FEC1">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901" w:type="dxa"/>
            <w:vAlign w:val="top"/>
          </w:tcPr>
          <w:p w14:paraId="33F47134">
            <w:pPr>
              <w:pStyle w:val="6"/>
              <w:spacing w:before="47"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四氯化碳</w:t>
            </w:r>
          </w:p>
        </w:tc>
        <w:tc>
          <w:tcPr>
            <w:tcW w:w="924" w:type="dxa"/>
            <w:vAlign w:val="top"/>
          </w:tcPr>
          <w:p w14:paraId="730AA351">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6B64C5D8">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457B73">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62BCB10B">
            <w:pPr>
              <w:spacing w:before="85"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583AD59A">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3B234F0">
            <w:pPr>
              <w:rPr>
                <w:rFonts w:ascii="Arial"/>
                <w:sz w:val="21"/>
              </w:rPr>
            </w:pPr>
          </w:p>
        </w:tc>
      </w:tr>
      <w:tr w14:paraId="4B66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92BB993">
            <w:pPr>
              <w:rPr>
                <w:rFonts w:ascii="Arial"/>
                <w:sz w:val="21"/>
              </w:rPr>
            </w:pPr>
          </w:p>
        </w:tc>
        <w:tc>
          <w:tcPr>
            <w:tcW w:w="113" w:type="dxa"/>
            <w:tcBorders>
              <w:top w:val="nil"/>
              <w:bottom w:val="nil"/>
            </w:tcBorders>
            <w:vAlign w:val="top"/>
          </w:tcPr>
          <w:p w14:paraId="2A8ED696">
            <w:pPr>
              <w:rPr>
                <w:rFonts w:ascii="Arial"/>
                <w:sz w:val="21"/>
              </w:rPr>
            </w:pPr>
          </w:p>
        </w:tc>
        <w:tc>
          <w:tcPr>
            <w:tcW w:w="648" w:type="dxa"/>
            <w:vAlign w:val="top"/>
          </w:tcPr>
          <w:p w14:paraId="37619892">
            <w:pPr>
              <w:spacing w:before="8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901" w:type="dxa"/>
            <w:vAlign w:val="top"/>
          </w:tcPr>
          <w:p w14:paraId="315D4645">
            <w:pPr>
              <w:pStyle w:val="6"/>
              <w:spacing w:before="49" w:line="227" w:lineRule="auto"/>
              <w:ind w:left="696"/>
              <w:rPr>
                <w:sz w:val="20"/>
                <w:szCs w:val="20"/>
              </w:rPr>
            </w:pPr>
            <w:r>
              <w:rPr>
                <w:rFonts w:ascii="Times New Roman" w:hAnsi="Times New Roman" w:eastAsia="Times New Roman" w:cs="Times New Roman"/>
                <w:spacing w:val="2"/>
                <w:sz w:val="20"/>
                <w:szCs w:val="20"/>
              </w:rPr>
              <w:t>*</w:t>
            </w:r>
            <w:r>
              <w:rPr>
                <w:spacing w:val="2"/>
                <w:sz w:val="20"/>
                <w:szCs w:val="20"/>
              </w:rPr>
              <w:t>氯仿</w:t>
            </w:r>
          </w:p>
        </w:tc>
        <w:tc>
          <w:tcPr>
            <w:tcW w:w="924" w:type="dxa"/>
            <w:vAlign w:val="top"/>
          </w:tcPr>
          <w:p w14:paraId="42CC90A5">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14F1860">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602BDA43">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73F2DAD0">
            <w:pPr>
              <w:spacing w:before="8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869" w:type="dxa"/>
            <w:vAlign w:val="top"/>
          </w:tcPr>
          <w:p w14:paraId="59FB8150">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5605F4E">
            <w:pPr>
              <w:rPr>
                <w:rFonts w:ascii="Arial"/>
                <w:sz w:val="21"/>
              </w:rPr>
            </w:pPr>
          </w:p>
        </w:tc>
      </w:tr>
      <w:tr w14:paraId="56776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7305C87C">
            <w:pPr>
              <w:rPr>
                <w:rFonts w:ascii="Arial"/>
                <w:sz w:val="21"/>
              </w:rPr>
            </w:pPr>
          </w:p>
        </w:tc>
        <w:tc>
          <w:tcPr>
            <w:tcW w:w="113" w:type="dxa"/>
            <w:tcBorders>
              <w:top w:val="nil"/>
              <w:bottom w:val="nil"/>
            </w:tcBorders>
            <w:vAlign w:val="top"/>
          </w:tcPr>
          <w:p w14:paraId="7EF916F8">
            <w:pPr>
              <w:rPr>
                <w:rFonts w:ascii="Arial"/>
                <w:sz w:val="21"/>
              </w:rPr>
            </w:pPr>
          </w:p>
        </w:tc>
        <w:tc>
          <w:tcPr>
            <w:tcW w:w="648" w:type="dxa"/>
            <w:vAlign w:val="top"/>
          </w:tcPr>
          <w:p w14:paraId="64EA1C6C">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901" w:type="dxa"/>
            <w:vAlign w:val="top"/>
          </w:tcPr>
          <w:p w14:paraId="5463E5A7">
            <w:pPr>
              <w:pStyle w:val="6"/>
              <w:spacing w:before="48" w:line="221" w:lineRule="auto"/>
              <w:ind w:left="322"/>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二氯乙烷</w:t>
            </w:r>
          </w:p>
        </w:tc>
        <w:tc>
          <w:tcPr>
            <w:tcW w:w="924" w:type="dxa"/>
            <w:vAlign w:val="top"/>
          </w:tcPr>
          <w:p w14:paraId="77A49B47">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04899DEA">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812F6B">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F319163">
            <w:pPr>
              <w:spacing w:before="84"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869" w:type="dxa"/>
            <w:vAlign w:val="top"/>
          </w:tcPr>
          <w:p w14:paraId="2F783C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4D09CD7">
            <w:pPr>
              <w:rPr>
                <w:rFonts w:ascii="Arial"/>
                <w:sz w:val="21"/>
              </w:rPr>
            </w:pPr>
          </w:p>
        </w:tc>
      </w:tr>
      <w:tr w14:paraId="156FC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722CD51">
            <w:pPr>
              <w:rPr>
                <w:rFonts w:ascii="Arial"/>
                <w:sz w:val="21"/>
              </w:rPr>
            </w:pPr>
          </w:p>
        </w:tc>
        <w:tc>
          <w:tcPr>
            <w:tcW w:w="113" w:type="dxa"/>
            <w:tcBorders>
              <w:top w:val="nil"/>
              <w:bottom w:val="nil"/>
            </w:tcBorders>
            <w:vAlign w:val="top"/>
          </w:tcPr>
          <w:p w14:paraId="39AD6649">
            <w:pPr>
              <w:rPr>
                <w:rFonts w:ascii="Arial"/>
                <w:sz w:val="21"/>
              </w:rPr>
            </w:pPr>
          </w:p>
        </w:tc>
        <w:tc>
          <w:tcPr>
            <w:tcW w:w="648" w:type="dxa"/>
            <w:vAlign w:val="top"/>
          </w:tcPr>
          <w:p w14:paraId="459509D0">
            <w:pPr>
              <w:spacing w:before="84"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901" w:type="dxa"/>
            <w:vAlign w:val="top"/>
          </w:tcPr>
          <w:p w14:paraId="7F4502C5">
            <w:pPr>
              <w:pStyle w:val="6"/>
              <w:spacing w:before="48" w:line="221" w:lineRule="auto"/>
              <w:ind w:left="322"/>
              <w:rPr>
                <w:sz w:val="20"/>
                <w:szCs w:val="20"/>
              </w:rPr>
            </w:pPr>
            <w:r>
              <w:rPr>
                <w:rFonts w:ascii="Times New Roman" w:hAnsi="Times New Roman" w:eastAsia="Times New Roman" w:cs="Times New Roman"/>
                <w:spacing w:val="4"/>
                <w:sz w:val="20"/>
                <w:szCs w:val="20"/>
              </w:rPr>
              <w:t>*1,2-</w:t>
            </w:r>
            <w:r>
              <w:rPr>
                <w:spacing w:val="4"/>
                <w:sz w:val="20"/>
                <w:szCs w:val="20"/>
              </w:rPr>
              <w:t>二氯乙烷</w:t>
            </w:r>
          </w:p>
        </w:tc>
        <w:tc>
          <w:tcPr>
            <w:tcW w:w="924" w:type="dxa"/>
            <w:vAlign w:val="top"/>
          </w:tcPr>
          <w:p w14:paraId="6BBD09EC">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610B59D">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38576106">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771C17E">
            <w:pPr>
              <w:spacing w:before="87" w:line="192"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9" w:type="dxa"/>
            <w:vAlign w:val="top"/>
          </w:tcPr>
          <w:p w14:paraId="2EDE7906">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72EE4D80">
            <w:pPr>
              <w:rPr>
                <w:rFonts w:ascii="Arial"/>
                <w:sz w:val="21"/>
              </w:rPr>
            </w:pPr>
          </w:p>
        </w:tc>
      </w:tr>
      <w:tr w14:paraId="47CB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E32DA75">
            <w:pPr>
              <w:rPr>
                <w:rFonts w:ascii="Arial"/>
                <w:sz w:val="21"/>
              </w:rPr>
            </w:pPr>
          </w:p>
        </w:tc>
        <w:tc>
          <w:tcPr>
            <w:tcW w:w="113" w:type="dxa"/>
            <w:tcBorders>
              <w:top w:val="nil"/>
              <w:bottom w:val="nil"/>
            </w:tcBorders>
            <w:vAlign w:val="top"/>
          </w:tcPr>
          <w:p w14:paraId="77C4A4D1">
            <w:pPr>
              <w:rPr>
                <w:rFonts w:ascii="Arial"/>
                <w:sz w:val="21"/>
              </w:rPr>
            </w:pPr>
          </w:p>
        </w:tc>
        <w:tc>
          <w:tcPr>
            <w:tcW w:w="648" w:type="dxa"/>
            <w:vAlign w:val="top"/>
          </w:tcPr>
          <w:p w14:paraId="0FB9C968">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901" w:type="dxa"/>
            <w:vAlign w:val="top"/>
          </w:tcPr>
          <w:p w14:paraId="7D5CBE66">
            <w:pPr>
              <w:pStyle w:val="6"/>
              <w:spacing w:before="47" w:line="221" w:lineRule="auto"/>
              <w:ind w:left="322"/>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r>
              <w:rPr>
                <w:spacing w:val="2"/>
                <w:sz w:val="20"/>
                <w:szCs w:val="20"/>
              </w:rPr>
              <w:t>二氯乙烯</w:t>
            </w:r>
          </w:p>
        </w:tc>
        <w:tc>
          <w:tcPr>
            <w:tcW w:w="924" w:type="dxa"/>
            <w:vAlign w:val="top"/>
          </w:tcPr>
          <w:p w14:paraId="59993F82">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860A6A1">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4726B0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2B64DC72">
            <w:pPr>
              <w:spacing w:before="84"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869" w:type="dxa"/>
            <w:vAlign w:val="top"/>
          </w:tcPr>
          <w:p w14:paraId="3596E10D">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101A822">
            <w:pPr>
              <w:rPr>
                <w:rFonts w:ascii="Arial"/>
                <w:sz w:val="21"/>
              </w:rPr>
            </w:pPr>
          </w:p>
        </w:tc>
      </w:tr>
      <w:tr w14:paraId="51819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0AB454">
            <w:pPr>
              <w:rPr>
                <w:rFonts w:ascii="Arial"/>
                <w:sz w:val="21"/>
              </w:rPr>
            </w:pPr>
          </w:p>
        </w:tc>
        <w:tc>
          <w:tcPr>
            <w:tcW w:w="113" w:type="dxa"/>
            <w:tcBorders>
              <w:top w:val="nil"/>
              <w:bottom w:val="nil"/>
            </w:tcBorders>
            <w:vAlign w:val="top"/>
          </w:tcPr>
          <w:p w14:paraId="3D698B1B">
            <w:pPr>
              <w:rPr>
                <w:rFonts w:ascii="Arial"/>
                <w:sz w:val="21"/>
              </w:rPr>
            </w:pPr>
          </w:p>
        </w:tc>
        <w:tc>
          <w:tcPr>
            <w:tcW w:w="648" w:type="dxa"/>
            <w:vAlign w:val="top"/>
          </w:tcPr>
          <w:p w14:paraId="5F7096FB">
            <w:pPr>
              <w:spacing w:before="8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901" w:type="dxa"/>
            <w:vAlign w:val="top"/>
          </w:tcPr>
          <w:p w14:paraId="3B275A31">
            <w:pPr>
              <w:pStyle w:val="6"/>
              <w:spacing w:before="47" w:line="221" w:lineRule="auto"/>
              <w:ind w:left="180"/>
              <w:rPr>
                <w:sz w:val="20"/>
                <w:szCs w:val="20"/>
              </w:rPr>
            </w:pPr>
            <w:r>
              <w:rPr>
                <w:rFonts w:ascii="Times New Roman" w:hAnsi="Times New Roman" w:eastAsia="Times New Roman" w:cs="Times New Roman"/>
                <w:spacing w:val="5"/>
                <w:sz w:val="20"/>
                <w:szCs w:val="20"/>
              </w:rPr>
              <w:t>*</w:t>
            </w:r>
            <w:r>
              <w:rPr>
                <w:spacing w:val="5"/>
                <w:sz w:val="20"/>
                <w:szCs w:val="20"/>
              </w:rPr>
              <w:t>顺</w:t>
            </w:r>
            <w:r>
              <w:rPr>
                <w:rFonts w:ascii="Times New Roman" w:hAnsi="Times New Roman" w:eastAsia="Times New Roman" w:cs="Times New Roman"/>
                <w:spacing w:val="5"/>
                <w:sz w:val="20"/>
                <w:szCs w:val="20"/>
              </w:rPr>
              <w:t>-1,2-</w:t>
            </w:r>
            <w:r>
              <w:rPr>
                <w:spacing w:val="5"/>
                <w:sz w:val="20"/>
                <w:szCs w:val="20"/>
              </w:rPr>
              <w:t>二氯乙烯</w:t>
            </w:r>
          </w:p>
        </w:tc>
        <w:tc>
          <w:tcPr>
            <w:tcW w:w="924" w:type="dxa"/>
            <w:vAlign w:val="top"/>
          </w:tcPr>
          <w:p w14:paraId="4D50DF08">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3551D06">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22843F">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63F0C53">
            <w:pPr>
              <w:spacing w:before="8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869" w:type="dxa"/>
            <w:vAlign w:val="top"/>
          </w:tcPr>
          <w:p w14:paraId="462C9719">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371D53CD">
            <w:pPr>
              <w:rPr>
                <w:rFonts w:ascii="Arial"/>
                <w:sz w:val="21"/>
              </w:rPr>
            </w:pPr>
          </w:p>
        </w:tc>
      </w:tr>
      <w:tr w14:paraId="41F2C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8A81FDE">
            <w:pPr>
              <w:rPr>
                <w:rFonts w:ascii="Arial"/>
                <w:sz w:val="21"/>
              </w:rPr>
            </w:pPr>
          </w:p>
        </w:tc>
        <w:tc>
          <w:tcPr>
            <w:tcW w:w="113" w:type="dxa"/>
            <w:tcBorders>
              <w:top w:val="nil"/>
              <w:bottom w:val="nil"/>
            </w:tcBorders>
            <w:vAlign w:val="top"/>
          </w:tcPr>
          <w:p w14:paraId="573919A6">
            <w:pPr>
              <w:rPr>
                <w:rFonts w:ascii="Arial"/>
                <w:sz w:val="21"/>
              </w:rPr>
            </w:pPr>
          </w:p>
        </w:tc>
        <w:tc>
          <w:tcPr>
            <w:tcW w:w="648" w:type="dxa"/>
            <w:vAlign w:val="top"/>
          </w:tcPr>
          <w:p w14:paraId="0277CD80">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901" w:type="dxa"/>
            <w:vAlign w:val="top"/>
          </w:tcPr>
          <w:p w14:paraId="0CF2DEF5">
            <w:pPr>
              <w:pStyle w:val="6"/>
              <w:spacing w:before="47" w:line="221" w:lineRule="auto"/>
              <w:ind w:left="180"/>
              <w:rPr>
                <w:sz w:val="20"/>
                <w:szCs w:val="20"/>
              </w:rPr>
            </w:pPr>
            <w:r>
              <w:rPr>
                <w:rFonts w:ascii="Times New Roman" w:hAnsi="Times New Roman" w:eastAsia="Times New Roman" w:cs="Times New Roman"/>
                <w:spacing w:val="5"/>
                <w:sz w:val="20"/>
                <w:szCs w:val="20"/>
              </w:rPr>
              <w:t>*</w:t>
            </w:r>
            <w:r>
              <w:rPr>
                <w:spacing w:val="5"/>
                <w:sz w:val="20"/>
                <w:szCs w:val="20"/>
              </w:rPr>
              <w:t>反</w:t>
            </w:r>
            <w:r>
              <w:rPr>
                <w:rFonts w:ascii="Times New Roman" w:hAnsi="Times New Roman" w:eastAsia="Times New Roman" w:cs="Times New Roman"/>
                <w:spacing w:val="5"/>
                <w:sz w:val="20"/>
                <w:szCs w:val="20"/>
              </w:rPr>
              <w:t>-1,2-</w:t>
            </w:r>
            <w:r>
              <w:rPr>
                <w:spacing w:val="5"/>
                <w:sz w:val="20"/>
                <w:szCs w:val="20"/>
              </w:rPr>
              <w:t>二氯乙烯</w:t>
            </w:r>
          </w:p>
        </w:tc>
        <w:tc>
          <w:tcPr>
            <w:tcW w:w="924" w:type="dxa"/>
            <w:vAlign w:val="top"/>
          </w:tcPr>
          <w:p w14:paraId="576B3B6C">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2930697">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64D8C3D2">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86F6792">
            <w:pPr>
              <w:spacing w:before="85"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69" w:type="dxa"/>
            <w:vAlign w:val="top"/>
          </w:tcPr>
          <w:p w14:paraId="749E80B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1736EDBD">
            <w:pPr>
              <w:rPr>
                <w:rFonts w:ascii="Arial"/>
                <w:sz w:val="21"/>
              </w:rPr>
            </w:pPr>
          </w:p>
        </w:tc>
      </w:tr>
      <w:tr w14:paraId="6E6E3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F3FDC55">
            <w:pPr>
              <w:rPr>
                <w:rFonts w:ascii="Arial"/>
                <w:sz w:val="21"/>
              </w:rPr>
            </w:pPr>
          </w:p>
        </w:tc>
        <w:tc>
          <w:tcPr>
            <w:tcW w:w="113" w:type="dxa"/>
            <w:tcBorders>
              <w:top w:val="nil"/>
              <w:bottom w:val="nil"/>
            </w:tcBorders>
            <w:vAlign w:val="top"/>
          </w:tcPr>
          <w:p w14:paraId="54D2C503">
            <w:pPr>
              <w:rPr>
                <w:rFonts w:ascii="Arial"/>
                <w:sz w:val="21"/>
              </w:rPr>
            </w:pPr>
          </w:p>
        </w:tc>
        <w:tc>
          <w:tcPr>
            <w:tcW w:w="648" w:type="dxa"/>
            <w:vAlign w:val="top"/>
          </w:tcPr>
          <w:p w14:paraId="39240E98">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901" w:type="dxa"/>
            <w:vAlign w:val="top"/>
          </w:tcPr>
          <w:p w14:paraId="7DA5A09A">
            <w:pPr>
              <w:pStyle w:val="6"/>
              <w:spacing w:before="49" w:line="227" w:lineRule="auto"/>
              <w:ind w:left="488"/>
              <w:rPr>
                <w:sz w:val="20"/>
                <w:szCs w:val="20"/>
              </w:rPr>
            </w:pPr>
            <w:r>
              <w:rPr>
                <w:rFonts w:ascii="Times New Roman" w:hAnsi="Times New Roman" w:eastAsia="Times New Roman" w:cs="Times New Roman"/>
                <w:spacing w:val="5"/>
                <w:sz w:val="20"/>
                <w:szCs w:val="20"/>
              </w:rPr>
              <w:t>*</w:t>
            </w:r>
            <w:r>
              <w:rPr>
                <w:spacing w:val="5"/>
                <w:sz w:val="20"/>
                <w:szCs w:val="20"/>
              </w:rPr>
              <w:t>二氯甲烷</w:t>
            </w:r>
          </w:p>
        </w:tc>
        <w:tc>
          <w:tcPr>
            <w:tcW w:w="924" w:type="dxa"/>
            <w:vAlign w:val="top"/>
          </w:tcPr>
          <w:p w14:paraId="1CB0227D">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DD0E827">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9E7BEE">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105430E2">
            <w:pPr>
              <w:spacing w:before="85"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616</w:t>
            </w:r>
          </w:p>
        </w:tc>
        <w:tc>
          <w:tcPr>
            <w:tcW w:w="869" w:type="dxa"/>
            <w:vAlign w:val="top"/>
          </w:tcPr>
          <w:p w14:paraId="7FDF7AA3">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1F58719A">
            <w:pPr>
              <w:rPr>
                <w:rFonts w:ascii="Arial"/>
                <w:sz w:val="21"/>
              </w:rPr>
            </w:pPr>
          </w:p>
        </w:tc>
      </w:tr>
      <w:tr w14:paraId="08F56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AF59C55">
            <w:pPr>
              <w:rPr>
                <w:rFonts w:ascii="Arial"/>
                <w:sz w:val="21"/>
              </w:rPr>
            </w:pPr>
          </w:p>
        </w:tc>
        <w:tc>
          <w:tcPr>
            <w:tcW w:w="113" w:type="dxa"/>
            <w:tcBorders>
              <w:top w:val="nil"/>
              <w:bottom w:val="nil"/>
            </w:tcBorders>
            <w:vAlign w:val="top"/>
          </w:tcPr>
          <w:p w14:paraId="0C858AF0">
            <w:pPr>
              <w:rPr>
                <w:rFonts w:ascii="Arial"/>
                <w:sz w:val="21"/>
              </w:rPr>
            </w:pPr>
          </w:p>
        </w:tc>
        <w:tc>
          <w:tcPr>
            <w:tcW w:w="648" w:type="dxa"/>
            <w:vAlign w:val="top"/>
          </w:tcPr>
          <w:p w14:paraId="311B6289">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901" w:type="dxa"/>
            <w:vAlign w:val="top"/>
          </w:tcPr>
          <w:p w14:paraId="20DAF29C">
            <w:pPr>
              <w:pStyle w:val="6"/>
              <w:spacing w:before="48" w:line="221" w:lineRule="auto"/>
              <w:ind w:left="322"/>
              <w:rPr>
                <w:sz w:val="20"/>
                <w:szCs w:val="20"/>
              </w:rPr>
            </w:pPr>
            <w:r>
              <w:rPr>
                <w:rFonts w:ascii="Times New Roman" w:hAnsi="Times New Roman" w:eastAsia="Times New Roman" w:cs="Times New Roman"/>
                <w:spacing w:val="4"/>
                <w:sz w:val="20"/>
                <w:szCs w:val="20"/>
              </w:rPr>
              <w:t>*1,2-</w:t>
            </w:r>
            <w:r>
              <w:rPr>
                <w:spacing w:val="4"/>
                <w:sz w:val="20"/>
                <w:szCs w:val="20"/>
              </w:rPr>
              <w:t>二氯丙烷</w:t>
            </w:r>
          </w:p>
        </w:tc>
        <w:tc>
          <w:tcPr>
            <w:tcW w:w="924" w:type="dxa"/>
            <w:vAlign w:val="top"/>
          </w:tcPr>
          <w:p w14:paraId="627EF19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545728B3">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710746E">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CC9C853">
            <w:pPr>
              <w:spacing w:before="87" w:line="192" w:lineRule="auto"/>
              <w:ind w:left="4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69" w:type="dxa"/>
            <w:vAlign w:val="top"/>
          </w:tcPr>
          <w:p w14:paraId="376D81CF">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5F0E2EF0">
            <w:pPr>
              <w:rPr>
                <w:rFonts w:ascii="Arial"/>
                <w:sz w:val="21"/>
              </w:rPr>
            </w:pPr>
          </w:p>
        </w:tc>
      </w:tr>
      <w:tr w14:paraId="61212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2B6F65A7">
            <w:pPr>
              <w:rPr>
                <w:rFonts w:ascii="Arial"/>
                <w:sz w:val="21"/>
              </w:rPr>
            </w:pPr>
          </w:p>
        </w:tc>
        <w:tc>
          <w:tcPr>
            <w:tcW w:w="113" w:type="dxa"/>
            <w:tcBorders>
              <w:top w:val="nil"/>
              <w:bottom w:val="nil"/>
            </w:tcBorders>
            <w:vAlign w:val="top"/>
          </w:tcPr>
          <w:p w14:paraId="161EB856">
            <w:pPr>
              <w:rPr>
                <w:rFonts w:ascii="Arial"/>
                <w:sz w:val="21"/>
              </w:rPr>
            </w:pPr>
          </w:p>
        </w:tc>
        <w:tc>
          <w:tcPr>
            <w:tcW w:w="648" w:type="dxa"/>
            <w:vAlign w:val="top"/>
          </w:tcPr>
          <w:p w14:paraId="3E0EA1BD">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901" w:type="dxa"/>
            <w:vAlign w:val="top"/>
          </w:tcPr>
          <w:p w14:paraId="10576DF7">
            <w:pPr>
              <w:pStyle w:val="6"/>
              <w:spacing w:before="48" w:line="221" w:lineRule="auto"/>
              <w:ind w:left="164"/>
              <w:rPr>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1,2-</w:t>
            </w:r>
            <w:r>
              <w:rPr>
                <w:sz w:val="20"/>
                <w:szCs w:val="20"/>
              </w:rPr>
              <w:t>四氯乙烷</w:t>
            </w:r>
          </w:p>
        </w:tc>
        <w:tc>
          <w:tcPr>
            <w:tcW w:w="924" w:type="dxa"/>
            <w:vAlign w:val="top"/>
          </w:tcPr>
          <w:p w14:paraId="32D4E44C">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8DE79B8">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476A6331">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7C0ADA5D">
            <w:pPr>
              <w:spacing w:before="84"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69" w:type="dxa"/>
            <w:vAlign w:val="top"/>
          </w:tcPr>
          <w:p w14:paraId="396C8E57">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58F1F388">
            <w:pPr>
              <w:rPr>
                <w:rFonts w:ascii="Arial"/>
                <w:sz w:val="21"/>
              </w:rPr>
            </w:pPr>
          </w:p>
        </w:tc>
      </w:tr>
      <w:tr w14:paraId="63E44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57AA255">
            <w:pPr>
              <w:rPr>
                <w:rFonts w:ascii="Arial"/>
                <w:sz w:val="21"/>
              </w:rPr>
            </w:pPr>
          </w:p>
        </w:tc>
        <w:tc>
          <w:tcPr>
            <w:tcW w:w="113" w:type="dxa"/>
            <w:tcBorders>
              <w:top w:val="nil"/>
              <w:bottom w:val="nil"/>
            </w:tcBorders>
            <w:vAlign w:val="top"/>
          </w:tcPr>
          <w:p w14:paraId="2806225C">
            <w:pPr>
              <w:rPr>
                <w:rFonts w:ascii="Arial"/>
                <w:sz w:val="21"/>
              </w:rPr>
            </w:pPr>
          </w:p>
        </w:tc>
        <w:tc>
          <w:tcPr>
            <w:tcW w:w="648" w:type="dxa"/>
            <w:vAlign w:val="top"/>
          </w:tcPr>
          <w:p w14:paraId="35B17FB6">
            <w:pPr>
              <w:spacing w:before="8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901" w:type="dxa"/>
            <w:vAlign w:val="top"/>
          </w:tcPr>
          <w:p w14:paraId="2E360D4E">
            <w:pPr>
              <w:pStyle w:val="6"/>
              <w:spacing w:before="47" w:line="221" w:lineRule="auto"/>
              <w:ind w:left="164"/>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w:t>
            </w:r>
            <w:r>
              <w:rPr>
                <w:spacing w:val="2"/>
                <w:sz w:val="20"/>
                <w:szCs w:val="20"/>
              </w:rPr>
              <w:t>四氯乙烷</w:t>
            </w:r>
          </w:p>
        </w:tc>
        <w:tc>
          <w:tcPr>
            <w:tcW w:w="924" w:type="dxa"/>
            <w:vAlign w:val="top"/>
          </w:tcPr>
          <w:p w14:paraId="31F25833">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2347433B">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0BE0DD8">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ABB36C5">
            <w:pPr>
              <w:spacing w:before="84"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869" w:type="dxa"/>
            <w:vAlign w:val="top"/>
          </w:tcPr>
          <w:p w14:paraId="23CE3C3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0D9A9BFD">
            <w:pPr>
              <w:rPr>
                <w:rFonts w:ascii="Arial"/>
                <w:sz w:val="21"/>
              </w:rPr>
            </w:pPr>
          </w:p>
        </w:tc>
      </w:tr>
      <w:tr w14:paraId="2FE30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3968843">
            <w:pPr>
              <w:rPr>
                <w:rFonts w:ascii="Arial"/>
                <w:sz w:val="21"/>
              </w:rPr>
            </w:pPr>
          </w:p>
        </w:tc>
        <w:tc>
          <w:tcPr>
            <w:tcW w:w="113" w:type="dxa"/>
            <w:tcBorders>
              <w:top w:val="nil"/>
              <w:bottom w:val="nil"/>
            </w:tcBorders>
            <w:vAlign w:val="top"/>
          </w:tcPr>
          <w:p w14:paraId="0D9260A0">
            <w:pPr>
              <w:rPr>
                <w:rFonts w:ascii="Arial"/>
                <w:sz w:val="21"/>
              </w:rPr>
            </w:pPr>
          </w:p>
        </w:tc>
        <w:tc>
          <w:tcPr>
            <w:tcW w:w="648" w:type="dxa"/>
            <w:vAlign w:val="top"/>
          </w:tcPr>
          <w:p w14:paraId="27BB2089">
            <w:pPr>
              <w:spacing w:before="8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901" w:type="dxa"/>
            <w:vAlign w:val="top"/>
          </w:tcPr>
          <w:p w14:paraId="654DFDAD">
            <w:pPr>
              <w:pStyle w:val="6"/>
              <w:spacing w:before="47" w:line="228" w:lineRule="auto"/>
              <w:ind w:left="488"/>
              <w:rPr>
                <w:sz w:val="20"/>
                <w:szCs w:val="20"/>
              </w:rPr>
            </w:pPr>
            <w:r>
              <w:rPr>
                <w:rFonts w:ascii="Times New Roman" w:hAnsi="Times New Roman" w:eastAsia="Times New Roman" w:cs="Times New Roman"/>
                <w:spacing w:val="5"/>
                <w:sz w:val="20"/>
                <w:szCs w:val="20"/>
              </w:rPr>
              <w:t>*</w:t>
            </w:r>
            <w:r>
              <w:rPr>
                <w:spacing w:val="5"/>
                <w:sz w:val="20"/>
                <w:szCs w:val="20"/>
              </w:rPr>
              <w:t>四氯乙烯</w:t>
            </w:r>
          </w:p>
        </w:tc>
        <w:tc>
          <w:tcPr>
            <w:tcW w:w="924" w:type="dxa"/>
            <w:vAlign w:val="top"/>
          </w:tcPr>
          <w:p w14:paraId="166A3F1F">
            <w:pPr>
              <w:spacing w:before="82"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2D79E2AD">
            <w:pPr>
              <w:spacing w:before="89"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C4C5887">
            <w:pPr>
              <w:spacing w:before="89"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58E72E2F">
            <w:pPr>
              <w:spacing w:before="86"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869" w:type="dxa"/>
            <w:vAlign w:val="top"/>
          </w:tcPr>
          <w:p w14:paraId="18929ABC">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75D9D19F">
            <w:pPr>
              <w:rPr>
                <w:rFonts w:ascii="Arial"/>
                <w:sz w:val="21"/>
              </w:rPr>
            </w:pPr>
          </w:p>
        </w:tc>
      </w:tr>
      <w:tr w14:paraId="3BE22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1464D137">
            <w:pPr>
              <w:rPr>
                <w:rFonts w:ascii="Arial"/>
                <w:sz w:val="21"/>
              </w:rPr>
            </w:pPr>
          </w:p>
        </w:tc>
        <w:tc>
          <w:tcPr>
            <w:tcW w:w="113" w:type="dxa"/>
            <w:tcBorders>
              <w:top w:val="nil"/>
              <w:bottom w:val="nil"/>
            </w:tcBorders>
            <w:vAlign w:val="top"/>
          </w:tcPr>
          <w:p w14:paraId="6FC40652">
            <w:pPr>
              <w:rPr>
                <w:rFonts w:ascii="Arial"/>
                <w:sz w:val="21"/>
              </w:rPr>
            </w:pPr>
          </w:p>
        </w:tc>
        <w:tc>
          <w:tcPr>
            <w:tcW w:w="648" w:type="dxa"/>
            <w:vAlign w:val="top"/>
          </w:tcPr>
          <w:p w14:paraId="5D5999EC">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901" w:type="dxa"/>
            <w:vAlign w:val="top"/>
          </w:tcPr>
          <w:p w14:paraId="5EFB5C78">
            <w:pPr>
              <w:pStyle w:val="6"/>
              <w:spacing w:before="47" w:line="221" w:lineRule="auto"/>
              <w:ind w:left="243"/>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r>
              <w:rPr>
                <w:spacing w:val="-1"/>
                <w:sz w:val="20"/>
                <w:szCs w:val="20"/>
              </w:rPr>
              <w:t>三氯乙烷</w:t>
            </w:r>
          </w:p>
        </w:tc>
        <w:tc>
          <w:tcPr>
            <w:tcW w:w="924" w:type="dxa"/>
            <w:vAlign w:val="top"/>
          </w:tcPr>
          <w:p w14:paraId="4FF4DAC8">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15CDAB9C">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77A9D550">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41E1F19D">
            <w:pPr>
              <w:spacing w:before="8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840</w:t>
            </w:r>
          </w:p>
        </w:tc>
        <w:tc>
          <w:tcPr>
            <w:tcW w:w="869" w:type="dxa"/>
            <w:vAlign w:val="top"/>
          </w:tcPr>
          <w:p w14:paraId="5B5E0754">
            <w:pPr>
              <w:pStyle w:val="6"/>
              <w:spacing w:before="48" w:line="228" w:lineRule="auto"/>
              <w:ind w:left="341"/>
              <w:rPr>
                <w:sz w:val="20"/>
                <w:szCs w:val="20"/>
              </w:rPr>
            </w:pPr>
            <w:r>
              <w:rPr>
                <w:sz w:val="20"/>
                <w:szCs w:val="20"/>
              </w:rPr>
              <w:t>是</w:t>
            </w:r>
          </w:p>
        </w:tc>
        <w:tc>
          <w:tcPr>
            <w:tcW w:w="118" w:type="dxa"/>
            <w:tcBorders>
              <w:top w:val="nil"/>
              <w:bottom w:val="nil"/>
            </w:tcBorders>
            <w:vAlign w:val="top"/>
          </w:tcPr>
          <w:p w14:paraId="5EF811F8">
            <w:pPr>
              <w:rPr>
                <w:rFonts w:ascii="Arial"/>
                <w:sz w:val="21"/>
              </w:rPr>
            </w:pPr>
          </w:p>
        </w:tc>
      </w:tr>
      <w:tr w14:paraId="208FA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2E89496">
            <w:pPr>
              <w:rPr>
                <w:rFonts w:ascii="Arial"/>
                <w:sz w:val="21"/>
              </w:rPr>
            </w:pPr>
          </w:p>
        </w:tc>
        <w:tc>
          <w:tcPr>
            <w:tcW w:w="113" w:type="dxa"/>
            <w:tcBorders>
              <w:top w:val="nil"/>
              <w:bottom w:val="nil"/>
            </w:tcBorders>
            <w:vAlign w:val="top"/>
          </w:tcPr>
          <w:p w14:paraId="43F8A3C5">
            <w:pPr>
              <w:rPr>
                <w:rFonts w:ascii="Arial"/>
                <w:sz w:val="21"/>
              </w:rPr>
            </w:pPr>
          </w:p>
        </w:tc>
        <w:tc>
          <w:tcPr>
            <w:tcW w:w="648" w:type="dxa"/>
            <w:vAlign w:val="top"/>
          </w:tcPr>
          <w:p w14:paraId="7CF3617B">
            <w:pPr>
              <w:spacing w:before="8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901" w:type="dxa"/>
            <w:vAlign w:val="top"/>
          </w:tcPr>
          <w:p w14:paraId="0FFE85BF">
            <w:pPr>
              <w:pStyle w:val="6"/>
              <w:spacing w:before="49" w:line="221" w:lineRule="auto"/>
              <w:ind w:left="243"/>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1,2-</w:t>
            </w:r>
            <w:r>
              <w:rPr>
                <w:spacing w:val="2"/>
                <w:sz w:val="20"/>
                <w:szCs w:val="20"/>
              </w:rPr>
              <w:t>三氯乙烷</w:t>
            </w:r>
          </w:p>
        </w:tc>
        <w:tc>
          <w:tcPr>
            <w:tcW w:w="924" w:type="dxa"/>
            <w:vAlign w:val="top"/>
          </w:tcPr>
          <w:p w14:paraId="1C9D48D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4F0916C0">
            <w:pPr>
              <w:spacing w:before="88"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2200312B">
            <w:pPr>
              <w:spacing w:before="88"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D2CBF5D">
            <w:pPr>
              <w:spacing w:before="85"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4D042E8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63B17FBE">
            <w:pPr>
              <w:rPr>
                <w:rFonts w:ascii="Arial"/>
                <w:sz w:val="21"/>
              </w:rPr>
            </w:pPr>
          </w:p>
        </w:tc>
      </w:tr>
      <w:tr w14:paraId="08E785CF">
        <w:tblPrEx>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79459E0">
            <w:pPr>
              <w:rPr>
                <w:rFonts w:ascii="Arial"/>
                <w:sz w:val="21"/>
              </w:rPr>
            </w:pPr>
          </w:p>
        </w:tc>
        <w:tc>
          <w:tcPr>
            <w:tcW w:w="113" w:type="dxa"/>
            <w:tcBorders>
              <w:top w:val="nil"/>
              <w:bottom w:val="nil"/>
            </w:tcBorders>
            <w:vAlign w:val="top"/>
          </w:tcPr>
          <w:p w14:paraId="28746003">
            <w:pPr>
              <w:rPr>
                <w:rFonts w:ascii="Arial"/>
                <w:sz w:val="21"/>
              </w:rPr>
            </w:pPr>
          </w:p>
        </w:tc>
        <w:tc>
          <w:tcPr>
            <w:tcW w:w="648" w:type="dxa"/>
            <w:vAlign w:val="top"/>
          </w:tcPr>
          <w:p w14:paraId="0DA5B0D3">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901" w:type="dxa"/>
            <w:vAlign w:val="top"/>
          </w:tcPr>
          <w:p w14:paraId="6F1000BD">
            <w:pPr>
              <w:pStyle w:val="6"/>
              <w:spacing w:before="49" w:line="227" w:lineRule="auto"/>
              <w:ind w:left="488"/>
              <w:rPr>
                <w:sz w:val="20"/>
                <w:szCs w:val="20"/>
              </w:rPr>
            </w:pPr>
            <w:r>
              <w:rPr>
                <w:rFonts w:ascii="Times New Roman" w:hAnsi="Times New Roman" w:eastAsia="Times New Roman" w:cs="Times New Roman"/>
                <w:spacing w:val="5"/>
                <w:sz w:val="20"/>
                <w:szCs w:val="20"/>
              </w:rPr>
              <w:t>*</w:t>
            </w:r>
            <w:r>
              <w:rPr>
                <w:spacing w:val="5"/>
                <w:sz w:val="20"/>
                <w:szCs w:val="20"/>
              </w:rPr>
              <w:t>三氯乙烯</w:t>
            </w:r>
          </w:p>
        </w:tc>
        <w:tc>
          <w:tcPr>
            <w:tcW w:w="924" w:type="dxa"/>
            <w:vAlign w:val="top"/>
          </w:tcPr>
          <w:p w14:paraId="5C226DBA">
            <w:pPr>
              <w:spacing w:before="8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FAC8BA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F2C6A6F">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C7D71EC">
            <w:pPr>
              <w:spacing w:before="8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69" w:type="dxa"/>
            <w:vAlign w:val="top"/>
          </w:tcPr>
          <w:p w14:paraId="64C1E26C">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33963EC9">
            <w:pPr>
              <w:rPr>
                <w:rFonts w:ascii="Arial"/>
                <w:sz w:val="21"/>
              </w:rPr>
            </w:pPr>
          </w:p>
        </w:tc>
      </w:tr>
      <w:tr w14:paraId="0534A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95AE858">
            <w:pPr>
              <w:rPr>
                <w:rFonts w:ascii="Arial"/>
                <w:sz w:val="21"/>
              </w:rPr>
            </w:pPr>
          </w:p>
        </w:tc>
        <w:tc>
          <w:tcPr>
            <w:tcW w:w="113" w:type="dxa"/>
            <w:tcBorders>
              <w:top w:val="nil"/>
              <w:bottom w:val="nil"/>
            </w:tcBorders>
            <w:vAlign w:val="top"/>
          </w:tcPr>
          <w:p w14:paraId="7A8FF699">
            <w:pPr>
              <w:rPr>
                <w:rFonts w:ascii="Arial"/>
                <w:sz w:val="21"/>
              </w:rPr>
            </w:pPr>
          </w:p>
        </w:tc>
        <w:tc>
          <w:tcPr>
            <w:tcW w:w="648" w:type="dxa"/>
            <w:vAlign w:val="top"/>
          </w:tcPr>
          <w:p w14:paraId="7FA22830">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901" w:type="dxa"/>
            <w:vAlign w:val="top"/>
          </w:tcPr>
          <w:p w14:paraId="3F1E7BAD">
            <w:pPr>
              <w:pStyle w:val="6"/>
              <w:spacing w:before="48" w:line="221" w:lineRule="auto"/>
              <w:ind w:left="243"/>
              <w:rPr>
                <w:sz w:val="20"/>
                <w:szCs w:val="20"/>
              </w:rPr>
            </w:pPr>
            <w:r>
              <w:rPr>
                <w:rFonts w:ascii="Times New Roman" w:hAnsi="Times New Roman" w:eastAsia="Times New Roman" w:cs="Times New Roman"/>
                <w:spacing w:val="4"/>
                <w:sz w:val="20"/>
                <w:szCs w:val="20"/>
              </w:rPr>
              <w:t>*1,2,3-</w:t>
            </w:r>
            <w:r>
              <w:rPr>
                <w:spacing w:val="4"/>
                <w:sz w:val="20"/>
                <w:szCs w:val="20"/>
              </w:rPr>
              <w:t>三氯丙烷</w:t>
            </w:r>
          </w:p>
        </w:tc>
        <w:tc>
          <w:tcPr>
            <w:tcW w:w="924" w:type="dxa"/>
            <w:vAlign w:val="top"/>
          </w:tcPr>
          <w:p w14:paraId="1514ADDB">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374C9949">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5C7D9983">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3AEDE34F">
            <w:pPr>
              <w:spacing w:before="8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69" w:type="dxa"/>
            <w:vAlign w:val="top"/>
          </w:tcPr>
          <w:p w14:paraId="480C9B58">
            <w:pPr>
              <w:pStyle w:val="6"/>
              <w:spacing w:before="49" w:line="227" w:lineRule="auto"/>
              <w:ind w:left="341"/>
              <w:rPr>
                <w:sz w:val="20"/>
                <w:szCs w:val="20"/>
              </w:rPr>
            </w:pPr>
            <w:r>
              <w:rPr>
                <w:sz w:val="20"/>
                <w:szCs w:val="20"/>
              </w:rPr>
              <w:t>是</w:t>
            </w:r>
          </w:p>
        </w:tc>
        <w:tc>
          <w:tcPr>
            <w:tcW w:w="118" w:type="dxa"/>
            <w:tcBorders>
              <w:top w:val="nil"/>
              <w:bottom w:val="nil"/>
            </w:tcBorders>
            <w:vAlign w:val="top"/>
          </w:tcPr>
          <w:p w14:paraId="4F10A520">
            <w:pPr>
              <w:rPr>
                <w:rFonts w:ascii="Arial"/>
                <w:sz w:val="21"/>
              </w:rPr>
            </w:pPr>
          </w:p>
        </w:tc>
      </w:tr>
      <w:tr w14:paraId="5C92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60" w:type="dxa"/>
            <w:vMerge w:val="continue"/>
            <w:tcBorders>
              <w:top w:val="nil"/>
            </w:tcBorders>
            <w:vAlign w:val="top"/>
          </w:tcPr>
          <w:p w14:paraId="643500B2">
            <w:pPr>
              <w:rPr>
                <w:rFonts w:ascii="Arial"/>
                <w:sz w:val="21"/>
              </w:rPr>
            </w:pPr>
          </w:p>
        </w:tc>
        <w:tc>
          <w:tcPr>
            <w:tcW w:w="113" w:type="dxa"/>
            <w:tcBorders>
              <w:top w:val="nil"/>
            </w:tcBorders>
            <w:vAlign w:val="top"/>
          </w:tcPr>
          <w:p w14:paraId="3AF21A8A">
            <w:pPr>
              <w:rPr>
                <w:rFonts w:ascii="Arial"/>
                <w:sz w:val="21"/>
              </w:rPr>
            </w:pPr>
          </w:p>
        </w:tc>
        <w:tc>
          <w:tcPr>
            <w:tcW w:w="648" w:type="dxa"/>
            <w:vAlign w:val="top"/>
          </w:tcPr>
          <w:p w14:paraId="7676F938">
            <w:pPr>
              <w:spacing w:before="8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901" w:type="dxa"/>
            <w:vAlign w:val="top"/>
          </w:tcPr>
          <w:p w14:paraId="0D042190">
            <w:pPr>
              <w:pStyle w:val="6"/>
              <w:spacing w:before="47" w:line="228" w:lineRule="auto"/>
              <w:ind w:left="593"/>
              <w:rPr>
                <w:sz w:val="20"/>
                <w:szCs w:val="20"/>
              </w:rPr>
            </w:pPr>
            <w:r>
              <w:rPr>
                <w:rFonts w:ascii="Times New Roman" w:hAnsi="Times New Roman" w:eastAsia="Times New Roman" w:cs="Times New Roman"/>
                <w:spacing w:val="4"/>
                <w:sz w:val="20"/>
                <w:szCs w:val="20"/>
              </w:rPr>
              <w:t>*</w:t>
            </w:r>
            <w:r>
              <w:rPr>
                <w:spacing w:val="4"/>
                <w:sz w:val="20"/>
                <w:szCs w:val="20"/>
              </w:rPr>
              <w:t>氯乙烯</w:t>
            </w:r>
          </w:p>
        </w:tc>
        <w:tc>
          <w:tcPr>
            <w:tcW w:w="924" w:type="dxa"/>
            <w:vAlign w:val="top"/>
          </w:tcPr>
          <w:p w14:paraId="47EA7A94">
            <w:pPr>
              <w:spacing w:before="80"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vAlign w:val="top"/>
          </w:tcPr>
          <w:p w14:paraId="7FB12CEF">
            <w:pPr>
              <w:spacing w:before="87"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vAlign w:val="top"/>
          </w:tcPr>
          <w:p w14:paraId="17668D3C">
            <w:pPr>
              <w:spacing w:before="87"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vAlign w:val="top"/>
          </w:tcPr>
          <w:p w14:paraId="090A8AED">
            <w:pPr>
              <w:spacing w:before="8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869" w:type="dxa"/>
            <w:vAlign w:val="top"/>
          </w:tcPr>
          <w:p w14:paraId="15FD1C75">
            <w:pPr>
              <w:pStyle w:val="6"/>
              <w:spacing w:before="47" w:line="230" w:lineRule="auto"/>
              <w:ind w:left="341"/>
              <w:rPr>
                <w:sz w:val="20"/>
                <w:szCs w:val="20"/>
              </w:rPr>
            </w:pPr>
            <w:r>
              <w:rPr>
                <w:sz w:val="20"/>
                <w:szCs w:val="20"/>
              </w:rPr>
              <w:t>是</w:t>
            </w:r>
          </w:p>
        </w:tc>
        <w:tc>
          <w:tcPr>
            <w:tcW w:w="118" w:type="dxa"/>
            <w:tcBorders>
              <w:top w:val="nil"/>
            </w:tcBorders>
            <w:vAlign w:val="top"/>
          </w:tcPr>
          <w:p w14:paraId="4ED2E4C1">
            <w:pPr>
              <w:rPr>
                <w:rFonts w:ascii="Arial"/>
                <w:sz w:val="21"/>
              </w:rPr>
            </w:pPr>
          </w:p>
        </w:tc>
      </w:tr>
    </w:tbl>
    <w:p w14:paraId="2776D943">
      <w:pPr>
        <w:pStyle w:val="2"/>
        <w:spacing w:line="225" w:lineRule="exact"/>
        <w:rPr>
          <w:sz w:val="19"/>
        </w:rPr>
      </w:pPr>
    </w:p>
    <w:p w14:paraId="6C8A4CC8">
      <w:pPr>
        <w:spacing w:line="225" w:lineRule="exact"/>
        <w:rPr>
          <w:sz w:val="19"/>
          <w:szCs w:val="19"/>
        </w:rPr>
        <w:sectPr>
          <w:footerReference r:id="rId60" w:type="default"/>
          <w:pgSz w:w="11906" w:h="16839"/>
          <w:pgMar w:top="400" w:right="1588" w:bottom="1259" w:left="1687" w:header="0" w:footer="1097" w:gutter="0"/>
          <w:cols w:space="720" w:num="1"/>
        </w:sectPr>
      </w:pPr>
    </w:p>
    <w:p w14:paraId="72314333">
      <w:pPr>
        <w:spacing w:before="19"/>
      </w:pPr>
    </w:p>
    <w:p w14:paraId="344C8195">
      <w:pPr>
        <w:spacing w:before="19"/>
      </w:pPr>
    </w:p>
    <w:p w14:paraId="36976F51">
      <w:pPr>
        <w:spacing w:before="18"/>
      </w:pPr>
    </w:p>
    <w:p w14:paraId="72784433">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13"/>
        <w:gridCol w:w="525"/>
        <w:gridCol w:w="123"/>
        <w:gridCol w:w="1051"/>
        <w:gridCol w:w="849"/>
        <w:gridCol w:w="75"/>
        <w:gridCol w:w="850"/>
        <w:gridCol w:w="225"/>
        <w:gridCol w:w="999"/>
        <w:gridCol w:w="88"/>
        <w:gridCol w:w="1036"/>
        <w:gridCol w:w="176"/>
        <w:gridCol w:w="898"/>
        <w:gridCol w:w="170"/>
        <w:gridCol w:w="862"/>
        <w:gridCol w:w="125"/>
      </w:tblGrid>
      <w:tr w14:paraId="4CF1B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60" w:type="dxa"/>
            <w:vMerge w:val="restart"/>
            <w:tcBorders>
              <w:bottom w:val="nil"/>
            </w:tcBorders>
            <w:vAlign w:val="top"/>
          </w:tcPr>
          <w:p w14:paraId="38C2DADF">
            <w:pPr>
              <w:rPr>
                <w:rFonts w:ascii="Arial"/>
                <w:sz w:val="21"/>
              </w:rPr>
            </w:pPr>
          </w:p>
        </w:tc>
        <w:tc>
          <w:tcPr>
            <w:tcW w:w="113" w:type="dxa"/>
            <w:tcBorders>
              <w:bottom w:val="nil"/>
            </w:tcBorders>
            <w:vAlign w:val="top"/>
          </w:tcPr>
          <w:p w14:paraId="52D3963A">
            <w:pPr>
              <w:rPr>
                <w:rFonts w:ascii="Arial"/>
                <w:sz w:val="21"/>
              </w:rPr>
            </w:pPr>
          </w:p>
        </w:tc>
        <w:tc>
          <w:tcPr>
            <w:tcW w:w="648" w:type="dxa"/>
            <w:gridSpan w:val="2"/>
            <w:vAlign w:val="top"/>
          </w:tcPr>
          <w:p w14:paraId="707DD693">
            <w:pPr>
              <w:spacing w:before="9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900" w:type="dxa"/>
            <w:gridSpan w:val="2"/>
            <w:vAlign w:val="top"/>
          </w:tcPr>
          <w:p w14:paraId="7A8588BA">
            <w:pPr>
              <w:pStyle w:val="6"/>
              <w:spacing w:before="58" w:line="221" w:lineRule="auto"/>
              <w:ind w:left="476"/>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蒽</w:t>
            </w:r>
          </w:p>
        </w:tc>
        <w:tc>
          <w:tcPr>
            <w:tcW w:w="925" w:type="dxa"/>
            <w:gridSpan w:val="2"/>
            <w:vAlign w:val="top"/>
          </w:tcPr>
          <w:p w14:paraId="67F789C4">
            <w:pPr>
              <w:spacing w:before="93"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009C458C">
            <w:pPr>
              <w:spacing w:before="100"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B00EF59">
            <w:pPr>
              <w:spacing w:before="100"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560457FC">
            <w:pPr>
              <w:spacing w:before="9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6296508B">
            <w:pPr>
              <w:pStyle w:val="6"/>
              <w:spacing w:before="58" w:line="231" w:lineRule="auto"/>
              <w:ind w:left="341"/>
              <w:rPr>
                <w:sz w:val="20"/>
                <w:szCs w:val="20"/>
              </w:rPr>
            </w:pPr>
            <w:r>
              <w:rPr>
                <w:sz w:val="20"/>
                <w:szCs w:val="20"/>
              </w:rPr>
              <w:t>是</w:t>
            </w:r>
          </w:p>
        </w:tc>
        <w:tc>
          <w:tcPr>
            <w:tcW w:w="125" w:type="dxa"/>
            <w:tcBorders>
              <w:bottom w:val="nil"/>
            </w:tcBorders>
            <w:vAlign w:val="top"/>
          </w:tcPr>
          <w:p w14:paraId="645A1072">
            <w:pPr>
              <w:rPr>
                <w:rFonts w:ascii="Arial"/>
                <w:sz w:val="21"/>
              </w:rPr>
            </w:pPr>
          </w:p>
        </w:tc>
      </w:tr>
      <w:tr w14:paraId="084F7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07F1EC4">
            <w:pPr>
              <w:rPr>
                <w:rFonts w:ascii="Arial"/>
                <w:sz w:val="21"/>
              </w:rPr>
            </w:pPr>
          </w:p>
        </w:tc>
        <w:tc>
          <w:tcPr>
            <w:tcW w:w="113" w:type="dxa"/>
            <w:tcBorders>
              <w:top w:val="nil"/>
              <w:bottom w:val="nil"/>
            </w:tcBorders>
            <w:vAlign w:val="top"/>
          </w:tcPr>
          <w:p w14:paraId="525C67C4">
            <w:pPr>
              <w:rPr>
                <w:rFonts w:ascii="Arial"/>
                <w:sz w:val="21"/>
              </w:rPr>
            </w:pPr>
          </w:p>
        </w:tc>
        <w:tc>
          <w:tcPr>
            <w:tcW w:w="648" w:type="dxa"/>
            <w:gridSpan w:val="2"/>
            <w:vAlign w:val="top"/>
          </w:tcPr>
          <w:p w14:paraId="3F6CD114">
            <w:pPr>
              <w:spacing w:before="8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900" w:type="dxa"/>
            <w:gridSpan w:val="2"/>
            <w:vAlign w:val="top"/>
          </w:tcPr>
          <w:p w14:paraId="45CCDDDD">
            <w:pPr>
              <w:pStyle w:val="6"/>
              <w:spacing w:before="44" w:line="221" w:lineRule="auto"/>
              <w:ind w:left="365"/>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[b]</w:t>
            </w:r>
            <w:r>
              <w:rPr>
                <w:spacing w:val="4"/>
                <w:sz w:val="20"/>
                <w:szCs w:val="20"/>
              </w:rPr>
              <w:t>荧蒽</w:t>
            </w:r>
          </w:p>
        </w:tc>
        <w:tc>
          <w:tcPr>
            <w:tcW w:w="925" w:type="dxa"/>
            <w:gridSpan w:val="2"/>
            <w:vAlign w:val="top"/>
          </w:tcPr>
          <w:p w14:paraId="1C33451A">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1F33065">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3221DC0">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15BF977D">
            <w:pPr>
              <w:spacing w:before="8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3CF5CD33">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03DF976F">
            <w:pPr>
              <w:rPr>
                <w:rFonts w:ascii="Arial"/>
                <w:sz w:val="21"/>
              </w:rPr>
            </w:pPr>
          </w:p>
        </w:tc>
      </w:tr>
      <w:tr w14:paraId="2EEFB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4DC1F6D">
            <w:pPr>
              <w:rPr>
                <w:rFonts w:ascii="Arial"/>
                <w:sz w:val="21"/>
              </w:rPr>
            </w:pPr>
          </w:p>
        </w:tc>
        <w:tc>
          <w:tcPr>
            <w:tcW w:w="113" w:type="dxa"/>
            <w:tcBorders>
              <w:top w:val="nil"/>
              <w:bottom w:val="nil"/>
            </w:tcBorders>
            <w:vAlign w:val="top"/>
          </w:tcPr>
          <w:p w14:paraId="3056AC6E">
            <w:pPr>
              <w:rPr>
                <w:rFonts w:ascii="Arial"/>
                <w:sz w:val="21"/>
              </w:rPr>
            </w:pPr>
          </w:p>
        </w:tc>
        <w:tc>
          <w:tcPr>
            <w:tcW w:w="648" w:type="dxa"/>
            <w:gridSpan w:val="2"/>
            <w:vAlign w:val="top"/>
          </w:tcPr>
          <w:p w14:paraId="7BBA65BA">
            <w:pPr>
              <w:spacing w:before="8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900" w:type="dxa"/>
            <w:gridSpan w:val="2"/>
            <w:vAlign w:val="top"/>
          </w:tcPr>
          <w:p w14:paraId="7912AA97">
            <w:pPr>
              <w:pStyle w:val="6"/>
              <w:spacing w:before="46" w:line="221" w:lineRule="auto"/>
              <w:ind w:left="365"/>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[k]</w:t>
            </w:r>
            <w:r>
              <w:rPr>
                <w:spacing w:val="4"/>
                <w:sz w:val="20"/>
                <w:szCs w:val="20"/>
              </w:rPr>
              <w:t>荧蒽</w:t>
            </w:r>
          </w:p>
        </w:tc>
        <w:tc>
          <w:tcPr>
            <w:tcW w:w="925" w:type="dxa"/>
            <w:gridSpan w:val="2"/>
            <w:vAlign w:val="top"/>
          </w:tcPr>
          <w:p w14:paraId="71406188">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C81B5BA">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40253C8">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1291A099">
            <w:pPr>
              <w:spacing w:before="8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w:t>
            </w:r>
          </w:p>
        </w:tc>
        <w:tc>
          <w:tcPr>
            <w:tcW w:w="862" w:type="dxa"/>
            <w:vAlign w:val="top"/>
          </w:tcPr>
          <w:p w14:paraId="0C787A2B">
            <w:pPr>
              <w:pStyle w:val="6"/>
              <w:spacing w:before="46" w:line="229" w:lineRule="auto"/>
              <w:ind w:left="341"/>
              <w:rPr>
                <w:sz w:val="20"/>
                <w:szCs w:val="20"/>
              </w:rPr>
            </w:pPr>
            <w:r>
              <w:rPr>
                <w:sz w:val="20"/>
                <w:szCs w:val="20"/>
              </w:rPr>
              <w:t>是</w:t>
            </w:r>
          </w:p>
        </w:tc>
        <w:tc>
          <w:tcPr>
            <w:tcW w:w="125" w:type="dxa"/>
            <w:tcBorders>
              <w:top w:val="nil"/>
              <w:bottom w:val="nil"/>
            </w:tcBorders>
            <w:vAlign w:val="top"/>
          </w:tcPr>
          <w:p w14:paraId="4FB136D2">
            <w:pPr>
              <w:rPr>
                <w:rFonts w:ascii="Arial"/>
                <w:sz w:val="21"/>
              </w:rPr>
            </w:pPr>
          </w:p>
        </w:tc>
      </w:tr>
      <w:tr w14:paraId="1DEB7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31B9FE2">
            <w:pPr>
              <w:rPr>
                <w:rFonts w:ascii="Arial"/>
                <w:sz w:val="21"/>
              </w:rPr>
            </w:pPr>
          </w:p>
        </w:tc>
        <w:tc>
          <w:tcPr>
            <w:tcW w:w="113" w:type="dxa"/>
            <w:tcBorders>
              <w:top w:val="nil"/>
              <w:bottom w:val="nil"/>
            </w:tcBorders>
            <w:vAlign w:val="top"/>
          </w:tcPr>
          <w:p w14:paraId="304D68C1">
            <w:pPr>
              <w:rPr>
                <w:rFonts w:ascii="Arial"/>
                <w:sz w:val="21"/>
              </w:rPr>
            </w:pPr>
          </w:p>
        </w:tc>
        <w:tc>
          <w:tcPr>
            <w:tcW w:w="648" w:type="dxa"/>
            <w:gridSpan w:val="2"/>
            <w:vAlign w:val="top"/>
          </w:tcPr>
          <w:p w14:paraId="5EF987C4">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900" w:type="dxa"/>
            <w:gridSpan w:val="2"/>
            <w:vAlign w:val="top"/>
          </w:tcPr>
          <w:p w14:paraId="06B3E138">
            <w:pPr>
              <w:pStyle w:val="6"/>
              <w:spacing w:before="45" w:line="221" w:lineRule="auto"/>
              <w:ind w:left="476"/>
              <w:rPr>
                <w:sz w:val="20"/>
                <w:szCs w:val="20"/>
              </w:rPr>
            </w:pPr>
            <w:r>
              <w:rPr>
                <w:rFonts w:ascii="Times New Roman" w:hAnsi="Times New Roman" w:eastAsia="Times New Roman" w:cs="Times New Roman"/>
                <w:spacing w:val="4"/>
                <w:sz w:val="20"/>
                <w:szCs w:val="20"/>
              </w:rPr>
              <w:t>*</w:t>
            </w: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芘</w:t>
            </w:r>
          </w:p>
        </w:tc>
        <w:tc>
          <w:tcPr>
            <w:tcW w:w="925" w:type="dxa"/>
            <w:gridSpan w:val="2"/>
            <w:vAlign w:val="top"/>
          </w:tcPr>
          <w:p w14:paraId="41FA79AA">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71361DD7">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8C0A66E">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777161C">
            <w:pPr>
              <w:spacing w:before="8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2" w:type="dxa"/>
            <w:vAlign w:val="top"/>
          </w:tcPr>
          <w:p w14:paraId="495D0D97">
            <w:pPr>
              <w:pStyle w:val="6"/>
              <w:spacing w:before="45" w:line="230" w:lineRule="auto"/>
              <w:ind w:left="341"/>
              <w:rPr>
                <w:sz w:val="20"/>
                <w:szCs w:val="20"/>
              </w:rPr>
            </w:pPr>
            <w:r>
              <w:rPr>
                <w:sz w:val="20"/>
                <w:szCs w:val="20"/>
              </w:rPr>
              <w:t>是</w:t>
            </w:r>
          </w:p>
        </w:tc>
        <w:tc>
          <w:tcPr>
            <w:tcW w:w="125" w:type="dxa"/>
            <w:tcBorders>
              <w:top w:val="nil"/>
              <w:bottom w:val="nil"/>
            </w:tcBorders>
            <w:vAlign w:val="top"/>
          </w:tcPr>
          <w:p w14:paraId="0AD55592">
            <w:pPr>
              <w:rPr>
                <w:rFonts w:ascii="Arial"/>
                <w:sz w:val="21"/>
              </w:rPr>
            </w:pPr>
          </w:p>
        </w:tc>
      </w:tr>
      <w:tr w14:paraId="240F2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17D5F8D">
            <w:pPr>
              <w:rPr>
                <w:rFonts w:ascii="Arial"/>
                <w:sz w:val="21"/>
              </w:rPr>
            </w:pPr>
          </w:p>
        </w:tc>
        <w:tc>
          <w:tcPr>
            <w:tcW w:w="113" w:type="dxa"/>
            <w:tcBorders>
              <w:top w:val="nil"/>
              <w:bottom w:val="nil"/>
            </w:tcBorders>
            <w:vAlign w:val="top"/>
          </w:tcPr>
          <w:p w14:paraId="0649BDF0">
            <w:pPr>
              <w:rPr>
                <w:rFonts w:ascii="Arial"/>
                <w:sz w:val="21"/>
              </w:rPr>
            </w:pPr>
          </w:p>
        </w:tc>
        <w:tc>
          <w:tcPr>
            <w:tcW w:w="648" w:type="dxa"/>
            <w:gridSpan w:val="2"/>
            <w:vAlign w:val="top"/>
          </w:tcPr>
          <w:p w14:paraId="5D4C7EAC">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900" w:type="dxa"/>
            <w:gridSpan w:val="2"/>
            <w:vAlign w:val="top"/>
          </w:tcPr>
          <w:p w14:paraId="16FC9BF9">
            <w:pPr>
              <w:pStyle w:val="6"/>
              <w:spacing w:before="45" w:line="221" w:lineRule="auto"/>
              <w:ind w:left="152"/>
              <w:rPr>
                <w:sz w:val="20"/>
                <w:szCs w:val="20"/>
              </w:rPr>
            </w:pPr>
            <w:r>
              <w:rPr>
                <w:rFonts w:ascii="Times New Roman" w:hAnsi="Times New Roman" w:eastAsia="Times New Roman" w:cs="Times New Roman"/>
                <w:spacing w:val="4"/>
                <w:sz w:val="20"/>
                <w:szCs w:val="20"/>
              </w:rPr>
              <w:t>*</w:t>
            </w:r>
            <w:r>
              <w:rPr>
                <w:spacing w:val="4"/>
                <w:sz w:val="20"/>
                <w:szCs w:val="20"/>
              </w:rPr>
              <w:t>茚并</w:t>
            </w:r>
            <w:r>
              <w:rPr>
                <w:rFonts w:ascii="Times New Roman" w:hAnsi="Times New Roman" w:eastAsia="Times New Roman" w:cs="Times New Roman"/>
                <w:spacing w:val="4"/>
                <w:sz w:val="20"/>
                <w:szCs w:val="20"/>
              </w:rPr>
              <w:t>[1,2,3-c,d]</w:t>
            </w:r>
            <w:r>
              <w:rPr>
                <w:spacing w:val="4"/>
                <w:sz w:val="20"/>
                <w:szCs w:val="20"/>
              </w:rPr>
              <w:t>芘</w:t>
            </w:r>
          </w:p>
        </w:tc>
        <w:tc>
          <w:tcPr>
            <w:tcW w:w="925" w:type="dxa"/>
            <w:gridSpan w:val="2"/>
            <w:vAlign w:val="top"/>
          </w:tcPr>
          <w:p w14:paraId="5C438AF5">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8067586">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A46B579">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07D61B89">
            <w:pPr>
              <w:spacing w:before="8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862" w:type="dxa"/>
            <w:vAlign w:val="top"/>
          </w:tcPr>
          <w:p w14:paraId="28498959">
            <w:pPr>
              <w:pStyle w:val="6"/>
              <w:spacing w:before="45" w:line="230" w:lineRule="auto"/>
              <w:ind w:left="341"/>
              <w:rPr>
                <w:sz w:val="20"/>
                <w:szCs w:val="20"/>
              </w:rPr>
            </w:pPr>
            <w:r>
              <w:rPr>
                <w:sz w:val="20"/>
                <w:szCs w:val="20"/>
              </w:rPr>
              <w:t>是</w:t>
            </w:r>
          </w:p>
        </w:tc>
        <w:tc>
          <w:tcPr>
            <w:tcW w:w="125" w:type="dxa"/>
            <w:tcBorders>
              <w:top w:val="nil"/>
              <w:bottom w:val="nil"/>
            </w:tcBorders>
            <w:vAlign w:val="top"/>
          </w:tcPr>
          <w:p w14:paraId="66413B50">
            <w:pPr>
              <w:rPr>
                <w:rFonts w:ascii="Arial"/>
                <w:sz w:val="21"/>
              </w:rPr>
            </w:pPr>
          </w:p>
        </w:tc>
      </w:tr>
      <w:tr w14:paraId="63B3A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B530D92">
            <w:pPr>
              <w:rPr>
                <w:rFonts w:ascii="Arial"/>
                <w:sz w:val="21"/>
              </w:rPr>
            </w:pPr>
          </w:p>
        </w:tc>
        <w:tc>
          <w:tcPr>
            <w:tcW w:w="113" w:type="dxa"/>
            <w:tcBorders>
              <w:top w:val="nil"/>
              <w:bottom w:val="nil"/>
            </w:tcBorders>
            <w:vAlign w:val="top"/>
          </w:tcPr>
          <w:p w14:paraId="600CFFF3">
            <w:pPr>
              <w:rPr>
                <w:rFonts w:ascii="Arial"/>
                <w:sz w:val="21"/>
              </w:rPr>
            </w:pPr>
          </w:p>
        </w:tc>
        <w:tc>
          <w:tcPr>
            <w:tcW w:w="648" w:type="dxa"/>
            <w:gridSpan w:val="2"/>
            <w:vAlign w:val="top"/>
          </w:tcPr>
          <w:p w14:paraId="18956F4F">
            <w:pPr>
              <w:spacing w:before="8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900" w:type="dxa"/>
            <w:gridSpan w:val="2"/>
            <w:vAlign w:val="top"/>
          </w:tcPr>
          <w:p w14:paraId="7283A91E">
            <w:pPr>
              <w:pStyle w:val="6"/>
              <w:spacing w:before="45" w:line="221" w:lineRule="auto"/>
              <w:ind w:left="293"/>
              <w:rPr>
                <w:sz w:val="20"/>
                <w:szCs w:val="20"/>
              </w:rPr>
            </w:pPr>
            <w:r>
              <w:rPr>
                <w:rFonts w:ascii="Times New Roman" w:hAnsi="Times New Roman" w:eastAsia="Times New Roman" w:cs="Times New Roman"/>
                <w:spacing w:val="4"/>
                <w:sz w:val="20"/>
                <w:szCs w:val="20"/>
              </w:rPr>
              <w:t>*</w:t>
            </w:r>
            <w:r>
              <w:rPr>
                <w:spacing w:val="4"/>
                <w:sz w:val="20"/>
                <w:szCs w:val="20"/>
              </w:rPr>
              <w:t>二苯并</w:t>
            </w:r>
            <w:r>
              <w:rPr>
                <w:rFonts w:ascii="Times New Roman" w:hAnsi="Times New Roman" w:eastAsia="Times New Roman" w:cs="Times New Roman"/>
                <w:spacing w:val="4"/>
                <w:sz w:val="20"/>
                <w:szCs w:val="20"/>
              </w:rPr>
              <w:t>[a,h]</w:t>
            </w:r>
            <w:r>
              <w:rPr>
                <w:spacing w:val="4"/>
                <w:sz w:val="20"/>
                <w:szCs w:val="20"/>
              </w:rPr>
              <w:t>蒽</w:t>
            </w:r>
          </w:p>
        </w:tc>
        <w:tc>
          <w:tcPr>
            <w:tcW w:w="925" w:type="dxa"/>
            <w:gridSpan w:val="2"/>
            <w:vAlign w:val="top"/>
          </w:tcPr>
          <w:p w14:paraId="7EA1E94B">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4A7C4150">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631FA9CA">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D1BFA26">
            <w:pPr>
              <w:spacing w:before="8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862" w:type="dxa"/>
            <w:vAlign w:val="top"/>
          </w:tcPr>
          <w:p w14:paraId="633AA08B">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59487BC9">
            <w:pPr>
              <w:rPr>
                <w:rFonts w:ascii="Arial"/>
                <w:sz w:val="21"/>
              </w:rPr>
            </w:pPr>
          </w:p>
        </w:tc>
      </w:tr>
      <w:tr w14:paraId="33791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F95649">
            <w:pPr>
              <w:rPr>
                <w:rFonts w:ascii="Arial"/>
                <w:sz w:val="21"/>
              </w:rPr>
            </w:pPr>
          </w:p>
        </w:tc>
        <w:tc>
          <w:tcPr>
            <w:tcW w:w="113" w:type="dxa"/>
            <w:tcBorders>
              <w:top w:val="nil"/>
              <w:bottom w:val="nil"/>
            </w:tcBorders>
            <w:vAlign w:val="top"/>
          </w:tcPr>
          <w:p w14:paraId="0BC33F78">
            <w:pPr>
              <w:rPr>
                <w:rFonts w:ascii="Arial"/>
                <w:sz w:val="21"/>
              </w:rPr>
            </w:pPr>
          </w:p>
        </w:tc>
        <w:tc>
          <w:tcPr>
            <w:tcW w:w="648" w:type="dxa"/>
            <w:gridSpan w:val="2"/>
            <w:vAlign w:val="top"/>
          </w:tcPr>
          <w:p w14:paraId="16A2FD43">
            <w:pPr>
              <w:spacing w:before="8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900" w:type="dxa"/>
            <w:gridSpan w:val="2"/>
            <w:vAlign w:val="top"/>
          </w:tcPr>
          <w:p w14:paraId="746A431B">
            <w:pPr>
              <w:pStyle w:val="6"/>
              <w:spacing w:before="45"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萘</w:t>
            </w:r>
          </w:p>
        </w:tc>
        <w:tc>
          <w:tcPr>
            <w:tcW w:w="925" w:type="dxa"/>
            <w:gridSpan w:val="2"/>
            <w:vAlign w:val="top"/>
          </w:tcPr>
          <w:p w14:paraId="3CD9DF01">
            <w:pPr>
              <w:spacing w:before="79"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4FBB349E">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74113B0B">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0DCBC8B3">
            <w:pPr>
              <w:spacing w:before="83"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62" w:type="dxa"/>
            <w:vAlign w:val="top"/>
          </w:tcPr>
          <w:p w14:paraId="01D8FBD8">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471B7847">
            <w:pPr>
              <w:rPr>
                <w:rFonts w:ascii="Arial"/>
                <w:sz w:val="21"/>
              </w:rPr>
            </w:pPr>
          </w:p>
        </w:tc>
      </w:tr>
      <w:tr w14:paraId="3D7DC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2D38FC6">
            <w:pPr>
              <w:rPr>
                <w:rFonts w:ascii="Arial"/>
                <w:sz w:val="21"/>
              </w:rPr>
            </w:pPr>
          </w:p>
        </w:tc>
        <w:tc>
          <w:tcPr>
            <w:tcW w:w="113" w:type="dxa"/>
            <w:tcBorders>
              <w:top w:val="nil"/>
              <w:bottom w:val="nil"/>
            </w:tcBorders>
            <w:vAlign w:val="top"/>
          </w:tcPr>
          <w:p w14:paraId="10228E4E">
            <w:pPr>
              <w:rPr>
                <w:rFonts w:ascii="Arial"/>
                <w:sz w:val="21"/>
              </w:rPr>
            </w:pPr>
          </w:p>
        </w:tc>
        <w:tc>
          <w:tcPr>
            <w:tcW w:w="648" w:type="dxa"/>
            <w:gridSpan w:val="2"/>
            <w:vAlign w:val="top"/>
          </w:tcPr>
          <w:p w14:paraId="01767F57">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900" w:type="dxa"/>
            <w:gridSpan w:val="2"/>
            <w:vAlign w:val="top"/>
          </w:tcPr>
          <w:p w14:paraId="7B45CFD2">
            <w:pPr>
              <w:pStyle w:val="6"/>
              <w:spacing w:before="44"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菌</w:t>
            </w:r>
          </w:p>
        </w:tc>
        <w:tc>
          <w:tcPr>
            <w:tcW w:w="925" w:type="dxa"/>
            <w:gridSpan w:val="2"/>
            <w:vAlign w:val="top"/>
          </w:tcPr>
          <w:p w14:paraId="5DF97616">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7FA2014D">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5C960827">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2FEC34C">
            <w:pPr>
              <w:spacing w:before="82"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1293</w:t>
            </w:r>
          </w:p>
        </w:tc>
        <w:tc>
          <w:tcPr>
            <w:tcW w:w="862" w:type="dxa"/>
            <w:vAlign w:val="top"/>
          </w:tcPr>
          <w:p w14:paraId="57E32A11">
            <w:pPr>
              <w:pStyle w:val="6"/>
              <w:spacing w:before="44" w:line="231" w:lineRule="auto"/>
              <w:ind w:left="341"/>
              <w:rPr>
                <w:sz w:val="20"/>
                <w:szCs w:val="20"/>
              </w:rPr>
            </w:pPr>
            <w:r>
              <w:rPr>
                <w:sz w:val="20"/>
                <w:szCs w:val="20"/>
              </w:rPr>
              <w:t>是</w:t>
            </w:r>
          </w:p>
        </w:tc>
        <w:tc>
          <w:tcPr>
            <w:tcW w:w="125" w:type="dxa"/>
            <w:tcBorders>
              <w:top w:val="nil"/>
              <w:bottom w:val="nil"/>
            </w:tcBorders>
            <w:vAlign w:val="top"/>
          </w:tcPr>
          <w:p w14:paraId="75BCCC1F">
            <w:pPr>
              <w:rPr>
                <w:rFonts w:ascii="Arial"/>
                <w:sz w:val="21"/>
              </w:rPr>
            </w:pPr>
          </w:p>
        </w:tc>
      </w:tr>
      <w:tr w14:paraId="09297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4F2AFB0">
            <w:pPr>
              <w:rPr>
                <w:rFonts w:ascii="Arial"/>
                <w:sz w:val="21"/>
              </w:rPr>
            </w:pPr>
          </w:p>
        </w:tc>
        <w:tc>
          <w:tcPr>
            <w:tcW w:w="113" w:type="dxa"/>
            <w:tcBorders>
              <w:top w:val="nil"/>
              <w:bottom w:val="nil"/>
            </w:tcBorders>
            <w:vAlign w:val="top"/>
          </w:tcPr>
          <w:p w14:paraId="779762DE">
            <w:pPr>
              <w:rPr>
                <w:rFonts w:ascii="Arial"/>
                <w:sz w:val="21"/>
              </w:rPr>
            </w:pPr>
          </w:p>
        </w:tc>
        <w:tc>
          <w:tcPr>
            <w:tcW w:w="648" w:type="dxa"/>
            <w:gridSpan w:val="2"/>
            <w:vAlign w:val="top"/>
          </w:tcPr>
          <w:p w14:paraId="62AAE862">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900" w:type="dxa"/>
            <w:gridSpan w:val="2"/>
            <w:vAlign w:val="top"/>
          </w:tcPr>
          <w:p w14:paraId="6571173F">
            <w:pPr>
              <w:pStyle w:val="6"/>
              <w:spacing w:before="46" w:line="229" w:lineRule="auto"/>
              <w:ind w:left="802"/>
              <w:rPr>
                <w:sz w:val="20"/>
                <w:szCs w:val="20"/>
              </w:rPr>
            </w:pPr>
            <w:r>
              <w:rPr>
                <w:rFonts w:ascii="Times New Roman" w:hAnsi="Times New Roman" w:eastAsia="Times New Roman" w:cs="Times New Roman"/>
                <w:spacing w:val="-1"/>
                <w:sz w:val="20"/>
                <w:szCs w:val="20"/>
              </w:rPr>
              <w:t>*</w:t>
            </w:r>
            <w:r>
              <w:rPr>
                <w:spacing w:val="-1"/>
                <w:sz w:val="20"/>
                <w:szCs w:val="20"/>
              </w:rPr>
              <w:t>蒽</w:t>
            </w:r>
          </w:p>
        </w:tc>
        <w:tc>
          <w:tcPr>
            <w:tcW w:w="925" w:type="dxa"/>
            <w:gridSpan w:val="2"/>
            <w:vAlign w:val="top"/>
          </w:tcPr>
          <w:p w14:paraId="11D8736F">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2943496D">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F4EA481">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87705F6">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5B43EF8">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1C4B368E">
            <w:pPr>
              <w:rPr>
                <w:rFonts w:ascii="Arial"/>
                <w:sz w:val="21"/>
              </w:rPr>
            </w:pPr>
          </w:p>
        </w:tc>
      </w:tr>
      <w:tr w14:paraId="50681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314F27A1">
            <w:pPr>
              <w:rPr>
                <w:rFonts w:ascii="Arial"/>
                <w:sz w:val="21"/>
              </w:rPr>
            </w:pPr>
          </w:p>
        </w:tc>
        <w:tc>
          <w:tcPr>
            <w:tcW w:w="113" w:type="dxa"/>
            <w:tcBorders>
              <w:top w:val="nil"/>
              <w:bottom w:val="nil"/>
            </w:tcBorders>
            <w:vAlign w:val="top"/>
          </w:tcPr>
          <w:p w14:paraId="17A7EE29">
            <w:pPr>
              <w:rPr>
                <w:rFonts w:ascii="Arial"/>
                <w:sz w:val="21"/>
              </w:rPr>
            </w:pPr>
          </w:p>
        </w:tc>
        <w:tc>
          <w:tcPr>
            <w:tcW w:w="648" w:type="dxa"/>
            <w:gridSpan w:val="2"/>
            <w:vAlign w:val="top"/>
          </w:tcPr>
          <w:p w14:paraId="4E65C933">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900" w:type="dxa"/>
            <w:gridSpan w:val="2"/>
            <w:vAlign w:val="top"/>
          </w:tcPr>
          <w:p w14:paraId="63811406">
            <w:pPr>
              <w:pStyle w:val="6"/>
              <w:spacing w:before="45" w:line="230" w:lineRule="auto"/>
              <w:ind w:left="696"/>
              <w:rPr>
                <w:sz w:val="20"/>
                <w:szCs w:val="20"/>
              </w:rPr>
            </w:pPr>
            <w:r>
              <w:rPr>
                <w:rFonts w:ascii="Times New Roman" w:hAnsi="Times New Roman" w:eastAsia="Times New Roman" w:cs="Times New Roman"/>
                <w:spacing w:val="2"/>
                <w:sz w:val="20"/>
                <w:szCs w:val="20"/>
              </w:rPr>
              <w:t>*</w:t>
            </w:r>
            <w:r>
              <w:rPr>
                <w:spacing w:val="2"/>
                <w:sz w:val="20"/>
                <w:szCs w:val="20"/>
              </w:rPr>
              <w:t>荧蒽</w:t>
            </w:r>
          </w:p>
        </w:tc>
        <w:tc>
          <w:tcPr>
            <w:tcW w:w="925" w:type="dxa"/>
            <w:gridSpan w:val="2"/>
            <w:vAlign w:val="top"/>
          </w:tcPr>
          <w:p w14:paraId="2D9D72EE">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9AA2AFA">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1496E438">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C61C308">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FCB1EDC">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790BE6C3">
            <w:pPr>
              <w:rPr>
                <w:rFonts w:ascii="Arial"/>
                <w:sz w:val="21"/>
              </w:rPr>
            </w:pPr>
          </w:p>
        </w:tc>
      </w:tr>
      <w:tr w14:paraId="55D8D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6506F2D8">
            <w:pPr>
              <w:rPr>
                <w:rFonts w:ascii="Arial"/>
                <w:sz w:val="21"/>
              </w:rPr>
            </w:pPr>
          </w:p>
        </w:tc>
        <w:tc>
          <w:tcPr>
            <w:tcW w:w="113" w:type="dxa"/>
            <w:tcBorders>
              <w:top w:val="nil"/>
              <w:bottom w:val="nil"/>
            </w:tcBorders>
            <w:vAlign w:val="top"/>
          </w:tcPr>
          <w:p w14:paraId="3883E4B9">
            <w:pPr>
              <w:rPr>
                <w:rFonts w:ascii="Arial"/>
                <w:sz w:val="21"/>
              </w:rPr>
            </w:pPr>
          </w:p>
        </w:tc>
        <w:tc>
          <w:tcPr>
            <w:tcW w:w="648" w:type="dxa"/>
            <w:gridSpan w:val="2"/>
            <w:vAlign w:val="top"/>
          </w:tcPr>
          <w:p w14:paraId="5B33ABBF">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900" w:type="dxa"/>
            <w:gridSpan w:val="2"/>
            <w:vAlign w:val="top"/>
          </w:tcPr>
          <w:p w14:paraId="3FB32E75">
            <w:pPr>
              <w:pStyle w:val="6"/>
              <w:spacing w:before="45" w:line="228" w:lineRule="auto"/>
              <w:ind w:left="696"/>
              <w:rPr>
                <w:sz w:val="20"/>
                <w:szCs w:val="20"/>
              </w:rPr>
            </w:pPr>
            <w:r>
              <w:rPr>
                <w:rFonts w:ascii="Times New Roman" w:hAnsi="Times New Roman" w:eastAsia="Times New Roman" w:cs="Times New Roman"/>
                <w:spacing w:val="2"/>
                <w:sz w:val="20"/>
                <w:szCs w:val="20"/>
              </w:rPr>
              <w:t>*</w:t>
            </w:r>
            <w:r>
              <w:rPr>
                <w:spacing w:val="2"/>
                <w:sz w:val="20"/>
                <w:szCs w:val="20"/>
              </w:rPr>
              <w:t>苊烯</w:t>
            </w:r>
          </w:p>
        </w:tc>
        <w:tc>
          <w:tcPr>
            <w:tcW w:w="925" w:type="dxa"/>
            <w:gridSpan w:val="2"/>
            <w:vAlign w:val="top"/>
          </w:tcPr>
          <w:p w14:paraId="5001B53F">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332415B8">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44A7AC93">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1AE777C">
            <w:pPr>
              <w:spacing w:before="77"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0658B00">
            <w:pPr>
              <w:spacing w:before="77"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6BBE520B">
            <w:pPr>
              <w:rPr>
                <w:rFonts w:ascii="Arial"/>
                <w:sz w:val="21"/>
              </w:rPr>
            </w:pPr>
          </w:p>
        </w:tc>
      </w:tr>
      <w:tr w14:paraId="4C72A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4750924E">
            <w:pPr>
              <w:rPr>
                <w:rFonts w:ascii="Arial"/>
                <w:sz w:val="21"/>
              </w:rPr>
            </w:pPr>
          </w:p>
        </w:tc>
        <w:tc>
          <w:tcPr>
            <w:tcW w:w="113" w:type="dxa"/>
            <w:tcBorders>
              <w:top w:val="nil"/>
              <w:bottom w:val="nil"/>
            </w:tcBorders>
            <w:vAlign w:val="top"/>
          </w:tcPr>
          <w:p w14:paraId="635603D4">
            <w:pPr>
              <w:rPr>
                <w:rFonts w:ascii="Arial"/>
                <w:sz w:val="21"/>
              </w:rPr>
            </w:pPr>
          </w:p>
        </w:tc>
        <w:tc>
          <w:tcPr>
            <w:tcW w:w="648" w:type="dxa"/>
            <w:gridSpan w:val="2"/>
            <w:vAlign w:val="top"/>
          </w:tcPr>
          <w:p w14:paraId="06A125ED">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900" w:type="dxa"/>
            <w:gridSpan w:val="2"/>
            <w:vAlign w:val="top"/>
          </w:tcPr>
          <w:p w14:paraId="0B5509C5">
            <w:pPr>
              <w:pStyle w:val="6"/>
              <w:spacing w:before="45" w:line="229" w:lineRule="auto"/>
              <w:ind w:left="802"/>
              <w:rPr>
                <w:sz w:val="20"/>
                <w:szCs w:val="20"/>
              </w:rPr>
            </w:pPr>
            <w:r>
              <w:rPr>
                <w:rFonts w:ascii="Times New Roman" w:hAnsi="Times New Roman" w:eastAsia="Times New Roman" w:cs="Times New Roman"/>
                <w:spacing w:val="-1"/>
                <w:sz w:val="20"/>
                <w:szCs w:val="20"/>
              </w:rPr>
              <w:t>*</w:t>
            </w:r>
            <w:r>
              <w:rPr>
                <w:spacing w:val="-1"/>
                <w:sz w:val="20"/>
                <w:szCs w:val="20"/>
              </w:rPr>
              <w:t>苊</w:t>
            </w:r>
          </w:p>
        </w:tc>
        <w:tc>
          <w:tcPr>
            <w:tcW w:w="925" w:type="dxa"/>
            <w:gridSpan w:val="2"/>
            <w:vAlign w:val="top"/>
          </w:tcPr>
          <w:p w14:paraId="67BEC858">
            <w:pPr>
              <w:spacing w:before="77"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C11C964">
            <w:pPr>
              <w:spacing w:before="84"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594CC4A1">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5FB876E6">
            <w:pPr>
              <w:spacing w:before="77"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1063058B">
            <w:pPr>
              <w:spacing w:before="77"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7FE41687">
            <w:pPr>
              <w:rPr>
                <w:rFonts w:ascii="Arial"/>
                <w:sz w:val="21"/>
              </w:rPr>
            </w:pPr>
          </w:p>
        </w:tc>
      </w:tr>
      <w:tr w14:paraId="0857E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BCF4C41">
            <w:pPr>
              <w:rPr>
                <w:rFonts w:ascii="Arial"/>
                <w:sz w:val="21"/>
              </w:rPr>
            </w:pPr>
          </w:p>
        </w:tc>
        <w:tc>
          <w:tcPr>
            <w:tcW w:w="113" w:type="dxa"/>
            <w:tcBorders>
              <w:top w:val="nil"/>
              <w:bottom w:val="nil"/>
            </w:tcBorders>
            <w:vAlign w:val="top"/>
          </w:tcPr>
          <w:p w14:paraId="7F80CE83">
            <w:pPr>
              <w:rPr>
                <w:rFonts w:ascii="Arial"/>
                <w:sz w:val="21"/>
              </w:rPr>
            </w:pPr>
          </w:p>
        </w:tc>
        <w:tc>
          <w:tcPr>
            <w:tcW w:w="648" w:type="dxa"/>
            <w:gridSpan w:val="2"/>
            <w:vAlign w:val="top"/>
          </w:tcPr>
          <w:p w14:paraId="0D4E040F">
            <w:pPr>
              <w:spacing w:before="86"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900" w:type="dxa"/>
            <w:gridSpan w:val="2"/>
            <w:vAlign w:val="top"/>
          </w:tcPr>
          <w:p w14:paraId="15213207">
            <w:pPr>
              <w:pStyle w:val="6"/>
              <w:spacing w:before="44" w:line="231" w:lineRule="auto"/>
              <w:ind w:left="802"/>
              <w:rPr>
                <w:sz w:val="20"/>
                <w:szCs w:val="20"/>
              </w:rPr>
            </w:pPr>
            <w:r>
              <w:rPr>
                <w:rFonts w:ascii="Times New Roman" w:hAnsi="Times New Roman" w:eastAsia="Times New Roman" w:cs="Times New Roman"/>
                <w:spacing w:val="-1"/>
                <w:sz w:val="20"/>
                <w:szCs w:val="20"/>
              </w:rPr>
              <w:t>*</w:t>
            </w:r>
            <w:r>
              <w:rPr>
                <w:spacing w:val="-1"/>
                <w:sz w:val="20"/>
                <w:szCs w:val="20"/>
              </w:rPr>
              <w:t>芴</w:t>
            </w:r>
          </w:p>
        </w:tc>
        <w:tc>
          <w:tcPr>
            <w:tcW w:w="925" w:type="dxa"/>
            <w:gridSpan w:val="2"/>
            <w:vAlign w:val="top"/>
          </w:tcPr>
          <w:p w14:paraId="5D6314D0">
            <w:pPr>
              <w:spacing w:before="79"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B858BD3">
            <w:pPr>
              <w:spacing w:before="86"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3D78DA24">
            <w:pPr>
              <w:spacing w:before="86"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28608C42">
            <w:pPr>
              <w:spacing w:before="79"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712792B">
            <w:pPr>
              <w:spacing w:before="79"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223F51F2">
            <w:pPr>
              <w:rPr>
                <w:rFonts w:ascii="Arial"/>
                <w:sz w:val="21"/>
              </w:rPr>
            </w:pPr>
          </w:p>
        </w:tc>
      </w:tr>
      <w:tr w14:paraId="302F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8F2C0B6">
            <w:pPr>
              <w:rPr>
                <w:rFonts w:ascii="Arial"/>
                <w:sz w:val="21"/>
              </w:rPr>
            </w:pPr>
          </w:p>
        </w:tc>
        <w:tc>
          <w:tcPr>
            <w:tcW w:w="113" w:type="dxa"/>
            <w:tcBorders>
              <w:top w:val="nil"/>
              <w:bottom w:val="nil"/>
            </w:tcBorders>
            <w:vAlign w:val="top"/>
          </w:tcPr>
          <w:p w14:paraId="3DEBFB68">
            <w:pPr>
              <w:rPr>
                <w:rFonts w:ascii="Arial"/>
                <w:sz w:val="21"/>
              </w:rPr>
            </w:pPr>
          </w:p>
        </w:tc>
        <w:tc>
          <w:tcPr>
            <w:tcW w:w="648" w:type="dxa"/>
            <w:gridSpan w:val="2"/>
            <w:vAlign w:val="top"/>
          </w:tcPr>
          <w:p w14:paraId="77AA42B6">
            <w:pPr>
              <w:spacing w:before="8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900" w:type="dxa"/>
            <w:gridSpan w:val="2"/>
            <w:vAlign w:val="top"/>
          </w:tcPr>
          <w:p w14:paraId="2C98BC4F">
            <w:pPr>
              <w:pStyle w:val="6"/>
              <w:spacing w:before="44" w:line="228" w:lineRule="auto"/>
              <w:ind w:left="802"/>
              <w:rPr>
                <w:sz w:val="20"/>
                <w:szCs w:val="20"/>
              </w:rPr>
            </w:pPr>
            <w:r>
              <w:rPr>
                <w:rFonts w:ascii="Times New Roman" w:hAnsi="Times New Roman" w:eastAsia="Times New Roman" w:cs="Times New Roman"/>
                <w:spacing w:val="-1"/>
                <w:sz w:val="20"/>
                <w:szCs w:val="20"/>
              </w:rPr>
              <w:t>*</w:t>
            </w:r>
            <w:r>
              <w:rPr>
                <w:spacing w:val="-1"/>
                <w:sz w:val="20"/>
                <w:szCs w:val="20"/>
              </w:rPr>
              <w:t>菲</w:t>
            </w:r>
          </w:p>
        </w:tc>
        <w:tc>
          <w:tcPr>
            <w:tcW w:w="925" w:type="dxa"/>
            <w:gridSpan w:val="2"/>
            <w:vAlign w:val="top"/>
          </w:tcPr>
          <w:p w14:paraId="78F28FE7">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6B3D79E7">
            <w:pPr>
              <w:spacing w:before="8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gridSpan w:val="3"/>
            <w:vAlign w:val="top"/>
          </w:tcPr>
          <w:p w14:paraId="029466EE">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689D94A1">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4EF80E99">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49C35C06">
            <w:pPr>
              <w:rPr>
                <w:rFonts w:ascii="Arial"/>
                <w:sz w:val="21"/>
              </w:rPr>
            </w:pPr>
          </w:p>
        </w:tc>
      </w:tr>
      <w:tr w14:paraId="40247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55B1FEEA">
            <w:pPr>
              <w:rPr>
                <w:rFonts w:ascii="Arial"/>
                <w:sz w:val="21"/>
              </w:rPr>
            </w:pPr>
          </w:p>
        </w:tc>
        <w:tc>
          <w:tcPr>
            <w:tcW w:w="113" w:type="dxa"/>
            <w:tcBorders>
              <w:top w:val="nil"/>
              <w:bottom w:val="nil"/>
            </w:tcBorders>
            <w:vAlign w:val="top"/>
          </w:tcPr>
          <w:p w14:paraId="6F62817D">
            <w:pPr>
              <w:rPr>
                <w:rFonts w:ascii="Arial"/>
                <w:sz w:val="21"/>
              </w:rPr>
            </w:pPr>
          </w:p>
        </w:tc>
        <w:tc>
          <w:tcPr>
            <w:tcW w:w="648" w:type="dxa"/>
            <w:gridSpan w:val="2"/>
            <w:vAlign w:val="top"/>
          </w:tcPr>
          <w:p w14:paraId="362D3F7C">
            <w:pPr>
              <w:spacing w:before="85"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900" w:type="dxa"/>
            <w:gridSpan w:val="2"/>
            <w:vAlign w:val="top"/>
          </w:tcPr>
          <w:p w14:paraId="726F4390">
            <w:pPr>
              <w:pStyle w:val="6"/>
              <w:spacing w:before="46" w:line="221" w:lineRule="auto"/>
              <w:ind w:left="336"/>
              <w:rPr>
                <w:sz w:val="20"/>
                <w:szCs w:val="20"/>
              </w:rPr>
            </w:pPr>
            <w:r>
              <w:rPr>
                <w:rFonts w:ascii="Times New Roman" w:hAnsi="Times New Roman" w:eastAsia="Times New Roman" w:cs="Times New Roman"/>
                <w:spacing w:val="3"/>
                <w:sz w:val="20"/>
                <w:szCs w:val="20"/>
              </w:rPr>
              <w:t>*</w:t>
            </w:r>
            <w:r>
              <w:rPr>
                <w:spacing w:val="3"/>
                <w:sz w:val="20"/>
                <w:szCs w:val="20"/>
              </w:rPr>
              <w:t>苯并</w:t>
            </w:r>
            <w:r>
              <w:rPr>
                <w:rFonts w:ascii="Times New Roman" w:hAnsi="Times New Roman" w:eastAsia="Times New Roman" w:cs="Times New Roman"/>
                <w:spacing w:val="3"/>
                <w:sz w:val="20"/>
                <w:szCs w:val="20"/>
              </w:rPr>
              <w:t>[g,h,i]</w:t>
            </w:r>
            <w:r>
              <w:rPr>
                <w:spacing w:val="3"/>
                <w:sz w:val="20"/>
                <w:szCs w:val="20"/>
              </w:rPr>
              <w:t>苝</w:t>
            </w:r>
          </w:p>
        </w:tc>
        <w:tc>
          <w:tcPr>
            <w:tcW w:w="925" w:type="dxa"/>
            <w:gridSpan w:val="2"/>
            <w:vAlign w:val="top"/>
          </w:tcPr>
          <w:p w14:paraId="4DA6EF2C">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05DBD3EC">
            <w:pPr>
              <w:spacing w:before="85" w:line="192"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00" w:type="dxa"/>
            <w:gridSpan w:val="3"/>
            <w:vAlign w:val="top"/>
          </w:tcPr>
          <w:p w14:paraId="7743E5B0">
            <w:pPr>
              <w:spacing w:before="8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7F1A43A9">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1570F593">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0DB36157">
            <w:pPr>
              <w:rPr>
                <w:rFonts w:ascii="Arial"/>
                <w:sz w:val="21"/>
              </w:rPr>
            </w:pPr>
          </w:p>
        </w:tc>
      </w:tr>
      <w:tr w14:paraId="79978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60" w:type="dxa"/>
            <w:vMerge w:val="continue"/>
            <w:tcBorders>
              <w:top w:val="nil"/>
              <w:bottom w:val="nil"/>
            </w:tcBorders>
            <w:vAlign w:val="top"/>
          </w:tcPr>
          <w:p w14:paraId="06870999">
            <w:pPr>
              <w:rPr>
                <w:rFonts w:ascii="Arial"/>
                <w:sz w:val="21"/>
              </w:rPr>
            </w:pPr>
          </w:p>
        </w:tc>
        <w:tc>
          <w:tcPr>
            <w:tcW w:w="113" w:type="dxa"/>
            <w:tcBorders>
              <w:top w:val="nil"/>
              <w:bottom w:val="nil"/>
            </w:tcBorders>
            <w:vAlign w:val="top"/>
          </w:tcPr>
          <w:p w14:paraId="4F848CD3">
            <w:pPr>
              <w:rPr>
                <w:rFonts w:ascii="Arial"/>
                <w:sz w:val="21"/>
              </w:rPr>
            </w:pPr>
          </w:p>
        </w:tc>
        <w:tc>
          <w:tcPr>
            <w:tcW w:w="648" w:type="dxa"/>
            <w:gridSpan w:val="2"/>
            <w:vAlign w:val="top"/>
          </w:tcPr>
          <w:p w14:paraId="35E07422">
            <w:pPr>
              <w:spacing w:before="8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900" w:type="dxa"/>
            <w:gridSpan w:val="2"/>
            <w:vAlign w:val="top"/>
          </w:tcPr>
          <w:p w14:paraId="555EBFF3">
            <w:pPr>
              <w:pStyle w:val="6"/>
              <w:spacing w:before="45" w:line="230" w:lineRule="auto"/>
              <w:ind w:left="802"/>
              <w:rPr>
                <w:sz w:val="20"/>
                <w:szCs w:val="20"/>
              </w:rPr>
            </w:pPr>
            <w:r>
              <w:rPr>
                <w:rFonts w:ascii="Times New Roman" w:hAnsi="Times New Roman" w:eastAsia="Times New Roman" w:cs="Times New Roman"/>
                <w:spacing w:val="-1"/>
                <w:sz w:val="20"/>
                <w:szCs w:val="20"/>
              </w:rPr>
              <w:t>*</w:t>
            </w:r>
            <w:r>
              <w:rPr>
                <w:spacing w:val="-1"/>
                <w:sz w:val="20"/>
                <w:szCs w:val="20"/>
              </w:rPr>
              <w:t>芘</w:t>
            </w:r>
          </w:p>
        </w:tc>
        <w:tc>
          <w:tcPr>
            <w:tcW w:w="925" w:type="dxa"/>
            <w:gridSpan w:val="2"/>
            <w:vAlign w:val="top"/>
          </w:tcPr>
          <w:p w14:paraId="716D64E7">
            <w:pPr>
              <w:spacing w:before="78" w:line="201"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224" w:type="dxa"/>
            <w:gridSpan w:val="2"/>
            <w:vAlign w:val="top"/>
          </w:tcPr>
          <w:p w14:paraId="5FB0942D">
            <w:pPr>
              <w:spacing w:before="8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00" w:type="dxa"/>
            <w:gridSpan w:val="3"/>
            <w:vAlign w:val="top"/>
          </w:tcPr>
          <w:p w14:paraId="33104D8F">
            <w:pPr>
              <w:spacing w:before="84" w:line="192"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68" w:type="dxa"/>
            <w:gridSpan w:val="2"/>
            <w:vAlign w:val="top"/>
          </w:tcPr>
          <w:p w14:paraId="3A0C182F">
            <w:pPr>
              <w:spacing w:before="78" w:line="199"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2" w:type="dxa"/>
            <w:vAlign w:val="top"/>
          </w:tcPr>
          <w:p w14:paraId="7F9C23E1">
            <w:pPr>
              <w:spacing w:before="78" w:line="199"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 w:type="dxa"/>
            <w:tcBorders>
              <w:top w:val="nil"/>
              <w:bottom w:val="nil"/>
            </w:tcBorders>
            <w:vAlign w:val="top"/>
          </w:tcPr>
          <w:p w14:paraId="5597125B">
            <w:pPr>
              <w:rPr>
                <w:rFonts w:ascii="Arial"/>
                <w:sz w:val="21"/>
              </w:rPr>
            </w:pPr>
          </w:p>
        </w:tc>
      </w:tr>
      <w:tr w14:paraId="73D2F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0" w:type="dxa"/>
            <w:vMerge w:val="continue"/>
            <w:tcBorders>
              <w:top w:val="nil"/>
              <w:bottom w:val="nil"/>
            </w:tcBorders>
            <w:vAlign w:val="top"/>
          </w:tcPr>
          <w:p w14:paraId="24A5AC54">
            <w:pPr>
              <w:rPr>
                <w:rFonts w:ascii="Arial"/>
                <w:sz w:val="21"/>
              </w:rPr>
            </w:pPr>
          </w:p>
        </w:tc>
        <w:tc>
          <w:tcPr>
            <w:tcW w:w="8165" w:type="dxa"/>
            <w:gridSpan w:val="16"/>
            <w:vAlign w:val="top"/>
          </w:tcPr>
          <w:p w14:paraId="2585A65A">
            <w:pPr>
              <w:pStyle w:val="6"/>
              <w:spacing w:before="186" w:line="228" w:lineRule="auto"/>
              <w:ind w:left="1968"/>
              <w:outlineLvl w:val="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3-7    3 </w:t>
            </w:r>
            <w:r>
              <w:rPr>
                <w:b/>
                <w:bCs/>
                <w:spacing w:val="6"/>
                <w:sz w:val="20"/>
                <w:szCs w:val="20"/>
              </w:rPr>
              <w:t>号点、</w:t>
            </w:r>
            <w:r>
              <w:rPr>
                <w:rFonts w:ascii="Times New Roman" w:hAnsi="Times New Roman" w:eastAsia="Times New Roman" w:cs="Times New Roman"/>
                <w:b/>
                <w:bCs/>
                <w:spacing w:val="6"/>
                <w:sz w:val="20"/>
                <w:szCs w:val="20"/>
              </w:rPr>
              <w:t xml:space="preserve">6 </w:t>
            </w:r>
            <w:r>
              <w:rPr>
                <w:b/>
                <w:bCs/>
                <w:spacing w:val="6"/>
                <w:sz w:val="20"/>
                <w:szCs w:val="20"/>
              </w:rPr>
              <w:t>号点土壤检测项目检</w:t>
            </w:r>
            <w:r>
              <w:rPr>
                <w:b/>
                <w:bCs/>
                <w:spacing w:val="5"/>
                <w:sz w:val="20"/>
                <w:szCs w:val="20"/>
              </w:rPr>
              <w:t>测结果</w:t>
            </w:r>
          </w:p>
        </w:tc>
      </w:tr>
      <w:tr w14:paraId="68AF7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60" w:type="dxa"/>
            <w:vMerge w:val="continue"/>
            <w:tcBorders>
              <w:top w:val="nil"/>
              <w:bottom w:val="nil"/>
            </w:tcBorders>
            <w:vAlign w:val="top"/>
          </w:tcPr>
          <w:p w14:paraId="3F47E27B">
            <w:pPr>
              <w:rPr>
                <w:rFonts w:ascii="Arial"/>
                <w:sz w:val="21"/>
              </w:rPr>
            </w:pPr>
          </w:p>
        </w:tc>
        <w:tc>
          <w:tcPr>
            <w:tcW w:w="113" w:type="dxa"/>
            <w:tcBorders>
              <w:top w:val="nil"/>
              <w:bottom w:val="nil"/>
            </w:tcBorders>
            <w:vAlign w:val="top"/>
          </w:tcPr>
          <w:p w14:paraId="3CB0A5A4">
            <w:pPr>
              <w:rPr>
                <w:rFonts w:ascii="Arial"/>
                <w:sz w:val="21"/>
              </w:rPr>
            </w:pPr>
          </w:p>
        </w:tc>
        <w:tc>
          <w:tcPr>
            <w:tcW w:w="525" w:type="dxa"/>
            <w:vMerge w:val="restart"/>
            <w:tcBorders>
              <w:bottom w:val="nil"/>
            </w:tcBorders>
            <w:textDirection w:val="tbRlV"/>
            <w:vAlign w:val="top"/>
          </w:tcPr>
          <w:p w14:paraId="072619E9">
            <w:pPr>
              <w:pStyle w:val="6"/>
              <w:spacing w:before="159" w:line="218" w:lineRule="auto"/>
              <w:ind w:left="292"/>
              <w:rPr>
                <w:sz w:val="20"/>
                <w:szCs w:val="20"/>
              </w:rPr>
            </w:pPr>
            <w:r>
              <w:rPr>
                <w:spacing w:val="8"/>
                <w:sz w:val="20"/>
                <w:szCs w:val="20"/>
              </w:rPr>
              <w:t>序</w:t>
            </w:r>
            <w:r>
              <w:rPr>
                <w:spacing w:val="-35"/>
                <w:sz w:val="20"/>
                <w:szCs w:val="20"/>
              </w:rPr>
              <w:t xml:space="preserve"> </w:t>
            </w:r>
            <w:r>
              <w:rPr>
                <w:spacing w:val="8"/>
                <w:sz w:val="20"/>
                <w:szCs w:val="20"/>
              </w:rPr>
              <w:t>号</w:t>
            </w:r>
          </w:p>
        </w:tc>
        <w:tc>
          <w:tcPr>
            <w:tcW w:w="1174" w:type="dxa"/>
            <w:gridSpan w:val="2"/>
            <w:vMerge w:val="restart"/>
            <w:tcBorders>
              <w:bottom w:val="nil"/>
            </w:tcBorders>
            <w:vAlign w:val="top"/>
          </w:tcPr>
          <w:p w14:paraId="5DBAD749">
            <w:pPr>
              <w:spacing w:line="361" w:lineRule="auto"/>
              <w:rPr>
                <w:rFonts w:ascii="Arial"/>
                <w:sz w:val="21"/>
              </w:rPr>
            </w:pPr>
          </w:p>
          <w:p w14:paraId="4293147C">
            <w:pPr>
              <w:pStyle w:val="6"/>
              <w:spacing w:before="65" w:line="228" w:lineRule="auto"/>
              <w:ind w:left="169"/>
              <w:rPr>
                <w:sz w:val="20"/>
                <w:szCs w:val="20"/>
              </w:rPr>
            </w:pPr>
            <w:r>
              <w:rPr>
                <w:spacing w:val="7"/>
                <w:sz w:val="20"/>
                <w:szCs w:val="20"/>
              </w:rPr>
              <w:t>检测项目</w:t>
            </w:r>
          </w:p>
        </w:tc>
        <w:tc>
          <w:tcPr>
            <w:tcW w:w="924" w:type="dxa"/>
            <w:gridSpan w:val="2"/>
            <w:vMerge w:val="restart"/>
            <w:tcBorders>
              <w:bottom w:val="nil"/>
            </w:tcBorders>
            <w:vAlign w:val="top"/>
          </w:tcPr>
          <w:p w14:paraId="5726C085">
            <w:pPr>
              <w:spacing w:line="362" w:lineRule="auto"/>
              <w:rPr>
                <w:rFonts w:ascii="Arial"/>
                <w:sz w:val="21"/>
              </w:rPr>
            </w:pPr>
          </w:p>
          <w:p w14:paraId="1C3DD3FB">
            <w:pPr>
              <w:pStyle w:val="6"/>
              <w:spacing w:before="65" w:line="228" w:lineRule="auto"/>
              <w:ind w:left="257"/>
              <w:rPr>
                <w:sz w:val="20"/>
                <w:szCs w:val="20"/>
              </w:rPr>
            </w:pPr>
            <w:r>
              <w:rPr>
                <w:spacing w:val="3"/>
                <w:sz w:val="20"/>
                <w:szCs w:val="20"/>
              </w:rPr>
              <w:t>单位</w:t>
            </w:r>
          </w:p>
        </w:tc>
        <w:tc>
          <w:tcPr>
            <w:tcW w:w="4272" w:type="dxa"/>
            <w:gridSpan w:val="7"/>
            <w:vAlign w:val="top"/>
          </w:tcPr>
          <w:p w14:paraId="4F0C7349">
            <w:pPr>
              <w:pStyle w:val="6"/>
              <w:spacing w:before="33" w:line="213" w:lineRule="auto"/>
              <w:ind w:left="1723"/>
              <w:rPr>
                <w:sz w:val="20"/>
                <w:szCs w:val="20"/>
              </w:rPr>
            </w:pPr>
            <w:r>
              <w:rPr>
                <w:spacing w:val="7"/>
                <w:sz w:val="20"/>
                <w:szCs w:val="20"/>
              </w:rPr>
              <w:t>监测结果</w:t>
            </w:r>
          </w:p>
        </w:tc>
        <w:tc>
          <w:tcPr>
            <w:tcW w:w="1032" w:type="dxa"/>
            <w:gridSpan w:val="2"/>
            <w:vMerge w:val="restart"/>
            <w:tcBorders>
              <w:bottom w:val="nil"/>
            </w:tcBorders>
            <w:vAlign w:val="top"/>
          </w:tcPr>
          <w:p w14:paraId="5E5CC37C">
            <w:pPr>
              <w:pStyle w:val="6"/>
              <w:spacing w:before="292" w:line="249" w:lineRule="auto"/>
              <w:ind w:left="121" w:right="117" w:firstLine="84"/>
              <w:rPr>
                <w:rFonts w:ascii="Times New Roman" w:hAnsi="Times New Roman" w:eastAsia="Times New Roman" w:cs="Times New Roman"/>
                <w:sz w:val="20"/>
                <w:szCs w:val="20"/>
              </w:rPr>
            </w:pPr>
            <w:r>
              <w:rPr>
                <w:spacing w:val="6"/>
                <w:sz w:val="20"/>
                <w:szCs w:val="20"/>
              </w:rPr>
              <w:t>标准限</w:t>
            </w:r>
            <w:r>
              <w:rPr>
                <w:sz w:val="20"/>
                <w:szCs w:val="20"/>
              </w:rPr>
              <w:t xml:space="preserve">  </w:t>
            </w:r>
            <w:r>
              <w:rPr>
                <w:spacing w:val="11"/>
                <w:sz w:val="20"/>
                <w:szCs w:val="20"/>
              </w:rPr>
              <w:t>值</w:t>
            </w:r>
            <w:r>
              <w:rPr>
                <w:spacing w:val="-46"/>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kg</w:t>
            </w:r>
          </w:p>
        </w:tc>
        <w:tc>
          <w:tcPr>
            <w:tcW w:w="125" w:type="dxa"/>
            <w:tcBorders>
              <w:top w:val="nil"/>
              <w:bottom w:val="nil"/>
            </w:tcBorders>
            <w:vAlign w:val="top"/>
          </w:tcPr>
          <w:p w14:paraId="5E63E5CA">
            <w:pPr>
              <w:rPr>
                <w:rFonts w:ascii="Arial"/>
                <w:sz w:val="21"/>
              </w:rPr>
            </w:pPr>
          </w:p>
        </w:tc>
      </w:tr>
      <w:tr w14:paraId="3BE44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460" w:type="dxa"/>
            <w:vMerge w:val="continue"/>
            <w:tcBorders>
              <w:top w:val="nil"/>
              <w:bottom w:val="nil"/>
            </w:tcBorders>
            <w:vAlign w:val="top"/>
          </w:tcPr>
          <w:p w14:paraId="6EB0374F">
            <w:pPr>
              <w:rPr>
                <w:rFonts w:ascii="Arial"/>
                <w:sz w:val="21"/>
              </w:rPr>
            </w:pPr>
          </w:p>
        </w:tc>
        <w:tc>
          <w:tcPr>
            <w:tcW w:w="113" w:type="dxa"/>
            <w:tcBorders>
              <w:top w:val="nil"/>
              <w:bottom w:val="nil"/>
            </w:tcBorders>
            <w:vAlign w:val="top"/>
          </w:tcPr>
          <w:p w14:paraId="41115F86">
            <w:pPr>
              <w:rPr>
                <w:rFonts w:ascii="Arial"/>
                <w:sz w:val="21"/>
              </w:rPr>
            </w:pPr>
          </w:p>
        </w:tc>
        <w:tc>
          <w:tcPr>
            <w:tcW w:w="525" w:type="dxa"/>
            <w:vMerge w:val="continue"/>
            <w:tcBorders>
              <w:top w:val="nil"/>
            </w:tcBorders>
            <w:textDirection w:val="tbRlV"/>
            <w:vAlign w:val="top"/>
          </w:tcPr>
          <w:p w14:paraId="0B04A2E8">
            <w:pPr>
              <w:rPr>
                <w:rFonts w:ascii="Arial"/>
                <w:sz w:val="21"/>
              </w:rPr>
            </w:pPr>
          </w:p>
        </w:tc>
        <w:tc>
          <w:tcPr>
            <w:tcW w:w="1174" w:type="dxa"/>
            <w:gridSpan w:val="2"/>
            <w:vMerge w:val="continue"/>
            <w:tcBorders>
              <w:top w:val="nil"/>
            </w:tcBorders>
            <w:vAlign w:val="top"/>
          </w:tcPr>
          <w:p w14:paraId="1D818B0D">
            <w:pPr>
              <w:rPr>
                <w:rFonts w:ascii="Arial"/>
                <w:sz w:val="21"/>
              </w:rPr>
            </w:pPr>
          </w:p>
        </w:tc>
        <w:tc>
          <w:tcPr>
            <w:tcW w:w="924" w:type="dxa"/>
            <w:gridSpan w:val="2"/>
            <w:vMerge w:val="continue"/>
            <w:tcBorders>
              <w:top w:val="nil"/>
            </w:tcBorders>
            <w:vAlign w:val="top"/>
          </w:tcPr>
          <w:p w14:paraId="00BEA43A">
            <w:pPr>
              <w:rPr>
                <w:rFonts w:ascii="Arial"/>
                <w:sz w:val="21"/>
              </w:rPr>
            </w:pPr>
          </w:p>
        </w:tc>
        <w:tc>
          <w:tcPr>
            <w:tcW w:w="1075" w:type="dxa"/>
            <w:gridSpan w:val="2"/>
            <w:vAlign w:val="top"/>
          </w:tcPr>
          <w:p w14:paraId="692B52EF">
            <w:pPr>
              <w:pStyle w:val="6"/>
              <w:spacing w:before="35" w:line="228" w:lineRule="auto"/>
              <w:ind w:left="148"/>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7"/>
                <w:sz w:val="20"/>
                <w:szCs w:val="20"/>
              </w:rPr>
              <w:t xml:space="preserve"> </w:t>
            </w:r>
            <w:r>
              <w:rPr>
                <w:spacing w:val="2"/>
                <w:sz w:val="20"/>
                <w:szCs w:val="20"/>
              </w:rPr>
              <w:t>号点表</w:t>
            </w:r>
          </w:p>
          <w:p w14:paraId="1E4EB5B9">
            <w:pPr>
              <w:pStyle w:val="6"/>
              <w:spacing w:before="23" w:line="227" w:lineRule="auto"/>
              <w:ind w:left="332"/>
              <w:rPr>
                <w:sz w:val="20"/>
                <w:szCs w:val="20"/>
              </w:rPr>
            </w:pPr>
            <w:r>
              <w:rPr>
                <w:spacing w:val="4"/>
                <w:sz w:val="20"/>
                <w:szCs w:val="20"/>
              </w:rPr>
              <w:t>层样</w:t>
            </w:r>
          </w:p>
          <w:p w14:paraId="68BABB81">
            <w:pPr>
              <w:spacing w:before="49" w:line="189"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0.0~0.5m</w:t>
            </w:r>
          </w:p>
        </w:tc>
        <w:tc>
          <w:tcPr>
            <w:tcW w:w="1087" w:type="dxa"/>
            <w:gridSpan w:val="2"/>
            <w:vAlign w:val="top"/>
          </w:tcPr>
          <w:p w14:paraId="4239D6C7">
            <w:pPr>
              <w:pStyle w:val="6"/>
              <w:spacing w:before="35" w:line="228" w:lineRule="auto"/>
              <w:ind w:left="155"/>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7"/>
                <w:sz w:val="20"/>
                <w:szCs w:val="20"/>
              </w:rPr>
              <w:t xml:space="preserve"> </w:t>
            </w:r>
            <w:r>
              <w:rPr>
                <w:spacing w:val="2"/>
                <w:sz w:val="20"/>
                <w:szCs w:val="20"/>
              </w:rPr>
              <w:t>号点中</w:t>
            </w:r>
          </w:p>
          <w:p w14:paraId="22717BEC">
            <w:pPr>
              <w:pStyle w:val="6"/>
              <w:spacing w:before="23" w:line="227" w:lineRule="auto"/>
              <w:ind w:left="337"/>
              <w:rPr>
                <w:sz w:val="20"/>
                <w:szCs w:val="20"/>
              </w:rPr>
            </w:pPr>
            <w:r>
              <w:rPr>
                <w:spacing w:val="6"/>
                <w:sz w:val="20"/>
                <w:szCs w:val="20"/>
              </w:rPr>
              <w:t>层样</w:t>
            </w:r>
          </w:p>
          <w:p w14:paraId="30A5B249">
            <w:pPr>
              <w:spacing w:before="49" w:line="189"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1.5m</w:t>
            </w:r>
          </w:p>
        </w:tc>
        <w:tc>
          <w:tcPr>
            <w:tcW w:w="1036" w:type="dxa"/>
            <w:vAlign w:val="top"/>
          </w:tcPr>
          <w:p w14:paraId="79E327FE">
            <w:pPr>
              <w:pStyle w:val="6"/>
              <w:spacing w:before="35" w:line="228" w:lineRule="auto"/>
              <w:ind w:left="129"/>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9"/>
                <w:w w:val="101"/>
                <w:sz w:val="20"/>
                <w:szCs w:val="20"/>
              </w:rPr>
              <w:t xml:space="preserve"> </w:t>
            </w:r>
            <w:r>
              <w:rPr>
                <w:spacing w:val="2"/>
                <w:sz w:val="20"/>
                <w:szCs w:val="20"/>
              </w:rPr>
              <w:t>号点深</w:t>
            </w:r>
          </w:p>
          <w:p w14:paraId="1DA20093">
            <w:pPr>
              <w:pStyle w:val="6"/>
              <w:spacing w:before="23" w:line="227" w:lineRule="auto"/>
              <w:ind w:left="313"/>
              <w:rPr>
                <w:sz w:val="20"/>
                <w:szCs w:val="20"/>
              </w:rPr>
            </w:pPr>
            <w:r>
              <w:rPr>
                <w:spacing w:val="4"/>
                <w:sz w:val="20"/>
                <w:szCs w:val="20"/>
              </w:rPr>
              <w:t>层样</w:t>
            </w:r>
          </w:p>
          <w:p w14:paraId="0DB122A4">
            <w:pPr>
              <w:spacing w:before="49" w:line="189"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1.5~3.0m</w:t>
            </w:r>
          </w:p>
        </w:tc>
        <w:tc>
          <w:tcPr>
            <w:tcW w:w="1074" w:type="dxa"/>
            <w:gridSpan w:val="2"/>
            <w:vAlign w:val="top"/>
          </w:tcPr>
          <w:p w14:paraId="53438879">
            <w:pPr>
              <w:pStyle w:val="6"/>
              <w:spacing w:before="35" w:line="228" w:lineRule="auto"/>
              <w:ind w:left="149"/>
              <w:rPr>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9"/>
                <w:sz w:val="20"/>
                <w:szCs w:val="20"/>
              </w:rPr>
              <w:t xml:space="preserve"> </w:t>
            </w:r>
            <w:r>
              <w:rPr>
                <w:spacing w:val="2"/>
                <w:sz w:val="20"/>
                <w:szCs w:val="20"/>
              </w:rPr>
              <w:t>号点表</w:t>
            </w:r>
          </w:p>
          <w:p w14:paraId="65FFACB3">
            <w:pPr>
              <w:pStyle w:val="6"/>
              <w:spacing w:before="23" w:line="227" w:lineRule="auto"/>
              <w:ind w:left="333"/>
              <w:rPr>
                <w:sz w:val="20"/>
                <w:szCs w:val="20"/>
              </w:rPr>
            </w:pPr>
            <w:r>
              <w:rPr>
                <w:spacing w:val="4"/>
                <w:sz w:val="20"/>
                <w:szCs w:val="20"/>
              </w:rPr>
              <w:t>层样</w:t>
            </w:r>
          </w:p>
          <w:p w14:paraId="6B8F370D">
            <w:pPr>
              <w:spacing w:before="49" w:line="18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0.0~0.2m</w:t>
            </w:r>
          </w:p>
        </w:tc>
        <w:tc>
          <w:tcPr>
            <w:tcW w:w="1032" w:type="dxa"/>
            <w:gridSpan w:val="2"/>
            <w:vMerge w:val="continue"/>
            <w:tcBorders>
              <w:top w:val="nil"/>
            </w:tcBorders>
            <w:vAlign w:val="top"/>
          </w:tcPr>
          <w:p w14:paraId="5B69C2A9">
            <w:pPr>
              <w:rPr>
                <w:rFonts w:ascii="Arial"/>
                <w:sz w:val="21"/>
              </w:rPr>
            </w:pPr>
          </w:p>
        </w:tc>
        <w:tc>
          <w:tcPr>
            <w:tcW w:w="125" w:type="dxa"/>
            <w:tcBorders>
              <w:top w:val="nil"/>
              <w:bottom w:val="nil"/>
            </w:tcBorders>
            <w:vAlign w:val="top"/>
          </w:tcPr>
          <w:p w14:paraId="4E5CDEDA">
            <w:pPr>
              <w:rPr>
                <w:rFonts w:ascii="Arial"/>
                <w:sz w:val="21"/>
              </w:rPr>
            </w:pPr>
          </w:p>
        </w:tc>
      </w:tr>
      <w:tr w14:paraId="0DB34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79EEA41D">
            <w:pPr>
              <w:rPr>
                <w:rFonts w:ascii="Arial"/>
                <w:sz w:val="21"/>
              </w:rPr>
            </w:pPr>
          </w:p>
        </w:tc>
        <w:tc>
          <w:tcPr>
            <w:tcW w:w="113" w:type="dxa"/>
            <w:tcBorders>
              <w:top w:val="nil"/>
              <w:bottom w:val="nil"/>
            </w:tcBorders>
            <w:vAlign w:val="top"/>
          </w:tcPr>
          <w:p w14:paraId="5C628585">
            <w:pPr>
              <w:rPr>
                <w:rFonts w:ascii="Arial"/>
                <w:sz w:val="21"/>
              </w:rPr>
            </w:pPr>
          </w:p>
        </w:tc>
        <w:tc>
          <w:tcPr>
            <w:tcW w:w="525" w:type="dxa"/>
            <w:vAlign w:val="top"/>
          </w:tcPr>
          <w:p w14:paraId="4C493090">
            <w:pPr>
              <w:spacing w:before="6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4" w:type="dxa"/>
            <w:gridSpan w:val="2"/>
            <w:vAlign w:val="top"/>
          </w:tcPr>
          <w:p w14:paraId="7D9B0ECA">
            <w:pPr>
              <w:pStyle w:val="6"/>
              <w:spacing w:before="34" w:line="215" w:lineRule="auto"/>
              <w:ind w:left="32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1"/>
                <w:sz w:val="20"/>
                <w:szCs w:val="20"/>
              </w:rPr>
              <w:t xml:space="preserve"> </w:t>
            </w:r>
            <w:r>
              <w:rPr>
                <w:spacing w:val="13"/>
                <w:sz w:val="20"/>
                <w:szCs w:val="20"/>
              </w:rPr>
              <w:t>值</w:t>
            </w:r>
          </w:p>
        </w:tc>
        <w:tc>
          <w:tcPr>
            <w:tcW w:w="924" w:type="dxa"/>
            <w:gridSpan w:val="2"/>
            <w:vAlign w:val="top"/>
          </w:tcPr>
          <w:p w14:paraId="79A04B99">
            <w:pPr>
              <w:pStyle w:val="6"/>
              <w:spacing w:before="34" w:line="215" w:lineRule="auto"/>
              <w:ind w:left="152"/>
              <w:rPr>
                <w:sz w:val="20"/>
                <w:szCs w:val="20"/>
              </w:rPr>
            </w:pPr>
            <w:r>
              <w:rPr>
                <w:spacing w:val="6"/>
                <w:sz w:val="20"/>
                <w:szCs w:val="20"/>
              </w:rPr>
              <w:t>无量纲</w:t>
            </w:r>
          </w:p>
        </w:tc>
        <w:tc>
          <w:tcPr>
            <w:tcW w:w="1075" w:type="dxa"/>
            <w:gridSpan w:val="2"/>
            <w:vAlign w:val="top"/>
          </w:tcPr>
          <w:p w14:paraId="1A5E5ECE">
            <w:pPr>
              <w:spacing w:before="69"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8.78</w:t>
            </w:r>
          </w:p>
        </w:tc>
        <w:tc>
          <w:tcPr>
            <w:tcW w:w="1087" w:type="dxa"/>
            <w:gridSpan w:val="2"/>
            <w:vAlign w:val="top"/>
          </w:tcPr>
          <w:p w14:paraId="607ADF27">
            <w:pPr>
              <w:spacing w:before="69"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8.72</w:t>
            </w:r>
          </w:p>
        </w:tc>
        <w:tc>
          <w:tcPr>
            <w:tcW w:w="1036" w:type="dxa"/>
            <w:vAlign w:val="top"/>
          </w:tcPr>
          <w:p w14:paraId="0CBB6734">
            <w:pPr>
              <w:spacing w:before="6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8.66</w:t>
            </w:r>
          </w:p>
        </w:tc>
        <w:tc>
          <w:tcPr>
            <w:tcW w:w="1074" w:type="dxa"/>
            <w:gridSpan w:val="2"/>
            <w:vAlign w:val="top"/>
          </w:tcPr>
          <w:p w14:paraId="2AE2A5C6">
            <w:pPr>
              <w:spacing w:before="69"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7.91</w:t>
            </w:r>
          </w:p>
        </w:tc>
        <w:tc>
          <w:tcPr>
            <w:tcW w:w="1032" w:type="dxa"/>
            <w:gridSpan w:val="2"/>
            <w:vAlign w:val="top"/>
          </w:tcPr>
          <w:p w14:paraId="320D9195">
            <w:pPr>
              <w:spacing w:before="157" w:line="97" w:lineRule="exact"/>
              <w:ind w:left="4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5" w:type="dxa"/>
            <w:tcBorders>
              <w:top w:val="nil"/>
              <w:bottom w:val="nil"/>
            </w:tcBorders>
            <w:vAlign w:val="top"/>
          </w:tcPr>
          <w:p w14:paraId="04BB2EE2">
            <w:pPr>
              <w:rPr>
                <w:rFonts w:ascii="Arial"/>
                <w:sz w:val="21"/>
              </w:rPr>
            </w:pPr>
          </w:p>
        </w:tc>
      </w:tr>
      <w:tr w14:paraId="73C1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00B4448D">
            <w:pPr>
              <w:rPr>
                <w:rFonts w:ascii="Arial"/>
                <w:sz w:val="21"/>
              </w:rPr>
            </w:pPr>
          </w:p>
        </w:tc>
        <w:tc>
          <w:tcPr>
            <w:tcW w:w="113" w:type="dxa"/>
            <w:tcBorders>
              <w:top w:val="nil"/>
              <w:bottom w:val="nil"/>
            </w:tcBorders>
            <w:vAlign w:val="top"/>
          </w:tcPr>
          <w:p w14:paraId="4DFD9A6F">
            <w:pPr>
              <w:rPr>
                <w:rFonts w:ascii="Arial"/>
                <w:sz w:val="21"/>
              </w:rPr>
            </w:pPr>
          </w:p>
        </w:tc>
        <w:tc>
          <w:tcPr>
            <w:tcW w:w="525" w:type="dxa"/>
            <w:vAlign w:val="top"/>
          </w:tcPr>
          <w:p w14:paraId="0F1CF387">
            <w:pPr>
              <w:spacing w:before="71"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4" w:type="dxa"/>
            <w:gridSpan w:val="2"/>
            <w:vAlign w:val="top"/>
          </w:tcPr>
          <w:p w14:paraId="0990034C">
            <w:pPr>
              <w:pStyle w:val="6"/>
              <w:spacing w:before="35" w:line="215" w:lineRule="auto"/>
              <w:ind w:left="483"/>
              <w:rPr>
                <w:sz w:val="20"/>
                <w:szCs w:val="20"/>
              </w:rPr>
            </w:pPr>
            <w:r>
              <w:rPr>
                <w:spacing w:val="1"/>
                <w:sz w:val="20"/>
                <w:szCs w:val="20"/>
              </w:rPr>
              <w:t>砷</w:t>
            </w:r>
          </w:p>
        </w:tc>
        <w:tc>
          <w:tcPr>
            <w:tcW w:w="924" w:type="dxa"/>
            <w:gridSpan w:val="2"/>
            <w:vAlign w:val="top"/>
          </w:tcPr>
          <w:p w14:paraId="144303A6">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1BD41323">
            <w:pPr>
              <w:spacing w:before="7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8.61</w:t>
            </w:r>
          </w:p>
        </w:tc>
        <w:tc>
          <w:tcPr>
            <w:tcW w:w="1087" w:type="dxa"/>
            <w:gridSpan w:val="2"/>
            <w:vAlign w:val="top"/>
          </w:tcPr>
          <w:p w14:paraId="51697BAF">
            <w:pPr>
              <w:spacing w:before="70"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8.39</w:t>
            </w:r>
          </w:p>
        </w:tc>
        <w:tc>
          <w:tcPr>
            <w:tcW w:w="1036" w:type="dxa"/>
            <w:vAlign w:val="top"/>
          </w:tcPr>
          <w:p w14:paraId="0839A0C4">
            <w:pPr>
              <w:spacing w:before="7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074" w:type="dxa"/>
            <w:gridSpan w:val="2"/>
            <w:vAlign w:val="top"/>
          </w:tcPr>
          <w:p w14:paraId="35F3F716">
            <w:pPr>
              <w:spacing w:before="70"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6.22</w:t>
            </w:r>
          </w:p>
        </w:tc>
        <w:tc>
          <w:tcPr>
            <w:tcW w:w="1032" w:type="dxa"/>
            <w:gridSpan w:val="2"/>
            <w:vAlign w:val="top"/>
          </w:tcPr>
          <w:p w14:paraId="3BFAA3A6">
            <w:pPr>
              <w:spacing w:before="70"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5" w:type="dxa"/>
            <w:tcBorders>
              <w:top w:val="nil"/>
              <w:bottom w:val="nil"/>
            </w:tcBorders>
            <w:vAlign w:val="top"/>
          </w:tcPr>
          <w:p w14:paraId="7B437B28">
            <w:pPr>
              <w:rPr>
                <w:rFonts w:ascii="Arial"/>
                <w:sz w:val="21"/>
              </w:rPr>
            </w:pPr>
          </w:p>
        </w:tc>
      </w:tr>
      <w:tr w14:paraId="5571D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60E39050">
            <w:pPr>
              <w:rPr>
                <w:rFonts w:ascii="Arial"/>
                <w:sz w:val="21"/>
              </w:rPr>
            </w:pPr>
          </w:p>
        </w:tc>
        <w:tc>
          <w:tcPr>
            <w:tcW w:w="113" w:type="dxa"/>
            <w:tcBorders>
              <w:top w:val="nil"/>
              <w:bottom w:val="nil"/>
            </w:tcBorders>
            <w:vAlign w:val="top"/>
          </w:tcPr>
          <w:p w14:paraId="08EAA87C">
            <w:pPr>
              <w:rPr>
                <w:rFonts w:ascii="Arial"/>
                <w:sz w:val="21"/>
              </w:rPr>
            </w:pPr>
          </w:p>
        </w:tc>
        <w:tc>
          <w:tcPr>
            <w:tcW w:w="525" w:type="dxa"/>
            <w:vAlign w:val="top"/>
          </w:tcPr>
          <w:p w14:paraId="722ED66E">
            <w:pPr>
              <w:spacing w:before="68"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74" w:type="dxa"/>
            <w:gridSpan w:val="2"/>
            <w:vAlign w:val="top"/>
          </w:tcPr>
          <w:p w14:paraId="09A612A5">
            <w:pPr>
              <w:pStyle w:val="6"/>
              <w:spacing w:before="33" w:line="216" w:lineRule="auto"/>
              <w:ind w:left="484"/>
              <w:rPr>
                <w:sz w:val="20"/>
                <w:szCs w:val="20"/>
              </w:rPr>
            </w:pPr>
            <w:r>
              <w:rPr>
                <w:sz w:val="20"/>
                <w:szCs w:val="20"/>
              </w:rPr>
              <w:t>铜</w:t>
            </w:r>
          </w:p>
        </w:tc>
        <w:tc>
          <w:tcPr>
            <w:tcW w:w="924" w:type="dxa"/>
            <w:gridSpan w:val="2"/>
            <w:vAlign w:val="top"/>
          </w:tcPr>
          <w:p w14:paraId="6471571A">
            <w:pPr>
              <w:spacing w:before="64"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360EBDC1">
            <w:pPr>
              <w:spacing w:before="6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87" w:type="dxa"/>
            <w:gridSpan w:val="2"/>
            <w:vAlign w:val="top"/>
          </w:tcPr>
          <w:p w14:paraId="038DBC5B">
            <w:pPr>
              <w:spacing w:before="68"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36" w:type="dxa"/>
            <w:vAlign w:val="top"/>
          </w:tcPr>
          <w:p w14:paraId="77389365">
            <w:pPr>
              <w:spacing w:before="6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74" w:type="dxa"/>
            <w:gridSpan w:val="2"/>
            <w:vAlign w:val="top"/>
          </w:tcPr>
          <w:p w14:paraId="5BF7778D">
            <w:pPr>
              <w:spacing w:before="68"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32" w:type="dxa"/>
            <w:gridSpan w:val="2"/>
            <w:vAlign w:val="top"/>
          </w:tcPr>
          <w:p w14:paraId="0032FECB">
            <w:pPr>
              <w:spacing w:before="6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18000</w:t>
            </w:r>
          </w:p>
        </w:tc>
        <w:tc>
          <w:tcPr>
            <w:tcW w:w="125" w:type="dxa"/>
            <w:tcBorders>
              <w:top w:val="nil"/>
              <w:bottom w:val="nil"/>
            </w:tcBorders>
            <w:vAlign w:val="top"/>
          </w:tcPr>
          <w:p w14:paraId="0DEA5F22">
            <w:pPr>
              <w:rPr>
                <w:rFonts w:ascii="Arial"/>
                <w:sz w:val="21"/>
              </w:rPr>
            </w:pPr>
          </w:p>
        </w:tc>
      </w:tr>
      <w:tr w14:paraId="46C0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6304AA0F">
            <w:pPr>
              <w:rPr>
                <w:rFonts w:ascii="Arial"/>
                <w:sz w:val="21"/>
              </w:rPr>
            </w:pPr>
          </w:p>
        </w:tc>
        <w:tc>
          <w:tcPr>
            <w:tcW w:w="113" w:type="dxa"/>
            <w:tcBorders>
              <w:top w:val="nil"/>
              <w:bottom w:val="nil"/>
            </w:tcBorders>
            <w:vAlign w:val="top"/>
          </w:tcPr>
          <w:p w14:paraId="02F3163C">
            <w:pPr>
              <w:rPr>
                <w:rFonts w:ascii="Arial"/>
                <w:sz w:val="21"/>
              </w:rPr>
            </w:pPr>
          </w:p>
        </w:tc>
        <w:tc>
          <w:tcPr>
            <w:tcW w:w="525" w:type="dxa"/>
            <w:vAlign w:val="top"/>
          </w:tcPr>
          <w:p w14:paraId="1D6E7AF6">
            <w:pPr>
              <w:spacing w:before="7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74" w:type="dxa"/>
            <w:gridSpan w:val="2"/>
            <w:vAlign w:val="top"/>
          </w:tcPr>
          <w:p w14:paraId="48AB1CA4">
            <w:pPr>
              <w:pStyle w:val="6"/>
              <w:spacing w:before="34" w:line="215" w:lineRule="auto"/>
              <w:ind w:left="482"/>
              <w:rPr>
                <w:sz w:val="20"/>
                <w:szCs w:val="20"/>
              </w:rPr>
            </w:pPr>
            <w:r>
              <w:rPr>
                <w:spacing w:val="2"/>
                <w:sz w:val="20"/>
                <w:szCs w:val="20"/>
              </w:rPr>
              <w:t>镉</w:t>
            </w:r>
          </w:p>
        </w:tc>
        <w:tc>
          <w:tcPr>
            <w:tcW w:w="924" w:type="dxa"/>
            <w:gridSpan w:val="2"/>
            <w:vAlign w:val="top"/>
          </w:tcPr>
          <w:p w14:paraId="431D7FC9">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6E776782">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087" w:type="dxa"/>
            <w:gridSpan w:val="2"/>
            <w:vAlign w:val="top"/>
          </w:tcPr>
          <w:p w14:paraId="439B6E9C">
            <w:pPr>
              <w:spacing w:before="69"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036" w:type="dxa"/>
            <w:vAlign w:val="top"/>
          </w:tcPr>
          <w:p w14:paraId="62B357F4">
            <w:pPr>
              <w:spacing w:before="69"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074" w:type="dxa"/>
            <w:gridSpan w:val="2"/>
            <w:vAlign w:val="top"/>
          </w:tcPr>
          <w:p w14:paraId="26CD4D8D">
            <w:pPr>
              <w:spacing w:before="69"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1032" w:type="dxa"/>
            <w:gridSpan w:val="2"/>
            <w:vAlign w:val="top"/>
          </w:tcPr>
          <w:p w14:paraId="752B64CB">
            <w:pPr>
              <w:spacing w:before="69"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5" w:type="dxa"/>
            <w:tcBorders>
              <w:top w:val="nil"/>
              <w:bottom w:val="nil"/>
            </w:tcBorders>
            <w:vAlign w:val="top"/>
          </w:tcPr>
          <w:p w14:paraId="424EC3F3">
            <w:pPr>
              <w:rPr>
                <w:rFonts w:ascii="Arial"/>
                <w:sz w:val="21"/>
              </w:rPr>
            </w:pPr>
          </w:p>
        </w:tc>
      </w:tr>
      <w:tr w14:paraId="769F0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34CD3D2E">
            <w:pPr>
              <w:rPr>
                <w:rFonts w:ascii="Arial"/>
                <w:sz w:val="21"/>
              </w:rPr>
            </w:pPr>
          </w:p>
        </w:tc>
        <w:tc>
          <w:tcPr>
            <w:tcW w:w="113" w:type="dxa"/>
            <w:tcBorders>
              <w:top w:val="nil"/>
              <w:bottom w:val="nil"/>
            </w:tcBorders>
            <w:vAlign w:val="top"/>
          </w:tcPr>
          <w:p w14:paraId="09668CE1">
            <w:pPr>
              <w:rPr>
                <w:rFonts w:ascii="Arial"/>
                <w:sz w:val="21"/>
              </w:rPr>
            </w:pPr>
          </w:p>
        </w:tc>
        <w:tc>
          <w:tcPr>
            <w:tcW w:w="525" w:type="dxa"/>
            <w:vAlign w:val="top"/>
          </w:tcPr>
          <w:p w14:paraId="2564A393">
            <w:pPr>
              <w:spacing w:before="74"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4" w:type="dxa"/>
            <w:gridSpan w:val="2"/>
            <w:vAlign w:val="top"/>
          </w:tcPr>
          <w:p w14:paraId="1C659CE6">
            <w:pPr>
              <w:pStyle w:val="6"/>
              <w:spacing w:before="35" w:line="215" w:lineRule="auto"/>
              <w:ind w:left="484"/>
              <w:rPr>
                <w:sz w:val="20"/>
                <w:szCs w:val="20"/>
              </w:rPr>
            </w:pPr>
            <w:r>
              <w:rPr>
                <w:sz w:val="20"/>
                <w:szCs w:val="20"/>
              </w:rPr>
              <w:t>铅</w:t>
            </w:r>
          </w:p>
        </w:tc>
        <w:tc>
          <w:tcPr>
            <w:tcW w:w="924" w:type="dxa"/>
            <w:gridSpan w:val="2"/>
            <w:vAlign w:val="top"/>
          </w:tcPr>
          <w:p w14:paraId="66FC355F">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D2E4E95">
            <w:pPr>
              <w:spacing w:before="7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23.4</w:t>
            </w:r>
          </w:p>
        </w:tc>
        <w:tc>
          <w:tcPr>
            <w:tcW w:w="1087" w:type="dxa"/>
            <w:gridSpan w:val="2"/>
            <w:vAlign w:val="top"/>
          </w:tcPr>
          <w:p w14:paraId="17275CB0">
            <w:pPr>
              <w:spacing w:before="71"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w:t>
            </w:r>
          </w:p>
        </w:tc>
        <w:tc>
          <w:tcPr>
            <w:tcW w:w="1036" w:type="dxa"/>
            <w:vAlign w:val="top"/>
          </w:tcPr>
          <w:p w14:paraId="5BBC47DE">
            <w:pPr>
              <w:spacing w:before="7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1074" w:type="dxa"/>
            <w:gridSpan w:val="2"/>
            <w:vAlign w:val="top"/>
          </w:tcPr>
          <w:p w14:paraId="00C10B1E">
            <w:pPr>
              <w:spacing w:before="7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18.5</w:t>
            </w:r>
          </w:p>
        </w:tc>
        <w:tc>
          <w:tcPr>
            <w:tcW w:w="1032" w:type="dxa"/>
            <w:gridSpan w:val="2"/>
            <w:vAlign w:val="top"/>
          </w:tcPr>
          <w:p w14:paraId="592B69D0">
            <w:pPr>
              <w:spacing w:before="7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25" w:type="dxa"/>
            <w:tcBorders>
              <w:top w:val="nil"/>
              <w:bottom w:val="nil"/>
            </w:tcBorders>
            <w:vAlign w:val="top"/>
          </w:tcPr>
          <w:p w14:paraId="7A1F51A6">
            <w:pPr>
              <w:rPr>
                <w:rFonts w:ascii="Arial"/>
                <w:sz w:val="21"/>
              </w:rPr>
            </w:pPr>
          </w:p>
        </w:tc>
      </w:tr>
      <w:tr w14:paraId="2CA11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0BF337A2">
            <w:pPr>
              <w:rPr>
                <w:rFonts w:ascii="Arial"/>
                <w:sz w:val="21"/>
              </w:rPr>
            </w:pPr>
          </w:p>
        </w:tc>
        <w:tc>
          <w:tcPr>
            <w:tcW w:w="113" w:type="dxa"/>
            <w:tcBorders>
              <w:top w:val="nil"/>
              <w:bottom w:val="nil"/>
            </w:tcBorders>
            <w:vAlign w:val="top"/>
          </w:tcPr>
          <w:p w14:paraId="071C4962">
            <w:pPr>
              <w:rPr>
                <w:rFonts w:ascii="Arial"/>
                <w:sz w:val="21"/>
              </w:rPr>
            </w:pPr>
          </w:p>
        </w:tc>
        <w:tc>
          <w:tcPr>
            <w:tcW w:w="525" w:type="dxa"/>
            <w:vAlign w:val="top"/>
          </w:tcPr>
          <w:p w14:paraId="44BF8312">
            <w:pPr>
              <w:spacing w:before="6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74" w:type="dxa"/>
            <w:gridSpan w:val="2"/>
            <w:vAlign w:val="top"/>
          </w:tcPr>
          <w:p w14:paraId="038D1357">
            <w:pPr>
              <w:pStyle w:val="6"/>
              <w:spacing w:before="33" w:line="216" w:lineRule="auto"/>
              <w:ind w:left="485"/>
              <w:rPr>
                <w:sz w:val="20"/>
                <w:szCs w:val="20"/>
              </w:rPr>
            </w:pPr>
            <w:r>
              <w:rPr>
                <w:sz w:val="20"/>
                <w:szCs w:val="20"/>
              </w:rPr>
              <w:t>汞</w:t>
            </w:r>
          </w:p>
        </w:tc>
        <w:tc>
          <w:tcPr>
            <w:tcW w:w="924" w:type="dxa"/>
            <w:gridSpan w:val="2"/>
            <w:vAlign w:val="top"/>
          </w:tcPr>
          <w:p w14:paraId="0B0B833D">
            <w:pPr>
              <w:spacing w:before="6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28637C1">
            <w:pPr>
              <w:spacing w:before="6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0.0472</w:t>
            </w:r>
          </w:p>
        </w:tc>
        <w:tc>
          <w:tcPr>
            <w:tcW w:w="1087" w:type="dxa"/>
            <w:gridSpan w:val="2"/>
            <w:vAlign w:val="top"/>
          </w:tcPr>
          <w:p w14:paraId="670ABD7A">
            <w:pPr>
              <w:spacing w:before="6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0.0552</w:t>
            </w:r>
          </w:p>
        </w:tc>
        <w:tc>
          <w:tcPr>
            <w:tcW w:w="1036" w:type="dxa"/>
            <w:vAlign w:val="top"/>
          </w:tcPr>
          <w:p w14:paraId="25C4E9F8">
            <w:pPr>
              <w:spacing w:before="6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0.0553</w:t>
            </w:r>
          </w:p>
        </w:tc>
        <w:tc>
          <w:tcPr>
            <w:tcW w:w="1074" w:type="dxa"/>
            <w:gridSpan w:val="2"/>
            <w:vAlign w:val="top"/>
          </w:tcPr>
          <w:p w14:paraId="30FA4BDA">
            <w:pPr>
              <w:spacing w:before="6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0.0502</w:t>
            </w:r>
          </w:p>
        </w:tc>
        <w:tc>
          <w:tcPr>
            <w:tcW w:w="1032" w:type="dxa"/>
            <w:gridSpan w:val="2"/>
            <w:vAlign w:val="top"/>
          </w:tcPr>
          <w:p w14:paraId="379C4647">
            <w:pPr>
              <w:spacing w:before="6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5" w:type="dxa"/>
            <w:tcBorders>
              <w:top w:val="nil"/>
              <w:bottom w:val="nil"/>
            </w:tcBorders>
            <w:vAlign w:val="top"/>
          </w:tcPr>
          <w:p w14:paraId="1B969C7B">
            <w:pPr>
              <w:rPr>
                <w:rFonts w:ascii="Arial"/>
                <w:sz w:val="21"/>
              </w:rPr>
            </w:pPr>
          </w:p>
        </w:tc>
      </w:tr>
      <w:tr w14:paraId="0930E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07EFF242">
            <w:pPr>
              <w:rPr>
                <w:rFonts w:ascii="Arial"/>
                <w:sz w:val="21"/>
              </w:rPr>
            </w:pPr>
          </w:p>
        </w:tc>
        <w:tc>
          <w:tcPr>
            <w:tcW w:w="113" w:type="dxa"/>
            <w:tcBorders>
              <w:top w:val="nil"/>
              <w:bottom w:val="nil"/>
            </w:tcBorders>
            <w:vAlign w:val="top"/>
          </w:tcPr>
          <w:p w14:paraId="6CD3D442">
            <w:pPr>
              <w:rPr>
                <w:rFonts w:ascii="Arial"/>
                <w:sz w:val="21"/>
              </w:rPr>
            </w:pPr>
          </w:p>
        </w:tc>
        <w:tc>
          <w:tcPr>
            <w:tcW w:w="525" w:type="dxa"/>
            <w:vAlign w:val="top"/>
          </w:tcPr>
          <w:p w14:paraId="72BD28DB">
            <w:pPr>
              <w:spacing w:before="73" w:line="192"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74" w:type="dxa"/>
            <w:gridSpan w:val="2"/>
            <w:vAlign w:val="top"/>
          </w:tcPr>
          <w:p w14:paraId="0C2D4E47">
            <w:pPr>
              <w:pStyle w:val="6"/>
              <w:spacing w:before="34" w:line="215" w:lineRule="auto"/>
              <w:ind w:left="483"/>
              <w:rPr>
                <w:sz w:val="20"/>
                <w:szCs w:val="20"/>
              </w:rPr>
            </w:pPr>
            <w:r>
              <w:rPr>
                <w:spacing w:val="1"/>
                <w:sz w:val="20"/>
                <w:szCs w:val="20"/>
              </w:rPr>
              <w:t>镍</w:t>
            </w:r>
          </w:p>
        </w:tc>
        <w:tc>
          <w:tcPr>
            <w:tcW w:w="924" w:type="dxa"/>
            <w:gridSpan w:val="2"/>
            <w:vAlign w:val="top"/>
          </w:tcPr>
          <w:p w14:paraId="5D75F673">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66195152">
            <w:pPr>
              <w:spacing w:before="70"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87" w:type="dxa"/>
            <w:gridSpan w:val="2"/>
            <w:vAlign w:val="top"/>
          </w:tcPr>
          <w:p w14:paraId="10BD0AFE">
            <w:pPr>
              <w:spacing w:before="70"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036" w:type="dxa"/>
            <w:vAlign w:val="top"/>
          </w:tcPr>
          <w:p w14:paraId="167911C4">
            <w:pPr>
              <w:spacing w:before="70"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74" w:type="dxa"/>
            <w:gridSpan w:val="2"/>
            <w:vAlign w:val="top"/>
          </w:tcPr>
          <w:p w14:paraId="6552ACC2">
            <w:pPr>
              <w:spacing w:before="70"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032" w:type="dxa"/>
            <w:gridSpan w:val="2"/>
            <w:vAlign w:val="top"/>
          </w:tcPr>
          <w:p w14:paraId="0D6E7988">
            <w:pPr>
              <w:spacing w:before="7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25" w:type="dxa"/>
            <w:tcBorders>
              <w:top w:val="nil"/>
              <w:bottom w:val="nil"/>
            </w:tcBorders>
            <w:vAlign w:val="top"/>
          </w:tcPr>
          <w:p w14:paraId="597A1182">
            <w:pPr>
              <w:rPr>
                <w:rFonts w:ascii="Arial"/>
                <w:sz w:val="21"/>
              </w:rPr>
            </w:pPr>
          </w:p>
        </w:tc>
      </w:tr>
      <w:tr w14:paraId="152DC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5E4B1512">
            <w:pPr>
              <w:rPr>
                <w:rFonts w:ascii="Arial"/>
                <w:sz w:val="21"/>
              </w:rPr>
            </w:pPr>
          </w:p>
        </w:tc>
        <w:tc>
          <w:tcPr>
            <w:tcW w:w="113" w:type="dxa"/>
            <w:tcBorders>
              <w:top w:val="nil"/>
              <w:bottom w:val="nil"/>
            </w:tcBorders>
            <w:vAlign w:val="top"/>
          </w:tcPr>
          <w:p w14:paraId="1EE9D963">
            <w:pPr>
              <w:rPr>
                <w:rFonts w:ascii="Arial"/>
                <w:sz w:val="21"/>
              </w:rPr>
            </w:pPr>
          </w:p>
        </w:tc>
        <w:tc>
          <w:tcPr>
            <w:tcW w:w="525" w:type="dxa"/>
            <w:vAlign w:val="top"/>
          </w:tcPr>
          <w:p w14:paraId="1F2E88A8">
            <w:pPr>
              <w:spacing w:before="7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74" w:type="dxa"/>
            <w:gridSpan w:val="2"/>
            <w:vAlign w:val="top"/>
          </w:tcPr>
          <w:p w14:paraId="01A2E1BC">
            <w:pPr>
              <w:pStyle w:val="6"/>
              <w:spacing w:before="35" w:line="215" w:lineRule="auto"/>
              <w:ind w:left="277"/>
              <w:rPr>
                <w:sz w:val="20"/>
                <w:szCs w:val="20"/>
              </w:rPr>
            </w:pPr>
            <w:r>
              <w:rPr>
                <w:spacing w:val="6"/>
                <w:sz w:val="20"/>
                <w:szCs w:val="20"/>
              </w:rPr>
              <w:t>六价铬</w:t>
            </w:r>
          </w:p>
        </w:tc>
        <w:tc>
          <w:tcPr>
            <w:tcW w:w="924" w:type="dxa"/>
            <w:gridSpan w:val="2"/>
            <w:vAlign w:val="top"/>
          </w:tcPr>
          <w:p w14:paraId="343E7138">
            <w:pPr>
              <w:spacing w:before="67"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0E20B3D6">
            <w:pPr>
              <w:spacing w:before="74"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0914F96F">
            <w:pPr>
              <w:spacing w:before="74"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656CCF49">
            <w:pPr>
              <w:spacing w:before="74"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30E0DF5A">
            <w:pPr>
              <w:spacing w:before="74"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625CF3AB">
            <w:pPr>
              <w:spacing w:before="7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5" w:type="dxa"/>
            <w:tcBorders>
              <w:top w:val="nil"/>
              <w:bottom w:val="nil"/>
            </w:tcBorders>
            <w:vAlign w:val="top"/>
          </w:tcPr>
          <w:p w14:paraId="5F738ECA">
            <w:pPr>
              <w:rPr>
                <w:rFonts w:ascii="Arial"/>
                <w:sz w:val="21"/>
              </w:rPr>
            </w:pPr>
          </w:p>
        </w:tc>
      </w:tr>
      <w:tr w14:paraId="5A41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22324AD5">
            <w:pPr>
              <w:rPr>
                <w:rFonts w:ascii="Arial"/>
                <w:sz w:val="21"/>
              </w:rPr>
            </w:pPr>
          </w:p>
        </w:tc>
        <w:tc>
          <w:tcPr>
            <w:tcW w:w="113" w:type="dxa"/>
            <w:tcBorders>
              <w:top w:val="nil"/>
              <w:bottom w:val="nil"/>
            </w:tcBorders>
            <w:vAlign w:val="top"/>
          </w:tcPr>
          <w:p w14:paraId="23C4FC2F">
            <w:pPr>
              <w:rPr>
                <w:rFonts w:ascii="Arial"/>
                <w:sz w:val="21"/>
              </w:rPr>
            </w:pPr>
          </w:p>
        </w:tc>
        <w:tc>
          <w:tcPr>
            <w:tcW w:w="525" w:type="dxa"/>
            <w:vAlign w:val="top"/>
          </w:tcPr>
          <w:p w14:paraId="0E196B5E">
            <w:pPr>
              <w:spacing w:before="6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74" w:type="dxa"/>
            <w:gridSpan w:val="2"/>
            <w:vAlign w:val="top"/>
          </w:tcPr>
          <w:p w14:paraId="6CC6EC9E">
            <w:pPr>
              <w:pStyle w:val="6"/>
              <w:spacing w:before="33" w:line="216" w:lineRule="auto"/>
              <w:ind w:left="175"/>
              <w:rPr>
                <w:sz w:val="20"/>
                <w:szCs w:val="20"/>
              </w:rPr>
            </w:pPr>
            <w:r>
              <w:rPr>
                <w:spacing w:val="5"/>
                <w:sz w:val="20"/>
                <w:szCs w:val="20"/>
              </w:rPr>
              <w:t>总氟化物</w:t>
            </w:r>
          </w:p>
        </w:tc>
        <w:tc>
          <w:tcPr>
            <w:tcW w:w="924" w:type="dxa"/>
            <w:gridSpan w:val="2"/>
            <w:vAlign w:val="top"/>
          </w:tcPr>
          <w:p w14:paraId="0FE5DDE0">
            <w:pPr>
              <w:spacing w:before="6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67DA214">
            <w:pPr>
              <w:spacing w:before="69"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1087" w:type="dxa"/>
            <w:gridSpan w:val="2"/>
            <w:vAlign w:val="top"/>
          </w:tcPr>
          <w:p w14:paraId="1F67AF0B">
            <w:pPr>
              <w:spacing w:before="69"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276</w:t>
            </w:r>
          </w:p>
        </w:tc>
        <w:tc>
          <w:tcPr>
            <w:tcW w:w="1036" w:type="dxa"/>
            <w:vAlign w:val="top"/>
          </w:tcPr>
          <w:p w14:paraId="35591351">
            <w:pPr>
              <w:spacing w:before="69"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1074" w:type="dxa"/>
            <w:gridSpan w:val="2"/>
            <w:vAlign w:val="top"/>
          </w:tcPr>
          <w:p w14:paraId="17445076">
            <w:pPr>
              <w:spacing w:before="6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w:t>
            </w:r>
          </w:p>
        </w:tc>
        <w:tc>
          <w:tcPr>
            <w:tcW w:w="1032" w:type="dxa"/>
            <w:gridSpan w:val="2"/>
            <w:vAlign w:val="top"/>
          </w:tcPr>
          <w:p w14:paraId="2FA62F92">
            <w:pPr>
              <w:spacing w:before="157" w:line="97" w:lineRule="exact"/>
              <w:ind w:left="4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25" w:type="dxa"/>
            <w:tcBorders>
              <w:top w:val="nil"/>
              <w:bottom w:val="nil"/>
            </w:tcBorders>
            <w:vAlign w:val="top"/>
          </w:tcPr>
          <w:p w14:paraId="3CC864B5">
            <w:pPr>
              <w:rPr>
                <w:rFonts w:ascii="Arial"/>
                <w:sz w:val="21"/>
              </w:rPr>
            </w:pPr>
          </w:p>
        </w:tc>
      </w:tr>
      <w:tr w14:paraId="11BB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0" w:type="dxa"/>
            <w:vMerge w:val="continue"/>
            <w:tcBorders>
              <w:top w:val="nil"/>
              <w:bottom w:val="nil"/>
            </w:tcBorders>
            <w:vAlign w:val="top"/>
          </w:tcPr>
          <w:p w14:paraId="13096FBE">
            <w:pPr>
              <w:rPr>
                <w:rFonts w:ascii="Arial"/>
                <w:sz w:val="21"/>
              </w:rPr>
            </w:pPr>
          </w:p>
        </w:tc>
        <w:tc>
          <w:tcPr>
            <w:tcW w:w="113" w:type="dxa"/>
            <w:tcBorders>
              <w:top w:val="nil"/>
              <w:bottom w:val="nil"/>
            </w:tcBorders>
            <w:vAlign w:val="top"/>
          </w:tcPr>
          <w:p w14:paraId="4ABB6082">
            <w:pPr>
              <w:rPr>
                <w:rFonts w:ascii="Arial"/>
                <w:sz w:val="21"/>
              </w:rPr>
            </w:pPr>
          </w:p>
        </w:tc>
        <w:tc>
          <w:tcPr>
            <w:tcW w:w="525" w:type="dxa"/>
            <w:vAlign w:val="top"/>
          </w:tcPr>
          <w:p w14:paraId="45D817FF">
            <w:pPr>
              <w:spacing w:before="7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74" w:type="dxa"/>
            <w:gridSpan w:val="2"/>
            <w:vAlign w:val="top"/>
          </w:tcPr>
          <w:p w14:paraId="5795CB8A">
            <w:pPr>
              <w:pStyle w:val="6"/>
              <w:spacing w:before="34" w:line="215" w:lineRule="auto"/>
              <w:ind w:left="160"/>
              <w:rPr>
                <w:sz w:val="20"/>
                <w:szCs w:val="20"/>
              </w:rPr>
            </w:pPr>
            <w:r>
              <w:rPr>
                <w:spacing w:val="4"/>
                <w:sz w:val="20"/>
                <w:szCs w:val="20"/>
              </w:rPr>
              <w:t>苯并</w:t>
            </w:r>
            <w:r>
              <w:rPr>
                <w:rFonts w:ascii="Times New Roman" w:hAnsi="Times New Roman" w:eastAsia="Times New Roman" w:cs="Times New Roman"/>
                <w:spacing w:val="4"/>
                <w:sz w:val="20"/>
                <w:szCs w:val="20"/>
              </w:rPr>
              <w:t>[a]</w:t>
            </w:r>
            <w:r>
              <w:rPr>
                <w:spacing w:val="4"/>
                <w:sz w:val="20"/>
                <w:szCs w:val="20"/>
              </w:rPr>
              <w:t>芘</w:t>
            </w:r>
          </w:p>
        </w:tc>
        <w:tc>
          <w:tcPr>
            <w:tcW w:w="924" w:type="dxa"/>
            <w:gridSpan w:val="2"/>
            <w:vAlign w:val="top"/>
          </w:tcPr>
          <w:p w14:paraId="2EBF6284">
            <w:pPr>
              <w:spacing w:before="66"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22EF8440">
            <w:pPr>
              <w:spacing w:before="73"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7F689279">
            <w:pPr>
              <w:spacing w:before="73"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054F66B0">
            <w:pPr>
              <w:spacing w:before="73"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166B8C9F">
            <w:pPr>
              <w:spacing w:before="73"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5DB442DA">
            <w:pPr>
              <w:spacing w:before="70"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5" w:type="dxa"/>
            <w:tcBorders>
              <w:top w:val="nil"/>
              <w:bottom w:val="nil"/>
            </w:tcBorders>
            <w:vAlign w:val="top"/>
          </w:tcPr>
          <w:p w14:paraId="56CF4B0A">
            <w:pPr>
              <w:rPr>
                <w:rFonts w:ascii="Arial"/>
                <w:sz w:val="21"/>
              </w:rPr>
            </w:pPr>
          </w:p>
        </w:tc>
      </w:tr>
      <w:tr w14:paraId="2006B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60" w:type="dxa"/>
            <w:vMerge w:val="continue"/>
            <w:tcBorders>
              <w:top w:val="nil"/>
              <w:bottom w:val="nil"/>
            </w:tcBorders>
            <w:vAlign w:val="top"/>
          </w:tcPr>
          <w:p w14:paraId="286089C6">
            <w:pPr>
              <w:rPr>
                <w:rFonts w:ascii="Arial"/>
                <w:sz w:val="21"/>
              </w:rPr>
            </w:pPr>
          </w:p>
        </w:tc>
        <w:tc>
          <w:tcPr>
            <w:tcW w:w="113" w:type="dxa"/>
            <w:tcBorders>
              <w:top w:val="nil"/>
              <w:bottom w:val="nil"/>
            </w:tcBorders>
            <w:vAlign w:val="top"/>
          </w:tcPr>
          <w:p w14:paraId="0A0EB41B">
            <w:pPr>
              <w:rPr>
                <w:rFonts w:ascii="Arial"/>
                <w:sz w:val="21"/>
              </w:rPr>
            </w:pPr>
          </w:p>
        </w:tc>
        <w:tc>
          <w:tcPr>
            <w:tcW w:w="525" w:type="dxa"/>
            <w:vAlign w:val="top"/>
          </w:tcPr>
          <w:p w14:paraId="41B66FE1">
            <w:pPr>
              <w:spacing w:before="6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74" w:type="dxa"/>
            <w:gridSpan w:val="2"/>
            <w:vAlign w:val="top"/>
          </w:tcPr>
          <w:p w14:paraId="73DD6549">
            <w:pPr>
              <w:pStyle w:val="6"/>
              <w:spacing w:before="32" w:line="217" w:lineRule="auto"/>
              <w:ind w:left="486"/>
              <w:rPr>
                <w:sz w:val="20"/>
                <w:szCs w:val="20"/>
              </w:rPr>
            </w:pPr>
            <w:r>
              <w:rPr>
                <w:sz w:val="20"/>
                <w:szCs w:val="20"/>
              </w:rPr>
              <w:t>苯</w:t>
            </w:r>
          </w:p>
        </w:tc>
        <w:tc>
          <w:tcPr>
            <w:tcW w:w="924" w:type="dxa"/>
            <w:gridSpan w:val="2"/>
            <w:vAlign w:val="top"/>
          </w:tcPr>
          <w:p w14:paraId="279861EB">
            <w:pPr>
              <w:spacing w:before="65" w:line="201"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μg/</w:t>
            </w:r>
            <w:r>
              <w:rPr>
                <w:rFonts w:ascii="Times New Roman" w:hAnsi="Times New Roman" w:eastAsia="Times New Roman" w:cs="Times New Roman"/>
                <w:sz w:val="20"/>
                <w:szCs w:val="20"/>
              </w:rPr>
              <w:t>kg</w:t>
            </w:r>
          </w:p>
        </w:tc>
        <w:tc>
          <w:tcPr>
            <w:tcW w:w="1075" w:type="dxa"/>
            <w:gridSpan w:val="2"/>
            <w:vAlign w:val="top"/>
          </w:tcPr>
          <w:p w14:paraId="4FF46F03">
            <w:pPr>
              <w:spacing w:before="72" w:line="192"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87" w:type="dxa"/>
            <w:gridSpan w:val="2"/>
            <w:vAlign w:val="top"/>
          </w:tcPr>
          <w:p w14:paraId="6709F616">
            <w:pPr>
              <w:spacing w:before="72" w:line="192"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6" w:type="dxa"/>
            <w:vAlign w:val="top"/>
          </w:tcPr>
          <w:p w14:paraId="3C78EB7C">
            <w:pPr>
              <w:spacing w:before="72" w:line="192"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74" w:type="dxa"/>
            <w:gridSpan w:val="2"/>
            <w:vAlign w:val="top"/>
          </w:tcPr>
          <w:p w14:paraId="66F82E01">
            <w:pPr>
              <w:spacing w:before="72"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32" w:type="dxa"/>
            <w:gridSpan w:val="2"/>
            <w:vAlign w:val="top"/>
          </w:tcPr>
          <w:p w14:paraId="7CB7EF5E">
            <w:pPr>
              <w:spacing w:before="69"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 w:type="dxa"/>
            <w:tcBorders>
              <w:top w:val="nil"/>
              <w:bottom w:val="nil"/>
            </w:tcBorders>
            <w:vAlign w:val="top"/>
          </w:tcPr>
          <w:p w14:paraId="344C3481">
            <w:pPr>
              <w:rPr>
                <w:rFonts w:ascii="Arial"/>
                <w:sz w:val="21"/>
              </w:rPr>
            </w:pPr>
          </w:p>
        </w:tc>
      </w:tr>
      <w:tr w14:paraId="739A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60" w:type="dxa"/>
            <w:vMerge w:val="continue"/>
            <w:tcBorders>
              <w:top w:val="nil"/>
              <w:bottom w:val="nil"/>
            </w:tcBorders>
            <w:vAlign w:val="top"/>
          </w:tcPr>
          <w:p w14:paraId="29F50100">
            <w:pPr>
              <w:rPr>
                <w:rFonts w:ascii="Arial"/>
                <w:sz w:val="21"/>
              </w:rPr>
            </w:pPr>
          </w:p>
        </w:tc>
        <w:tc>
          <w:tcPr>
            <w:tcW w:w="113" w:type="dxa"/>
            <w:tcBorders>
              <w:top w:val="nil"/>
              <w:bottom w:val="nil"/>
            </w:tcBorders>
            <w:vAlign w:val="top"/>
          </w:tcPr>
          <w:p w14:paraId="15DE6B1F">
            <w:pPr>
              <w:rPr>
                <w:rFonts w:ascii="Arial"/>
                <w:sz w:val="21"/>
              </w:rPr>
            </w:pPr>
          </w:p>
        </w:tc>
        <w:tc>
          <w:tcPr>
            <w:tcW w:w="525" w:type="dxa"/>
            <w:vAlign w:val="top"/>
          </w:tcPr>
          <w:p w14:paraId="34598C72">
            <w:pPr>
              <w:spacing w:before="18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74" w:type="dxa"/>
            <w:gridSpan w:val="2"/>
            <w:vAlign w:val="top"/>
          </w:tcPr>
          <w:p w14:paraId="2301C24D">
            <w:pPr>
              <w:pStyle w:val="6"/>
              <w:spacing w:before="33" w:line="228" w:lineRule="auto"/>
              <w:ind w:left="276"/>
              <w:rPr>
                <w:sz w:val="20"/>
                <w:szCs w:val="20"/>
              </w:rPr>
            </w:pPr>
            <w:r>
              <w:rPr>
                <w:spacing w:val="6"/>
                <w:sz w:val="20"/>
                <w:szCs w:val="20"/>
              </w:rPr>
              <w:t>石油烃</w:t>
            </w:r>
          </w:p>
          <w:p w14:paraId="7EB891C1">
            <w:pPr>
              <w:spacing w:before="42" w:line="193"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(C10-C40)</w:t>
            </w:r>
          </w:p>
        </w:tc>
        <w:tc>
          <w:tcPr>
            <w:tcW w:w="924" w:type="dxa"/>
            <w:gridSpan w:val="2"/>
            <w:vAlign w:val="top"/>
          </w:tcPr>
          <w:p w14:paraId="16A6CEDC">
            <w:pPr>
              <w:spacing w:before="185"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1075" w:type="dxa"/>
            <w:gridSpan w:val="2"/>
            <w:vAlign w:val="top"/>
          </w:tcPr>
          <w:p w14:paraId="5475B949">
            <w:pPr>
              <w:spacing w:before="189"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087" w:type="dxa"/>
            <w:gridSpan w:val="2"/>
            <w:vAlign w:val="top"/>
          </w:tcPr>
          <w:p w14:paraId="30373CDD">
            <w:pPr>
              <w:spacing w:before="18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36" w:type="dxa"/>
            <w:vAlign w:val="top"/>
          </w:tcPr>
          <w:p w14:paraId="7B894BFF">
            <w:pPr>
              <w:spacing w:before="18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074" w:type="dxa"/>
            <w:gridSpan w:val="2"/>
            <w:vAlign w:val="top"/>
          </w:tcPr>
          <w:p w14:paraId="4AD932D9">
            <w:pPr>
              <w:spacing w:before="189"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32" w:type="dxa"/>
            <w:gridSpan w:val="2"/>
            <w:vAlign w:val="top"/>
          </w:tcPr>
          <w:p w14:paraId="2F455B0D">
            <w:pPr>
              <w:spacing w:before="18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4500</w:t>
            </w:r>
          </w:p>
        </w:tc>
        <w:tc>
          <w:tcPr>
            <w:tcW w:w="125" w:type="dxa"/>
            <w:tcBorders>
              <w:top w:val="nil"/>
              <w:bottom w:val="nil"/>
            </w:tcBorders>
            <w:vAlign w:val="top"/>
          </w:tcPr>
          <w:p w14:paraId="696AFF82">
            <w:pPr>
              <w:rPr>
                <w:rFonts w:ascii="Arial"/>
                <w:sz w:val="21"/>
              </w:rPr>
            </w:pPr>
          </w:p>
        </w:tc>
      </w:tr>
      <w:tr w14:paraId="3F3AB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460" w:type="dxa"/>
            <w:vMerge w:val="continue"/>
            <w:tcBorders>
              <w:top w:val="nil"/>
            </w:tcBorders>
            <w:vAlign w:val="top"/>
          </w:tcPr>
          <w:p w14:paraId="2105F186">
            <w:pPr>
              <w:rPr>
                <w:rFonts w:ascii="Arial"/>
                <w:sz w:val="21"/>
              </w:rPr>
            </w:pPr>
          </w:p>
        </w:tc>
        <w:tc>
          <w:tcPr>
            <w:tcW w:w="8165" w:type="dxa"/>
            <w:gridSpan w:val="16"/>
            <w:vAlign w:val="top"/>
          </w:tcPr>
          <w:p w14:paraId="75697312">
            <w:pPr>
              <w:pStyle w:val="6"/>
              <w:spacing w:before="195" w:line="359" w:lineRule="auto"/>
              <w:ind w:left="113" w:right="107" w:firstLine="509"/>
              <w:jc w:val="both"/>
            </w:pPr>
            <w:r>
              <w:rPr>
                <w:sz w:val="24"/>
                <w:szCs w:val="24"/>
              </w:rPr>
              <w:t>由以上检测结果可知，各监测点各监测值均低</w:t>
            </w:r>
            <w:r>
              <w:rPr>
                <w:spacing w:val="-1"/>
                <w:sz w:val="24"/>
                <w:szCs w:val="24"/>
              </w:rPr>
              <w:t>于《土壤环境质量建设用</w:t>
            </w:r>
            <w:r>
              <w:rPr>
                <w:sz w:val="24"/>
                <w:szCs w:val="24"/>
              </w:rPr>
              <w:t xml:space="preserve"> </w:t>
            </w:r>
            <w:r>
              <w:rPr>
                <w:spacing w:val="-1"/>
                <w:sz w:val="24"/>
                <w:szCs w:val="24"/>
              </w:rPr>
              <w:t>地土壤污染风险管控标准（试行）》（</w:t>
            </w:r>
            <w:r>
              <w:rPr>
                <w:rFonts w:ascii="Times New Roman" w:hAnsi="Times New Roman" w:eastAsia="Times New Roman" w:cs="Times New Roman"/>
                <w:spacing w:val="-1"/>
                <w:sz w:val="24"/>
                <w:szCs w:val="24"/>
              </w:rPr>
              <w:t>GB36600-2018</w:t>
            </w:r>
            <w:r>
              <w:rPr>
                <w:spacing w:val="-1"/>
                <w:sz w:val="24"/>
                <w:szCs w:val="24"/>
              </w:rPr>
              <w:t>）中第二类用地土壤污</w:t>
            </w:r>
            <w:r>
              <w:rPr>
                <w:spacing w:val="4"/>
                <w:sz w:val="24"/>
                <w:szCs w:val="24"/>
              </w:rPr>
              <w:t xml:space="preserve"> </w:t>
            </w:r>
            <w:r>
              <w:rPr>
                <w:spacing w:val="-2"/>
                <w:sz w:val="24"/>
                <w:szCs w:val="24"/>
              </w:rPr>
              <w:t>染风险筛选值</w:t>
            </w:r>
            <w:r>
              <w:rPr>
                <w:spacing w:val="-2"/>
              </w:rPr>
              <w:t>。</w:t>
            </w:r>
          </w:p>
          <w:p w14:paraId="552BC16E">
            <w:pPr>
              <w:pStyle w:val="6"/>
              <w:spacing w:line="220" w:lineRule="auto"/>
              <w:ind w:left="109"/>
              <w:outlineLvl w:val="1"/>
              <w:rPr>
                <w:sz w:val="24"/>
                <w:szCs w:val="24"/>
              </w:rPr>
            </w:pP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29"/>
                <w:sz w:val="24"/>
                <w:szCs w:val="24"/>
              </w:rPr>
              <w:t xml:space="preserve"> </w:t>
            </w:r>
            <w:r>
              <w:rPr>
                <w:b/>
                <w:bCs/>
                <w:spacing w:val="-7"/>
                <w:sz w:val="24"/>
                <w:szCs w:val="24"/>
              </w:rPr>
              <w:t>、声环境质量</w:t>
            </w:r>
          </w:p>
          <w:p w14:paraId="411FE3BD">
            <w:pPr>
              <w:pStyle w:val="6"/>
              <w:spacing w:before="180" w:line="348" w:lineRule="auto"/>
              <w:ind w:left="113" w:right="45" w:firstLine="480"/>
              <w:jc w:val="both"/>
              <w:rPr>
                <w:sz w:val="24"/>
                <w:szCs w:val="24"/>
              </w:rPr>
            </w:pPr>
            <w:r>
              <w:rPr>
                <w:spacing w:val="-9"/>
                <w:sz w:val="24"/>
                <w:szCs w:val="24"/>
              </w:rPr>
              <w:t>根据《建设项目环境影响报告表编制技术指南（污染影响类</w:t>
            </w:r>
            <w:r>
              <w:rPr>
                <w:spacing w:val="-60"/>
                <w:sz w:val="24"/>
                <w:szCs w:val="24"/>
              </w:rPr>
              <w:t>）（</w:t>
            </w:r>
            <w:r>
              <w:rPr>
                <w:spacing w:val="-9"/>
                <w:sz w:val="24"/>
                <w:szCs w:val="24"/>
              </w:rPr>
              <w:t>试行</w:t>
            </w:r>
            <w:r>
              <w:rPr>
                <w:spacing w:val="-10"/>
                <w:sz w:val="24"/>
                <w:szCs w:val="24"/>
              </w:rPr>
              <w:t>）》，</w:t>
            </w:r>
            <w:r>
              <w:rPr>
                <w:spacing w:val="1"/>
                <w:sz w:val="24"/>
                <w:szCs w:val="24"/>
              </w:rPr>
              <w:t xml:space="preserve"> </w:t>
            </w:r>
            <w:r>
              <w:rPr>
                <w:spacing w:val="-3"/>
                <w:sz w:val="24"/>
                <w:szCs w:val="24"/>
              </w:rPr>
              <w:t>厂界外周边</w:t>
            </w:r>
            <w:r>
              <w:rPr>
                <w:spacing w:val="-48"/>
                <w:sz w:val="24"/>
                <w:szCs w:val="24"/>
              </w:rPr>
              <w:t xml:space="preserve"> </w:t>
            </w:r>
            <w:r>
              <w:rPr>
                <w:rFonts w:ascii="Times New Roman" w:hAnsi="Times New Roman" w:eastAsia="Times New Roman" w:cs="Times New Roman"/>
                <w:spacing w:val="-3"/>
                <w:sz w:val="24"/>
                <w:szCs w:val="24"/>
              </w:rPr>
              <w:t xml:space="preserve">50 </w:t>
            </w:r>
            <w:r>
              <w:rPr>
                <w:spacing w:val="-3"/>
                <w:sz w:val="24"/>
                <w:szCs w:val="24"/>
              </w:rPr>
              <w:t>米范围内存在声环境保护目标的建设项目</w:t>
            </w:r>
            <w:r>
              <w:rPr>
                <w:spacing w:val="-4"/>
                <w:sz w:val="24"/>
                <w:szCs w:val="24"/>
              </w:rPr>
              <w:t>，应监测保护目标声</w:t>
            </w:r>
            <w:r>
              <w:rPr>
                <w:sz w:val="24"/>
                <w:szCs w:val="24"/>
              </w:rPr>
              <w:t xml:space="preserve"> </w:t>
            </w:r>
            <w:r>
              <w:rPr>
                <w:spacing w:val="-3"/>
                <w:sz w:val="24"/>
                <w:szCs w:val="24"/>
              </w:rPr>
              <w:t>环境质量现状并评价达标情况。本项目周边</w:t>
            </w:r>
            <w:r>
              <w:rPr>
                <w:spacing w:val="-48"/>
                <w:sz w:val="24"/>
                <w:szCs w:val="24"/>
              </w:rPr>
              <w:t xml:space="preserve"> </w:t>
            </w:r>
            <w:r>
              <w:rPr>
                <w:rFonts w:ascii="Times New Roman" w:hAnsi="Times New Roman" w:eastAsia="Times New Roman" w:cs="Times New Roman"/>
                <w:spacing w:val="-3"/>
                <w:sz w:val="24"/>
                <w:szCs w:val="24"/>
              </w:rPr>
              <w:t xml:space="preserve">50 </w:t>
            </w:r>
            <w:r>
              <w:rPr>
                <w:spacing w:val="-3"/>
                <w:sz w:val="24"/>
                <w:szCs w:val="24"/>
              </w:rPr>
              <w:t>米范围内</w:t>
            </w:r>
            <w:r>
              <w:rPr>
                <w:spacing w:val="-4"/>
                <w:sz w:val="24"/>
                <w:szCs w:val="24"/>
              </w:rPr>
              <w:t>不存在声环境保护目</w:t>
            </w:r>
          </w:p>
        </w:tc>
      </w:tr>
    </w:tbl>
    <w:p w14:paraId="15F70AB9">
      <w:pPr>
        <w:pStyle w:val="2"/>
      </w:pPr>
    </w:p>
    <w:p w14:paraId="020301CD">
      <w:pPr>
        <w:sectPr>
          <w:footerReference r:id="rId61" w:type="default"/>
          <w:pgSz w:w="11906" w:h="16839"/>
          <w:pgMar w:top="400" w:right="1588" w:bottom="1257" w:left="1687" w:header="0" w:footer="1097" w:gutter="0"/>
          <w:cols w:space="720" w:num="1"/>
        </w:sectPr>
      </w:pPr>
    </w:p>
    <w:p w14:paraId="5CEAC1B5">
      <w:pPr>
        <w:spacing w:before="19"/>
      </w:pPr>
    </w:p>
    <w:p w14:paraId="0E8969C8">
      <w:pPr>
        <w:spacing w:before="19"/>
      </w:pPr>
    </w:p>
    <w:p w14:paraId="17EA8619">
      <w:pPr>
        <w:spacing w:before="18"/>
      </w:pPr>
    </w:p>
    <w:p w14:paraId="74101C8F">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738"/>
        <w:gridCol w:w="1472"/>
        <w:gridCol w:w="750"/>
        <w:gridCol w:w="1135"/>
        <w:gridCol w:w="992"/>
        <w:gridCol w:w="2848"/>
        <w:gridCol w:w="118"/>
      </w:tblGrid>
      <w:tr w14:paraId="26C1D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0" w:hRule="atLeast"/>
        </w:trPr>
        <w:tc>
          <w:tcPr>
            <w:tcW w:w="459" w:type="dxa"/>
            <w:vAlign w:val="top"/>
          </w:tcPr>
          <w:p w14:paraId="163F7733">
            <w:pPr>
              <w:rPr>
                <w:rFonts w:ascii="Arial"/>
                <w:sz w:val="21"/>
              </w:rPr>
            </w:pPr>
          </w:p>
        </w:tc>
        <w:tc>
          <w:tcPr>
            <w:tcW w:w="8166" w:type="dxa"/>
            <w:gridSpan w:val="8"/>
            <w:vAlign w:val="top"/>
          </w:tcPr>
          <w:p w14:paraId="7EE81E18">
            <w:pPr>
              <w:pStyle w:val="6"/>
              <w:spacing w:before="41" w:line="218" w:lineRule="auto"/>
              <w:ind w:left="115"/>
              <w:rPr>
                <w:sz w:val="24"/>
                <w:szCs w:val="24"/>
              </w:rPr>
            </w:pPr>
            <w:r>
              <w:rPr>
                <w:spacing w:val="-1"/>
                <w:sz w:val="24"/>
                <w:szCs w:val="24"/>
              </w:rPr>
              <w:t>标，因此本次评价未开展声环境现状监测。</w:t>
            </w:r>
          </w:p>
          <w:p w14:paraId="01142A3D">
            <w:pPr>
              <w:pStyle w:val="6"/>
              <w:spacing w:before="182" w:line="219" w:lineRule="auto"/>
              <w:ind w:left="112"/>
              <w:outlineLvl w:val="1"/>
              <w:rPr>
                <w:sz w:val="24"/>
                <w:szCs w:val="24"/>
              </w:rPr>
            </w:pPr>
            <w:r>
              <w:rPr>
                <w:rFonts w:ascii="Times New Roman" w:hAnsi="Times New Roman" w:eastAsia="Times New Roman" w:cs="Times New Roman"/>
                <w:b/>
                <w:bCs/>
                <w:spacing w:val="-6"/>
                <w:sz w:val="24"/>
                <w:szCs w:val="24"/>
              </w:rPr>
              <w:t>5</w:t>
            </w:r>
            <w:r>
              <w:rPr>
                <w:rFonts w:ascii="Times New Roman" w:hAnsi="Times New Roman" w:eastAsia="Times New Roman" w:cs="Times New Roman"/>
                <w:b/>
                <w:bCs/>
                <w:spacing w:val="-34"/>
                <w:sz w:val="24"/>
                <w:szCs w:val="24"/>
              </w:rPr>
              <w:t xml:space="preserve"> </w:t>
            </w:r>
            <w:r>
              <w:rPr>
                <w:b/>
                <w:bCs/>
                <w:spacing w:val="-6"/>
                <w:sz w:val="24"/>
                <w:szCs w:val="24"/>
              </w:rPr>
              <w:t>、生态环境现状</w:t>
            </w:r>
          </w:p>
          <w:p w14:paraId="4C25815D">
            <w:pPr>
              <w:pStyle w:val="6"/>
              <w:spacing w:before="176" w:line="355" w:lineRule="auto"/>
              <w:ind w:left="116" w:right="107" w:firstLine="497"/>
              <w:rPr>
                <w:sz w:val="24"/>
                <w:szCs w:val="24"/>
              </w:rPr>
            </w:pPr>
            <w:r>
              <w:rPr>
                <w:sz w:val="24"/>
                <w:szCs w:val="24"/>
              </w:rPr>
              <w:t>园区所在区域属荒漠化草原地带，生态脆弱、植被类型简单，特别</w:t>
            </w:r>
            <w:r>
              <w:rPr>
                <w:spacing w:val="-1"/>
                <w:sz w:val="24"/>
                <w:szCs w:val="24"/>
              </w:rPr>
              <w:t>是由</w:t>
            </w:r>
            <w:r>
              <w:rPr>
                <w:sz w:val="24"/>
                <w:szCs w:val="24"/>
              </w:rPr>
              <w:t xml:space="preserve"> 于本地区的复杂地形和干旱的气候条件，使植被群落分布主要以荒漠植被、</w:t>
            </w:r>
            <w:r>
              <w:rPr>
                <w:spacing w:val="16"/>
                <w:sz w:val="24"/>
                <w:szCs w:val="24"/>
              </w:rPr>
              <w:t xml:space="preserve"> </w:t>
            </w:r>
            <w:r>
              <w:rPr>
                <w:spacing w:val="14"/>
                <w:sz w:val="24"/>
                <w:szCs w:val="24"/>
              </w:rPr>
              <w:t>沙地植被等植被类型为主</w:t>
            </w:r>
            <w:r>
              <w:rPr>
                <w:spacing w:val="-58"/>
                <w:sz w:val="24"/>
                <w:szCs w:val="24"/>
              </w:rPr>
              <w:t xml:space="preserve"> </w:t>
            </w:r>
            <w:r>
              <w:rPr>
                <w:spacing w:val="14"/>
                <w:sz w:val="24"/>
                <w:szCs w:val="24"/>
              </w:rPr>
              <w:t>。根据《鄂托克经济开发区国土空间总体规划</w:t>
            </w:r>
            <w:r>
              <w:rPr>
                <w:sz w:val="24"/>
                <w:szCs w:val="24"/>
              </w:rPr>
              <w:t xml:space="preserve"> </w:t>
            </w:r>
            <w:r>
              <w:rPr>
                <w:spacing w:val="-2"/>
                <w:sz w:val="24"/>
                <w:szCs w:val="24"/>
              </w:rPr>
              <w:t>（</w:t>
            </w:r>
            <w:r>
              <w:rPr>
                <w:rFonts w:ascii="Times New Roman" w:hAnsi="Times New Roman" w:eastAsia="Times New Roman" w:cs="Times New Roman"/>
                <w:spacing w:val="-2"/>
                <w:sz w:val="24"/>
                <w:szCs w:val="24"/>
              </w:rPr>
              <w:t>2021-2035</w:t>
            </w:r>
            <w:r>
              <w:rPr>
                <w:spacing w:val="-2"/>
                <w:sz w:val="24"/>
                <w:szCs w:val="24"/>
              </w:rPr>
              <w:t>）棋盘井产业园环境影响报告书》，园区规划范围及评价范围内</w:t>
            </w:r>
            <w:r>
              <w:rPr>
                <w:spacing w:val="12"/>
                <w:sz w:val="24"/>
                <w:szCs w:val="24"/>
              </w:rPr>
              <w:t xml:space="preserve"> </w:t>
            </w:r>
            <w:r>
              <w:rPr>
                <w:sz w:val="24"/>
                <w:szCs w:val="24"/>
              </w:rPr>
              <w:t>天然植被生长区零星分布保护植被四合木、革苞菊、沙冬青、半日花。通过</w:t>
            </w:r>
            <w:r>
              <w:rPr>
                <w:spacing w:val="16"/>
                <w:sz w:val="24"/>
                <w:szCs w:val="24"/>
              </w:rPr>
              <w:t xml:space="preserve"> </w:t>
            </w:r>
            <w:r>
              <w:rPr>
                <w:sz w:val="24"/>
                <w:szCs w:val="24"/>
              </w:rPr>
              <w:t>叠加棋西项目区样方调查分布情况可知，本项目占地范围内均为工业用地，</w:t>
            </w:r>
            <w:r>
              <w:rPr>
                <w:spacing w:val="16"/>
                <w:sz w:val="24"/>
                <w:szCs w:val="24"/>
              </w:rPr>
              <w:t xml:space="preserve"> </w:t>
            </w:r>
            <w:r>
              <w:rPr>
                <w:spacing w:val="-1"/>
                <w:sz w:val="24"/>
                <w:szCs w:val="24"/>
              </w:rPr>
              <w:t>不涉及国家重点保护植物，仅零星分布红砂、霸王、狗尾草和骆驼蓬。</w:t>
            </w:r>
          </w:p>
        </w:tc>
      </w:tr>
      <w:tr w14:paraId="13922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8" w:hRule="atLeast"/>
        </w:trPr>
        <w:tc>
          <w:tcPr>
            <w:tcW w:w="459" w:type="dxa"/>
            <w:vMerge w:val="restart"/>
            <w:tcBorders>
              <w:bottom w:val="nil"/>
            </w:tcBorders>
            <w:textDirection w:val="tbRlV"/>
            <w:vAlign w:val="top"/>
          </w:tcPr>
          <w:p w14:paraId="7F6040D6">
            <w:pPr>
              <w:pStyle w:val="6"/>
              <w:spacing w:before="106" w:line="201" w:lineRule="auto"/>
              <w:ind w:left="2858"/>
              <w:rPr>
                <w:sz w:val="24"/>
                <w:szCs w:val="24"/>
              </w:rPr>
            </w:pPr>
            <w:r>
              <w:rPr>
                <w:spacing w:val="59"/>
                <w:sz w:val="24"/>
                <w:szCs w:val="24"/>
              </w:rPr>
              <w:t>环境保护</w:t>
            </w:r>
            <w:r>
              <w:rPr>
                <w:spacing w:val="59"/>
                <w:position w:val="1"/>
                <w:sz w:val="24"/>
                <w:szCs w:val="24"/>
              </w:rPr>
              <w:t>目</w:t>
            </w:r>
            <w:r>
              <w:rPr>
                <w:spacing w:val="59"/>
                <w:sz w:val="24"/>
                <w:szCs w:val="24"/>
              </w:rPr>
              <w:t>标</w:t>
            </w:r>
          </w:p>
        </w:tc>
        <w:tc>
          <w:tcPr>
            <w:tcW w:w="8166" w:type="dxa"/>
            <w:gridSpan w:val="8"/>
            <w:vAlign w:val="top"/>
          </w:tcPr>
          <w:p w14:paraId="7A22054C">
            <w:pPr>
              <w:pStyle w:val="6"/>
              <w:spacing w:before="196" w:line="358" w:lineRule="auto"/>
              <w:ind w:left="114" w:right="107" w:firstLine="480"/>
              <w:rPr>
                <w:sz w:val="24"/>
                <w:szCs w:val="24"/>
              </w:rPr>
            </w:pPr>
            <w:r>
              <w:rPr>
                <w:sz w:val="24"/>
                <w:szCs w:val="24"/>
              </w:rPr>
              <w:t>根据现场调查，本项目拟建区域不涉及环境敏感区，评价区内无濒危动</w:t>
            </w:r>
            <w:r>
              <w:rPr>
                <w:spacing w:val="18"/>
                <w:sz w:val="24"/>
                <w:szCs w:val="24"/>
              </w:rPr>
              <w:t xml:space="preserve"> </w:t>
            </w:r>
            <w:r>
              <w:rPr>
                <w:spacing w:val="-1"/>
                <w:sz w:val="24"/>
                <w:szCs w:val="24"/>
              </w:rPr>
              <w:t>植物、水源地、名胜古迹、</w:t>
            </w:r>
            <w:r>
              <w:rPr>
                <w:spacing w:val="-69"/>
                <w:sz w:val="24"/>
                <w:szCs w:val="24"/>
              </w:rPr>
              <w:t xml:space="preserve"> </w:t>
            </w:r>
            <w:r>
              <w:rPr>
                <w:spacing w:val="-1"/>
                <w:sz w:val="24"/>
                <w:szCs w:val="24"/>
              </w:rPr>
              <w:t>自然保护区、温泉、疗养地等特殊环境敏感区。</w:t>
            </w:r>
            <w:r>
              <w:rPr>
                <w:sz w:val="24"/>
                <w:szCs w:val="24"/>
              </w:rPr>
              <w:t xml:space="preserve"> </w:t>
            </w:r>
            <w:r>
              <w:rPr>
                <w:spacing w:val="2"/>
                <w:sz w:val="24"/>
                <w:szCs w:val="24"/>
              </w:rPr>
              <w:t>根据建设项目环境影响报告表编制技术指南</w:t>
            </w:r>
            <w:r>
              <w:rPr>
                <w:spacing w:val="1"/>
                <w:sz w:val="24"/>
                <w:szCs w:val="24"/>
              </w:rPr>
              <w:t>（污染影响类</w:t>
            </w:r>
            <w:r>
              <w:rPr>
                <w:spacing w:val="-16"/>
                <w:sz w:val="24"/>
                <w:szCs w:val="24"/>
              </w:rPr>
              <w:t>）（</w:t>
            </w:r>
            <w:r>
              <w:rPr>
                <w:spacing w:val="1"/>
                <w:sz w:val="24"/>
                <w:szCs w:val="24"/>
              </w:rPr>
              <w:t>试行）》相关</w:t>
            </w:r>
            <w:r>
              <w:rPr>
                <w:sz w:val="24"/>
                <w:szCs w:val="24"/>
              </w:rPr>
              <w:t xml:space="preserve"> </w:t>
            </w:r>
            <w:r>
              <w:rPr>
                <w:spacing w:val="3"/>
                <w:sz w:val="24"/>
                <w:szCs w:val="24"/>
              </w:rPr>
              <w:t>要求，本次评价设置大气、地下水与土壤环境保护目标范围为厂界外</w:t>
            </w:r>
            <w:r>
              <w:rPr>
                <w:spacing w:val="-31"/>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z w:val="24"/>
                <w:szCs w:val="24"/>
              </w:rPr>
              <w:t xml:space="preserve"> </w:t>
            </w:r>
            <w:r>
              <w:rPr>
                <w:spacing w:val="-2"/>
                <w:sz w:val="24"/>
                <w:szCs w:val="24"/>
              </w:rPr>
              <w:t>范围内，声环境保护目标为厂界外</w:t>
            </w:r>
            <w:r>
              <w:rPr>
                <w:spacing w:val="-49"/>
                <w:sz w:val="24"/>
                <w:szCs w:val="24"/>
              </w:rPr>
              <w:t xml:space="preserve"> </w:t>
            </w:r>
            <w:r>
              <w:rPr>
                <w:rFonts w:ascii="Times New Roman" w:hAnsi="Times New Roman" w:eastAsia="Times New Roman" w:cs="Times New Roman"/>
                <w:spacing w:val="-2"/>
                <w:sz w:val="24"/>
                <w:szCs w:val="24"/>
              </w:rPr>
              <w:t>50m</w:t>
            </w:r>
            <w:r>
              <w:rPr>
                <w:rFonts w:ascii="Times New Roman" w:hAnsi="Times New Roman" w:eastAsia="Times New Roman" w:cs="Times New Roman"/>
                <w:spacing w:val="16"/>
                <w:w w:val="101"/>
                <w:sz w:val="24"/>
                <w:szCs w:val="24"/>
              </w:rPr>
              <w:t xml:space="preserve"> </w:t>
            </w:r>
            <w:r>
              <w:rPr>
                <w:spacing w:val="-2"/>
                <w:sz w:val="24"/>
                <w:szCs w:val="24"/>
              </w:rPr>
              <w:t>范围内。评价范围</w:t>
            </w:r>
            <w:r>
              <w:rPr>
                <w:spacing w:val="-3"/>
                <w:sz w:val="24"/>
                <w:szCs w:val="24"/>
              </w:rPr>
              <w:t>内各环境要素的主</w:t>
            </w:r>
            <w:r>
              <w:rPr>
                <w:sz w:val="24"/>
                <w:szCs w:val="24"/>
              </w:rPr>
              <w:t xml:space="preserve"> </w:t>
            </w:r>
            <w:r>
              <w:rPr>
                <w:spacing w:val="-1"/>
                <w:sz w:val="24"/>
                <w:szCs w:val="24"/>
              </w:rPr>
              <w:t>要环境敏感目标见下表：</w:t>
            </w:r>
          </w:p>
          <w:p w14:paraId="63783BD5">
            <w:pPr>
              <w:pStyle w:val="6"/>
              <w:spacing w:line="227" w:lineRule="auto"/>
              <w:ind w:left="2233"/>
              <w:outlineLvl w:val="1"/>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3-8    </w:t>
            </w:r>
            <w:r>
              <w:rPr>
                <w:b/>
                <w:bCs/>
                <w:spacing w:val="6"/>
                <w:sz w:val="20"/>
                <w:szCs w:val="20"/>
              </w:rPr>
              <w:t>各环境要素环境保护目标一览表</w:t>
            </w:r>
          </w:p>
        </w:tc>
      </w:tr>
      <w:tr w14:paraId="3D19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textDirection w:val="tbRlV"/>
            <w:vAlign w:val="top"/>
          </w:tcPr>
          <w:p w14:paraId="0C3767E7">
            <w:pPr>
              <w:rPr>
                <w:rFonts w:ascii="Arial"/>
                <w:sz w:val="21"/>
              </w:rPr>
            </w:pPr>
          </w:p>
        </w:tc>
        <w:tc>
          <w:tcPr>
            <w:tcW w:w="113" w:type="dxa"/>
            <w:tcBorders>
              <w:top w:val="nil"/>
              <w:bottom w:val="nil"/>
            </w:tcBorders>
            <w:vAlign w:val="top"/>
          </w:tcPr>
          <w:p w14:paraId="23FF6B27">
            <w:pPr>
              <w:rPr>
                <w:rFonts w:ascii="Arial"/>
                <w:sz w:val="21"/>
              </w:rPr>
            </w:pPr>
          </w:p>
        </w:tc>
        <w:tc>
          <w:tcPr>
            <w:tcW w:w="738" w:type="dxa"/>
            <w:vAlign w:val="top"/>
          </w:tcPr>
          <w:p w14:paraId="0CFCC5A8">
            <w:pPr>
              <w:pStyle w:val="6"/>
              <w:spacing w:before="33" w:line="228" w:lineRule="auto"/>
              <w:ind w:left="57"/>
              <w:rPr>
                <w:sz w:val="20"/>
                <w:szCs w:val="20"/>
              </w:rPr>
            </w:pPr>
            <w:r>
              <w:rPr>
                <w:spacing w:val="6"/>
                <w:sz w:val="20"/>
                <w:szCs w:val="20"/>
              </w:rPr>
              <w:t>环境要</w:t>
            </w:r>
          </w:p>
          <w:p w14:paraId="2C5E0099">
            <w:pPr>
              <w:pStyle w:val="6"/>
              <w:spacing w:before="26" w:line="214" w:lineRule="auto"/>
              <w:ind w:left="271"/>
              <w:rPr>
                <w:sz w:val="20"/>
                <w:szCs w:val="20"/>
              </w:rPr>
            </w:pPr>
            <w:r>
              <w:rPr>
                <w:sz w:val="20"/>
                <w:szCs w:val="20"/>
              </w:rPr>
              <w:t>素</w:t>
            </w:r>
          </w:p>
        </w:tc>
        <w:tc>
          <w:tcPr>
            <w:tcW w:w="1472" w:type="dxa"/>
            <w:vAlign w:val="top"/>
          </w:tcPr>
          <w:p w14:paraId="025E4A87">
            <w:pPr>
              <w:pStyle w:val="6"/>
              <w:spacing w:before="170" w:line="228" w:lineRule="auto"/>
              <w:ind w:left="109"/>
              <w:rPr>
                <w:sz w:val="20"/>
                <w:szCs w:val="20"/>
              </w:rPr>
            </w:pPr>
            <w:r>
              <w:rPr>
                <w:spacing w:val="8"/>
                <w:sz w:val="20"/>
                <w:szCs w:val="20"/>
              </w:rPr>
              <w:t>保护目标名称</w:t>
            </w:r>
          </w:p>
        </w:tc>
        <w:tc>
          <w:tcPr>
            <w:tcW w:w="750" w:type="dxa"/>
            <w:vAlign w:val="top"/>
          </w:tcPr>
          <w:p w14:paraId="24B0382C">
            <w:pPr>
              <w:pStyle w:val="6"/>
              <w:spacing w:before="170" w:line="229" w:lineRule="auto"/>
              <w:ind w:left="171"/>
              <w:rPr>
                <w:sz w:val="20"/>
                <w:szCs w:val="20"/>
              </w:rPr>
            </w:pPr>
            <w:r>
              <w:rPr>
                <w:spacing w:val="4"/>
                <w:sz w:val="20"/>
                <w:szCs w:val="20"/>
              </w:rPr>
              <w:t>方位</w:t>
            </w:r>
          </w:p>
        </w:tc>
        <w:tc>
          <w:tcPr>
            <w:tcW w:w="1135" w:type="dxa"/>
            <w:vAlign w:val="top"/>
          </w:tcPr>
          <w:p w14:paraId="6A2DE6BF">
            <w:pPr>
              <w:pStyle w:val="6"/>
              <w:spacing w:before="170" w:line="228" w:lineRule="auto"/>
              <w:ind w:left="70"/>
              <w:rPr>
                <w:sz w:val="20"/>
                <w:szCs w:val="20"/>
              </w:rPr>
            </w:pPr>
            <w:r>
              <w:rPr>
                <w:spacing w:val="5"/>
                <w:sz w:val="20"/>
                <w:szCs w:val="20"/>
              </w:rPr>
              <w:t>距离（</w:t>
            </w:r>
            <w:r>
              <w:rPr>
                <w:rFonts w:ascii="Times New Roman" w:hAnsi="Times New Roman" w:eastAsia="Times New Roman" w:cs="Times New Roman"/>
                <w:spacing w:val="5"/>
                <w:sz w:val="20"/>
                <w:szCs w:val="20"/>
              </w:rPr>
              <w:t>m</w:t>
            </w:r>
            <w:r>
              <w:rPr>
                <w:spacing w:val="5"/>
                <w:sz w:val="20"/>
                <w:szCs w:val="20"/>
              </w:rPr>
              <w:t>）</w:t>
            </w:r>
          </w:p>
        </w:tc>
        <w:tc>
          <w:tcPr>
            <w:tcW w:w="992" w:type="dxa"/>
            <w:vAlign w:val="top"/>
          </w:tcPr>
          <w:p w14:paraId="75EE0A59">
            <w:pPr>
              <w:pStyle w:val="6"/>
              <w:spacing w:before="169" w:line="228" w:lineRule="auto"/>
              <w:jc w:val="right"/>
              <w:rPr>
                <w:sz w:val="20"/>
                <w:szCs w:val="20"/>
              </w:rPr>
            </w:pPr>
            <w:r>
              <w:rPr>
                <w:spacing w:val="-6"/>
                <w:sz w:val="20"/>
                <w:szCs w:val="20"/>
              </w:rPr>
              <w:t>人数（人）</w:t>
            </w:r>
          </w:p>
        </w:tc>
        <w:tc>
          <w:tcPr>
            <w:tcW w:w="2848" w:type="dxa"/>
            <w:vAlign w:val="top"/>
          </w:tcPr>
          <w:p w14:paraId="0F388840">
            <w:pPr>
              <w:pStyle w:val="6"/>
              <w:spacing w:before="170" w:line="228" w:lineRule="auto"/>
              <w:ind w:left="1012"/>
              <w:rPr>
                <w:sz w:val="20"/>
                <w:szCs w:val="20"/>
              </w:rPr>
            </w:pPr>
            <w:r>
              <w:rPr>
                <w:spacing w:val="7"/>
                <w:sz w:val="20"/>
                <w:szCs w:val="20"/>
              </w:rPr>
              <w:t>保护级别</w:t>
            </w:r>
          </w:p>
        </w:tc>
        <w:tc>
          <w:tcPr>
            <w:tcW w:w="118" w:type="dxa"/>
            <w:tcBorders>
              <w:top w:val="nil"/>
              <w:bottom w:val="nil"/>
            </w:tcBorders>
            <w:vAlign w:val="top"/>
          </w:tcPr>
          <w:p w14:paraId="36383AF2">
            <w:pPr>
              <w:rPr>
                <w:rFonts w:ascii="Arial"/>
                <w:sz w:val="21"/>
              </w:rPr>
            </w:pPr>
          </w:p>
        </w:tc>
      </w:tr>
      <w:tr w14:paraId="649C0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textDirection w:val="tbRlV"/>
            <w:vAlign w:val="top"/>
          </w:tcPr>
          <w:p w14:paraId="6C18274E">
            <w:pPr>
              <w:rPr>
                <w:rFonts w:ascii="Arial"/>
                <w:sz w:val="21"/>
              </w:rPr>
            </w:pPr>
          </w:p>
        </w:tc>
        <w:tc>
          <w:tcPr>
            <w:tcW w:w="113" w:type="dxa"/>
            <w:tcBorders>
              <w:top w:val="nil"/>
              <w:bottom w:val="nil"/>
            </w:tcBorders>
            <w:vAlign w:val="top"/>
          </w:tcPr>
          <w:p w14:paraId="117A8951">
            <w:pPr>
              <w:rPr>
                <w:rFonts w:ascii="Arial"/>
                <w:sz w:val="21"/>
              </w:rPr>
            </w:pPr>
          </w:p>
        </w:tc>
        <w:tc>
          <w:tcPr>
            <w:tcW w:w="738" w:type="dxa"/>
            <w:vAlign w:val="top"/>
          </w:tcPr>
          <w:p w14:paraId="706A95B8">
            <w:pPr>
              <w:pStyle w:val="6"/>
              <w:spacing w:before="170" w:line="227" w:lineRule="auto"/>
              <w:ind w:left="60"/>
              <w:rPr>
                <w:sz w:val="20"/>
                <w:szCs w:val="20"/>
              </w:rPr>
            </w:pPr>
            <w:r>
              <w:rPr>
                <w:spacing w:val="6"/>
                <w:sz w:val="20"/>
                <w:szCs w:val="20"/>
              </w:rPr>
              <w:t>大气环</w:t>
            </w:r>
          </w:p>
          <w:p w14:paraId="38C5FD7E">
            <w:pPr>
              <w:pStyle w:val="6"/>
              <w:spacing w:before="28" w:line="228" w:lineRule="auto"/>
              <w:ind w:left="269"/>
              <w:rPr>
                <w:sz w:val="20"/>
                <w:szCs w:val="20"/>
              </w:rPr>
            </w:pPr>
            <w:r>
              <w:rPr>
                <w:sz w:val="20"/>
                <w:szCs w:val="20"/>
              </w:rPr>
              <w:t>境</w:t>
            </w:r>
          </w:p>
        </w:tc>
        <w:tc>
          <w:tcPr>
            <w:tcW w:w="1472" w:type="dxa"/>
            <w:vAlign w:val="top"/>
          </w:tcPr>
          <w:p w14:paraId="37847194">
            <w:pPr>
              <w:rPr>
                <w:rFonts w:ascii="Arial"/>
                <w:sz w:val="21"/>
              </w:rPr>
            </w:pPr>
          </w:p>
          <w:p w14:paraId="2F00F816">
            <w:pPr>
              <w:pStyle w:val="6"/>
              <w:spacing w:before="65" w:line="226" w:lineRule="auto"/>
              <w:ind w:left="108"/>
              <w:rPr>
                <w:sz w:val="20"/>
                <w:szCs w:val="20"/>
              </w:rPr>
            </w:pPr>
            <w:r>
              <w:rPr>
                <w:spacing w:val="8"/>
                <w:sz w:val="20"/>
                <w:szCs w:val="20"/>
              </w:rPr>
              <w:t>泰发祥汽车城</w:t>
            </w:r>
          </w:p>
        </w:tc>
        <w:tc>
          <w:tcPr>
            <w:tcW w:w="750" w:type="dxa"/>
            <w:vAlign w:val="top"/>
          </w:tcPr>
          <w:p w14:paraId="789A2637">
            <w:pPr>
              <w:spacing w:line="241" w:lineRule="auto"/>
              <w:rPr>
                <w:rFonts w:ascii="Arial"/>
                <w:sz w:val="21"/>
              </w:rPr>
            </w:pPr>
          </w:p>
          <w:p w14:paraId="0E35C114">
            <w:pPr>
              <w:pStyle w:val="6"/>
              <w:spacing w:before="65" w:line="231" w:lineRule="auto"/>
              <w:ind w:left="278"/>
              <w:rPr>
                <w:sz w:val="20"/>
                <w:szCs w:val="20"/>
              </w:rPr>
            </w:pPr>
            <w:r>
              <w:rPr>
                <w:sz w:val="20"/>
                <w:szCs w:val="20"/>
              </w:rPr>
              <w:t>西</w:t>
            </w:r>
          </w:p>
        </w:tc>
        <w:tc>
          <w:tcPr>
            <w:tcW w:w="1135" w:type="dxa"/>
            <w:vAlign w:val="top"/>
          </w:tcPr>
          <w:p w14:paraId="64E3FA54">
            <w:pPr>
              <w:spacing w:line="283" w:lineRule="auto"/>
              <w:rPr>
                <w:rFonts w:ascii="Arial"/>
                <w:sz w:val="21"/>
              </w:rPr>
            </w:pPr>
          </w:p>
          <w:p w14:paraId="7F2FFA8A">
            <w:pPr>
              <w:spacing w:before="5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992" w:type="dxa"/>
            <w:vAlign w:val="top"/>
          </w:tcPr>
          <w:p w14:paraId="5F7C2D65">
            <w:pPr>
              <w:spacing w:line="283" w:lineRule="auto"/>
              <w:rPr>
                <w:rFonts w:ascii="Arial"/>
                <w:sz w:val="21"/>
              </w:rPr>
            </w:pPr>
          </w:p>
          <w:p w14:paraId="017F2DEF">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848" w:type="dxa"/>
            <w:vAlign w:val="top"/>
          </w:tcPr>
          <w:p w14:paraId="7B962618">
            <w:pPr>
              <w:pStyle w:val="6"/>
              <w:spacing w:before="35" w:line="227" w:lineRule="auto"/>
              <w:ind w:left="387"/>
              <w:rPr>
                <w:sz w:val="20"/>
                <w:szCs w:val="20"/>
              </w:rPr>
            </w:pPr>
            <w:r>
              <w:rPr>
                <w:spacing w:val="7"/>
                <w:sz w:val="20"/>
                <w:szCs w:val="20"/>
              </w:rPr>
              <w:t>《环境空气质量标准》</w:t>
            </w:r>
          </w:p>
          <w:p w14:paraId="38E447D9">
            <w:pPr>
              <w:pStyle w:val="6"/>
              <w:spacing w:before="24" w:line="228" w:lineRule="auto"/>
              <w:ind w:right="1"/>
              <w:jc w:val="right"/>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3095-2012</w:t>
            </w:r>
            <w:r>
              <w:rPr>
                <w:spacing w:val="4"/>
                <w:sz w:val="20"/>
                <w:szCs w:val="20"/>
              </w:rPr>
              <w:t>）及修改单二级</w:t>
            </w:r>
          </w:p>
          <w:p w14:paraId="34038390">
            <w:pPr>
              <w:pStyle w:val="6"/>
              <w:spacing w:before="24" w:line="216" w:lineRule="auto"/>
              <w:ind w:left="1223"/>
              <w:rPr>
                <w:sz w:val="20"/>
                <w:szCs w:val="20"/>
              </w:rPr>
            </w:pPr>
            <w:r>
              <w:rPr>
                <w:spacing w:val="4"/>
                <w:sz w:val="20"/>
                <w:szCs w:val="20"/>
              </w:rPr>
              <w:t>标准</w:t>
            </w:r>
          </w:p>
        </w:tc>
        <w:tc>
          <w:tcPr>
            <w:tcW w:w="118" w:type="dxa"/>
            <w:tcBorders>
              <w:top w:val="nil"/>
              <w:bottom w:val="nil"/>
            </w:tcBorders>
            <w:vAlign w:val="top"/>
          </w:tcPr>
          <w:p w14:paraId="6D31B130">
            <w:pPr>
              <w:rPr>
                <w:rFonts w:ascii="Arial"/>
                <w:sz w:val="21"/>
              </w:rPr>
            </w:pPr>
          </w:p>
        </w:tc>
      </w:tr>
      <w:tr w14:paraId="2318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textDirection w:val="tbRlV"/>
            <w:vAlign w:val="top"/>
          </w:tcPr>
          <w:p w14:paraId="13080DC6">
            <w:pPr>
              <w:rPr>
                <w:rFonts w:ascii="Arial"/>
                <w:sz w:val="21"/>
              </w:rPr>
            </w:pPr>
          </w:p>
        </w:tc>
        <w:tc>
          <w:tcPr>
            <w:tcW w:w="113" w:type="dxa"/>
            <w:tcBorders>
              <w:top w:val="nil"/>
              <w:bottom w:val="nil"/>
            </w:tcBorders>
            <w:vAlign w:val="top"/>
          </w:tcPr>
          <w:p w14:paraId="5F1B3FFD">
            <w:pPr>
              <w:rPr>
                <w:rFonts w:ascii="Arial"/>
                <w:sz w:val="21"/>
              </w:rPr>
            </w:pPr>
          </w:p>
        </w:tc>
        <w:tc>
          <w:tcPr>
            <w:tcW w:w="738" w:type="dxa"/>
            <w:vAlign w:val="top"/>
          </w:tcPr>
          <w:p w14:paraId="591167EB">
            <w:pPr>
              <w:pStyle w:val="6"/>
              <w:spacing w:before="171" w:line="228" w:lineRule="auto"/>
              <w:ind w:left="61"/>
              <w:rPr>
                <w:sz w:val="20"/>
                <w:szCs w:val="20"/>
              </w:rPr>
            </w:pPr>
            <w:r>
              <w:rPr>
                <w:spacing w:val="5"/>
                <w:sz w:val="20"/>
                <w:szCs w:val="20"/>
              </w:rPr>
              <w:t>声环境</w:t>
            </w:r>
          </w:p>
        </w:tc>
        <w:tc>
          <w:tcPr>
            <w:tcW w:w="4349" w:type="dxa"/>
            <w:gridSpan w:val="4"/>
            <w:vAlign w:val="top"/>
          </w:tcPr>
          <w:p w14:paraId="59BCAEC9">
            <w:pPr>
              <w:pStyle w:val="6"/>
              <w:spacing w:before="35" w:line="233" w:lineRule="auto"/>
              <w:ind w:left="185" w:right="45" w:hanging="131"/>
              <w:rPr>
                <w:sz w:val="20"/>
                <w:szCs w:val="20"/>
              </w:rPr>
            </w:pPr>
            <w:r>
              <w:rPr>
                <w:spacing w:val="8"/>
                <w:sz w:val="20"/>
                <w:szCs w:val="20"/>
              </w:rPr>
              <w:t>厂界外</w:t>
            </w:r>
            <w:r>
              <w:rPr>
                <w:spacing w:val="-38"/>
                <w:sz w:val="20"/>
                <w:szCs w:val="20"/>
              </w:rPr>
              <w:t xml:space="preserve"> </w:t>
            </w:r>
            <w:r>
              <w:rPr>
                <w:rFonts w:ascii="Times New Roman" w:hAnsi="Times New Roman" w:eastAsia="Times New Roman" w:cs="Times New Roman"/>
                <w:spacing w:val="8"/>
                <w:sz w:val="20"/>
                <w:szCs w:val="20"/>
              </w:rPr>
              <w:t xml:space="preserve">50m </w:t>
            </w:r>
            <w:r>
              <w:rPr>
                <w:spacing w:val="8"/>
                <w:sz w:val="20"/>
                <w:szCs w:val="20"/>
              </w:rPr>
              <w:t>范围内没有的需要保持安静的建筑</w:t>
            </w:r>
            <w:r>
              <w:rPr>
                <w:sz w:val="20"/>
                <w:szCs w:val="20"/>
              </w:rPr>
              <w:t xml:space="preserve"> </w:t>
            </w:r>
            <w:r>
              <w:rPr>
                <w:spacing w:val="8"/>
                <w:sz w:val="20"/>
                <w:szCs w:val="20"/>
              </w:rPr>
              <w:t>物及建筑物集中区，没有声环境保护目标。</w:t>
            </w:r>
          </w:p>
        </w:tc>
        <w:tc>
          <w:tcPr>
            <w:tcW w:w="2848" w:type="dxa"/>
            <w:vAlign w:val="top"/>
          </w:tcPr>
          <w:p w14:paraId="49A9D0CD">
            <w:pPr>
              <w:pStyle w:val="6"/>
              <w:spacing w:before="35" w:line="228" w:lineRule="auto"/>
              <w:ind w:left="491"/>
              <w:rPr>
                <w:sz w:val="20"/>
                <w:szCs w:val="20"/>
              </w:rPr>
            </w:pPr>
            <w:r>
              <w:rPr>
                <w:spacing w:val="7"/>
                <w:sz w:val="20"/>
                <w:szCs w:val="20"/>
              </w:rPr>
              <w:t>《声环境质量标准》</w:t>
            </w:r>
          </w:p>
          <w:p w14:paraId="6E9F60B6">
            <w:pPr>
              <w:pStyle w:val="6"/>
              <w:spacing w:before="26" w:line="214" w:lineRule="auto"/>
              <w:ind w:left="131"/>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3096-2008</w:t>
            </w:r>
            <w:r>
              <w:rPr>
                <w:spacing w:val="6"/>
                <w:sz w:val="20"/>
                <w:szCs w:val="20"/>
              </w:rPr>
              <w:t>）</w:t>
            </w:r>
            <w:r>
              <w:rPr>
                <w:rFonts w:ascii="Times New Roman" w:hAnsi="Times New Roman" w:eastAsia="Times New Roman" w:cs="Times New Roman"/>
                <w:spacing w:val="6"/>
                <w:sz w:val="20"/>
                <w:szCs w:val="20"/>
              </w:rPr>
              <w:t xml:space="preserve">3 </w:t>
            </w:r>
            <w:r>
              <w:rPr>
                <w:spacing w:val="6"/>
                <w:sz w:val="20"/>
                <w:szCs w:val="20"/>
              </w:rPr>
              <w:t>类区标准</w:t>
            </w:r>
          </w:p>
        </w:tc>
        <w:tc>
          <w:tcPr>
            <w:tcW w:w="118" w:type="dxa"/>
            <w:tcBorders>
              <w:top w:val="nil"/>
              <w:bottom w:val="nil"/>
            </w:tcBorders>
            <w:vAlign w:val="top"/>
          </w:tcPr>
          <w:p w14:paraId="09AA9448">
            <w:pPr>
              <w:rPr>
                <w:rFonts w:ascii="Arial"/>
                <w:sz w:val="21"/>
              </w:rPr>
            </w:pPr>
          </w:p>
        </w:tc>
      </w:tr>
      <w:tr w14:paraId="1363F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9" w:type="dxa"/>
            <w:vMerge w:val="continue"/>
            <w:tcBorders>
              <w:top w:val="nil"/>
              <w:bottom w:val="nil"/>
            </w:tcBorders>
            <w:textDirection w:val="tbRlV"/>
            <w:vAlign w:val="top"/>
          </w:tcPr>
          <w:p w14:paraId="47833887">
            <w:pPr>
              <w:rPr>
                <w:rFonts w:ascii="Arial"/>
                <w:sz w:val="21"/>
              </w:rPr>
            </w:pPr>
          </w:p>
        </w:tc>
        <w:tc>
          <w:tcPr>
            <w:tcW w:w="113" w:type="dxa"/>
            <w:tcBorders>
              <w:top w:val="nil"/>
              <w:bottom w:val="nil"/>
            </w:tcBorders>
            <w:vAlign w:val="top"/>
          </w:tcPr>
          <w:p w14:paraId="6DDB623F">
            <w:pPr>
              <w:rPr>
                <w:rFonts w:ascii="Arial"/>
                <w:sz w:val="21"/>
              </w:rPr>
            </w:pPr>
          </w:p>
        </w:tc>
        <w:tc>
          <w:tcPr>
            <w:tcW w:w="738" w:type="dxa"/>
            <w:vAlign w:val="top"/>
          </w:tcPr>
          <w:p w14:paraId="4A8CC073">
            <w:pPr>
              <w:spacing w:line="377" w:lineRule="auto"/>
              <w:rPr>
                <w:rFonts w:ascii="Arial"/>
                <w:sz w:val="21"/>
              </w:rPr>
            </w:pPr>
          </w:p>
          <w:p w14:paraId="7BE944C9">
            <w:pPr>
              <w:pStyle w:val="6"/>
              <w:spacing w:before="65" w:line="252" w:lineRule="auto"/>
              <w:ind w:left="162" w:right="54" w:hanging="105"/>
              <w:rPr>
                <w:sz w:val="20"/>
                <w:szCs w:val="20"/>
              </w:rPr>
            </w:pPr>
            <w:r>
              <w:rPr>
                <w:spacing w:val="6"/>
                <w:sz w:val="20"/>
                <w:szCs w:val="20"/>
              </w:rPr>
              <w:t>地下水</w:t>
            </w:r>
            <w:r>
              <w:rPr>
                <w:spacing w:val="1"/>
                <w:sz w:val="20"/>
                <w:szCs w:val="20"/>
              </w:rPr>
              <w:t xml:space="preserve"> </w:t>
            </w:r>
            <w:r>
              <w:rPr>
                <w:spacing w:val="4"/>
                <w:sz w:val="20"/>
                <w:szCs w:val="20"/>
              </w:rPr>
              <w:t>环境</w:t>
            </w:r>
          </w:p>
        </w:tc>
        <w:tc>
          <w:tcPr>
            <w:tcW w:w="4349" w:type="dxa"/>
            <w:gridSpan w:val="4"/>
            <w:vAlign w:val="top"/>
          </w:tcPr>
          <w:p w14:paraId="767265DC">
            <w:pPr>
              <w:pStyle w:val="6"/>
              <w:spacing w:before="36" w:line="227" w:lineRule="auto"/>
              <w:ind w:left="10"/>
              <w:rPr>
                <w:sz w:val="20"/>
                <w:szCs w:val="20"/>
              </w:rPr>
            </w:pPr>
            <w:r>
              <w:rPr>
                <w:spacing w:val="10"/>
                <w:sz w:val="20"/>
                <w:szCs w:val="20"/>
              </w:rPr>
              <w:t>厂界外</w:t>
            </w:r>
            <w:r>
              <w:rPr>
                <w:spacing w:val="-47"/>
                <w:sz w:val="20"/>
                <w:szCs w:val="20"/>
              </w:rPr>
              <w:t xml:space="preserve"> </w:t>
            </w:r>
            <w:r>
              <w:rPr>
                <w:rFonts w:ascii="Times New Roman" w:hAnsi="Times New Roman" w:eastAsia="Times New Roman" w:cs="Times New Roman"/>
                <w:spacing w:val="10"/>
                <w:sz w:val="20"/>
                <w:szCs w:val="20"/>
              </w:rPr>
              <w:t>500m</w:t>
            </w:r>
            <w:r>
              <w:rPr>
                <w:spacing w:val="10"/>
                <w:sz w:val="20"/>
                <w:szCs w:val="20"/>
              </w:rPr>
              <w:t>范围内没有集中式饮用水水源和分</w:t>
            </w:r>
          </w:p>
          <w:p w14:paraId="1F0B42E6">
            <w:pPr>
              <w:pStyle w:val="6"/>
              <w:spacing w:before="25" w:line="224" w:lineRule="auto"/>
              <w:ind w:left="7"/>
              <w:rPr>
                <w:sz w:val="20"/>
                <w:szCs w:val="20"/>
              </w:rPr>
            </w:pPr>
            <w:r>
              <w:rPr>
                <w:spacing w:val="6"/>
                <w:sz w:val="20"/>
                <w:szCs w:val="20"/>
              </w:rPr>
              <w:t>散式饮用水水源地（距离棋盘井镇水源地的最近</w:t>
            </w:r>
          </w:p>
          <w:p w14:paraId="1D63EC85">
            <w:pPr>
              <w:pStyle w:val="6"/>
              <w:spacing w:before="28" w:line="228" w:lineRule="auto"/>
              <w:ind w:left="50"/>
              <w:rPr>
                <w:sz w:val="20"/>
                <w:szCs w:val="20"/>
              </w:rPr>
            </w:pPr>
            <w:r>
              <w:rPr>
                <w:spacing w:val="6"/>
                <w:sz w:val="20"/>
                <w:szCs w:val="20"/>
              </w:rPr>
              <w:t>距离为</w:t>
            </w:r>
            <w:r>
              <w:rPr>
                <w:spacing w:val="-37"/>
                <w:sz w:val="20"/>
                <w:szCs w:val="20"/>
              </w:rPr>
              <w:t xml:space="preserve"> </w:t>
            </w:r>
            <w:r>
              <w:rPr>
                <w:rFonts w:ascii="Times New Roman" w:hAnsi="Times New Roman" w:eastAsia="Times New Roman" w:cs="Times New Roman"/>
                <w:spacing w:val="6"/>
                <w:sz w:val="20"/>
                <w:szCs w:val="20"/>
              </w:rPr>
              <w:t>6.54</w:t>
            </w:r>
            <w:r>
              <w:rPr>
                <w:rFonts w:ascii="Times New Roman" w:hAnsi="Times New Roman" w:eastAsia="Times New Roman" w:cs="Times New Roman"/>
                <w:sz w:val="20"/>
                <w:szCs w:val="20"/>
              </w:rPr>
              <w:t>km</w:t>
            </w:r>
            <w:r>
              <w:rPr>
                <w:spacing w:val="11"/>
                <w:sz w:val="20"/>
                <w:szCs w:val="20"/>
              </w:rPr>
              <w:t>），</w:t>
            </w:r>
            <w:r>
              <w:rPr>
                <w:spacing w:val="-58"/>
                <w:sz w:val="20"/>
                <w:szCs w:val="20"/>
              </w:rPr>
              <w:t xml:space="preserve"> </w:t>
            </w:r>
            <w:r>
              <w:rPr>
                <w:spacing w:val="6"/>
                <w:sz w:val="20"/>
                <w:szCs w:val="20"/>
              </w:rPr>
              <w:t>以及各级各类保护区域和对</w:t>
            </w:r>
          </w:p>
          <w:p w14:paraId="5FB2898C">
            <w:pPr>
              <w:pStyle w:val="6"/>
              <w:spacing w:before="26" w:line="228" w:lineRule="auto"/>
              <w:ind w:left="10"/>
              <w:rPr>
                <w:sz w:val="20"/>
                <w:szCs w:val="20"/>
              </w:rPr>
            </w:pPr>
            <w:r>
              <w:rPr>
                <w:spacing w:val="6"/>
                <w:sz w:val="20"/>
                <w:szCs w:val="20"/>
              </w:rPr>
              <w:t>建设项目产生的环境影响特别敏感的区域，没有</w:t>
            </w:r>
          </w:p>
          <w:p w14:paraId="62AAD7A7">
            <w:pPr>
              <w:pStyle w:val="6"/>
              <w:spacing w:before="25" w:line="214" w:lineRule="auto"/>
              <w:ind w:left="1129"/>
              <w:rPr>
                <w:sz w:val="20"/>
                <w:szCs w:val="20"/>
              </w:rPr>
            </w:pPr>
            <w:r>
              <w:rPr>
                <w:spacing w:val="8"/>
                <w:sz w:val="20"/>
                <w:szCs w:val="20"/>
              </w:rPr>
              <w:t>地下水环境保护目标。</w:t>
            </w:r>
          </w:p>
        </w:tc>
        <w:tc>
          <w:tcPr>
            <w:tcW w:w="2848" w:type="dxa"/>
            <w:vAlign w:val="top"/>
          </w:tcPr>
          <w:p w14:paraId="303DE623">
            <w:pPr>
              <w:spacing w:line="376" w:lineRule="auto"/>
              <w:rPr>
                <w:rFonts w:ascii="Arial"/>
                <w:sz w:val="21"/>
              </w:rPr>
            </w:pPr>
          </w:p>
          <w:p w14:paraId="6A7A3ED9">
            <w:pPr>
              <w:pStyle w:val="6"/>
              <w:spacing w:before="65" w:line="228" w:lineRule="auto"/>
              <w:ind w:left="491"/>
              <w:rPr>
                <w:sz w:val="20"/>
                <w:szCs w:val="20"/>
              </w:rPr>
            </w:pPr>
            <w:r>
              <w:rPr>
                <w:spacing w:val="7"/>
                <w:sz w:val="20"/>
                <w:szCs w:val="20"/>
              </w:rPr>
              <w:t>《地下水质量标准》</w:t>
            </w:r>
          </w:p>
          <w:p w14:paraId="2E0E2B37">
            <w:pPr>
              <w:pStyle w:val="6"/>
              <w:spacing w:before="24" w:line="228" w:lineRule="auto"/>
              <w:ind w:left="39"/>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/T14848-2017</w:t>
            </w:r>
            <w:r>
              <w:rPr>
                <w:spacing w:val="6"/>
                <w:sz w:val="20"/>
                <w:szCs w:val="20"/>
              </w:rPr>
              <w:t>）</w:t>
            </w:r>
            <w:r>
              <w:rPr>
                <w:rFonts w:ascii="Times New Roman" w:hAnsi="Times New Roman" w:eastAsia="Times New Roman" w:cs="Times New Roman"/>
                <w:sz w:val="20"/>
                <w:szCs w:val="20"/>
              </w:rPr>
              <w:t>III</w:t>
            </w:r>
            <w:r>
              <w:rPr>
                <w:rFonts w:ascii="Times New Roman" w:hAnsi="Times New Roman" w:eastAsia="Times New Roman" w:cs="Times New Roman"/>
                <w:spacing w:val="6"/>
                <w:sz w:val="20"/>
                <w:szCs w:val="20"/>
              </w:rPr>
              <w:t xml:space="preserve"> </w:t>
            </w:r>
            <w:r>
              <w:rPr>
                <w:spacing w:val="6"/>
                <w:sz w:val="20"/>
                <w:szCs w:val="20"/>
              </w:rPr>
              <w:t>类标准</w:t>
            </w:r>
          </w:p>
        </w:tc>
        <w:tc>
          <w:tcPr>
            <w:tcW w:w="118" w:type="dxa"/>
            <w:tcBorders>
              <w:top w:val="nil"/>
              <w:bottom w:val="nil"/>
            </w:tcBorders>
            <w:vAlign w:val="top"/>
          </w:tcPr>
          <w:p w14:paraId="14BA7829">
            <w:pPr>
              <w:rPr>
                <w:rFonts w:ascii="Arial"/>
                <w:sz w:val="21"/>
              </w:rPr>
            </w:pPr>
          </w:p>
        </w:tc>
      </w:tr>
      <w:tr w14:paraId="0DD84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59" w:type="dxa"/>
            <w:vMerge w:val="continue"/>
            <w:tcBorders>
              <w:top w:val="nil"/>
            </w:tcBorders>
            <w:textDirection w:val="tbRlV"/>
            <w:vAlign w:val="top"/>
          </w:tcPr>
          <w:p w14:paraId="453E77E9">
            <w:pPr>
              <w:rPr>
                <w:rFonts w:ascii="Arial"/>
                <w:sz w:val="21"/>
              </w:rPr>
            </w:pPr>
          </w:p>
        </w:tc>
        <w:tc>
          <w:tcPr>
            <w:tcW w:w="113" w:type="dxa"/>
            <w:tcBorders>
              <w:top w:val="nil"/>
            </w:tcBorders>
            <w:vAlign w:val="top"/>
          </w:tcPr>
          <w:p w14:paraId="50A5D721">
            <w:pPr>
              <w:rPr>
                <w:rFonts w:ascii="Arial"/>
                <w:sz w:val="21"/>
              </w:rPr>
            </w:pPr>
          </w:p>
        </w:tc>
        <w:tc>
          <w:tcPr>
            <w:tcW w:w="738" w:type="dxa"/>
            <w:vAlign w:val="top"/>
          </w:tcPr>
          <w:p w14:paraId="3029C3DE">
            <w:pPr>
              <w:pStyle w:val="6"/>
              <w:spacing w:before="170" w:line="229" w:lineRule="auto"/>
              <w:ind w:left="58"/>
              <w:rPr>
                <w:sz w:val="20"/>
                <w:szCs w:val="20"/>
              </w:rPr>
            </w:pPr>
            <w:r>
              <w:rPr>
                <w:spacing w:val="6"/>
                <w:sz w:val="20"/>
                <w:szCs w:val="20"/>
              </w:rPr>
              <w:t>土壤环</w:t>
            </w:r>
          </w:p>
          <w:p w14:paraId="553FCD2A">
            <w:pPr>
              <w:pStyle w:val="6"/>
              <w:spacing w:before="25" w:line="228" w:lineRule="auto"/>
              <w:ind w:left="269"/>
              <w:rPr>
                <w:sz w:val="20"/>
                <w:szCs w:val="20"/>
              </w:rPr>
            </w:pPr>
            <w:r>
              <w:rPr>
                <w:sz w:val="20"/>
                <w:szCs w:val="20"/>
              </w:rPr>
              <w:t>境</w:t>
            </w:r>
          </w:p>
        </w:tc>
        <w:tc>
          <w:tcPr>
            <w:tcW w:w="4349" w:type="dxa"/>
            <w:gridSpan w:val="4"/>
            <w:vAlign w:val="top"/>
          </w:tcPr>
          <w:p w14:paraId="18F4512A">
            <w:pPr>
              <w:pStyle w:val="6"/>
              <w:spacing w:before="170" w:line="227" w:lineRule="auto"/>
              <w:ind w:left="9"/>
              <w:rPr>
                <w:sz w:val="20"/>
                <w:szCs w:val="20"/>
              </w:rPr>
            </w:pPr>
            <w:r>
              <w:rPr>
                <w:spacing w:val="7"/>
                <w:sz w:val="20"/>
                <w:szCs w:val="20"/>
              </w:rPr>
              <w:t>本项目厂界外</w:t>
            </w:r>
            <w:r>
              <w:rPr>
                <w:spacing w:val="-35"/>
                <w:sz w:val="20"/>
                <w:szCs w:val="20"/>
              </w:rPr>
              <w:t xml:space="preserve"> </w:t>
            </w:r>
            <w:r>
              <w:rPr>
                <w:rFonts w:ascii="Times New Roman" w:hAnsi="Times New Roman" w:eastAsia="Times New Roman" w:cs="Times New Roman"/>
                <w:spacing w:val="7"/>
                <w:sz w:val="20"/>
                <w:szCs w:val="20"/>
              </w:rPr>
              <w:t xml:space="preserve">500m </w:t>
            </w:r>
            <w:r>
              <w:rPr>
                <w:spacing w:val="7"/>
                <w:sz w:val="20"/>
                <w:szCs w:val="20"/>
              </w:rPr>
              <w:t>范围内均为工业园区</w:t>
            </w:r>
            <w:r>
              <w:rPr>
                <w:spacing w:val="6"/>
                <w:sz w:val="20"/>
                <w:szCs w:val="20"/>
              </w:rPr>
              <w:t>，没有</w:t>
            </w:r>
          </w:p>
          <w:p w14:paraId="2C8E41D2">
            <w:pPr>
              <w:pStyle w:val="6"/>
              <w:spacing w:before="28" w:line="228" w:lineRule="auto"/>
              <w:ind w:left="1235"/>
              <w:rPr>
                <w:sz w:val="20"/>
                <w:szCs w:val="20"/>
              </w:rPr>
            </w:pPr>
            <w:r>
              <w:rPr>
                <w:spacing w:val="7"/>
                <w:sz w:val="20"/>
                <w:szCs w:val="20"/>
              </w:rPr>
              <w:t>土壤环境保护目标。</w:t>
            </w:r>
          </w:p>
        </w:tc>
        <w:tc>
          <w:tcPr>
            <w:tcW w:w="2848" w:type="dxa"/>
            <w:vAlign w:val="top"/>
          </w:tcPr>
          <w:p w14:paraId="387C370D">
            <w:pPr>
              <w:pStyle w:val="6"/>
              <w:spacing w:before="35" w:line="228" w:lineRule="auto"/>
              <w:ind w:left="71"/>
              <w:rPr>
                <w:sz w:val="20"/>
                <w:szCs w:val="20"/>
              </w:rPr>
            </w:pPr>
            <w:r>
              <w:rPr>
                <w:spacing w:val="8"/>
                <w:sz w:val="20"/>
                <w:szCs w:val="20"/>
              </w:rPr>
              <w:t>《建设用地土壤污染风险管控</w:t>
            </w:r>
          </w:p>
          <w:p w14:paraId="0A839CF6">
            <w:pPr>
              <w:pStyle w:val="6"/>
              <w:spacing w:before="24" w:line="224" w:lineRule="auto"/>
              <w:jc w:val="right"/>
              <w:rPr>
                <w:sz w:val="20"/>
                <w:szCs w:val="20"/>
              </w:rPr>
            </w:pPr>
            <w:r>
              <w:rPr>
                <w:spacing w:val="-11"/>
                <w:sz w:val="20"/>
                <w:szCs w:val="20"/>
              </w:rPr>
              <w:t>标准（试行）》（</w:t>
            </w:r>
            <w:r>
              <w:rPr>
                <w:rFonts w:ascii="Times New Roman" w:hAnsi="Times New Roman" w:eastAsia="Times New Roman" w:cs="Times New Roman"/>
                <w:spacing w:val="-11"/>
                <w:sz w:val="20"/>
                <w:szCs w:val="20"/>
              </w:rPr>
              <w:t>GB26600-2018</w:t>
            </w:r>
            <w:r>
              <w:rPr>
                <w:spacing w:val="-11"/>
                <w:sz w:val="20"/>
                <w:szCs w:val="20"/>
              </w:rPr>
              <w:t>）</w:t>
            </w:r>
          </w:p>
          <w:p w14:paraId="0A307055">
            <w:pPr>
              <w:pStyle w:val="6"/>
              <w:spacing w:before="28" w:line="228" w:lineRule="auto"/>
              <w:ind w:left="276"/>
              <w:rPr>
                <w:sz w:val="20"/>
                <w:szCs w:val="20"/>
              </w:rPr>
            </w:pPr>
            <w:r>
              <w:rPr>
                <w:spacing w:val="9"/>
                <w:sz w:val="20"/>
                <w:szCs w:val="20"/>
              </w:rPr>
              <w:t>第二类建设用地的筛选值</w:t>
            </w:r>
          </w:p>
        </w:tc>
        <w:tc>
          <w:tcPr>
            <w:tcW w:w="118" w:type="dxa"/>
            <w:tcBorders>
              <w:top w:val="nil"/>
            </w:tcBorders>
            <w:vAlign w:val="top"/>
          </w:tcPr>
          <w:p w14:paraId="7BB751C3">
            <w:pPr>
              <w:rPr>
                <w:rFonts w:ascii="Arial"/>
                <w:sz w:val="21"/>
              </w:rPr>
            </w:pPr>
          </w:p>
        </w:tc>
      </w:tr>
    </w:tbl>
    <w:p w14:paraId="381943DC">
      <w:pPr>
        <w:pStyle w:val="2"/>
      </w:pPr>
    </w:p>
    <w:p w14:paraId="03AC4A9B">
      <w:pPr>
        <w:sectPr>
          <w:footerReference r:id="rId62" w:type="default"/>
          <w:pgSz w:w="11906" w:h="16839"/>
          <w:pgMar w:top="400" w:right="1588" w:bottom="1259" w:left="1687" w:header="0" w:footer="1097" w:gutter="0"/>
          <w:cols w:space="720" w:num="1"/>
        </w:sectPr>
      </w:pPr>
    </w:p>
    <w:p w14:paraId="7941870C">
      <w:pPr>
        <w:spacing w:before="19"/>
      </w:pPr>
    </w:p>
    <w:p w14:paraId="1D468DF8">
      <w:pPr>
        <w:spacing w:before="19"/>
      </w:pPr>
    </w:p>
    <w:p w14:paraId="0BA295FE">
      <w:pPr>
        <w:spacing w:before="18"/>
      </w:pPr>
    </w:p>
    <w:p w14:paraId="15F60197">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54FF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3" w:hRule="atLeast"/>
        </w:trPr>
        <w:tc>
          <w:tcPr>
            <w:tcW w:w="459" w:type="dxa"/>
            <w:tcBorders>
              <w:bottom w:val="nil"/>
            </w:tcBorders>
            <w:vAlign w:val="top"/>
          </w:tcPr>
          <w:p w14:paraId="14E07E8A">
            <w:pPr>
              <w:rPr>
                <w:rFonts w:ascii="Arial"/>
                <w:sz w:val="21"/>
              </w:rPr>
            </w:pPr>
          </w:p>
        </w:tc>
        <w:tc>
          <w:tcPr>
            <w:tcW w:w="8166" w:type="dxa"/>
            <w:tcBorders>
              <w:bottom w:val="nil"/>
            </w:tcBorders>
            <w:vAlign w:val="top"/>
          </w:tcPr>
          <w:p w14:paraId="39AE12CD">
            <w:pPr>
              <w:spacing w:before="175" w:line="5575" w:lineRule="exact"/>
              <w:ind w:firstLine="138"/>
            </w:pPr>
            <w:r>
              <w:drawing>
                <wp:anchor distT="0" distB="0" distL="0" distR="0" simplePos="0" relativeHeight="251663360" behindDoc="0" locked="0" layoutInCell="1" allowOverlap="1">
                  <wp:simplePos x="0" y="0"/>
                  <wp:positionH relativeFrom="rightMargin">
                    <wp:posOffset>-5103495</wp:posOffset>
                  </wp:positionH>
                  <wp:positionV relativeFrom="topMargin">
                    <wp:posOffset>101600</wp:posOffset>
                  </wp:positionV>
                  <wp:extent cx="5022215" cy="355917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9"/>
                          <a:stretch>
                            <a:fillRect/>
                          </a:stretch>
                        </pic:blipFill>
                        <pic:spPr>
                          <a:xfrm>
                            <a:off x="0" y="0"/>
                            <a:ext cx="5022342" cy="3559302"/>
                          </a:xfrm>
                          <a:prstGeom prst="rect">
                            <a:avLst/>
                          </a:prstGeom>
                        </pic:spPr>
                      </pic:pic>
                    </a:graphicData>
                  </a:graphic>
                </wp:anchor>
              </w:drawing>
            </w:r>
            <w:r>
              <w:rPr>
                <w:position w:val="-111"/>
              </w:rPr>
              <w:drawing>
                <wp:inline distT="0" distB="0" distL="0" distR="0">
                  <wp:extent cx="5003165" cy="35401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0"/>
                          <a:stretch>
                            <a:fillRect/>
                          </a:stretch>
                        </pic:blipFill>
                        <pic:spPr>
                          <a:xfrm>
                            <a:off x="0" y="0"/>
                            <a:ext cx="5003291" cy="3540252"/>
                          </a:xfrm>
                          <a:prstGeom prst="rect">
                            <a:avLst/>
                          </a:prstGeom>
                        </pic:spPr>
                      </pic:pic>
                    </a:graphicData>
                  </a:graphic>
                </wp:inline>
              </w:drawing>
            </w:r>
          </w:p>
        </w:tc>
      </w:tr>
      <w:tr w14:paraId="6B8F9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59" w:type="dxa"/>
            <w:tcBorders>
              <w:top w:val="nil"/>
            </w:tcBorders>
            <w:vAlign w:val="top"/>
          </w:tcPr>
          <w:p w14:paraId="1775F820">
            <w:pPr>
              <w:rPr>
                <w:rFonts w:ascii="Arial"/>
                <w:sz w:val="21"/>
              </w:rPr>
            </w:pPr>
          </w:p>
        </w:tc>
        <w:tc>
          <w:tcPr>
            <w:tcW w:w="8166" w:type="dxa"/>
            <w:tcBorders>
              <w:top w:val="nil"/>
            </w:tcBorders>
            <w:vAlign w:val="top"/>
          </w:tcPr>
          <w:p w14:paraId="70FD193D">
            <w:pPr>
              <w:pStyle w:val="6"/>
              <w:spacing w:before="170" w:line="228" w:lineRule="auto"/>
              <w:ind w:left="1832"/>
              <w:outlineLvl w:val="1"/>
              <w:rPr>
                <w:sz w:val="20"/>
                <w:szCs w:val="20"/>
              </w:rPr>
            </w:pPr>
            <w:r>
              <w:rPr>
                <w:b/>
                <w:bCs/>
                <w:spacing w:val="6"/>
                <w:sz w:val="20"/>
                <w:szCs w:val="20"/>
              </w:rPr>
              <w:t>图</w:t>
            </w:r>
            <w:r>
              <w:rPr>
                <w:spacing w:val="-42"/>
                <w:sz w:val="20"/>
                <w:szCs w:val="20"/>
              </w:rPr>
              <w:t xml:space="preserve"> </w:t>
            </w:r>
            <w:r>
              <w:rPr>
                <w:rFonts w:ascii="Times New Roman" w:hAnsi="Times New Roman" w:eastAsia="Times New Roman" w:cs="Times New Roman"/>
                <w:b/>
                <w:bCs/>
                <w:spacing w:val="6"/>
                <w:sz w:val="20"/>
                <w:szCs w:val="20"/>
              </w:rPr>
              <w:t xml:space="preserve">3-4    </w:t>
            </w:r>
            <w:r>
              <w:rPr>
                <w:b/>
                <w:bCs/>
                <w:spacing w:val="6"/>
                <w:sz w:val="20"/>
                <w:szCs w:val="20"/>
              </w:rPr>
              <w:t>各环境要素环境保护目标调查</w:t>
            </w:r>
            <w:r>
              <w:rPr>
                <w:b/>
                <w:bCs/>
                <w:spacing w:val="5"/>
                <w:sz w:val="20"/>
                <w:szCs w:val="20"/>
              </w:rPr>
              <w:t>范围示意图</w:t>
            </w:r>
          </w:p>
        </w:tc>
      </w:tr>
      <w:tr w14:paraId="7104D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7" w:hRule="atLeast"/>
        </w:trPr>
        <w:tc>
          <w:tcPr>
            <w:tcW w:w="459" w:type="dxa"/>
            <w:textDirection w:val="tbRlV"/>
            <w:vAlign w:val="top"/>
          </w:tcPr>
          <w:p w14:paraId="5CE88BB8">
            <w:pPr>
              <w:pStyle w:val="6"/>
              <w:spacing w:before="106" w:line="209" w:lineRule="auto"/>
              <w:ind w:left="2361"/>
              <w:rPr>
                <w:sz w:val="24"/>
                <w:szCs w:val="24"/>
              </w:rPr>
            </w:pPr>
            <w:r>
              <w:rPr>
                <w:spacing w:val="20"/>
                <w:w w:val="118"/>
                <w:sz w:val="24"/>
                <w:szCs w:val="24"/>
              </w:rPr>
              <w:t>污染物排放控制标准</w:t>
            </w:r>
          </w:p>
        </w:tc>
        <w:tc>
          <w:tcPr>
            <w:tcW w:w="8166" w:type="dxa"/>
            <w:vAlign w:val="top"/>
          </w:tcPr>
          <w:p w14:paraId="582AFF5F">
            <w:pPr>
              <w:pStyle w:val="6"/>
              <w:spacing w:before="194" w:line="220" w:lineRule="auto"/>
              <w:ind w:left="120"/>
              <w:outlineLvl w:val="1"/>
              <w:rPr>
                <w:sz w:val="24"/>
                <w:szCs w:val="24"/>
              </w:rPr>
            </w:pPr>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34"/>
                <w:sz w:val="24"/>
                <w:szCs w:val="24"/>
              </w:rPr>
              <w:t xml:space="preserve"> </w:t>
            </w:r>
            <w:r>
              <w:rPr>
                <w:b/>
                <w:bCs/>
                <w:spacing w:val="-7"/>
                <w:sz w:val="24"/>
                <w:szCs w:val="24"/>
              </w:rPr>
              <w:t>、废气排放标准</w:t>
            </w:r>
          </w:p>
          <w:p w14:paraId="543E2DC2">
            <w:pPr>
              <w:pStyle w:val="6"/>
              <w:spacing w:before="183" w:line="358" w:lineRule="auto"/>
              <w:ind w:left="114" w:right="107" w:firstLine="483"/>
              <w:jc w:val="both"/>
              <w:rPr>
                <w:sz w:val="24"/>
                <w:szCs w:val="24"/>
              </w:rPr>
            </w:pPr>
            <w:r>
              <w:rPr>
                <w:sz w:val="24"/>
                <w:szCs w:val="24"/>
              </w:rPr>
              <w:t>项目施工期产生的废气主要为施工作业扬尘、运输车辆扬尘、运输及动</w:t>
            </w:r>
            <w:r>
              <w:rPr>
                <w:spacing w:val="14"/>
                <w:sz w:val="24"/>
                <w:szCs w:val="24"/>
              </w:rPr>
              <w:t xml:space="preserve"> </w:t>
            </w:r>
            <w:r>
              <w:rPr>
                <w:sz w:val="24"/>
                <w:szCs w:val="24"/>
              </w:rPr>
              <w:t>力设备运转产生的燃油废气，运营期产生的废气主要为运输车辆产生的汽车</w:t>
            </w:r>
            <w:r>
              <w:rPr>
                <w:spacing w:val="18"/>
                <w:sz w:val="24"/>
                <w:szCs w:val="24"/>
              </w:rPr>
              <w:t xml:space="preserve"> </w:t>
            </w:r>
            <w:r>
              <w:rPr>
                <w:spacing w:val="-2"/>
                <w:sz w:val="24"/>
                <w:szCs w:val="24"/>
              </w:rPr>
              <w:t>尾气和槽罐车顶呼吸废气（</w:t>
            </w:r>
            <w:r>
              <w:rPr>
                <w:rFonts w:ascii="Times New Roman" w:hAnsi="Times New Roman" w:eastAsia="Times New Roman" w:cs="Times New Roman"/>
                <w:spacing w:val="-2"/>
                <w:sz w:val="24"/>
                <w:szCs w:val="24"/>
              </w:rPr>
              <w:t>VOCs</w:t>
            </w:r>
            <w:r>
              <w:rPr>
                <w:spacing w:val="-18"/>
                <w:sz w:val="24"/>
                <w:szCs w:val="24"/>
              </w:rPr>
              <w:t>），</w:t>
            </w:r>
            <w:r>
              <w:rPr>
                <w:spacing w:val="-2"/>
                <w:sz w:val="24"/>
                <w:szCs w:val="24"/>
              </w:rPr>
              <w:t>均为无组织排放。本次评价采用非甲烷</w:t>
            </w:r>
            <w:r>
              <w:rPr>
                <w:sz w:val="24"/>
                <w:szCs w:val="24"/>
              </w:rPr>
              <w:t xml:space="preserve"> 总烃作为汽车尾气以及</w:t>
            </w:r>
            <w:r>
              <w:rPr>
                <w:spacing w:val="-56"/>
                <w:sz w:val="24"/>
                <w:szCs w:val="24"/>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pacing w:val="16"/>
                <w:sz w:val="24"/>
                <w:szCs w:val="24"/>
              </w:rPr>
              <w:t xml:space="preserve"> </w:t>
            </w:r>
            <w:r>
              <w:rPr>
                <w:sz w:val="24"/>
                <w:szCs w:val="24"/>
              </w:rPr>
              <w:t>常用表征指标，执行《大气污染物综合排</w:t>
            </w:r>
            <w:r>
              <w:rPr>
                <w:spacing w:val="-1"/>
                <w:sz w:val="24"/>
                <w:szCs w:val="24"/>
              </w:rPr>
              <w:t>放标</w:t>
            </w:r>
            <w:r>
              <w:rPr>
                <w:sz w:val="24"/>
                <w:szCs w:val="24"/>
              </w:rPr>
              <w:t xml:space="preserve"> </w:t>
            </w:r>
            <w:r>
              <w:rPr>
                <w:spacing w:val="-1"/>
                <w:sz w:val="24"/>
                <w:szCs w:val="24"/>
              </w:rPr>
              <w:t>准》（</w:t>
            </w:r>
            <w:r>
              <w:rPr>
                <w:rFonts w:ascii="Times New Roman" w:hAnsi="Times New Roman" w:eastAsia="Times New Roman" w:cs="Times New Roman"/>
                <w:spacing w:val="-1"/>
                <w:sz w:val="24"/>
                <w:szCs w:val="24"/>
              </w:rPr>
              <w:t>GB16297-1996</w:t>
            </w:r>
            <w:r>
              <w:rPr>
                <w:spacing w:val="-1"/>
                <w:sz w:val="24"/>
                <w:szCs w:val="24"/>
              </w:rPr>
              <w:t>）表</w:t>
            </w:r>
            <w:r>
              <w:rPr>
                <w:spacing w:val="-55"/>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无组织排放监控浓度限值，具体标准浓度限值见</w:t>
            </w:r>
            <w:r>
              <w:rPr>
                <w:sz w:val="24"/>
                <w:szCs w:val="24"/>
              </w:rPr>
              <w:t xml:space="preserve"> </w:t>
            </w:r>
            <w:r>
              <w:rPr>
                <w:spacing w:val="-4"/>
                <w:sz w:val="24"/>
                <w:szCs w:val="24"/>
              </w:rPr>
              <w:t>下表。</w:t>
            </w:r>
          </w:p>
          <w:p w14:paraId="09A48524">
            <w:pPr>
              <w:pStyle w:val="6"/>
              <w:spacing w:line="228" w:lineRule="auto"/>
              <w:ind w:left="731"/>
              <w:outlineLvl w:val="1"/>
              <w:rPr>
                <w:sz w:val="20"/>
                <w:szCs w:val="20"/>
              </w:rPr>
            </w:pPr>
            <w:r>
              <w:rPr>
                <w:b/>
                <w:bCs/>
                <w:spacing w:val="7"/>
                <w:sz w:val="20"/>
                <w:szCs w:val="20"/>
              </w:rPr>
              <w:t>表</w:t>
            </w:r>
            <w:r>
              <w:rPr>
                <w:spacing w:val="-44"/>
                <w:sz w:val="20"/>
                <w:szCs w:val="20"/>
              </w:rPr>
              <w:t xml:space="preserve"> </w:t>
            </w:r>
            <w:r>
              <w:rPr>
                <w:rFonts w:ascii="Times New Roman" w:hAnsi="Times New Roman" w:eastAsia="Times New Roman" w:cs="Times New Roman"/>
                <w:b/>
                <w:bCs/>
                <w:spacing w:val="7"/>
                <w:sz w:val="20"/>
                <w:szCs w:val="20"/>
              </w:rPr>
              <w:t xml:space="preserve">3-9    </w:t>
            </w:r>
            <w:r>
              <w:rPr>
                <w:b/>
                <w:bCs/>
                <w:spacing w:val="7"/>
                <w:sz w:val="20"/>
                <w:szCs w:val="20"/>
              </w:rPr>
              <w:t>《大气污染物综合排放标准》（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16297-199</w:t>
            </w:r>
            <w:r>
              <w:rPr>
                <w:rFonts w:ascii="Times New Roman" w:hAnsi="Times New Roman" w:eastAsia="Times New Roman" w:cs="Times New Roman"/>
                <w:b/>
                <w:bCs/>
                <w:spacing w:val="6"/>
                <w:sz w:val="20"/>
                <w:szCs w:val="20"/>
              </w:rPr>
              <w:t>6</w:t>
            </w:r>
            <w:r>
              <w:rPr>
                <w:b/>
                <w:bCs/>
                <w:spacing w:val="6"/>
                <w:sz w:val="20"/>
                <w:szCs w:val="20"/>
              </w:rPr>
              <w:t>）无组织排放标准</w:t>
            </w:r>
          </w:p>
          <w:p w14:paraId="6FBEC87B">
            <w:pPr>
              <w:spacing w:line="131" w:lineRule="exact"/>
            </w:pPr>
          </w:p>
          <w:tbl>
            <w:tblPr>
              <w:tblStyle w:val="5"/>
              <w:tblW w:w="794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7"/>
              <w:gridCol w:w="2999"/>
              <w:gridCol w:w="2108"/>
              <w:gridCol w:w="1848"/>
            </w:tblGrid>
            <w:tr w14:paraId="748A6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87" w:type="dxa"/>
                  <w:vMerge w:val="restart"/>
                  <w:tcBorders>
                    <w:bottom w:val="nil"/>
                  </w:tcBorders>
                  <w:vAlign w:val="top"/>
                </w:tcPr>
                <w:p w14:paraId="23D12DA2">
                  <w:pPr>
                    <w:pStyle w:val="6"/>
                    <w:spacing w:before="176" w:line="228" w:lineRule="auto"/>
                    <w:ind w:left="185"/>
                    <w:rPr>
                      <w:sz w:val="20"/>
                      <w:szCs w:val="20"/>
                    </w:rPr>
                  </w:pPr>
                  <w:r>
                    <w:rPr>
                      <w:spacing w:val="6"/>
                      <w:sz w:val="20"/>
                      <w:szCs w:val="20"/>
                    </w:rPr>
                    <w:t>污染物</w:t>
                  </w:r>
                </w:p>
              </w:tc>
              <w:tc>
                <w:tcPr>
                  <w:tcW w:w="2999" w:type="dxa"/>
                  <w:vMerge w:val="restart"/>
                  <w:tcBorders>
                    <w:bottom w:val="nil"/>
                  </w:tcBorders>
                  <w:vAlign w:val="top"/>
                </w:tcPr>
                <w:p w14:paraId="435235E5">
                  <w:pPr>
                    <w:pStyle w:val="6"/>
                    <w:spacing w:before="175" w:line="228" w:lineRule="auto"/>
                    <w:ind w:left="1083"/>
                    <w:rPr>
                      <w:sz w:val="20"/>
                      <w:szCs w:val="20"/>
                    </w:rPr>
                  </w:pPr>
                  <w:r>
                    <w:rPr>
                      <w:spacing w:val="7"/>
                      <w:sz w:val="20"/>
                      <w:szCs w:val="20"/>
                    </w:rPr>
                    <w:t>执行标准</w:t>
                  </w:r>
                </w:p>
              </w:tc>
              <w:tc>
                <w:tcPr>
                  <w:tcW w:w="3956" w:type="dxa"/>
                  <w:gridSpan w:val="2"/>
                  <w:vAlign w:val="top"/>
                </w:tcPr>
                <w:p w14:paraId="3202D0B1">
                  <w:pPr>
                    <w:pStyle w:val="6"/>
                    <w:spacing w:before="36" w:line="216" w:lineRule="auto"/>
                    <w:ind w:left="829"/>
                    <w:rPr>
                      <w:sz w:val="20"/>
                      <w:szCs w:val="20"/>
                    </w:rPr>
                  </w:pPr>
                  <w:r>
                    <w:rPr>
                      <w:spacing w:val="9"/>
                      <w:sz w:val="20"/>
                      <w:szCs w:val="20"/>
                    </w:rPr>
                    <w:t>无组织排放监控浓度限值</w:t>
                  </w:r>
                </w:p>
              </w:tc>
            </w:tr>
            <w:tr w14:paraId="3D9A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87" w:type="dxa"/>
                  <w:vMerge w:val="continue"/>
                  <w:tcBorders>
                    <w:top w:val="nil"/>
                  </w:tcBorders>
                  <w:vAlign w:val="top"/>
                </w:tcPr>
                <w:p w14:paraId="653C0E8B">
                  <w:pPr>
                    <w:rPr>
                      <w:rFonts w:ascii="Arial"/>
                      <w:sz w:val="21"/>
                    </w:rPr>
                  </w:pPr>
                </w:p>
              </w:tc>
              <w:tc>
                <w:tcPr>
                  <w:tcW w:w="2999" w:type="dxa"/>
                  <w:vMerge w:val="continue"/>
                  <w:tcBorders>
                    <w:top w:val="nil"/>
                  </w:tcBorders>
                  <w:vAlign w:val="top"/>
                </w:tcPr>
                <w:p w14:paraId="2F1BFBBF">
                  <w:pPr>
                    <w:rPr>
                      <w:rFonts w:ascii="Arial"/>
                      <w:sz w:val="21"/>
                    </w:rPr>
                  </w:pPr>
                </w:p>
              </w:tc>
              <w:tc>
                <w:tcPr>
                  <w:tcW w:w="2108" w:type="dxa"/>
                  <w:vAlign w:val="top"/>
                </w:tcPr>
                <w:p w14:paraId="1ECDCFEF">
                  <w:pPr>
                    <w:pStyle w:val="6"/>
                    <w:spacing w:before="32" w:line="216" w:lineRule="auto"/>
                    <w:ind w:left="746"/>
                    <w:rPr>
                      <w:sz w:val="20"/>
                      <w:szCs w:val="20"/>
                    </w:rPr>
                  </w:pPr>
                  <w:r>
                    <w:rPr>
                      <w:spacing w:val="6"/>
                      <w:sz w:val="20"/>
                      <w:szCs w:val="20"/>
                    </w:rPr>
                    <w:t>监控点</w:t>
                  </w:r>
                </w:p>
              </w:tc>
              <w:tc>
                <w:tcPr>
                  <w:tcW w:w="1848" w:type="dxa"/>
                  <w:vAlign w:val="top"/>
                </w:tcPr>
                <w:p w14:paraId="5785714E">
                  <w:pPr>
                    <w:pStyle w:val="6"/>
                    <w:spacing w:before="32" w:line="216" w:lineRule="auto"/>
                    <w:ind w:left="229"/>
                    <w:rPr>
                      <w:sz w:val="20"/>
                      <w:szCs w:val="20"/>
                    </w:rPr>
                  </w:pPr>
                  <w:r>
                    <w:rPr>
                      <w:spacing w:val="7"/>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r>
            <w:tr w14:paraId="43E2F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87" w:type="dxa"/>
                  <w:vAlign w:val="top"/>
                </w:tcPr>
                <w:p w14:paraId="54E95A78">
                  <w:pPr>
                    <w:pStyle w:val="6"/>
                    <w:spacing w:before="35" w:line="234" w:lineRule="auto"/>
                    <w:ind w:left="294" w:right="177" w:hanging="107"/>
                    <w:rPr>
                      <w:sz w:val="20"/>
                      <w:szCs w:val="20"/>
                    </w:rPr>
                  </w:pPr>
                  <w:r>
                    <w:rPr>
                      <w:spacing w:val="5"/>
                      <w:sz w:val="20"/>
                      <w:szCs w:val="20"/>
                    </w:rPr>
                    <w:t>非甲烷</w:t>
                  </w:r>
                  <w:r>
                    <w:rPr>
                      <w:spacing w:val="1"/>
                      <w:sz w:val="20"/>
                      <w:szCs w:val="20"/>
                    </w:rPr>
                    <w:t xml:space="preserve"> </w:t>
                  </w:r>
                  <w:r>
                    <w:rPr>
                      <w:spacing w:val="2"/>
                      <w:sz w:val="20"/>
                      <w:szCs w:val="20"/>
                    </w:rPr>
                    <w:t>总烃</w:t>
                  </w:r>
                </w:p>
              </w:tc>
              <w:tc>
                <w:tcPr>
                  <w:tcW w:w="2999" w:type="dxa"/>
                  <w:vAlign w:val="top"/>
                </w:tcPr>
                <w:p w14:paraId="0489B244">
                  <w:pPr>
                    <w:pStyle w:val="6"/>
                    <w:spacing w:before="34" w:line="227" w:lineRule="auto"/>
                    <w:ind w:left="143"/>
                    <w:rPr>
                      <w:sz w:val="20"/>
                      <w:szCs w:val="20"/>
                    </w:rPr>
                  </w:pPr>
                  <w:r>
                    <w:rPr>
                      <w:spacing w:val="8"/>
                      <w:sz w:val="20"/>
                      <w:szCs w:val="20"/>
                    </w:rPr>
                    <w:t>《大气污染物综合排放标准》</w:t>
                  </w:r>
                </w:p>
                <w:p w14:paraId="73950E5F">
                  <w:pPr>
                    <w:pStyle w:val="6"/>
                    <w:spacing w:before="25" w:line="218" w:lineRule="auto"/>
                    <w:ind w:left="651"/>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16297-1996</w:t>
                  </w:r>
                  <w:r>
                    <w:rPr>
                      <w:spacing w:val="4"/>
                      <w:sz w:val="20"/>
                      <w:szCs w:val="20"/>
                    </w:rPr>
                    <w:t>）</w:t>
                  </w:r>
                </w:p>
              </w:tc>
              <w:tc>
                <w:tcPr>
                  <w:tcW w:w="2108" w:type="dxa"/>
                  <w:vAlign w:val="top"/>
                </w:tcPr>
                <w:p w14:paraId="603496CA">
                  <w:pPr>
                    <w:pStyle w:val="6"/>
                    <w:spacing w:before="168" w:line="228" w:lineRule="auto"/>
                    <w:ind w:left="221"/>
                    <w:rPr>
                      <w:sz w:val="20"/>
                      <w:szCs w:val="20"/>
                    </w:rPr>
                  </w:pPr>
                  <w:r>
                    <w:rPr>
                      <w:spacing w:val="8"/>
                      <w:sz w:val="20"/>
                      <w:szCs w:val="20"/>
                    </w:rPr>
                    <w:t>周界外浓度最高点</w:t>
                  </w:r>
                </w:p>
              </w:tc>
              <w:tc>
                <w:tcPr>
                  <w:tcW w:w="1848" w:type="dxa"/>
                  <w:vAlign w:val="top"/>
                </w:tcPr>
                <w:p w14:paraId="48418ECF">
                  <w:pPr>
                    <w:spacing w:before="207"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14:paraId="1BD3F718">
            <w:pPr>
              <w:pStyle w:val="6"/>
              <w:spacing w:before="192" w:line="219" w:lineRule="auto"/>
              <w:ind w:left="110"/>
              <w:outlineLvl w:val="1"/>
              <w:rPr>
                <w:sz w:val="24"/>
                <w:szCs w:val="24"/>
              </w:rPr>
            </w:pPr>
            <w:r>
              <w:rPr>
                <w:rFonts w:ascii="Times New Roman" w:hAnsi="Times New Roman" w:eastAsia="Times New Roman" w:cs="Times New Roman"/>
                <w:b/>
                <w:bCs/>
                <w:spacing w:val="-6"/>
                <w:sz w:val="24"/>
                <w:szCs w:val="24"/>
              </w:rPr>
              <w:t>2</w:t>
            </w:r>
            <w:r>
              <w:rPr>
                <w:rFonts w:ascii="Times New Roman" w:hAnsi="Times New Roman" w:eastAsia="Times New Roman" w:cs="Times New Roman"/>
                <w:b/>
                <w:bCs/>
                <w:spacing w:val="-32"/>
                <w:sz w:val="24"/>
                <w:szCs w:val="24"/>
              </w:rPr>
              <w:t xml:space="preserve"> </w:t>
            </w:r>
            <w:r>
              <w:rPr>
                <w:b/>
                <w:bCs/>
                <w:spacing w:val="-6"/>
                <w:sz w:val="24"/>
                <w:szCs w:val="24"/>
              </w:rPr>
              <w:t>、废水排放标准</w:t>
            </w:r>
          </w:p>
          <w:p w14:paraId="396C936F">
            <w:pPr>
              <w:pStyle w:val="6"/>
              <w:spacing w:before="181" w:line="351" w:lineRule="auto"/>
              <w:ind w:left="119" w:right="107" w:firstLine="475"/>
              <w:jc w:val="both"/>
              <w:rPr>
                <w:sz w:val="24"/>
                <w:szCs w:val="24"/>
              </w:rPr>
            </w:pPr>
            <w:r>
              <w:rPr>
                <w:sz w:val="24"/>
                <w:szCs w:val="24"/>
              </w:rPr>
              <w:t>本项目运营期产生的废水主要有生活污水、洗车废水、地面冲洗水和消</w:t>
            </w:r>
            <w:r>
              <w:rPr>
                <w:spacing w:val="17"/>
                <w:sz w:val="24"/>
                <w:szCs w:val="24"/>
              </w:rPr>
              <w:t xml:space="preserve"> </w:t>
            </w:r>
            <w:r>
              <w:rPr>
                <w:sz w:val="24"/>
                <w:szCs w:val="24"/>
              </w:rPr>
              <w:t>防废水。生活污水经隔油池、化粪池收集停留一段时间后，排入园区污水管</w:t>
            </w:r>
            <w:r>
              <w:rPr>
                <w:spacing w:val="12"/>
                <w:sz w:val="24"/>
                <w:szCs w:val="24"/>
              </w:rPr>
              <w:t xml:space="preserve"> </w:t>
            </w:r>
            <w:r>
              <w:rPr>
                <w:sz w:val="24"/>
                <w:szCs w:val="24"/>
              </w:rPr>
              <w:t>网；洗车废水、地面冲洗废水经沉淀池、隔油池收集停留后，排入园区污水</w:t>
            </w:r>
            <w:r>
              <w:rPr>
                <w:spacing w:val="12"/>
                <w:sz w:val="24"/>
                <w:szCs w:val="24"/>
              </w:rPr>
              <w:t xml:space="preserve"> </w:t>
            </w:r>
            <w:r>
              <w:rPr>
                <w:sz w:val="24"/>
                <w:szCs w:val="24"/>
              </w:rPr>
              <w:t>管网；消防废水产生后，收集至事故应急池，由罐车拉运至棋西项目区污水</w:t>
            </w:r>
          </w:p>
        </w:tc>
      </w:tr>
    </w:tbl>
    <w:p w14:paraId="484D14B2">
      <w:pPr>
        <w:pStyle w:val="2"/>
      </w:pPr>
    </w:p>
    <w:p w14:paraId="2E604377">
      <w:pPr>
        <w:sectPr>
          <w:footerReference r:id="rId63" w:type="default"/>
          <w:pgSz w:w="11906" w:h="16839"/>
          <w:pgMar w:top="400" w:right="1588" w:bottom="1257" w:left="1687" w:header="0" w:footer="1097" w:gutter="0"/>
          <w:cols w:space="720" w:num="1"/>
        </w:sectPr>
      </w:pPr>
    </w:p>
    <w:p w14:paraId="616BA554">
      <w:pPr>
        <w:spacing w:before="19"/>
      </w:pPr>
    </w:p>
    <w:p w14:paraId="62CC7238">
      <w:pPr>
        <w:spacing w:before="19"/>
      </w:pPr>
    </w:p>
    <w:p w14:paraId="4AFEC8FB">
      <w:pPr>
        <w:spacing w:before="18"/>
      </w:pPr>
    </w:p>
    <w:p w14:paraId="7AB88DC8">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29E2A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5" w:hRule="atLeast"/>
        </w:trPr>
        <w:tc>
          <w:tcPr>
            <w:tcW w:w="459" w:type="dxa"/>
            <w:vAlign w:val="top"/>
          </w:tcPr>
          <w:p w14:paraId="79F018F6">
            <w:pPr>
              <w:rPr>
                <w:rFonts w:ascii="Arial"/>
                <w:sz w:val="21"/>
              </w:rPr>
            </w:pPr>
          </w:p>
        </w:tc>
        <w:tc>
          <w:tcPr>
            <w:tcW w:w="8166" w:type="dxa"/>
            <w:vAlign w:val="top"/>
          </w:tcPr>
          <w:p w14:paraId="6D41668D">
            <w:pPr>
              <w:pStyle w:val="6"/>
              <w:spacing w:before="40" w:line="358" w:lineRule="auto"/>
              <w:ind w:left="116" w:right="1" w:firstLine="2"/>
              <w:jc w:val="both"/>
              <w:rPr>
                <w:sz w:val="24"/>
                <w:szCs w:val="24"/>
              </w:rPr>
            </w:pPr>
            <w:r>
              <w:rPr>
                <w:sz w:val="24"/>
                <w:szCs w:val="24"/>
              </w:rPr>
              <w:t>处理厂处理，不外排。园区污水管网接纳污水水质标准为《污水综合排放标</w:t>
            </w:r>
            <w:r>
              <w:rPr>
                <w:spacing w:val="6"/>
                <w:sz w:val="24"/>
                <w:szCs w:val="24"/>
              </w:rPr>
              <w:t xml:space="preserve">  </w:t>
            </w:r>
            <w:r>
              <w:rPr>
                <w:spacing w:val="-1"/>
                <w:sz w:val="24"/>
                <w:szCs w:val="24"/>
              </w:rPr>
              <w:t>准》（</w:t>
            </w:r>
            <w:r>
              <w:rPr>
                <w:rFonts w:ascii="Times New Roman" w:hAnsi="Times New Roman" w:eastAsia="Times New Roman" w:cs="Times New Roman"/>
                <w:spacing w:val="-1"/>
                <w:sz w:val="24"/>
                <w:szCs w:val="24"/>
              </w:rPr>
              <w:t>GB8978-1996</w:t>
            </w:r>
            <w:r>
              <w:rPr>
                <w:spacing w:val="-1"/>
                <w:sz w:val="24"/>
                <w:szCs w:val="24"/>
              </w:rPr>
              <w:t>）三级标准。本项目污废水</w:t>
            </w:r>
            <w:r>
              <w:rPr>
                <w:spacing w:val="-2"/>
                <w:sz w:val="24"/>
                <w:szCs w:val="24"/>
              </w:rPr>
              <w:t>需满足《污水综合排放标准》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GB8978-1996</w:t>
            </w:r>
            <w:r>
              <w:rPr>
                <w:spacing w:val="-1"/>
                <w:sz w:val="24"/>
                <w:szCs w:val="24"/>
              </w:rPr>
              <w:t>）三级标准后，排入园区污水管网。</w:t>
            </w:r>
          </w:p>
          <w:p w14:paraId="5CD94A4F">
            <w:pPr>
              <w:pStyle w:val="6"/>
              <w:spacing w:line="227" w:lineRule="auto"/>
              <w:ind w:left="942"/>
              <w:outlineLvl w:val="1"/>
              <w:rPr>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3-10    </w:t>
            </w:r>
            <w:r>
              <w:rPr>
                <w:b/>
                <w:bCs/>
                <w:spacing w:val="6"/>
                <w:sz w:val="20"/>
                <w:szCs w:val="20"/>
              </w:rPr>
              <w:t>《污水综合排放标准》（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8978-1996</w:t>
            </w:r>
            <w:r>
              <w:rPr>
                <w:b/>
                <w:bCs/>
                <w:spacing w:val="6"/>
                <w:sz w:val="20"/>
                <w:szCs w:val="20"/>
              </w:rPr>
              <w:t>）三级标准（摘录）</w:t>
            </w:r>
          </w:p>
          <w:p w14:paraId="33D4E0A8">
            <w:pPr>
              <w:spacing w:line="130" w:lineRule="exact"/>
            </w:pPr>
          </w:p>
          <w:tbl>
            <w:tblPr>
              <w:tblStyle w:val="5"/>
              <w:tblW w:w="794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8"/>
              <w:gridCol w:w="2645"/>
              <w:gridCol w:w="2648"/>
            </w:tblGrid>
            <w:tr w14:paraId="4201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648" w:type="dxa"/>
                  <w:vAlign w:val="top"/>
                </w:tcPr>
                <w:p w14:paraId="77372C39">
                  <w:pPr>
                    <w:pStyle w:val="6"/>
                    <w:spacing w:before="36" w:line="216" w:lineRule="auto"/>
                    <w:ind w:left="1119"/>
                    <w:rPr>
                      <w:sz w:val="20"/>
                      <w:szCs w:val="20"/>
                    </w:rPr>
                  </w:pPr>
                  <w:r>
                    <w:rPr>
                      <w:spacing w:val="5"/>
                      <w:sz w:val="20"/>
                      <w:szCs w:val="20"/>
                    </w:rPr>
                    <w:t>序号</w:t>
                  </w:r>
                </w:p>
              </w:tc>
              <w:tc>
                <w:tcPr>
                  <w:tcW w:w="2645" w:type="dxa"/>
                  <w:vAlign w:val="top"/>
                </w:tcPr>
                <w:p w14:paraId="5951194F">
                  <w:pPr>
                    <w:pStyle w:val="6"/>
                    <w:spacing w:before="36" w:line="216" w:lineRule="auto"/>
                    <w:ind w:left="1015"/>
                    <w:rPr>
                      <w:sz w:val="20"/>
                      <w:szCs w:val="20"/>
                    </w:rPr>
                  </w:pPr>
                  <w:r>
                    <w:rPr>
                      <w:spacing w:val="6"/>
                      <w:sz w:val="20"/>
                      <w:szCs w:val="20"/>
                    </w:rPr>
                    <w:t>污染物</w:t>
                  </w:r>
                </w:p>
              </w:tc>
              <w:tc>
                <w:tcPr>
                  <w:tcW w:w="2648" w:type="dxa"/>
                  <w:vAlign w:val="top"/>
                </w:tcPr>
                <w:p w14:paraId="5B23CD14">
                  <w:pPr>
                    <w:pStyle w:val="6"/>
                    <w:spacing w:before="36" w:line="216" w:lineRule="auto"/>
                    <w:ind w:left="762"/>
                    <w:rPr>
                      <w:rFonts w:ascii="Times New Roman" w:hAnsi="Times New Roman" w:eastAsia="Times New Roman" w:cs="Times New Roman"/>
                      <w:sz w:val="20"/>
                      <w:szCs w:val="20"/>
                    </w:rPr>
                  </w:pPr>
                  <w:r>
                    <w:rPr>
                      <w:spacing w:val="18"/>
                      <w:sz w:val="20"/>
                      <w:szCs w:val="20"/>
                    </w:rPr>
                    <w:t>标准值</w:t>
                  </w:r>
                  <w:r>
                    <w:rPr>
                      <w:rFonts w:ascii="Times New Roman" w:hAnsi="Times New Roman" w:eastAsia="Times New Roman" w:cs="Times New Roman"/>
                      <w:sz w:val="20"/>
                      <w:szCs w:val="20"/>
                    </w:rPr>
                    <w:t>mg</w:t>
                  </w:r>
                  <w:r>
                    <w:rPr>
                      <w:rFonts w:ascii="Times New Roman" w:hAnsi="Times New Roman" w:eastAsia="Times New Roman" w:cs="Times New Roman"/>
                      <w:spacing w:val="18"/>
                      <w:sz w:val="20"/>
                      <w:szCs w:val="20"/>
                    </w:rPr>
                    <w:t>/L</w:t>
                  </w:r>
                </w:p>
              </w:tc>
            </w:tr>
            <w:tr w14:paraId="0093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648" w:type="dxa"/>
                  <w:vAlign w:val="top"/>
                </w:tcPr>
                <w:p w14:paraId="11D9A100">
                  <w:pPr>
                    <w:spacing w:before="53" w:line="190" w:lineRule="auto"/>
                    <w:ind w:left="12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45" w:type="dxa"/>
                  <w:vAlign w:val="top"/>
                </w:tcPr>
                <w:p w14:paraId="361C7647">
                  <w:pPr>
                    <w:spacing w:before="53" w:line="190" w:lineRule="auto"/>
                    <w:ind w:left="1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648" w:type="dxa"/>
                  <w:vAlign w:val="top"/>
                </w:tcPr>
                <w:p w14:paraId="5250E916">
                  <w:pPr>
                    <w:spacing w:before="53" w:line="190" w:lineRule="auto"/>
                    <w:ind w:left="11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214CC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2648" w:type="dxa"/>
                  <w:vAlign w:val="top"/>
                </w:tcPr>
                <w:p w14:paraId="1B832924">
                  <w:pPr>
                    <w:spacing w:before="52" w:line="190" w:lineRule="auto"/>
                    <w:ind w:left="12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45" w:type="dxa"/>
                  <w:vAlign w:val="top"/>
                </w:tcPr>
                <w:p w14:paraId="4B8C80CB">
                  <w:pPr>
                    <w:spacing w:before="51" w:line="191" w:lineRule="auto"/>
                    <w:ind w:left="106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2648" w:type="dxa"/>
                  <w:vAlign w:val="top"/>
                </w:tcPr>
                <w:p w14:paraId="6B84B721">
                  <w:pPr>
                    <w:spacing w:before="52" w:line="190" w:lineRule="auto"/>
                    <w:ind w:left="11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14:paraId="0B66F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648" w:type="dxa"/>
                  <w:vAlign w:val="top"/>
                </w:tcPr>
                <w:p w14:paraId="053185F1">
                  <w:pPr>
                    <w:spacing w:before="54" w:line="190" w:lineRule="auto"/>
                    <w:ind w:left="12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45" w:type="dxa"/>
                  <w:vAlign w:val="top"/>
                </w:tcPr>
                <w:p w14:paraId="00086D0D">
                  <w:pPr>
                    <w:spacing w:before="53" w:line="191"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648" w:type="dxa"/>
                  <w:vAlign w:val="top"/>
                </w:tcPr>
                <w:p w14:paraId="28258E1B">
                  <w:pPr>
                    <w:spacing w:before="54" w:line="190"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03F5C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2648" w:type="dxa"/>
                  <w:vAlign w:val="top"/>
                </w:tcPr>
                <w:p w14:paraId="0531F829">
                  <w:pPr>
                    <w:spacing w:before="54" w:line="189" w:lineRule="auto"/>
                    <w:ind w:left="1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45" w:type="dxa"/>
                  <w:vAlign w:val="top"/>
                </w:tcPr>
                <w:p w14:paraId="328CA458">
                  <w:pPr>
                    <w:spacing w:before="57" w:line="186" w:lineRule="auto"/>
                    <w:ind w:left="102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648" w:type="dxa"/>
                  <w:vAlign w:val="top"/>
                </w:tcPr>
                <w:p w14:paraId="27D65859">
                  <w:pPr>
                    <w:spacing w:before="51" w:line="193" w:lineRule="auto"/>
                    <w:ind w:left="1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5ADE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648" w:type="dxa"/>
                  <w:vAlign w:val="top"/>
                </w:tcPr>
                <w:p w14:paraId="22C439A9">
                  <w:pPr>
                    <w:spacing w:before="58" w:line="192" w:lineRule="auto"/>
                    <w:ind w:left="12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45" w:type="dxa"/>
                  <w:vAlign w:val="top"/>
                </w:tcPr>
                <w:p w14:paraId="7143E8AB">
                  <w:pPr>
                    <w:pStyle w:val="6"/>
                    <w:spacing w:before="34" w:line="215" w:lineRule="auto"/>
                    <w:ind w:left="1016"/>
                    <w:rPr>
                      <w:sz w:val="20"/>
                      <w:szCs w:val="20"/>
                    </w:rPr>
                  </w:pPr>
                  <w:r>
                    <w:rPr>
                      <w:spacing w:val="6"/>
                      <w:sz w:val="20"/>
                      <w:szCs w:val="20"/>
                    </w:rPr>
                    <w:t>悬浮物</w:t>
                  </w:r>
                </w:p>
              </w:tc>
              <w:tc>
                <w:tcPr>
                  <w:tcW w:w="2648" w:type="dxa"/>
                  <w:vAlign w:val="top"/>
                </w:tcPr>
                <w:p w14:paraId="5A60E85B">
                  <w:pPr>
                    <w:spacing w:before="55" w:line="195" w:lineRule="auto"/>
                    <w:ind w:left="11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1EB1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648" w:type="dxa"/>
                  <w:vAlign w:val="top"/>
                </w:tcPr>
                <w:p w14:paraId="769DEAD9">
                  <w:pPr>
                    <w:spacing w:before="54" w:line="195" w:lineRule="auto"/>
                    <w:ind w:left="12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45" w:type="dxa"/>
                  <w:vAlign w:val="top"/>
                </w:tcPr>
                <w:p w14:paraId="17180110">
                  <w:pPr>
                    <w:pStyle w:val="6"/>
                    <w:spacing w:before="35" w:line="213" w:lineRule="auto"/>
                    <w:ind w:left="1014"/>
                    <w:rPr>
                      <w:sz w:val="20"/>
                      <w:szCs w:val="20"/>
                    </w:rPr>
                  </w:pPr>
                  <w:r>
                    <w:rPr>
                      <w:spacing w:val="6"/>
                      <w:sz w:val="20"/>
                      <w:szCs w:val="20"/>
                    </w:rPr>
                    <w:t>石油类</w:t>
                  </w:r>
                </w:p>
              </w:tc>
              <w:tc>
                <w:tcPr>
                  <w:tcW w:w="2648" w:type="dxa"/>
                  <w:vAlign w:val="top"/>
                </w:tcPr>
                <w:p w14:paraId="75A5CA77">
                  <w:pPr>
                    <w:spacing w:before="54" w:line="195" w:lineRule="auto"/>
                    <w:ind w:left="12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65E25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648" w:type="dxa"/>
                  <w:vAlign w:val="top"/>
                </w:tcPr>
                <w:p w14:paraId="36C98B22">
                  <w:pPr>
                    <w:spacing w:before="59" w:line="192" w:lineRule="auto"/>
                    <w:ind w:left="127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45" w:type="dxa"/>
                  <w:vAlign w:val="top"/>
                </w:tcPr>
                <w:p w14:paraId="70268A9C">
                  <w:pPr>
                    <w:pStyle w:val="6"/>
                    <w:spacing w:before="36" w:line="216" w:lineRule="auto"/>
                    <w:ind w:left="908"/>
                    <w:rPr>
                      <w:sz w:val="20"/>
                      <w:szCs w:val="20"/>
                    </w:rPr>
                  </w:pPr>
                  <w:r>
                    <w:rPr>
                      <w:spacing w:val="7"/>
                      <w:sz w:val="20"/>
                      <w:szCs w:val="20"/>
                    </w:rPr>
                    <w:t>动植物油</w:t>
                  </w:r>
                </w:p>
              </w:tc>
              <w:tc>
                <w:tcPr>
                  <w:tcW w:w="2648" w:type="dxa"/>
                  <w:vAlign w:val="top"/>
                </w:tcPr>
                <w:p w14:paraId="25E30637">
                  <w:pPr>
                    <w:spacing w:before="56" w:line="195"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14:paraId="61F455F0">
            <w:pPr>
              <w:pStyle w:val="6"/>
              <w:spacing w:before="192" w:line="220" w:lineRule="auto"/>
              <w:ind w:left="108"/>
              <w:outlineLvl w:val="1"/>
              <w:rPr>
                <w:sz w:val="24"/>
                <w:szCs w:val="24"/>
              </w:rPr>
            </w:pPr>
            <w:r>
              <w:rPr>
                <w:rFonts w:ascii="Times New Roman" w:hAnsi="Times New Roman" w:eastAsia="Times New Roman" w:cs="Times New Roman"/>
                <w:b/>
                <w:bCs/>
                <w:spacing w:val="-6"/>
                <w:sz w:val="24"/>
                <w:szCs w:val="24"/>
              </w:rPr>
              <w:t>3</w:t>
            </w:r>
            <w:r>
              <w:rPr>
                <w:rFonts w:ascii="Times New Roman" w:hAnsi="Times New Roman" w:eastAsia="Times New Roman" w:cs="Times New Roman"/>
                <w:b/>
                <w:bCs/>
                <w:spacing w:val="-30"/>
                <w:sz w:val="24"/>
                <w:szCs w:val="24"/>
              </w:rPr>
              <w:t xml:space="preserve"> </w:t>
            </w:r>
            <w:r>
              <w:rPr>
                <w:b/>
                <w:bCs/>
                <w:spacing w:val="-6"/>
                <w:sz w:val="24"/>
                <w:szCs w:val="24"/>
              </w:rPr>
              <w:t>、噪声排放标准</w:t>
            </w:r>
          </w:p>
          <w:p w14:paraId="11B12E5C">
            <w:pPr>
              <w:pStyle w:val="6"/>
              <w:spacing w:before="183" w:line="358" w:lineRule="auto"/>
              <w:ind w:left="114" w:right="107" w:firstLine="480"/>
              <w:jc w:val="both"/>
              <w:rPr>
                <w:sz w:val="24"/>
                <w:szCs w:val="24"/>
              </w:rPr>
            </w:pPr>
            <w:r>
              <w:rPr>
                <w:sz w:val="24"/>
                <w:szCs w:val="24"/>
              </w:rPr>
              <w:t>本项目施工期噪声主要为施工机械和车辆运输产生的噪声，施工机械包</w:t>
            </w:r>
            <w:r>
              <w:rPr>
                <w:spacing w:val="17"/>
                <w:sz w:val="24"/>
                <w:szCs w:val="24"/>
              </w:rPr>
              <w:t xml:space="preserve"> </w:t>
            </w:r>
            <w:r>
              <w:rPr>
                <w:sz w:val="24"/>
                <w:szCs w:val="24"/>
              </w:rPr>
              <w:t>括挖掘机、推土机、钻孔机、液压桩等，执行《建筑施工场界环境噪声排放</w:t>
            </w:r>
            <w:r>
              <w:rPr>
                <w:spacing w:val="15"/>
                <w:sz w:val="24"/>
                <w:szCs w:val="24"/>
              </w:rPr>
              <w:t xml:space="preserve"> </w:t>
            </w:r>
            <w:r>
              <w:rPr>
                <w:spacing w:val="-1"/>
                <w:sz w:val="24"/>
                <w:szCs w:val="24"/>
              </w:rPr>
              <w:t>标准》（</w:t>
            </w:r>
            <w:r>
              <w:rPr>
                <w:rFonts w:ascii="Times New Roman" w:hAnsi="Times New Roman" w:eastAsia="Times New Roman" w:cs="Times New Roman"/>
                <w:spacing w:val="-1"/>
                <w:sz w:val="24"/>
                <w:szCs w:val="24"/>
              </w:rPr>
              <w:t>GB12523-2011</w:t>
            </w:r>
            <w:r>
              <w:rPr>
                <w:spacing w:val="-1"/>
                <w:sz w:val="24"/>
                <w:szCs w:val="24"/>
              </w:rPr>
              <w:t>）。运营期噪声主要为车辆行驶、维修或清洗过程产</w:t>
            </w:r>
            <w:r>
              <w:rPr>
                <w:spacing w:val="4"/>
                <w:sz w:val="24"/>
                <w:szCs w:val="24"/>
              </w:rPr>
              <w:t xml:space="preserve"> </w:t>
            </w:r>
            <w:r>
              <w:rPr>
                <w:spacing w:val="1"/>
                <w:sz w:val="24"/>
                <w:szCs w:val="24"/>
              </w:rPr>
              <w:t>生的噪声，执行《工业企业厂界环境噪声排放标准》（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2348-2008</w:t>
            </w:r>
            <w:r>
              <w:rPr>
                <w:sz w:val="24"/>
                <w:szCs w:val="24"/>
              </w:rPr>
              <w:t>）</w:t>
            </w:r>
            <w:r>
              <w:rPr>
                <w:rFonts w:ascii="Times New Roman" w:hAnsi="Times New Roman" w:eastAsia="Times New Roman" w:cs="Times New Roman"/>
                <w:sz w:val="24"/>
                <w:szCs w:val="24"/>
              </w:rPr>
              <w:t xml:space="preserve">3 </w:t>
            </w:r>
            <w:r>
              <w:rPr>
                <w:sz w:val="24"/>
                <w:szCs w:val="24"/>
              </w:rPr>
              <w:t xml:space="preserve">类 </w:t>
            </w:r>
            <w:r>
              <w:rPr>
                <w:spacing w:val="-1"/>
                <w:sz w:val="24"/>
                <w:szCs w:val="24"/>
              </w:rPr>
              <w:t>区标准，具体标准见下表。</w:t>
            </w:r>
          </w:p>
          <w:p w14:paraId="0A21D08E">
            <w:pPr>
              <w:pStyle w:val="6"/>
              <w:spacing w:line="228" w:lineRule="auto"/>
              <w:ind w:left="316"/>
              <w:outlineLvl w:val="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3-11    </w:t>
            </w:r>
            <w:r>
              <w:rPr>
                <w:b/>
                <w:bCs/>
                <w:spacing w:val="7"/>
                <w:sz w:val="20"/>
                <w:szCs w:val="20"/>
              </w:rPr>
              <w:t>《建筑施工场界环境噪声排放标准》（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12523-20</w:t>
            </w:r>
            <w:r>
              <w:rPr>
                <w:rFonts w:ascii="Times New Roman" w:hAnsi="Times New Roman" w:eastAsia="Times New Roman" w:cs="Times New Roman"/>
                <w:b/>
                <w:bCs/>
                <w:spacing w:val="6"/>
                <w:sz w:val="20"/>
                <w:szCs w:val="20"/>
              </w:rPr>
              <w:t>11</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p w14:paraId="7968E59E">
            <w:pPr>
              <w:spacing w:line="131" w:lineRule="exact"/>
            </w:pPr>
          </w:p>
          <w:tbl>
            <w:tblPr>
              <w:tblStyle w:val="5"/>
              <w:tblW w:w="794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4"/>
              <w:gridCol w:w="1034"/>
              <w:gridCol w:w="1063"/>
            </w:tblGrid>
            <w:tr w14:paraId="09DAD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844" w:type="dxa"/>
                  <w:vAlign w:val="top"/>
                </w:tcPr>
                <w:p w14:paraId="363332C5">
                  <w:pPr>
                    <w:pStyle w:val="6"/>
                    <w:spacing w:before="37" w:line="215" w:lineRule="auto"/>
                    <w:ind w:left="2509"/>
                    <w:rPr>
                      <w:sz w:val="20"/>
                      <w:szCs w:val="20"/>
                    </w:rPr>
                  </w:pPr>
                  <w:r>
                    <w:rPr>
                      <w:spacing w:val="7"/>
                      <w:sz w:val="20"/>
                      <w:szCs w:val="20"/>
                    </w:rPr>
                    <w:t>执行标准</w:t>
                  </w:r>
                </w:p>
              </w:tc>
              <w:tc>
                <w:tcPr>
                  <w:tcW w:w="1034" w:type="dxa"/>
                  <w:vAlign w:val="top"/>
                </w:tcPr>
                <w:p w14:paraId="2026DC4A">
                  <w:pPr>
                    <w:pStyle w:val="6"/>
                    <w:spacing w:before="37" w:line="215" w:lineRule="auto"/>
                    <w:ind w:left="312"/>
                    <w:rPr>
                      <w:sz w:val="20"/>
                      <w:szCs w:val="20"/>
                    </w:rPr>
                  </w:pPr>
                  <w:r>
                    <w:rPr>
                      <w:spacing w:val="5"/>
                      <w:sz w:val="20"/>
                      <w:szCs w:val="20"/>
                    </w:rPr>
                    <w:t>昼间</w:t>
                  </w:r>
                </w:p>
              </w:tc>
              <w:tc>
                <w:tcPr>
                  <w:tcW w:w="1063" w:type="dxa"/>
                  <w:vAlign w:val="top"/>
                </w:tcPr>
                <w:p w14:paraId="27BB765A">
                  <w:pPr>
                    <w:pStyle w:val="6"/>
                    <w:spacing w:before="37" w:line="215" w:lineRule="auto"/>
                    <w:ind w:left="329"/>
                    <w:rPr>
                      <w:sz w:val="20"/>
                      <w:szCs w:val="20"/>
                    </w:rPr>
                  </w:pPr>
                  <w:r>
                    <w:rPr>
                      <w:spacing w:val="3"/>
                      <w:sz w:val="20"/>
                      <w:szCs w:val="20"/>
                    </w:rPr>
                    <w:t>夜间</w:t>
                  </w:r>
                </w:p>
              </w:tc>
            </w:tr>
            <w:tr w14:paraId="3BDCC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844" w:type="dxa"/>
                  <w:vAlign w:val="top"/>
                </w:tcPr>
                <w:p w14:paraId="21AB2AA5">
                  <w:pPr>
                    <w:pStyle w:val="6"/>
                    <w:spacing w:before="32" w:line="218" w:lineRule="auto"/>
                    <w:ind w:left="395"/>
                    <w:rPr>
                      <w:sz w:val="20"/>
                      <w:szCs w:val="20"/>
                    </w:rPr>
                  </w:pPr>
                  <w:r>
                    <w:rPr>
                      <w:spacing w:val="7"/>
                      <w:sz w:val="20"/>
                      <w:szCs w:val="20"/>
                    </w:rPr>
                    <w:t>《建筑施工场界环境噪声排放标准》（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12523-2011</w:t>
                  </w:r>
                  <w:r>
                    <w:rPr>
                      <w:spacing w:val="7"/>
                      <w:sz w:val="20"/>
                      <w:szCs w:val="20"/>
                    </w:rPr>
                    <w:t>）</w:t>
                  </w:r>
                </w:p>
              </w:tc>
              <w:tc>
                <w:tcPr>
                  <w:tcW w:w="1034" w:type="dxa"/>
                  <w:vAlign w:val="top"/>
                </w:tcPr>
                <w:p w14:paraId="54BCFD14">
                  <w:pPr>
                    <w:spacing w:before="6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63" w:type="dxa"/>
                  <w:vAlign w:val="top"/>
                </w:tcPr>
                <w:p w14:paraId="10B7E135">
                  <w:pPr>
                    <w:spacing w:before="71" w:line="192" w:lineRule="auto"/>
                    <w:ind w:left="43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6B7A86BA">
            <w:pPr>
              <w:pStyle w:val="6"/>
              <w:spacing w:before="187" w:line="228" w:lineRule="auto"/>
              <w:ind w:left="316"/>
              <w:outlineLvl w:val="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3-12    </w:t>
            </w:r>
            <w:r>
              <w:rPr>
                <w:b/>
                <w:bCs/>
                <w:spacing w:val="7"/>
                <w:sz w:val="20"/>
                <w:szCs w:val="20"/>
              </w:rPr>
              <w:t>《工业企业厂界环境噪声排放标准》（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12348-20</w:t>
            </w:r>
            <w:r>
              <w:rPr>
                <w:rFonts w:ascii="Times New Roman" w:hAnsi="Times New Roman" w:eastAsia="Times New Roman" w:cs="Times New Roman"/>
                <w:b/>
                <w:bCs/>
                <w:spacing w:val="6"/>
                <w:sz w:val="20"/>
                <w:szCs w:val="20"/>
              </w:rPr>
              <w:t>08</w:t>
            </w:r>
            <w:r>
              <w:rPr>
                <w:b/>
                <w:bCs/>
                <w:spacing w:val="6"/>
                <w:sz w:val="20"/>
                <w:szCs w:val="20"/>
              </w:rPr>
              <w:t>）</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b/>
                <w:bCs/>
                <w:spacing w:val="6"/>
                <w:sz w:val="20"/>
                <w:szCs w:val="20"/>
              </w:rPr>
              <w:t>（</w:t>
            </w:r>
            <w:r>
              <w:rPr>
                <w:rFonts w:ascii="Times New Roman" w:hAnsi="Times New Roman" w:eastAsia="Times New Roman" w:cs="Times New Roman"/>
                <w:b/>
                <w:bCs/>
                <w:spacing w:val="6"/>
                <w:sz w:val="20"/>
                <w:szCs w:val="20"/>
              </w:rPr>
              <w:t>A</w:t>
            </w:r>
            <w:r>
              <w:rPr>
                <w:b/>
                <w:bCs/>
                <w:spacing w:val="6"/>
                <w:sz w:val="20"/>
                <w:szCs w:val="20"/>
              </w:rPr>
              <w:t>）</w:t>
            </w:r>
          </w:p>
          <w:p w14:paraId="2727FE42">
            <w:pPr>
              <w:spacing w:line="130" w:lineRule="exact"/>
            </w:pPr>
          </w:p>
          <w:tbl>
            <w:tblPr>
              <w:tblStyle w:val="5"/>
              <w:tblW w:w="794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1"/>
              <w:gridCol w:w="1022"/>
              <w:gridCol w:w="1081"/>
            </w:tblGrid>
            <w:tr w14:paraId="1D88E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841" w:type="dxa"/>
                  <w:vAlign w:val="top"/>
                </w:tcPr>
                <w:p w14:paraId="1523899A">
                  <w:pPr>
                    <w:pStyle w:val="6"/>
                    <w:spacing w:before="36" w:line="216" w:lineRule="auto"/>
                    <w:ind w:left="2507"/>
                    <w:rPr>
                      <w:sz w:val="20"/>
                      <w:szCs w:val="20"/>
                    </w:rPr>
                  </w:pPr>
                  <w:r>
                    <w:rPr>
                      <w:spacing w:val="7"/>
                      <w:sz w:val="20"/>
                      <w:szCs w:val="20"/>
                    </w:rPr>
                    <w:t>执行标准</w:t>
                  </w:r>
                </w:p>
              </w:tc>
              <w:tc>
                <w:tcPr>
                  <w:tcW w:w="1022" w:type="dxa"/>
                  <w:vAlign w:val="top"/>
                </w:tcPr>
                <w:p w14:paraId="211FB961">
                  <w:pPr>
                    <w:pStyle w:val="6"/>
                    <w:spacing w:before="36" w:line="216" w:lineRule="auto"/>
                    <w:ind w:left="306"/>
                    <w:rPr>
                      <w:sz w:val="20"/>
                      <w:szCs w:val="20"/>
                    </w:rPr>
                  </w:pPr>
                  <w:r>
                    <w:rPr>
                      <w:spacing w:val="5"/>
                      <w:sz w:val="20"/>
                      <w:szCs w:val="20"/>
                    </w:rPr>
                    <w:t>昼间</w:t>
                  </w:r>
                </w:p>
              </w:tc>
              <w:tc>
                <w:tcPr>
                  <w:tcW w:w="1081" w:type="dxa"/>
                  <w:vAlign w:val="top"/>
                </w:tcPr>
                <w:p w14:paraId="79C57C0E">
                  <w:pPr>
                    <w:pStyle w:val="6"/>
                    <w:spacing w:before="36" w:line="216" w:lineRule="auto"/>
                    <w:ind w:left="339"/>
                    <w:rPr>
                      <w:sz w:val="20"/>
                      <w:szCs w:val="20"/>
                    </w:rPr>
                  </w:pPr>
                  <w:r>
                    <w:rPr>
                      <w:spacing w:val="3"/>
                      <w:sz w:val="20"/>
                      <w:szCs w:val="20"/>
                    </w:rPr>
                    <w:t>夜间</w:t>
                  </w:r>
                </w:p>
              </w:tc>
            </w:tr>
            <w:tr w14:paraId="121D2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5841" w:type="dxa"/>
                  <w:vAlign w:val="top"/>
                </w:tcPr>
                <w:p w14:paraId="624CA4E4">
                  <w:pPr>
                    <w:pStyle w:val="6"/>
                    <w:spacing w:before="33" w:line="217" w:lineRule="auto"/>
                    <w:ind w:left="122"/>
                    <w:rPr>
                      <w:sz w:val="20"/>
                      <w:szCs w:val="20"/>
                    </w:rPr>
                  </w:pPr>
                  <w:r>
                    <w:rPr>
                      <w:spacing w:val="7"/>
                      <w:sz w:val="20"/>
                      <w:szCs w:val="20"/>
                    </w:rPr>
                    <w:t>《工业企业厂界环境噪声排放标准》（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123</w:t>
                  </w:r>
                  <w:r>
                    <w:rPr>
                      <w:rFonts w:ascii="Times New Roman" w:hAnsi="Times New Roman" w:eastAsia="Times New Roman" w:cs="Times New Roman"/>
                      <w:spacing w:val="6"/>
                      <w:sz w:val="20"/>
                      <w:szCs w:val="20"/>
                    </w:rPr>
                    <w:t>48-2008</w:t>
                  </w:r>
                  <w:r>
                    <w:rPr>
                      <w:spacing w:val="6"/>
                      <w:sz w:val="20"/>
                      <w:szCs w:val="20"/>
                    </w:rPr>
                    <w:t>）</w:t>
                  </w:r>
                  <w:r>
                    <w:rPr>
                      <w:rFonts w:ascii="Times New Roman" w:hAnsi="Times New Roman" w:eastAsia="Times New Roman" w:cs="Times New Roman"/>
                      <w:spacing w:val="6"/>
                      <w:sz w:val="20"/>
                      <w:szCs w:val="20"/>
                    </w:rPr>
                    <w:t xml:space="preserve">3 </w:t>
                  </w:r>
                  <w:r>
                    <w:rPr>
                      <w:spacing w:val="6"/>
                      <w:sz w:val="20"/>
                      <w:szCs w:val="20"/>
                    </w:rPr>
                    <w:t>类区</w:t>
                  </w:r>
                </w:p>
              </w:tc>
              <w:tc>
                <w:tcPr>
                  <w:tcW w:w="1022" w:type="dxa"/>
                  <w:vAlign w:val="top"/>
                </w:tcPr>
                <w:p w14:paraId="5785D863">
                  <w:pPr>
                    <w:spacing w:before="69"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081" w:type="dxa"/>
                  <w:vAlign w:val="top"/>
                </w:tcPr>
                <w:p w14:paraId="06F47E58">
                  <w:pPr>
                    <w:spacing w:before="72" w:line="192"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30128C19">
            <w:pPr>
              <w:pStyle w:val="6"/>
              <w:spacing w:before="193" w:line="220" w:lineRule="auto"/>
              <w:ind w:left="110"/>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9"/>
                <w:sz w:val="24"/>
                <w:szCs w:val="24"/>
              </w:rPr>
              <w:t xml:space="preserve"> </w:t>
            </w:r>
            <w:r>
              <w:rPr>
                <w:b/>
                <w:bCs/>
                <w:spacing w:val="-4"/>
                <w:sz w:val="24"/>
                <w:szCs w:val="24"/>
              </w:rPr>
              <w:t>、固体废物、危险废物处理与处置</w:t>
            </w:r>
          </w:p>
          <w:p w14:paraId="704410EF">
            <w:pPr>
              <w:pStyle w:val="6"/>
              <w:spacing w:before="176" w:line="354" w:lineRule="auto"/>
              <w:ind w:left="113" w:right="27" w:firstLine="481"/>
              <w:jc w:val="both"/>
              <w:rPr>
                <w:sz w:val="24"/>
                <w:szCs w:val="24"/>
              </w:rPr>
            </w:pPr>
            <w:r>
              <w:rPr>
                <w:sz w:val="24"/>
                <w:szCs w:val="24"/>
              </w:rPr>
              <w:t>本项目施工期产生的固体废物主要为弃土、建筑垃圾和生活垃圾；运营</w:t>
            </w:r>
            <w:r>
              <w:rPr>
                <w:spacing w:val="17"/>
                <w:sz w:val="24"/>
                <w:szCs w:val="24"/>
              </w:rPr>
              <w:t xml:space="preserve"> </w:t>
            </w:r>
            <w:r>
              <w:rPr>
                <w:spacing w:val="-4"/>
                <w:sz w:val="24"/>
                <w:szCs w:val="24"/>
              </w:rPr>
              <w:t>期产生的固体废物主要为生活垃圾、车辆废弃零件，危险废物主要</w:t>
            </w:r>
            <w:r>
              <w:rPr>
                <w:spacing w:val="-5"/>
                <w:sz w:val="24"/>
                <w:szCs w:val="24"/>
              </w:rPr>
              <w:t>为废机油、</w:t>
            </w:r>
            <w:r>
              <w:rPr>
                <w:sz w:val="24"/>
                <w:szCs w:val="24"/>
              </w:rPr>
              <w:t xml:space="preserve"> </w:t>
            </w:r>
            <w:r>
              <w:rPr>
                <w:spacing w:val="1"/>
                <w:sz w:val="24"/>
                <w:szCs w:val="24"/>
              </w:rPr>
              <w:t>废手套、废油桶、含油废抹布、沉淀污泥、</w:t>
            </w:r>
            <w:r>
              <w:rPr>
                <w:sz w:val="24"/>
                <w:szCs w:val="24"/>
              </w:rPr>
              <w:t xml:space="preserve">浮渣和沉渣等。一般固体废物的 </w:t>
            </w:r>
            <w:r>
              <w:rPr>
                <w:spacing w:val="40"/>
                <w:sz w:val="24"/>
                <w:szCs w:val="24"/>
              </w:rPr>
              <w:t>处理与处置执行《</w:t>
            </w:r>
            <w:r>
              <w:rPr>
                <w:spacing w:val="-31"/>
                <w:sz w:val="24"/>
                <w:szCs w:val="24"/>
              </w:rPr>
              <w:t xml:space="preserve"> </w:t>
            </w:r>
            <w:r>
              <w:rPr>
                <w:spacing w:val="40"/>
                <w:sz w:val="24"/>
                <w:szCs w:val="24"/>
              </w:rPr>
              <w:t>一般工业固体废物贮存和填埋污染控制标准》</w:t>
            </w:r>
            <w:r>
              <w:rPr>
                <w:sz w:val="24"/>
                <w:szCs w:val="24"/>
              </w:rPr>
              <w:t xml:space="preserve"> </w:t>
            </w:r>
            <w:r>
              <w:rPr>
                <w:spacing w:val="-1"/>
                <w:sz w:val="24"/>
                <w:szCs w:val="24"/>
              </w:rPr>
              <w:t>（</w:t>
            </w:r>
            <w:r>
              <w:rPr>
                <w:rFonts w:ascii="Times New Roman" w:hAnsi="Times New Roman" w:eastAsia="Times New Roman" w:cs="Times New Roman"/>
                <w:spacing w:val="-1"/>
                <w:sz w:val="24"/>
                <w:szCs w:val="24"/>
              </w:rPr>
              <w:t>GB18599-2020</w:t>
            </w:r>
            <w:r>
              <w:rPr>
                <w:spacing w:val="-1"/>
                <w:sz w:val="24"/>
                <w:szCs w:val="24"/>
              </w:rPr>
              <w:t>）中的相关规定；危险废物的临时贮存执行《危险废物贮存</w:t>
            </w:r>
            <w:r>
              <w:rPr>
                <w:spacing w:val="5"/>
                <w:sz w:val="24"/>
                <w:szCs w:val="24"/>
              </w:rPr>
              <w:t xml:space="preserve"> </w:t>
            </w:r>
            <w:r>
              <w:rPr>
                <w:sz w:val="24"/>
                <w:szCs w:val="24"/>
              </w:rPr>
              <w:t>污染控制标准》（</w:t>
            </w:r>
            <w:r>
              <w:rPr>
                <w:rFonts w:ascii="Times New Roman" w:hAnsi="Times New Roman" w:eastAsia="Times New Roman" w:cs="Times New Roman"/>
                <w:sz w:val="24"/>
                <w:szCs w:val="24"/>
              </w:rPr>
              <w:t>GB18597-2023</w:t>
            </w:r>
            <w:r>
              <w:rPr>
                <w:sz w:val="24"/>
                <w:szCs w:val="24"/>
              </w:rPr>
              <w:t>）及国家污染物</w:t>
            </w:r>
            <w:r>
              <w:rPr>
                <w:spacing w:val="-1"/>
                <w:sz w:val="24"/>
                <w:szCs w:val="24"/>
              </w:rPr>
              <w:t>标准修改单有关要求。</w:t>
            </w:r>
          </w:p>
        </w:tc>
      </w:tr>
    </w:tbl>
    <w:p w14:paraId="3E8F6A0F">
      <w:pPr>
        <w:pStyle w:val="2"/>
      </w:pPr>
    </w:p>
    <w:p w14:paraId="2ADEB1FC">
      <w:pPr>
        <w:sectPr>
          <w:footerReference r:id="rId64" w:type="default"/>
          <w:pgSz w:w="11906" w:h="16839"/>
          <w:pgMar w:top="400" w:right="1588" w:bottom="1259" w:left="1687" w:header="0" w:footer="1097" w:gutter="0"/>
          <w:cols w:space="720" w:num="1"/>
        </w:sectPr>
      </w:pPr>
    </w:p>
    <w:p w14:paraId="64350C18">
      <w:pPr>
        <w:spacing w:before="19"/>
      </w:pPr>
    </w:p>
    <w:p w14:paraId="3827996B">
      <w:pPr>
        <w:spacing w:before="19"/>
      </w:pPr>
    </w:p>
    <w:p w14:paraId="0F1FCAF4">
      <w:pPr>
        <w:spacing w:before="18"/>
      </w:pPr>
    </w:p>
    <w:p w14:paraId="242ADC85">
      <w:pPr>
        <w:spacing w:before="18"/>
      </w:pPr>
    </w:p>
    <w:tbl>
      <w:tblPr>
        <w:tblStyle w:val="5"/>
        <w:tblW w:w="8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166"/>
      </w:tblGrid>
      <w:tr w14:paraId="28AD8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6" w:hRule="atLeast"/>
        </w:trPr>
        <w:tc>
          <w:tcPr>
            <w:tcW w:w="459" w:type="dxa"/>
            <w:textDirection w:val="tbRlV"/>
            <w:vAlign w:val="top"/>
          </w:tcPr>
          <w:p w14:paraId="113EB784">
            <w:pPr>
              <w:pStyle w:val="6"/>
              <w:spacing w:before="106" w:line="209" w:lineRule="auto"/>
              <w:ind w:left="5969"/>
              <w:rPr>
                <w:sz w:val="24"/>
                <w:szCs w:val="24"/>
              </w:rPr>
            </w:pPr>
            <w:r>
              <w:rPr>
                <w:spacing w:val="59"/>
                <w:sz w:val="24"/>
                <w:szCs w:val="24"/>
              </w:rPr>
              <w:t>总量控制指标</w:t>
            </w:r>
          </w:p>
        </w:tc>
        <w:tc>
          <w:tcPr>
            <w:tcW w:w="8166" w:type="dxa"/>
            <w:vAlign w:val="top"/>
          </w:tcPr>
          <w:p w14:paraId="4B90958E">
            <w:pPr>
              <w:spacing w:line="245" w:lineRule="auto"/>
              <w:rPr>
                <w:rFonts w:ascii="Arial"/>
                <w:sz w:val="21"/>
              </w:rPr>
            </w:pPr>
          </w:p>
          <w:p w14:paraId="61C8F642">
            <w:pPr>
              <w:spacing w:line="245" w:lineRule="auto"/>
              <w:rPr>
                <w:rFonts w:ascii="Arial"/>
                <w:sz w:val="21"/>
              </w:rPr>
            </w:pPr>
          </w:p>
          <w:p w14:paraId="1F3BE07F">
            <w:pPr>
              <w:spacing w:line="245" w:lineRule="auto"/>
              <w:rPr>
                <w:rFonts w:ascii="Arial"/>
                <w:sz w:val="21"/>
              </w:rPr>
            </w:pPr>
          </w:p>
          <w:p w14:paraId="079F4312">
            <w:pPr>
              <w:spacing w:line="245" w:lineRule="auto"/>
              <w:rPr>
                <w:rFonts w:ascii="Arial"/>
                <w:sz w:val="21"/>
              </w:rPr>
            </w:pPr>
          </w:p>
          <w:p w14:paraId="17E7E4B3">
            <w:pPr>
              <w:spacing w:line="245" w:lineRule="auto"/>
              <w:rPr>
                <w:rFonts w:ascii="Arial"/>
                <w:sz w:val="21"/>
              </w:rPr>
            </w:pPr>
          </w:p>
          <w:p w14:paraId="2224214F">
            <w:pPr>
              <w:spacing w:line="245" w:lineRule="auto"/>
              <w:rPr>
                <w:rFonts w:ascii="Arial"/>
                <w:sz w:val="21"/>
              </w:rPr>
            </w:pPr>
          </w:p>
          <w:p w14:paraId="45FEF26B">
            <w:pPr>
              <w:spacing w:line="246" w:lineRule="auto"/>
              <w:rPr>
                <w:rFonts w:ascii="Arial"/>
                <w:sz w:val="21"/>
              </w:rPr>
            </w:pPr>
          </w:p>
          <w:p w14:paraId="50E8CCB5">
            <w:pPr>
              <w:spacing w:line="246" w:lineRule="auto"/>
              <w:rPr>
                <w:rFonts w:ascii="Arial"/>
                <w:sz w:val="21"/>
              </w:rPr>
            </w:pPr>
          </w:p>
          <w:p w14:paraId="430E9981">
            <w:pPr>
              <w:spacing w:line="246" w:lineRule="auto"/>
              <w:rPr>
                <w:rFonts w:ascii="Arial"/>
                <w:sz w:val="21"/>
              </w:rPr>
            </w:pPr>
          </w:p>
          <w:p w14:paraId="72482F99">
            <w:pPr>
              <w:spacing w:line="246" w:lineRule="auto"/>
              <w:rPr>
                <w:rFonts w:ascii="Arial"/>
                <w:sz w:val="21"/>
              </w:rPr>
            </w:pPr>
          </w:p>
          <w:p w14:paraId="5E3633DB">
            <w:pPr>
              <w:spacing w:line="246" w:lineRule="auto"/>
              <w:rPr>
                <w:rFonts w:ascii="Arial"/>
                <w:sz w:val="21"/>
              </w:rPr>
            </w:pPr>
          </w:p>
          <w:p w14:paraId="419073B1">
            <w:pPr>
              <w:spacing w:line="246" w:lineRule="auto"/>
              <w:rPr>
                <w:rFonts w:ascii="Arial"/>
                <w:sz w:val="21"/>
              </w:rPr>
            </w:pPr>
          </w:p>
          <w:p w14:paraId="5845EA41">
            <w:pPr>
              <w:spacing w:line="246" w:lineRule="auto"/>
              <w:rPr>
                <w:rFonts w:ascii="Arial"/>
                <w:sz w:val="21"/>
              </w:rPr>
            </w:pPr>
          </w:p>
          <w:p w14:paraId="456D1BF5">
            <w:pPr>
              <w:spacing w:line="246" w:lineRule="auto"/>
              <w:rPr>
                <w:rFonts w:ascii="Arial"/>
                <w:sz w:val="21"/>
              </w:rPr>
            </w:pPr>
          </w:p>
          <w:p w14:paraId="61B1464F">
            <w:pPr>
              <w:spacing w:line="246" w:lineRule="auto"/>
              <w:rPr>
                <w:rFonts w:ascii="Arial"/>
                <w:sz w:val="21"/>
              </w:rPr>
            </w:pPr>
          </w:p>
          <w:p w14:paraId="20B8B7F7">
            <w:pPr>
              <w:spacing w:line="246" w:lineRule="auto"/>
              <w:rPr>
                <w:rFonts w:ascii="Arial"/>
                <w:sz w:val="21"/>
              </w:rPr>
            </w:pPr>
          </w:p>
          <w:p w14:paraId="3DD0BF92">
            <w:pPr>
              <w:spacing w:line="246" w:lineRule="auto"/>
              <w:rPr>
                <w:rFonts w:ascii="Arial"/>
                <w:sz w:val="21"/>
              </w:rPr>
            </w:pPr>
          </w:p>
          <w:p w14:paraId="07860E13">
            <w:pPr>
              <w:spacing w:line="246" w:lineRule="auto"/>
              <w:rPr>
                <w:rFonts w:ascii="Arial"/>
                <w:sz w:val="21"/>
              </w:rPr>
            </w:pPr>
          </w:p>
          <w:p w14:paraId="6D1DE52B">
            <w:pPr>
              <w:spacing w:line="246" w:lineRule="auto"/>
              <w:rPr>
                <w:rFonts w:ascii="Arial"/>
                <w:sz w:val="21"/>
              </w:rPr>
            </w:pPr>
          </w:p>
          <w:p w14:paraId="78BB0020">
            <w:pPr>
              <w:spacing w:line="246" w:lineRule="auto"/>
              <w:rPr>
                <w:rFonts w:ascii="Arial"/>
                <w:sz w:val="21"/>
              </w:rPr>
            </w:pPr>
          </w:p>
          <w:p w14:paraId="4C3A4D92">
            <w:pPr>
              <w:spacing w:line="246" w:lineRule="auto"/>
              <w:rPr>
                <w:rFonts w:ascii="Arial"/>
                <w:sz w:val="21"/>
              </w:rPr>
            </w:pPr>
          </w:p>
          <w:p w14:paraId="53787514">
            <w:pPr>
              <w:pStyle w:val="6"/>
              <w:spacing w:before="78" w:line="359" w:lineRule="auto"/>
              <w:ind w:left="112" w:right="107" w:firstLine="481"/>
              <w:jc w:val="both"/>
              <w:rPr>
                <w:sz w:val="24"/>
                <w:szCs w:val="24"/>
              </w:rPr>
            </w:pPr>
            <w:r>
              <w:rPr>
                <w:spacing w:val="-1"/>
                <w:sz w:val="24"/>
                <w:szCs w:val="24"/>
              </w:rPr>
              <w:t>根据《国务院关于印发“十四五</w:t>
            </w:r>
            <w:r>
              <w:rPr>
                <w:spacing w:val="-71"/>
                <w:sz w:val="24"/>
                <w:szCs w:val="24"/>
              </w:rPr>
              <w:t xml:space="preserve"> </w:t>
            </w:r>
            <w:r>
              <w:rPr>
                <w:spacing w:val="-1"/>
                <w:sz w:val="24"/>
                <w:szCs w:val="24"/>
              </w:rPr>
              <w:t>”节能减排综合工作方案的通知》（国</w:t>
            </w:r>
            <w:r>
              <w:rPr>
                <w:sz w:val="24"/>
                <w:szCs w:val="24"/>
              </w:rPr>
              <w:t xml:space="preserve"> </w:t>
            </w:r>
            <w:r>
              <w:rPr>
                <w:spacing w:val="-2"/>
                <w:sz w:val="24"/>
                <w:szCs w:val="24"/>
              </w:rPr>
              <w:t>发〔</w:t>
            </w:r>
            <w:r>
              <w:rPr>
                <w:rFonts w:ascii="Times New Roman" w:hAnsi="Times New Roman" w:eastAsia="Times New Roman" w:cs="Times New Roman"/>
                <w:spacing w:val="-2"/>
                <w:sz w:val="24"/>
                <w:szCs w:val="24"/>
              </w:rPr>
              <w:t>2021</w:t>
            </w:r>
            <w:r>
              <w:rPr>
                <w:spacing w:val="-2"/>
                <w:sz w:val="24"/>
                <w:szCs w:val="24"/>
              </w:rPr>
              <w:t>〕</w:t>
            </w:r>
            <w:r>
              <w:rPr>
                <w:rFonts w:ascii="Times New Roman" w:hAnsi="Times New Roman" w:eastAsia="Times New Roman" w:cs="Times New Roman"/>
                <w:spacing w:val="-2"/>
                <w:sz w:val="24"/>
                <w:szCs w:val="24"/>
              </w:rPr>
              <w:t>33</w:t>
            </w:r>
            <w:r>
              <w:rPr>
                <w:rFonts w:ascii="Times New Roman" w:hAnsi="Times New Roman" w:eastAsia="Times New Roman" w:cs="Times New Roman"/>
                <w:spacing w:val="15"/>
                <w:sz w:val="24"/>
                <w:szCs w:val="24"/>
              </w:rPr>
              <w:t xml:space="preserve"> </w:t>
            </w:r>
            <w:r>
              <w:rPr>
                <w:spacing w:val="-2"/>
                <w:sz w:val="24"/>
                <w:szCs w:val="24"/>
              </w:rPr>
              <w:t>号）的要求，“十四五</w:t>
            </w:r>
            <w:r>
              <w:rPr>
                <w:spacing w:val="-88"/>
                <w:sz w:val="24"/>
                <w:szCs w:val="24"/>
              </w:rPr>
              <w:t xml:space="preserve"> </w:t>
            </w:r>
            <w:r>
              <w:rPr>
                <w:spacing w:val="-2"/>
                <w:sz w:val="24"/>
                <w:szCs w:val="24"/>
              </w:rPr>
              <w:t>”期</w:t>
            </w:r>
            <w:r>
              <w:rPr>
                <w:spacing w:val="-3"/>
                <w:sz w:val="24"/>
                <w:szCs w:val="24"/>
              </w:rPr>
              <w:t>间总量控制指标为化学需氧量、氨</w:t>
            </w:r>
            <w:r>
              <w:rPr>
                <w:sz w:val="24"/>
                <w:szCs w:val="24"/>
              </w:rPr>
              <w:t xml:space="preserve"> </w:t>
            </w:r>
            <w:r>
              <w:rPr>
                <w:spacing w:val="-1"/>
                <w:sz w:val="24"/>
                <w:szCs w:val="24"/>
              </w:rPr>
              <w:t>氮、氮氧化物、挥发性有机物。</w:t>
            </w:r>
          </w:p>
          <w:p w14:paraId="67455EB3">
            <w:pPr>
              <w:pStyle w:val="6"/>
              <w:spacing w:before="4" w:line="359" w:lineRule="auto"/>
              <w:ind w:left="113" w:right="45" w:firstLine="486"/>
              <w:jc w:val="both"/>
              <w:rPr>
                <w:sz w:val="24"/>
                <w:szCs w:val="24"/>
              </w:rPr>
            </w:pPr>
            <w:r>
              <w:rPr>
                <w:spacing w:val="-5"/>
                <w:sz w:val="24"/>
                <w:szCs w:val="24"/>
              </w:rPr>
              <w:t>结合本项目排污特征，运营期废气主要为汽车尾气和槽罐车</w:t>
            </w:r>
            <w:r>
              <w:rPr>
                <w:spacing w:val="-6"/>
                <w:sz w:val="24"/>
                <w:szCs w:val="24"/>
              </w:rPr>
              <w:t>顶呼吸废气，</w:t>
            </w:r>
            <w:r>
              <w:rPr>
                <w:sz w:val="24"/>
                <w:szCs w:val="24"/>
              </w:rPr>
              <w:t xml:space="preserve"> </w:t>
            </w:r>
            <w:r>
              <w:rPr>
                <w:spacing w:val="1"/>
                <w:sz w:val="24"/>
                <w:szCs w:val="24"/>
              </w:rPr>
              <w:t>均为无组织排放，且具有间歇性和流动性。</w:t>
            </w:r>
            <w:r>
              <w:rPr>
                <w:sz w:val="24"/>
                <w:szCs w:val="24"/>
              </w:rPr>
              <w:t>根据计算，挥发性有机物总量约 为</w:t>
            </w:r>
            <w:r>
              <w:rPr>
                <w:spacing w:val="-43"/>
                <w:sz w:val="24"/>
                <w:szCs w:val="24"/>
              </w:rPr>
              <w:t xml:space="preserve"> </w:t>
            </w:r>
            <w:r>
              <w:rPr>
                <w:rFonts w:ascii="Times New Roman" w:hAnsi="Times New Roman" w:eastAsia="Times New Roman" w:cs="Times New Roman"/>
                <w:sz w:val="24"/>
                <w:szCs w:val="24"/>
              </w:rPr>
              <w:t>0.0396t/a</w:t>
            </w:r>
            <w:r>
              <w:rPr>
                <w:sz w:val="24"/>
                <w:szCs w:val="24"/>
              </w:rPr>
              <w:t xml:space="preserve">；项目运行产生的污水排入园区污水处理厂，总量指标纳入园区 </w:t>
            </w:r>
            <w:r>
              <w:rPr>
                <w:spacing w:val="-1"/>
                <w:sz w:val="24"/>
                <w:szCs w:val="24"/>
              </w:rPr>
              <w:t>控制指标，无需申请总量控制。</w:t>
            </w:r>
          </w:p>
        </w:tc>
      </w:tr>
    </w:tbl>
    <w:p w14:paraId="206C23D6">
      <w:pPr>
        <w:pStyle w:val="2"/>
      </w:pPr>
    </w:p>
    <w:p w14:paraId="608505CC">
      <w:pPr>
        <w:sectPr>
          <w:footerReference r:id="rId65" w:type="default"/>
          <w:pgSz w:w="11906" w:h="16839"/>
          <w:pgMar w:top="400" w:right="1588" w:bottom="1259" w:left="1687" w:header="0" w:footer="1097" w:gutter="0"/>
          <w:cols w:space="720" w:num="1"/>
        </w:sectPr>
      </w:pPr>
    </w:p>
    <w:p w14:paraId="44F171E6">
      <w:pPr>
        <w:pStyle w:val="2"/>
        <w:spacing w:line="245" w:lineRule="auto"/>
      </w:pPr>
    </w:p>
    <w:p w14:paraId="0D14325D">
      <w:pPr>
        <w:pStyle w:val="2"/>
        <w:spacing w:line="245" w:lineRule="auto"/>
      </w:pPr>
    </w:p>
    <w:p w14:paraId="5DB95CF5">
      <w:pPr>
        <w:pStyle w:val="2"/>
        <w:spacing w:line="245" w:lineRule="auto"/>
      </w:pPr>
    </w:p>
    <w:p w14:paraId="4510984F">
      <w:pPr>
        <w:pStyle w:val="2"/>
        <w:spacing w:line="246" w:lineRule="auto"/>
      </w:pPr>
    </w:p>
    <w:p w14:paraId="038F1B1C">
      <w:pPr>
        <w:spacing w:before="101" w:line="227" w:lineRule="auto"/>
        <w:ind w:left="2409"/>
        <w:outlineLvl w:val="0"/>
        <w:rPr>
          <w:rFonts w:ascii="黑体" w:hAnsi="黑体" w:eastAsia="黑体" w:cs="黑体"/>
          <w:sz w:val="31"/>
          <w:szCs w:val="31"/>
        </w:rPr>
      </w:pPr>
      <w:r>
        <w:rPr>
          <w:rFonts w:ascii="黑体" w:hAnsi="黑体" w:eastAsia="黑体" w:cs="黑体"/>
          <w:spacing w:val="7"/>
          <w:sz w:val="31"/>
          <w:szCs w:val="31"/>
        </w:rPr>
        <w:t>四、主要环境影响和保护措施</w:t>
      </w:r>
    </w:p>
    <w:p w14:paraId="3D7C641A">
      <w:pPr>
        <w:spacing w:line="193" w:lineRule="exact"/>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E8EE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5" w:hRule="atLeast"/>
        </w:trPr>
        <w:tc>
          <w:tcPr>
            <w:tcW w:w="371" w:type="dxa"/>
            <w:textDirection w:val="tbRlV"/>
            <w:vAlign w:val="top"/>
          </w:tcPr>
          <w:p w14:paraId="27D96CCC">
            <w:pPr>
              <w:pStyle w:val="6"/>
              <w:spacing w:before="64" w:line="209" w:lineRule="auto"/>
              <w:ind w:left="5272"/>
              <w:rPr>
                <w:sz w:val="24"/>
                <w:szCs w:val="24"/>
              </w:rPr>
            </w:pPr>
            <w:r>
              <w:rPr>
                <w:spacing w:val="-1"/>
                <w:sz w:val="24"/>
                <w:szCs w:val="24"/>
              </w:rPr>
              <w:t>施</w:t>
            </w:r>
            <w:r>
              <w:rPr>
                <w:spacing w:val="-42"/>
                <w:sz w:val="24"/>
                <w:szCs w:val="24"/>
              </w:rPr>
              <w:t xml:space="preserve"> </w:t>
            </w:r>
            <w:r>
              <w:rPr>
                <w:spacing w:val="-1"/>
                <w:sz w:val="24"/>
                <w:szCs w:val="24"/>
              </w:rPr>
              <w:t>工</w:t>
            </w:r>
            <w:r>
              <w:rPr>
                <w:spacing w:val="-50"/>
                <w:sz w:val="24"/>
                <w:szCs w:val="24"/>
              </w:rPr>
              <w:t xml:space="preserve"> </w:t>
            </w:r>
            <w:r>
              <w:rPr>
                <w:spacing w:val="-1"/>
                <w:sz w:val="24"/>
                <w:szCs w:val="24"/>
              </w:rPr>
              <w:t>期</w:t>
            </w:r>
            <w:r>
              <w:rPr>
                <w:spacing w:val="-48"/>
                <w:sz w:val="24"/>
                <w:szCs w:val="24"/>
              </w:rPr>
              <w:t xml:space="preserve"> </w:t>
            </w:r>
            <w:r>
              <w:rPr>
                <w:spacing w:val="-1"/>
                <w:sz w:val="24"/>
                <w:szCs w:val="24"/>
              </w:rPr>
              <w:t>环</w:t>
            </w:r>
            <w:r>
              <w:rPr>
                <w:spacing w:val="-48"/>
                <w:sz w:val="24"/>
                <w:szCs w:val="24"/>
              </w:rPr>
              <w:t xml:space="preserve"> </w:t>
            </w:r>
            <w:r>
              <w:rPr>
                <w:spacing w:val="-1"/>
                <w:sz w:val="24"/>
                <w:szCs w:val="24"/>
              </w:rPr>
              <w:t>境</w:t>
            </w:r>
            <w:r>
              <w:rPr>
                <w:spacing w:val="-50"/>
                <w:sz w:val="24"/>
                <w:szCs w:val="24"/>
              </w:rPr>
              <w:t xml:space="preserve"> </w:t>
            </w:r>
            <w:r>
              <w:rPr>
                <w:spacing w:val="-1"/>
                <w:sz w:val="24"/>
                <w:szCs w:val="24"/>
              </w:rPr>
              <w:t>保</w:t>
            </w:r>
            <w:r>
              <w:rPr>
                <w:spacing w:val="-48"/>
                <w:sz w:val="24"/>
                <w:szCs w:val="24"/>
              </w:rPr>
              <w:t xml:space="preserve"> </w:t>
            </w:r>
            <w:r>
              <w:rPr>
                <w:spacing w:val="-1"/>
                <w:sz w:val="24"/>
                <w:szCs w:val="24"/>
              </w:rPr>
              <w:t>护</w:t>
            </w:r>
            <w:r>
              <w:rPr>
                <w:spacing w:val="-48"/>
                <w:sz w:val="24"/>
                <w:szCs w:val="24"/>
              </w:rPr>
              <w:t xml:space="preserve"> </w:t>
            </w:r>
            <w:r>
              <w:rPr>
                <w:spacing w:val="-1"/>
                <w:sz w:val="24"/>
                <w:szCs w:val="24"/>
              </w:rPr>
              <w:t>措</w:t>
            </w:r>
            <w:r>
              <w:rPr>
                <w:spacing w:val="-47"/>
                <w:sz w:val="24"/>
                <w:szCs w:val="24"/>
              </w:rPr>
              <w:t xml:space="preserve"> </w:t>
            </w:r>
            <w:r>
              <w:rPr>
                <w:spacing w:val="-1"/>
                <w:sz w:val="24"/>
                <w:szCs w:val="24"/>
              </w:rPr>
              <w:t>施</w:t>
            </w:r>
          </w:p>
        </w:tc>
        <w:tc>
          <w:tcPr>
            <w:tcW w:w="8541" w:type="dxa"/>
            <w:vAlign w:val="top"/>
          </w:tcPr>
          <w:p w14:paraId="65EA66F6">
            <w:pPr>
              <w:pStyle w:val="6"/>
              <w:spacing w:before="196" w:line="220" w:lineRule="auto"/>
              <w:ind w:left="119"/>
              <w:outlineLvl w:val="1"/>
              <w:rPr>
                <w:sz w:val="24"/>
                <w:szCs w:val="24"/>
              </w:rPr>
            </w:pP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34"/>
                <w:sz w:val="24"/>
                <w:szCs w:val="24"/>
              </w:rPr>
              <w:t xml:space="preserve"> </w:t>
            </w:r>
            <w:r>
              <w:rPr>
                <w:b/>
                <w:bCs/>
                <w:spacing w:val="-4"/>
                <w:sz w:val="24"/>
                <w:szCs w:val="24"/>
              </w:rPr>
              <w:t>、大气环境影响分析与环境保护措施</w:t>
            </w:r>
          </w:p>
          <w:p w14:paraId="762A9BA0">
            <w:pPr>
              <w:pStyle w:val="6"/>
              <w:spacing w:before="179" w:line="359" w:lineRule="auto"/>
              <w:ind w:left="113" w:right="106" w:firstLine="479"/>
              <w:rPr>
                <w:sz w:val="24"/>
                <w:szCs w:val="24"/>
              </w:rPr>
            </w:pPr>
            <w:r>
              <w:rPr>
                <w:spacing w:val="-3"/>
                <w:sz w:val="24"/>
                <w:szCs w:val="24"/>
              </w:rPr>
              <w:t>施工期的大气污染主要来自施工作业扬尘、运输车辆扬尘、运输及动力设备</w:t>
            </w:r>
            <w:r>
              <w:rPr>
                <w:spacing w:val="15"/>
                <w:sz w:val="24"/>
                <w:szCs w:val="24"/>
              </w:rPr>
              <w:t xml:space="preserve"> </w:t>
            </w:r>
            <w:r>
              <w:rPr>
                <w:spacing w:val="-1"/>
                <w:sz w:val="24"/>
                <w:szCs w:val="24"/>
              </w:rPr>
              <w:t>运转产生的燃油废气。</w:t>
            </w:r>
          </w:p>
          <w:p w14:paraId="14B27565">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）施工作业扬尘与运输车辆扬尘</w:t>
            </w:r>
          </w:p>
          <w:p w14:paraId="1379647D">
            <w:pPr>
              <w:pStyle w:val="6"/>
              <w:spacing w:before="181" w:line="359" w:lineRule="auto"/>
              <w:ind w:left="112" w:right="106" w:firstLine="484"/>
              <w:rPr>
                <w:sz w:val="24"/>
                <w:szCs w:val="24"/>
              </w:rPr>
            </w:pPr>
            <w:r>
              <w:rPr>
                <w:spacing w:val="-3"/>
                <w:sz w:val="24"/>
                <w:szCs w:val="24"/>
              </w:rPr>
              <w:t>项目施工期在场地平整、施工材料装卸和运输等施工作业过程会产生大量的</w:t>
            </w:r>
            <w:r>
              <w:rPr>
                <w:spacing w:val="10"/>
                <w:sz w:val="24"/>
                <w:szCs w:val="24"/>
              </w:rPr>
              <w:t xml:space="preserve"> </w:t>
            </w:r>
            <w:r>
              <w:rPr>
                <w:spacing w:val="-2"/>
                <w:sz w:val="24"/>
                <w:szCs w:val="24"/>
              </w:rPr>
              <w:t>粉尘，尘粒在空气中的传播扩散情况与风速等气</w:t>
            </w:r>
            <w:r>
              <w:rPr>
                <w:spacing w:val="-3"/>
                <w:sz w:val="24"/>
                <w:szCs w:val="24"/>
              </w:rPr>
              <w:t>象条件有关，也与尘粒本身的沉</w:t>
            </w:r>
            <w:r>
              <w:rPr>
                <w:sz w:val="24"/>
                <w:szCs w:val="24"/>
              </w:rPr>
              <w:t xml:space="preserve"> 降速度有关，在有风的情况下，施工扬尘会对区域环境</w:t>
            </w:r>
            <w:r>
              <w:rPr>
                <w:spacing w:val="-1"/>
                <w:sz w:val="24"/>
                <w:szCs w:val="24"/>
              </w:rPr>
              <w:t>空气造成一定的影响。</w:t>
            </w:r>
          </w:p>
          <w:p w14:paraId="1ED659D7">
            <w:pPr>
              <w:pStyle w:val="6"/>
              <w:spacing w:before="1" w:line="359" w:lineRule="auto"/>
              <w:ind w:left="115" w:right="26" w:firstLine="480"/>
              <w:rPr>
                <w:sz w:val="24"/>
                <w:szCs w:val="24"/>
              </w:rPr>
            </w:pPr>
            <w:r>
              <w:rPr>
                <w:spacing w:val="-4"/>
                <w:sz w:val="24"/>
                <w:szCs w:val="24"/>
              </w:rPr>
              <w:t>为最大程度的减轻扬尘污染，施工单位应贯彻“清洁生产</w:t>
            </w:r>
            <w:r>
              <w:rPr>
                <w:spacing w:val="-76"/>
                <w:sz w:val="24"/>
                <w:szCs w:val="24"/>
              </w:rPr>
              <w:t xml:space="preserve"> </w:t>
            </w:r>
            <w:r>
              <w:rPr>
                <w:spacing w:val="-4"/>
                <w:sz w:val="24"/>
                <w:szCs w:val="24"/>
              </w:rPr>
              <w:t>”的要求，严格监</w:t>
            </w:r>
            <w:r>
              <w:rPr>
                <w:sz w:val="24"/>
                <w:szCs w:val="24"/>
              </w:rPr>
              <w:t xml:space="preserve"> </w:t>
            </w:r>
            <w:r>
              <w:rPr>
                <w:spacing w:val="-6"/>
                <w:sz w:val="24"/>
                <w:szCs w:val="24"/>
              </w:rPr>
              <w:t>管建筑施工扬尘，做到“六个百分之百</w:t>
            </w:r>
            <w:r>
              <w:rPr>
                <w:spacing w:val="-73"/>
                <w:sz w:val="24"/>
                <w:szCs w:val="24"/>
              </w:rPr>
              <w:t xml:space="preserve"> </w:t>
            </w:r>
            <w:r>
              <w:rPr>
                <w:spacing w:val="-6"/>
                <w:sz w:val="24"/>
                <w:szCs w:val="24"/>
              </w:rPr>
              <w:t>”，具体要求为施工工地周边</w:t>
            </w:r>
            <w:r>
              <w:rPr>
                <w:spacing w:val="-32"/>
                <w:sz w:val="24"/>
                <w:szCs w:val="24"/>
              </w:rPr>
              <w:t xml:space="preserve"> </w:t>
            </w:r>
            <w:r>
              <w:rPr>
                <w:rFonts w:ascii="Times New Roman" w:hAnsi="Times New Roman" w:eastAsia="Times New Roman" w:cs="Times New Roman"/>
                <w:spacing w:val="-6"/>
                <w:sz w:val="24"/>
                <w:szCs w:val="24"/>
              </w:rPr>
              <w:t>100%</w:t>
            </w:r>
            <w:r>
              <w:rPr>
                <w:spacing w:val="-6"/>
                <w:sz w:val="24"/>
                <w:szCs w:val="24"/>
              </w:rPr>
              <w:t>围挡、</w:t>
            </w:r>
            <w:r>
              <w:rPr>
                <w:sz w:val="24"/>
                <w:szCs w:val="24"/>
              </w:rPr>
              <w:t xml:space="preserve"> </w:t>
            </w:r>
            <w:r>
              <w:rPr>
                <w:spacing w:val="-3"/>
                <w:sz w:val="24"/>
                <w:szCs w:val="24"/>
              </w:rPr>
              <w:t>出入车辆</w:t>
            </w:r>
            <w:r>
              <w:rPr>
                <w:spacing w:val="-26"/>
                <w:sz w:val="24"/>
                <w:szCs w:val="24"/>
              </w:rPr>
              <w:t xml:space="preserve"> </w:t>
            </w:r>
            <w:r>
              <w:rPr>
                <w:rFonts w:ascii="Times New Roman" w:hAnsi="Times New Roman" w:eastAsia="Times New Roman" w:cs="Times New Roman"/>
                <w:spacing w:val="-3"/>
                <w:sz w:val="24"/>
                <w:szCs w:val="24"/>
              </w:rPr>
              <w:t>100%</w:t>
            </w:r>
            <w:r>
              <w:rPr>
                <w:spacing w:val="-3"/>
                <w:sz w:val="24"/>
                <w:szCs w:val="24"/>
              </w:rPr>
              <w:t>冲洗、拆迁工地</w:t>
            </w:r>
            <w:r>
              <w:rPr>
                <w:spacing w:val="-32"/>
                <w:sz w:val="24"/>
                <w:szCs w:val="24"/>
              </w:rPr>
              <w:t xml:space="preserve"> </w:t>
            </w:r>
            <w:r>
              <w:rPr>
                <w:rFonts w:ascii="Times New Roman" w:hAnsi="Times New Roman" w:eastAsia="Times New Roman" w:cs="Times New Roman"/>
                <w:spacing w:val="-3"/>
                <w:sz w:val="24"/>
                <w:szCs w:val="24"/>
              </w:rPr>
              <w:t>100%</w:t>
            </w:r>
            <w:r>
              <w:rPr>
                <w:spacing w:val="-3"/>
                <w:sz w:val="24"/>
                <w:szCs w:val="24"/>
              </w:rPr>
              <w:t>湿法作业、渣土车辆</w:t>
            </w:r>
            <w:r>
              <w:rPr>
                <w:spacing w:val="-32"/>
                <w:sz w:val="24"/>
                <w:szCs w:val="24"/>
              </w:rPr>
              <w:t xml:space="preserve"> </w:t>
            </w:r>
            <w:r>
              <w:rPr>
                <w:rFonts w:ascii="Times New Roman" w:hAnsi="Times New Roman" w:eastAsia="Times New Roman" w:cs="Times New Roman"/>
                <w:spacing w:val="-3"/>
                <w:sz w:val="24"/>
                <w:szCs w:val="24"/>
              </w:rPr>
              <w:t>100%</w:t>
            </w:r>
            <w:r>
              <w:rPr>
                <w:spacing w:val="-3"/>
                <w:sz w:val="24"/>
                <w:szCs w:val="24"/>
              </w:rPr>
              <w:t>密闭运输、施工</w:t>
            </w:r>
            <w:r>
              <w:rPr>
                <w:sz w:val="24"/>
                <w:szCs w:val="24"/>
              </w:rPr>
              <w:t xml:space="preserve"> </w:t>
            </w:r>
            <w:r>
              <w:rPr>
                <w:spacing w:val="-4"/>
                <w:sz w:val="24"/>
                <w:szCs w:val="24"/>
              </w:rPr>
              <w:t>现场地面</w:t>
            </w:r>
            <w:r>
              <w:rPr>
                <w:spacing w:val="-14"/>
                <w:sz w:val="24"/>
                <w:szCs w:val="24"/>
              </w:rPr>
              <w:t xml:space="preserve"> </w:t>
            </w:r>
            <w:r>
              <w:rPr>
                <w:rFonts w:ascii="Times New Roman" w:hAnsi="Times New Roman" w:eastAsia="Times New Roman" w:cs="Times New Roman"/>
                <w:spacing w:val="-4"/>
                <w:sz w:val="24"/>
                <w:szCs w:val="24"/>
              </w:rPr>
              <w:t>100%</w:t>
            </w:r>
            <w:r>
              <w:rPr>
                <w:spacing w:val="-4"/>
                <w:sz w:val="24"/>
                <w:szCs w:val="24"/>
              </w:rPr>
              <w:t>硬化、物料堆放</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覆盖。</w:t>
            </w:r>
          </w:p>
          <w:p w14:paraId="02954F14">
            <w:pPr>
              <w:pStyle w:val="6"/>
              <w:spacing w:line="324" w:lineRule="auto"/>
              <w:ind w:left="113" w:right="106" w:firstLine="491"/>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）施工工地周边</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围挡。施工现场应实行封闭管理，连续</w:t>
            </w:r>
            <w:r>
              <w:rPr>
                <w:spacing w:val="-5"/>
                <w:sz w:val="24"/>
                <w:szCs w:val="24"/>
              </w:rPr>
              <w:t>设置硬质围</w:t>
            </w:r>
            <w:r>
              <w:rPr>
                <w:sz w:val="24"/>
                <w:szCs w:val="24"/>
              </w:rPr>
              <w:t xml:space="preserve"> </w:t>
            </w:r>
            <w:r>
              <w:rPr>
                <w:spacing w:val="-2"/>
                <w:sz w:val="24"/>
                <w:szCs w:val="24"/>
              </w:rPr>
              <w:t>挡，围挡应坚固、平整、整洁、美观，并符合</w:t>
            </w:r>
            <w:r>
              <w:rPr>
                <w:spacing w:val="-3"/>
                <w:sz w:val="24"/>
                <w:szCs w:val="24"/>
              </w:rPr>
              <w:t>城市风貌规划和车辆行驶安全视距</w:t>
            </w:r>
            <w:r>
              <w:rPr>
                <w:sz w:val="24"/>
                <w:szCs w:val="24"/>
              </w:rPr>
              <w:t xml:space="preserve"> </w:t>
            </w:r>
            <w:r>
              <w:rPr>
                <w:spacing w:val="-2"/>
                <w:sz w:val="24"/>
                <w:szCs w:val="24"/>
              </w:rPr>
              <w:t>的要求。在建工程的外立面应用安全网，实现</w:t>
            </w:r>
            <w:r>
              <w:rPr>
                <w:spacing w:val="-3"/>
                <w:sz w:val="24"/>
                <w:szCs w:val="24"/>
              </w:rPr>
              <w:t>全封闭围护。市区主要路段的施工</w:t>
            </w:r>
            <w:r>
              <w:rPr>
                <w:sz w:val="24"/>
                <w:szCs w:val="24"/>
              </w:rPr>
              <w:t xml:space="preserve"> </w:t>
            </w:r>
            <w:r>
              <w:rPr>
                <w:spacing w:val="-2"/>
                <w:sz w:val="24"/>
                <w:szCs w:val="24"/>
              </w:rPr>
              <w:t>现场，围挡高度不低于</w:t>
            </w:r>
            <w:r>
              <w:rPr>
                <w:spacing w:val="-55"/>
                <w:sz w:val="24"/>
                <w:szCs w:val="24"/>
              </w:rPr>
              <w:t xml:space="preserve"> </w:t>
            </w:r>
            <w:r>
              <w:rPr>
                <w:rFonts w:ascii="Times New Roman" w:hAnsi="Times New Roman" w:eastAsia="Times New Roman" w:cs="Times New Roman"/>
                <w:spacing w:val="-2"/>
                <w:sz w:val="24"/>
                <w:szCs w:val="24"/>
              </w:rPr>
              <w:t>2.5m</w:t>
            </w:r>
            <w:r>
              <w:rPr>
                <w:rFonts w:ascii="Times New Roman" w:hAnsi="Times New Roman" w:eastAsia="Times New Roman" w:cs="Times New Roman"/>
                <w:spacing w:val="-33"/>
                <w:sz w:val="24"/>
                <w:szCs w:val="24"/>
              </w:rPr>
              <w:t xml:space="preserve"> </w:t>
            </w:r>
            <w:r>
              <w:rPr>
                <w:spacing w:val="-2"/>
                <w:sz w:val="24"/>
                <w:szCs w:val="24"/>
              </w:rPr>
              <w:t>，一般路段围挡高度</w:t>
            </w:r>
            <w:r>
              <w:rPr>
                <w:spacing w:val="-3"/>
                <w:sz w:val="24"/>
                <w:szCs w:val="24"/>
              </w:rPr>
              <w:t>不得低于</w:t>
            </w:r>
            <w:r>
              <w:rPr>
                <w:spacing w:val="-32"/>
                <w:sz w:val="24"/>
                <w:szCs w:val="24"/>
              </w:rPr>
              <w:t xml:space="preserve"> </w:t>
            </w:r>
            <w:r>
              <w:rPr>
                <w:rFonts w:ascii="Times New Roman" w:hAnsi="Times New Roman" w:eastAsia="Times New Roman" w:cs="Times New Roman"/>
                <w:spacing w:val="-3"/>
                <w:sz w:val="24"/>
                <w:szCs w:val="24"/>
              </w:rPr>
              <w:t>1.8m</w:t>
            </w:r>
            <w:r>
              <w:rPr>
                <w:spacing w:val="-3"/>
                <w:sz w:val="24"/>
                <w:szCs w:val="24"/>
              </w:rPr>
              <w:t>。</w:t>
            </w:r>
          </w:p>
          <w:p w14:paraId="3A115547">
            <w:pPr>
              <w:pStyle w:val="6"/>
              <w:spacing w:before="184" w:line="312" w:lineRule="auto"/>
              <w:ind w:left="113" w:right="106" w:firstLine="491"/>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）出入车辆</w:t>
            </w:r>
            <w:r>
              <w:rPr>
                <w:spacing w:val="-27"/>
                <w:sz w:val="24"/>
                <w:szCs w:val="24"/>
              </w:rPr>
              <w:t xml:space="preserve"> </w:t>
            </w:r>
            <w:r>
              <w:rPr>
                <w:rFonts w:ascii="Times New Roman" w:hAnsi="Times New Roman" w:eastAsia="Times New Roman" w:cs="Times New Roman"/>
                <w:spacing w:val="3"/>
                <w:sz w:val="24"/>
                <w:szCs w:val="24"/>
              </w:rPr>
              <w:t>100%</w:t>
            </w:r>
            <w:r>
              <w:rPr>
                <w:spacing w:val="3"/>
                <w:sz w:val="24"/>
                <w:szCs w:val="24"/>
              </w:rPr>
              <w:t>冲洗。在施工现场出入口</w:t>
            </w:r>
            <w:r>
              <w:rPr>
                <w:spacing w:val="2"/>
                <w:sz w:val="24"/>
                <w:szCs w:val="24"/>
              </w:rPr>
              <w:t>应设置车辆冲洗装置和沉淀</w:t>
            </w:r>
            <w:r>
              <w:rPr>
                <w:sz w:val="24"/>
                <w:szCs w:val="24"/>
              </w:rPr>
              <w:t xml:space="preserve"> </w:t>
            </w:r>
            <w:r>
              <w:rPr>
                <w:spacing w:val="-2"/>
                <w:sz w:val="24"/>
                <w:szCs w:val="24"/>
              </w:rPr>
              <w:t>池，运输车辆底盘和车轮冲洗干净后，方可驶</w:t>
            </w:r>
            <w:r>
              <w:rPr>
                <w:spacing w:val="-3"/>
                <w:sz w:val="24"/>
                <w:szCs w:val="24"/>
              </w:rPr>
              <w:t>离施工现场。这有助于防止车辆带</w:t>
            </w:r>
            <w:r>
              <w:rPr>
                <w:sz w:val="24"/>
                <w:szCs w:val="24"/>
              </w:rPr>
              <w:t xml:space="preserve"> </w:t>
            </w:r>
            <w:r>
              <w:rPr>
                <w:spacing w:val="-1"/>
                <w:sz w:val="24"/>
                <w:szCs w:val="24"/>
              </w:rPr>
              <w:t>出的泥土和尘埃污染道路。</w:t>
            </w:r>
          </w:p>
          <w:p w14:paraId="52A60BBC">
            <w:pPr>
              <w:pStyle w:val="6"/>
              <w:spacing w:before="181" w:line="312" w:lineRule="auto"/>
              <w:ind w:left="119" w:right="71" w:firstLine="485"/>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）拆迁工地</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湿法作业。施工现场应安排专人负责卫生保</w:t>
            </w:r>
            <w:r>
              <w:rPr>
                <w:spacing w:val="-5"/>
                <w:sz w:val="24"/>
                <w:szCs w:val="24"/>
              </w:rPr>
              <w:t>洁工作，遇</w:t>
            </w:r>
            <w:r>
              <w:rPr>
                <w:sz w:val="24"/>
                <w:szCs w:val="24"/>
              </w:rPr>
              <w:t xml:space="preserve"> </w:t>
            </w:r>
            <w:r>
              <w:rPr>
                <w:spacing w:val="-2"/>
                <w:sz w:val="24"/>
                <w:szCs w:val="24"/>
              </w:rPr>
              <w:t>到干旱和大风天气时，需要增加洒水降尘次数，确保无浮土扬尘。在进行开挖、</w:t>
            </w:r>
            <w:r>
              <w:rPr>
                <w:spacing w:val="13"/>
                <w:sz w:val="24"/>
                <w:szCs w:val="24"/>
              </w:rPr>
              <w:t xml:space="preserve"> </w:t>
            </w:r>
            <w:r>
              <w:rPr>
                <w:spacing w:val="-1"/>
                <w:sz w:val="24"/>
                <w:szCs w:val="24"/>
              </w:rPr>
              <w:t>回填等土方作业时，也应辅以洒水压尘等措施。</w:t>
            </w:r>
          </w:p>
          <w:p w14:paraId="7F30803E">
            <w:pPr>
              <w:pStyle w:val="6"/>
              <w:spacing w:before="185" w:line="313" w:lineRule="auto"/>
              <w:ind w:left="113" w:right="90" w:firstLine="491"/>
              <w:rPr>
                <w:sz w:val="24"/>
                <w:szCs w:val="24"/>
              </w:rPr>
            </w:pPr>
            <w:r>
              <w:rPr>
                <w:spacing w:val="-4"/>
                <w:sz w:val="24"/>
                <w:szCs w:val="24"/>
              </w:rPr>
              <w:t>（</w:t>
            </w:r>
            <w:r>
              <w:rPr>
                <w:rFonts w:ascii="Times New Roman" w:hAnsi="Times New Roman" w:eastAsia="Times New Roman" w:cs="Times New Roman"/>
                <w:spacing w:val="-4"/>
                <w:sz w:val="24"/>
                <w:szCs w:val="24"/>
              </w:rPr>
              <w:t>4</w:t>
            </w:r>
            <w:r>
              <w:rPr>
                <w:spacing w:val="-4"/>
                <w:sz w:val="24"/>
                <w:szCs w:val="24"/>
              </w:rPr>
              <w:t>）渣土车辆</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密闭运输。易产生扬尘的建筑材料、渣土应</w:t>
            </w:r>
            <w:r>
              <w:rPr>
                <w:spacing w:val="-5"/>
                <w:sz w:val="24"/>
                <w:szCs w:val="24"/>
              </w:rPr>
              <w:t>采取密闭搬</w:t>
            </w:r>
            <w:r>
              <w:rPr>
                <w:sz w:val="24"/>
                <w:szCs w:val="24"/>
              </w:rPr>
              <w:t xml:space="preserve"> </w:t>
            </w:r>
            <w:r>
              <w:rPr>
                <w:spacing w:val="-2"/>
                <w:sz w:val="24"/>
                <w:szCs w:val="24"/>
              </w:rPr>
              <w:t>运、存储，或采用防尘布苫盖等防尘措施。运输过程中，渣土车辆应密闭运输，</w:t>
            </w:r>
            <w:r>
              <w:rPr>
                <w:spacing w:val="1"/>
                <w:sz w:val="24"/>
                <w:szCs w:val="24"/>
              </w:rPr>
              <w:t xml:space="preserve"> </w:t>
            </w:r>
            <w:r>
              <w:rPr>
                <w:spacing w:val="-1"/>
                <w:sz w:val="24"/>
                <w:szCs w:val="24"/>
              </w:rPr>
              <w:t>防止物料遗撒造成扬尘污染。</w:t>
            </w:r>
          </w:p>
          <w:p w14:paraId="298EB8CE">
            <w:pPr>
              <w:pStyle w:val="6"/>
              <w:spacing w:before="180" w:line="290" w:lineRule="auto"/>
              <w:ind w:left="117" w:right="106" w:firstLine="487"/>
              <w:rPr>
                <w:sz w:val="24"/>
                <w:szCs w:val="24"/>
              </w:rPr>
            </w:pPr>
            <w:r>
              <w:rPr>
                <w:spacing w:val="-4"/>
                <w:sz w:val="24"/>
                <w:szCs w:val="24"/>
              </w:rPr>
              <w:t>（</w:t>
            </w:r>
            <w:r>
              <w:rPr>
                <w:rFonts w:ascii="Times New Roman" w:hAnsi="Times New Roman" w:eastAsia="Times New Roman" w:cs="Times New Roman"/>
                <w:spacing w:val="-4"/>
                <w:sz w:val="24"/>
                <w:szCs w:val="24"/>
              </w:rPr>
              <w:t>5</w:t>
            </w:r>
            <w:r>
              <w:rPr>
                <w:spacing w:val="-4"/>
                <w:sz w:val="24"/>
                <w:szCs w:val="24"/>
              </w:rPr>
              <w:t>）施工现场地面</w:t>
            </w:r>
            <w:r>
              <w:rPr>
                <w:spacing w:val="-32"/>
                <w:sz w:val="24"/>
                <w:szCs w:val="24"/>
              </w:rPr>
              <w:t xml:space="preserve"> </w:t>
            </w:r>
            <w:r>
              <w:rPr>
                <w:rFonts w:ascii="Times New Roman" w:hAnsi="Times New Roman" w:eastAsia="Times New Roman" w:cs="Times New Roman"/>
                <w:spacing w:val="-4"/>
                <w:sz w:val="24"/>
                <w:szCs w:val="24"/>
              </w:rPr>
              <w:t>100%</w:t>
            </w:r>
            <w:r>
              <w:rPr>
                <w:spacing w:val="-4"/>
                <w:sz w:val="24"/>
                <w:szCs w:val="24"/>
              </w:rPr>
              <w:t>硬化。主要通道、进出道路、材料加工</w:t>
            </w:r>
            <w:r>
              <w:rPr>
                <w:spacing w:val="-5"/>
                <w:sz w:val="24"/>
                <w:szCs w:val="24"/>
              </w:rPr>
              <w:t>区及办公生</w:t>
            </w:r>
            <w:r>
              <w:rPr>
                <w:sz w:val="24"/>
                <w:szCs w:val="24"/>
              </w:rPr>
              <w:t xml:space="preserve"> </w:t>
            </w:r>
            <w:r>
              <w:rPr>
                <w:spacing w:val="-1"/>
                <w:sz w:val="24"/>
                <w:szCs w:val="24"/>
              </w:rPr>
              <w:t>活区地面应进行硬化处理，以防止地面尘土飞扬。</w:t>
            </w:r>
          </w:p>
          <w:p w14:paraId="4657AC8F">
            <w:pPr>
              <w:pStyle w:val="6"/>
              <w:spacing w:before="184" w:line="279" w:lineRule="auto"/>
              <w:ind w:left="113" w:right="106" w:firstLine="489"/>
              <w:rPr>
                <w:sz w:val="24"/>
                <w:szCs w:val="24"/>
              </w:rPr>
            </w:pPr>
            <w:r>
              <w:rPr>
                <w:sz w:val="28"/>
                <w:szCs w:val="28"/>
              </w:rPr>
              <w:t>（</w:t>
            </w:r>
            <w:r>
              <w:rPr>
                <w:rFonts w:ascii="Times New Roman" w:hAnsi="Times New Roman" w:eastAsia="Times New Roman" w:cs="Times New Roman"/>
                <w:sz w:val="28"/>
                <w:szCs w:val="28"/>
              </w:rPr>
              <w:t>6</w:t>
            </w:r>
            <w:r>
              <w:rPr>
                <w:sz w:val="28"/>
                <w:szCs w:val="28"/>
              </w:rPr>
              <w:t>）</w:t>
            </w:r>
            <w:r>
              <w:rPr>
                <w:sz w:val="24"/>
                <w:szCs w:val="24"/>
              </w:rPr>
              <w:t>物料堆放</w:t>
            </w:r>
            <w:r>
              <w:rPr>
                <w:spacing w:val="-32"/>
                <w:sz w:val="24"/>
                <w:szCs w:val="24"/>
              </w:rPr>
              <w:t xml:space="preserve"> </w:t>
            </w:r>
            <w:r>
              <w:rPr>
                <w:rFonts w:ascii="Times New Roman" w:hAnsi="Times New Roman" w:eastAsia="Times New Roman" w:cs="Times New Roman"/>
                <w:sz w:val="24"/>
                <w:szCs w:val="24"/>
              </w:rPr>
              <w:t>100%</w:t>
            </w:r>
            <w:r>
              <w:rPr>
                <w:sz w:val="24"/>
                <w:szCs w:val="24"/>
              </w:rPr>
              <w:t>覆盖。工程渣土、建筑垃圾和生活垃圾应</w:t>
            </w:r>
            <w:r>
              <w:rPr>
                <w:spacing w:val="-1"/>
                <w:sz w:val="24"/>
                <w:szCs w:val="24"/>
              </w:rPr>
              <w:t>做到集中分</w:t>
            </w:r>
            <w:r>
              <w:rPr>
                <w:sz w:val="24"/>
                <w:szCs w:val="24"/>
              </w:rPr>
              <w:t xml:space="preserve"> </w:t>
            </w:r>
            <w:r>
              <w:rPr>
                <w:spacing w:val="-2"/>
                <w:sz w:val="24"/>
                <w:szCs w:val="24"/>
              </w:rPr>
              <w:t>类堆放、严密覆盖、及时清理。在施工现场裸</w:t>
            </w:r>
            <w:r>
              <w:rPr>
                <w:spacing w:val="-3"/>
                <w:sz w:val="24"/>
                <w:szCs w:val="24"/>
              </w:rPr>
              <w:t>露的场地和集中堆放的土方，应采</w:t>
            </w:r>
          </w:p>
        </w:tc>
      </w:tr>
    </w:tbl>
    <w:p w14:paraId="46C4E1B3">
      <w:pPr>
        <w:pStyle w:val="2"/>
        <w:spacing w:line="219" w:lineRule="exact"/>
        <w:rPr>
          <w:sz w:val="19"/>
        </w:rPr>
      </w:pPr>
    </w:p>
    <w:p w14:paraId="79903911">
      <w:pPr>
        <w:spacing w:line="219" w:lineRule="exact"/>
        <w:rPr>
          <w:sz w:val="19"/>
          <w:szCs w:val="19"/>
        </w:rPr>
        <w:sectPr>
          <w:footerReference r:id="rId66" w:type="default"/>
          <w:pgSz w:w="11906" w:h="16839"/>
          <w:pgMar w:top="400" w:right="1445" w:bottom="1259" w:left="1543" w:header="0" w:footer="1097" w:gutter="0"/>
          <w:cols w:space="720" w:num="1"/>
        </w:sectPr>
      </w:pPr>
    </w:p>
    <w:p w14:paraId="184734CE">
      <w:pPr>
        <w:spacing w:before="19"/>
      </w:pPr>
    </w:p>
    <w:p w14:paraId="4FEDF314">
      <w:pPr>
        <w:spacing w:before="19"/>
      </w:pPr>
    </w:p>
    <w:p w14:paraId="39627CF4">
      <w:pPr>
        <w:spacing w:before="18"/>
      </w:pPr>
    </w:p>
    <w:p w14:paraId="2B39AC0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D7D6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371" w:type="dxa"/>
            <w:vAlign w:val="top"/>
          </w:tcPr>
          <w:p w14:paraId="38095099">
            <w:pPr>
              <w:rPr>
                <w:rFonts w:ascii="Arial"/>
                <w:sz w:val="21"/>
              </w:rPr>
            </w:pPr>
          </w:p>
        </w:tc>
        <w:tc>
          <w:tcPr>
            <w:tcW w:w="8541" w:type="dxa"/>
            <w:vAlign w:val="top"/>
          </w:tcPr>
          <w:p w14:paraId="613727EF">
            <w:pPr>
              <w:pStyle w:val="6"/>
              <w:spacing w:before="40" w:line="359" w:lineRule="auto"/>
              <w:ind w:left="115" w:right="106"/>
              <w:jc w:val="both"/>
              <w:rPr>
                <w:sz w:val="24"/>
                <w:szCs w:val="24"/>
              </w:rPr>
            </w:pPr>
            <w:r>
              <w:rPr>
                <w:spacing w:val="-3"/>
                <w:sz w:val="24"/>
                <w:szCs w:val="24"/>
              </w:rPr>
              <w:t>取覆盖、固化或绿化等防尘措施。易产生扬尘的物料，如水泥、石膏粉等，应采</w:t>
            </w:r>
            <w:r>
              <w:rPr>
                <w:spacing w:val="17"/>
                <w:sz w:val="24"/>
                <w:szCs w:val="24"/>
              </w:rPr>
              <w:t xml:space="preserve"> </w:t>
            </w:r>
            <w:r>
              <w:rPr>
                <w:spacing w:val="-3"/>
                <w:sz w:val="24"/>
                <w:szCs w:val="24"/>
              </w:rPr>
              <w:t>用专用仓库、储藏罐等形式分类存放，或用防尘布、防尘网进行覆盖，并定期洒</w:t>
            </w:r>
            <w:r>
              <w:rPr>
                <w:spacing w:val="18"/>
                <w:sz w:val="24"/>
                <w:szCs w:val="24"/>
              </w:rPr>
              <w:t xml:space="preserve"> </w:t>
            </w:r>
            <w:r>
              <w:rPr>
                <w:spacing w:val="-3"/>
                <w:sz w:val="24"/>
                <w:szCs w:val="24"/>
              </w:rPr>
              <w:t>水抑尘。</w:t>
            </w:r>
          </w:p>
          <w:p w14:paraId="350EA133">
            <w:pPr>
              <w:pStyle w:val="6"/>
              <w:spacing w:line="359" w:lineRule="auto"/>
              <w:ind w:left="113" w:right="106" w:firstLine="480"/>
              <w:rPr>
                <w:sz w:val="24"/>
                <w:szCs w:val="24"/>
              </w:rPr>
            </w:pPr>
            <w:r>
              <w:rPr>
                <w:spacing w:val="-3"/>
                <w:sz w:val="24"/>
                <w:szCs w:val="24"/>
              </w:rPr>
              <w:t>通过上述措施，能够最大限度减少扬尘的产生，使本工程的施工扬尘对大气</w:t>
            </w:r>
            <w:r>
              <w:rPr>
                <w:spacing w:val="14"/>
                <w:sz w:val="24"/>
                <w:szCs w:val="24"/>
              </w:rPr>
              <w:t xml:space="preserve"> </w:t>
            </w:r>
            <w:r>
              <w:rPr>
                <w:spacing w:val="-1"/>
                <w:sz w:val="24"/>
                <w:szCs w:val="24"/>
              </w:rPr>
              <w:t>环境产生的影响降到最低。</w:t>
            </w:r>
          </w:p>
          <w:p w14:paraId="0904F101">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）运输及动力设备运转产生的燃油废气</w:t>
            </w:r>
          </w:p>
          <w:p w14:paraId="218A9BF1">
            <w:pPr>
              <w:pStyle w:val="6"/>
              <w:spacing w:before="183" w:line="359" w:lineRule="auto"/>
              <w:ind w:left="113" w:right="106" w:firstLine="479"/>
              <w:rPr>
                <w:sz w:val="24"/>
                <w:szCs w:val="24"/>
              </w:rPr>
            </w:pPr>
            <w:r>
              <w:rPr>
                <w:spacing w:val="-3"/>
                <w:sz w:val="24"/>
                <w:szCs w:val="24"/>
              </w:rPr>
              <w:t>在建筑原材料、建筑垃圾运输过程及施工设备运转中会产生一定量的燃油废</w:t>
            </w:r>
            <w:r>
              <w:rPr>
                <w:spacing w:val="15"/>
                <w:sz w:val="24"/>
                <w:szCs w:val="24"/>
              </w:rPr>
              <w:t xml:space="preserve"> </w:t>
            </w:r>
            <w:r>
              <w:rPr>
                <w:spacing w:val="-2"/>
                <w:sz w:val="24"/>
                <w:szCs w:val="24"/>
              </w:rPr>
              <w:t>气，其主要污染物为</w:t>
            </w:r>
            <w:r>
              <w:rPr>
                <w:spacing w:val="-55"/>
                <w:sz w:val="24"/>
                <w:szCs w:val="24"/>
              </w:rPr>
              <w:t xml:space="preserve"> </w:t>
            </w:r>
            <w:r>
              <w:rPr>
                <w:rFonts w:ascii="Times New Roman" w:hAnsi="Times New Roman" w:eastAsia="Times New Roman" w:cs="Times New Roman"/>
                <w:spacing w:val="-2"/>
                <w:sz w:val="24"/>
                <w:szCs w:val="24"/>
              </w:rPr>
              <w:t>HC</w:t>
            </w:r>
            <w:r>
              <w:rPr>
                <w:rFonts w:ascii="Times New Roman" w:hAnsi="Times New Roman" w:eastAsia="Times New Roman" w:cs="Times New Roman"/>
                <w:spacing w:val="-33"/>
                <w:sz w:val="24"/>
                <w:szCs w:val="24"/>
              </w:rPr>
              <w:t xml:space="preserve"> </w:t>
            </w:r>
            <w:r>
              <w:rPr>
                <w:spacing w:val="-2"/>
                <w:sz w:val="24"/>
                <w:szCs w:val="24"/>
              </w:rPr>
              <w:t>、</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5"/>
                <w:sz w:val="24"/>
                <w:szCs w:val="24"/>
              </w:rPr>
              <w:t xml:space="preserve"> </w:t>
            </w:r>
            <w:r>
              <w:rPr>
                <w:spacing w:val="-2"/>
                <w:sz w:val="24"/>
                <w:szCs w:val="24"/>
              </w:rPr>
              <w:t>、</w:t>
            </w:r>
            <w:r>
              <w:rPr>
                <w:rFonts w:ascii="Times New Roman" w:hAnsi="Times New Roman" w:eastAsia="Times New Roman" w:cs="Times New Roman"/>
                <w:spacing w:val="-2"/>
                <w:sz w:val="24"/>
                <w:szCs w:val="24"/>
              </w:rPr>
              <w:t xml:space="preserve">NO </w:t>
            </w:r>
            <w:r>
              <w:rPr>
                <w:spacing w:val="-2"/>
                <w:sz w:val="24"/>
                <w:szCs w:val="24"/>
              </w:rPr>
              <w:t>等，施工机械设备尾气中污染物的组分</w:t>
            </w:r>
            <w:r>
              <w:rPr>
                <w:spacing w:val="-3"/>
                <w:sz w:val="24"/>
                <w:szCs w:val="24"/>
              </w:rPr>
              <w:t>与汽</w:t>
            </w:r>
            <w:r>
              <w:rPr>
                <w:sz w:val="24"/>
                <w:szCs w:val="24"/>
              </w:rPr>
              <w:t xml:space="preserve"> </w:t>
            </w:r>
            <w:r>
              <w:rPr>
                <w:spacing w:val="-2"/>
                <w:sz w:val="24"/>
                <w:szCs w:val="24"/>
              </w:rPr>
              <w:t>车尾气基本相似。由于燃油废气排放具有间歇</w:t>
            </w:r>
            <w:r>
              <w:rPr>
                <w:spacing w:val="-3"/>
                <w:sz w:val="24"/>
                <w:szCs w:val="24"/>
              </w:rPr>
              <w:t>性和流动性，污染物排放量较少且</w:t>
            </w:r>
            <w:r>
              <w:rPr>
                <w:sz w:val="24"/>
                <w:szCs w:val="24"/>
              </w:rPr>
              <w:t xml:space="preserve"> </w:t>
            </w:r>
            <w:r>
              <w:rPr>
                <w:spacing w:val="-2"/>
                <w:sz w:val="24"/>
                <w:szCs w:val="24"/>
              </w:rPr>
              <w:t>属于无组织排放，故对环境产生的影响不大。</w:t>
            </w:r>
            <w:r>
              <w:rPr>
                <w:spacing w:val="-3"/>
                <w:sz w:val="24"/>
                <w:szCs w:val="24"/>
              </w:rPr>
              <w:t>建议建设单位采用排放达标的设备</w:t>
            </w:r>
            <w:r>
              <w:rPr>
                <w:sz w:val="24"/>
                <w:szCs w:val="24"/>
              </w:rPr>
              <w:t xml:space="preserve"> </w:t>
            </w:r>
            <w:r>
              <w:rPr>
                <w:spacing w:val="-2"/>
                <w:sz w:val="24"/>
                <w:szCs w:val="24"/>
              </w:rPr>
              <w:t>和车辆，加强对机械设备和车辆的维护保养，</w:t>
            </w:r>
            <w:r>
              <w:rPr>
                <w:spacing w:val="-3"/>
                <w:sz w:val="24"/>
                <w:szCs w:val="24"/>
              </w:rPr>
              <w:t>使之处于良好的运行状态，使用合</w:t>
            </w:r>
            <w:r>
              <w:rPr>
                <w:sz w:val="24"/>
                <w:szCs w:val="24"/>
              </w:rPr>
              <w:t xml:space="preserve"> 格的油品，尽量减少设备和车辆空转空驶，</w:t>
            </w:r>
            <w:r>
              <w:rPr>
                <w:spacing w:val="-1"/>
                <w:sz w:val="24"/>
                <w:szCs w:val="24"/>
              </w:rPr>
              <w:t>可进一步减小环境影响。</w:t>
            </w:r>
          </w:p>
          <w:p w14:paraId="089CB1A8">
            <w:pPr>
              <w:pStyle w:val="6"/>
              <w:spacing w:line="219" w:lineRule="auto"/>
              <w:ind w:left="109"/>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9"/>
                <w:sz w:val="24"/>
                <w:szCs w:val="24"/>
              </w:rPr>
              <w:t xml:space="preserve"> </w:t>
            </w:r>
            <w:r>
              <w:rPr>
                <w:b/>
                <w:bCs/>
                <w:spacing w:val="-4"/>
                <w:sz w:val="24"/>
                <w:szCs w:val="24"/>
              </w:rPr>
              <w:t>、水环境影响分析与环境保护措施</w:t>
            </w:r>
          </w:p>
          <w:p w14:paraId="2C724E9F">
            <w:pPr>
              <w:pStyle w:val="6"/>
              <w:spacing w:before="181" w:line="359" w:lineRule="auto"/>
              <w:ind w:left="113" w:right="106" w:firstLine="480"/>
              <w:rPr>
                <w:sz w:val="24"/>
                <w:szCs w:val="24"/>
              </w:rPr>
            </w:pPr>
            <w:r>
              <w:rPr>
                <w:spacing w:val="-3"/>
                <w:sz w:val="24"/>
                <w:szCs w:val="24"/>
              </w:rPr>
              <w:t>本项目工人全都是就近招募，施工期不建设临时生活区，不涉及生活污水的</w:t>
            </w:r>
            <w:r>
              <w:rPr>
                <w:spacing w:val="13"/>
                <w:sz w:val="24"/>
                <w:szCs w:val="24"/>
              </w:rPr>
              <w:t xml:space="preserve"> </w:t>
            </w:r>
            <w:r>
              <w:rPr>
                <w:spacing w:val="-1"/>
                <w:sz w:val="24"/>
                <w:szCs w:val="24"/>
              </w:rPr>
              <w:t>产生和排放，施工期的水污染主要来自施工废水。</w:t>
            </w:r>
          </w:p>
          <w:p w14:paraId="4B8B79A9">
            <w:pPr>
              <w:pStyle w:val="6"/>
              <w:spacing w:before="1" w:line="359" w:lineRule="auto"/>
              <w:ind w:left="112" w:right="26" w:firstLine="480"/>
              <w:jc w:val="both"/>
              <w:rPr>
                <w:sz w:val="24"/>
                <w:szCs w:val="24"/>
              </w:rPr>
            </w:pPr>
            <w:r>
              <w:rPr>
                <w:spacing w:val="-3"/>
                <w:sz w:val="24"/>
                <w:szCs w:val="24"/>
              </w:rPr>
              <w:t>施工场内不设混凝土拌和站，使用商品混凝土。施工期由于建筑安装等工程</w:t>
            </w:r>
            <w:r>
              <w:rPr>
                <w:spacing w:val="15"/>
                <w:sz w:val="24"/>
                <w:szCs w:val="24"/>
              </w:rPr>
              <w:t xml:space="preserve"> </w:t>
            </w:r>
            <w:r>
              <w:rPr>
                <w:spacing w:val="-2"/>
                <w:sz w:val="24"/>
                <w:szCs w:val="24"/>
              </w:rPr>
              <w:t>的实施，将会产生一定量的施工废水，包括混凝</w:t>
            </w:r>
            <w:r>
              <w:rPr>
                <w:spacing w:val="-3"/>
                <w:sz w:val="24"/>
                <w:szCs w:val="24"/>
              </w:rPr>
              <w:t>土养护废水、工具清洗废水、车</w:t>
            </w:r>
            <w:r>
              <w:rPr>
                <w:sz w:val="24"/>
                <w:szCs w:val="24"/>
              </w:rPr>
              <w:t xml:space="preserve"> </w:t>
            </w:r>
            <w:r>
              <w:rPr>
                <w:spacing w:val="-2"/>
                <w:sz w:val="24"/>
                <w:szCs w:val="24"/>
              </w:rPr>
              <w:t>辆冲洗水等。根据有关资料，施工废水施中的主</w:t>
            </w:r>
            <w:r>
              <w:rPr>
                <w:spacing w:val="-3"/>
                <w:sz w:val="24"/>
                <w:szCs w:val="24"/>
              </w:rPr>
              <w:t>要污染物为悬浮物和石油类，施</w:t>
            </w:r>
            <w:r>
              <w:rPr>
                <w:sz w:val="24"/>
                <w:szCs w:val="24"/>
              </w:rPr>
              <w:t xml:space="preserve"> </w:t>
            </w:r>
            <w:r>
              <w:rPr>
                <w:spacing w:val="-7"/>
                <w:sz w:val="24"/>
                <w:szCs w:val="24"/>
              </w:rPr>
              <w:t>工废水经临时沉淀池收集、澄清后，全部回用于场内混凝土搅拌、场地洒水降尘、</w:t>
            </w:r>
            <w:r>
              <w:rPr>
                <w:spacing w:val="8"/>
                <w:sz w:val="24"/>
                <w:szCs w:val="24"/>
              </w:rPr>
              <w:t xml:space="preserve"> </w:t>
            </w:r>
            <w:r>
              <w:rPr>
                <w:spacing w:val="-1"/>
                <w:sz w:val="24"/>
                <w:szCs w:val="24"/>
              </w:rPr>
              <w:t>建筑材料冲洗等施工环节。</w:t>
            </w:r>
          </w:p>
          <w:p w14:paraId="614B1937">
            <w:pPr>
              <w:pStyle w:val="6"/>
              <w:spacing w:before="1" w:line="219" w:lineRule="auto"/>
              <w:ind w:left="596"/>
              <w:rPr>
                <w:sz w:val="24"/>
                <w:szCs w:val="24"/>
              </w:rPr>
            </w:pPr>
            <w:r>
              <w:rPr>
                <w:spacing w:val="-1"/>
                <w:sz w:val="24"/>
                <w:szCs w:val="24"/>
              </w:rPr>
              <w:t>为最大程度的减轻废水污染，施工单位应尽量做到以下污染防治措施：</w:t>
            </w:r>
          </w:p>
          <w:p w14:paraId="57B8E9D9">
            <w:pPr>
              <w:pStyle w:val="6"/>
              <w:spacing w:before="184" w:line="288" w:lineRule="auto"/>
              <w:ind w:left="117" w:right="106" w:firstLine="487"/>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）施工现场因地制宜，建造沉淀池、隔油池等污</w:t>
            </w:r>
            <w:r>
              <w:rPr>
                <w:sz w:val="24"/>
                <w:szCs w:val="24"/>
              </w:rPr>
              <w:t>水临时处理设施，对含 油量较高的施工机械冲洗水或悬浮物含量高</w:t>
            </w:r>
            <w:r>
              <w:rPr>
                <w:spacing w:val="-1"/>
                <w:sz w:val="24"/>
                <w:szCs w:val="24"/>
              </w:rPr>
              <w:t>的其它施工废水需经处理后回用。</w:t>
            </w:r>
          </w:p>
          <w:p w14:paraId="176E3412">
            <w:pPr>
              <w:pStyle w:val="6"/>
              <w:spacing w:before="183"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）砂浆应集中沉淀处理，干燥后与固体废物一起处置。</w:t>
            </w:r>
          </w:p>
          <w:p w14:paraId="56A95B83">
            <w:pPr>
              <w:pStyle w:val="6"/>
              <w:spacing w:before="182" w:line="359" w:lineRule="auto"/>
              <w:ind w:left="114" w:right="71" w:firstLine="479"/>
              <w:rPr>
                <w:sz w:val="24"/>
                <w:szCs w:val="24"/>
              </w:rPr>
            </w:pPr>
            <w:r>
              <w:rPr>
                <w:spacing w:val="-3"/>
                <w:sz w:val="24"/>
                <w:szCs w:val="24"/>
              </w:rPr>
              <w:t>通过采取以上措施，可避免污染物的无序排放，使项目施工产生的污染物均</w:t>
            </w:r>
            <w:r>
              <w:rPr>
                <w:spacing w:val="14"/>
                <w:sz w:val="24"/>
                <w:szCs w:val="24"/>
              </w:rPr>
              <w:t xml:space="preserve"> </w:t>
            </w:r>
            <w:r>
              <w:rPr>
                <w:spacing w:val="-2"/>
                <w:sz w:val="24"/>
                <w:szCs w:val="24"/>
              </w:rPr>
              <w:t>得到合理处置，最大限度减小污染物排放对外环境的影响，对水环境影响较小。</w:t>
            </w:r>
          </w:p>
          <w:p w14:paraId="6C7CB184">
            <w:pPr>
              <w:pStyle w:val="6"/>
              <w:spacing w:line="220" w:lineRule="auto"/>
              <w:ind w:left="107"/>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7"/>
                <w:sz w:val="24"/>
                <w:szCs w:val="24"/>
              </w:rPr>
              <w:t xml:space="preserve"> </w:t>
            </w:r>
            <w:r>
              <w:rPr>
                <w:b/>
                <w:bCs/>
                <w:spacing w:val="-4"/>
                <w:sz w:val="24"/>
                <w:szCs w:val="24"/>
              </w:rPr>
              <w:t>、声环境影响分析与环境保护措施</w:t>
            </w:r>
          </w:p>
          <w:p w14:paraId="0DCE80ED">
            <w:pPr>
              <w:pStyle w:val="6"/>
              <w:spacing w:before="182" w:line="342" w:lineRule="auto"/>
              <w:ind w:left="113" w:right="106" w:firstLine="480"/>
              <w:rPr>
                <w:sz w:val="24"/>
                <w:szCs w:val="24"/>
              </w:rPr>
            </w:pPr>
            <w:r>
              <w:rPr>
                <w:spacing w:val="-3"/>
                <w:sz w:val="24"/>
                <w:szCs w:val="24"/>
              </w:rPr>
              <w:t>本项目施工期噪声主要为施工机械和车辆运输产生的噪声，施工机械主要包</w:t>
            </w:r>
            <w:r>
              <w:rPr>
                <w:spacing w:val="13"/>
                <w:sz w:val="24"/>
                <w:szCs w:val="24"/>
              </w:rPr>
              <w:t xml:space="preserve"> </w:t>
            </w:r>
            <w:r>
              <w:rPr>
                <w:sz w:val="24"/>
                <w:szCs w:val="24"/>
              </w:rPr>
              <w:t>括挖掘机、推土机、钻孔机、液压桩等，本项目周边</w:t>
            </w:r>
            <w:r>
              <w:rPr>
                <w:spacing w:val="-28"/>
                <w:sz w:val="24"/>
                <w:szCs w:val="24"/>
              </w:rPr>
              <w:t xml:space="preserve"> </w:t>
            </w:r>
            <w:r>
              <w:rPr>
                <w:rFonts w:ascii="Times New Roman" w:hAnsi="Times New Roman" w:eastAsia="Times New Roman" w:cs="Times New Roman"/>
                <w:sz w:val="24"/>
                <w:szCs w:val="24"/>
              </w:rPr>
              <w:t xml:space="preserve">50 </w:t>
            </w:r>
            <w:r>
              <w:rPr>
                <w:sz w:val="24"/>
                <w:szCs w:val="24"/>
              </w:rPr>
              <w:t>米范围内没有声环境敏</w:t>
            </w:r>
          </w:p>
        </w:tc>
      </w:tr>
    </w:tbl>
    <w:p w14:paraId="65F4A58E">
      <w:pPr>
        <w:pStyle w:val="2"/>
      </w:pPr>
    </w:p>
    <w:p w14:paraId="1C63FE55">
      <w:pPr>
        <w:sectPr>
          <w:footerReference r:id="rId67" w:type="default"/>
          <w:pgSz w:w="11906" w:h="16839"/>
          <w:pgMar w:top="400" w:right="1445" w:bottom="1259" w:left="1543" w:header="0" w:footer="1097" w:gutter="0"/>
          <w:cols w:space="720" w:num="1"/>
        </w:sectPr>
      </w:pPr>
    </w:p>
    <w:p w14:paraId="3FBE122D">
      <w:pPr>
        <w:spacing w:before="19"/>
      </w:pPr>
    </w:p>
    <w:p w14:paraId="6D632169">
      <w:pPr>
        <w:spacing w:before="19"/>
      </w:pPr>
    </w:p>
    <w:p w14:paraId="06276FEE">
      <w:pPr>
        <w:spacing w:before="18"/>
      </w:pPr>
    </w:p>
    <w:p w14:paraId="1899EBE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571D5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4" w:hRule="atLeast"/>
        </w:trPr>
        <w:tc>
          <w:tcPr>
            <w:tcW w:w="371" w:type="dxa"/>
            <w:vAlign w:val="top"/>
          </w:tcPr>
          <w:p w14:paraId="201CC3DD">
            <w:pPr>
              <w:rPr>
                <w:rFonts w:ascii="Arial"/>
                <w:sz w:val="21"/>
              </w:rPr>
            </w:pPr>
          </w:p>
        </w:tc>
        <w:tc>
          <w:tcPr>
            <w:tcW w:w="8541" w:type="dxa"/>
            <w:vAlign w:val="top"/>
          </w:tcPr>
          <w:p w14:paraId="63FAC959">
            <w:pPr>
              <w:pStyle w:val="6"/>
              <w:spacing w:before="42" w:line="219" w:lineRule="auto"/>
              <w:ind w:left="114"/>
              <w:rPr>
                <w:sz w:val="24"/>
                <w:szCs w:val="24"/>
              </w:rPr>
            </w:pPr>
            <w:r>
              <w:rPr>
                <w:spacing w:val="-1"/>
                <w:sz w:val="24"/>
                <w:szCs w:val="24"/>
              </w:rPr>
              <w:t>感点，为最大程度的减轻噪声污染，施工单位应做到：</w:t>
            </w:r>
          </w:p>
          <w:p w14:paraId="1C0E6856">
            <w:pPr>
              <w:pStyle w:val="6"/>
              <w:spacing w:before="180"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）合理安排好施工进度和作业时间，加强对施工场地的监督管理。</w:t>
            </w:r>
          </w:p>
          <w:p w14:paraId="77CD87A6">
            <w:pPr>
              <w:pStyle w:val="6"/>
              <w:spacing w:before="180" w:line="290" w:lineRule="auto"/>
              <w:ind w:left="113" w:right="165" w:firstLine="491"/>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）加强对机械设备的维护保养和正确操作，保证在良好的条件下使</w:t>
            </w:r>
            <w:r>
              <w:rPr>
                <w:spacing w:val="-2"/>
                <w:sz w:val="24"/>
                <w:szCs w:val="24"/>
              </w:rPr>
              <w:t>用，</w:t>
            </w:r>
            <w:r>
              <w:rPr>
                <w:sz w:val="24"/>
                <w:szCs w:val="24"/>
              </w:rPr>
              <w:t xml:space="preserve"> </w:t>
            </w:r>
            <w:r>
              <w:rPr>
                <w:spacing w:val="-2"/>
                <w:sz w:val="24"/>
                <w:szCs w:val="24"/>
              </w:rPr>
              <w:t>减少运行噪声。</w:t>
            </w:r>
          </w:p>
          <w:p w14:paraId="58299B1B">
            <w:pPr>
              <w:pStyle w:val="6"/>
              <w:spacing w:before="179" w:line="290" w:lineRule="auto"/>
              <w:ind w:left="118" w:right="106" w:firstLine="486"/>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）优化高噪设备的布局，尽量布置在施工场地的</w:t>
            </w:r>
            <w:r>
              <w:rPr>
                <w:sz w:val="24"/>
                <w:szCs w:val="24"/>
              </w:rPr>
              <w:t xml:space="preserve">中央，确保施工场界噪 </w:t>
            </w:r>
            <w:r>
              <w:rPr>
                <w:spacing w:val="-1"/>
                <w:sz w:val="24"/>
                <w:szCs w:val="24"/>
              </w:rPr>
              <w:t>声达到《建筑施工场界环境噪声排放标准》（</w:t>
            </w:r>
            <w:r>
              <w:rPr>
                <w:rFonts w:ascii="Times New Roman" w:hAnsi="Times New Roman" w:eastAsia="Times New Roman" w:cs="Times New Roman"/>
                <w:spacing w:val="-1"/>
                <w:sz w:val="24"/>
                <w:szCs w:val="24"/>
              </w:rPr>
              <w:t>GB12523-2011</w:t>
            </w:r>
            <w:r>
              <w:rPr>
                <w:spacing w:val="-1"/>
                <w:sz w:val="24"/>
                <w:szCs w:val="24"/>
              </w:rPr>
              <w:t>）规定的要求。</w:t>
            </w:r>
          </w:p>
          <w:p w14:paraId="0DFB218B">
            <w:pPr>
              <w:pStyle w:val="6"/>
              <w:spacing w:before="182" w:line="288"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）做好施工机械和运输车辆的调度和交通疏导工</w:t>
            </w:r>
            <w:r>
              <w:rPr>
                <w:sz w:val="24"/>
                <w:szCs w:val="24"/>
              </w:rPr>
              <w:t xml:space="preserve">作，禁止车辆鸣笛，降 </w:t>
            </w:r>
            <w:r>
              <w:rPr>
                <w:spacing w:val="-2"/>
                <w:sz w:val="24"/>
                <w:szCs w:val="24"/>
              </w:rPr>
              <w:t>低交通噪声。</w:t>
            </w:r>
          </w:p>
          <w:p w14:paraId="11AE4E55">
            <w:pPr>
              <w:pStyle w:val="6"/>
              <w:spacing w:before="184" w:line="219" w:lineRule="auto"/>
              <w:ind w:left="593"/>
              <w:rPr>
                <w:sz w:val="24"/>
                <w:szCs w:val="24"/>
              </w:rPr>
            </w:pPr>
            <w:r>
              <w:rPr>
                <w:spacing w:val="-1"/>
                <w:sz w:val="24"/>
                <w:szCs w:val="24"/>
              </w:rPr>
              <w:t>通过采取以上措施，能够最大限度减少噪声对周围声环境的影响。</w:t>
            </w:r>
          </w:p>
          <w:p w14:paraId="5C2798B2">
            <w:pPr>
              <w:pStyle w:val="6"/>
              <w:spacing w:before="182" w:line="220" w:lineRule="auto"/>
              <w:ind w:left="109"/>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0"/>
                <w:sz w:val="24"/>
                <w:szCs w:val="24"/>
              </w:rPr>
              <w:t xml:space="preserve"> </w:t>
            </w:r>
            <w:r>
              <w:rPr>
                <w:b/>
                <w:bCs/>
                <w:spacing w:val="-4"/>
                <w:sz w:val="24"/>
                <w:szCs w:val="24"/>
              </w:rPr>
              <w:t>、固体废物环境影响分析及环境保护措施</w:t>
            </w:r>
          </w:p>
          <w:p w14:paraId="40AC613B">
            <w:pPr>
              <w:pStyle w:val="6"/>
              <w:spacing w:before="184" w:line="354" w:lineRule="auto"/>
              <w:ind w:left="112" w:right="26" w:firstLine="480"/>
              <w:jc w:val="both"/>
              <w:rPr>
                <w:sz w:val="24"/>
                <w:szCs w:val="24"/>
              </w:rPr>
            </w:pPr>
            <w:r>
              <w:rPr>
                <w:spacing w:val="-3"/>
                <w:sz w:val="24"/>
                <w:szCs w:val="24"/>
              </w:rPr>
              <w:t>施工过程产生的固体废物主要是弃土、建筑垃圾和生活垃圾。弃土优先用于</w:t>
            </w:r>
            <w:r>
              <w:rPr>
                <w:spacing w:val="15"/>
                <w:sz w:val="24"/>
                <w:szCs w:val="24"/>
              </w:rPr>
              <w:t xml:space="preserve"> </w:t>
            </w:r>
            <w:r>
              <w:rPr>
                <w:spacing w:val="-2"/>
                <w:sz w:val="24"/>
                <w:szCs w:val="24"/>
              </w:rPr>
              <w:t>其他公共设施建设，若无法合理利用，应集中收</w:t>
            </w:r>
            <w:r>
              <w:rPr>
                <w:spacing w:val="-3"/>
                <w:sz w:val="24"/>
                <w:szCs w:val="24"/>
              </w:rPr>
              <w:t>集转运至建筑垃圾填埋场作消纳</w:t>
            </w:r>
            <w:r>
              <w:rPr>
                <w:sz w:val="24"/>
                <w:szCs w:val="24"/>
              </w:rPr>
              <w:t xml:space="preserve"> </w:t>
            </w:r>
            <w:r>
              <w:rPr>
                <w:spacing w:val="-7"/>
                <w:sz w:val="24"/>
                <w:szCs w:val="24"/>
              </w:rPr>
              <w:t>处理，不得随意堆放。施工建筑垃圾主要是石子、混凝土块、砖头、石块、石屑、</w:t>
            </w:r>
            <w:r>
              <w:rPr>
                <w:spacing w:val="8"/>
                <w:sz w:val="24"/>
                <w:szCs w:val="24"/>
              </w:rPr>
              <w:t xml:space="preserve"> </w:t>
            </w:r>
            <w:r>
              <w:rPr>
                <w:spacing w:val="-2"/>
                <w:sz w:val="24"/>
                <w:szCs w:val="24"/>
              </w:rPr>
              <w:t>黄沙、石灰和废木料等，能回收利用的予以回收</w:t>
            </w:r>
            <w:r>
              <w:rPr>
                <w:spacing w:val="-3"/>
                <w:sz w:val="24"/>
                <w:szCs w:val="24"/>
              </w:rPr>
              <w:t>利用，如产生的废钢筋、废水泥</w:t>
            </w:r>
            <w:r>
              <w:rPr>
                <w:sz w:val="24"/>
                <w:szCs w:val="24"/>
              </w:rPr>
              <w:t xml:space="preserve"> </w:t>
            </w:r>
            <w:r>
              <w:rPr>
                <w:spacing w:val="-2"/>
                <w:sz w:val="24"/>
                <w:szCs w:val="24"/>
              </w:rPr>
              <w:t>块等建筑垃圾综合利用，不能回收的应集中收集</w:t>
            </w:r>
            <w:r>
              <w:rPr>
                <w:spacing w:val="-3"/>
                <w:sz w:val="24"/>
                <w:szCs w:val="24"/>
              </w:rPr>
              <w:t>转运至建筑垃圾填埋场作消纳处</w:t>
            </w:r>
            <w:r>
              <w:rPr>
                <w:sz w:val="24"/>
                <w:szCs w:val="24"/>
              </w:rPr>
              <w:t xml:space="preserve"> </w:t>
            </w:r>
            <w:r>
              <w:rPr>
                <w:spacing w:val="-2"/>
                <w:sz w:val="24"/>
                <w:szCs w:val="24"/>
              </w:rPr>
              <w:t>理，不得随意堆放。生活垃圾要集中定点收集，</w:t>
            </w:r>
            <w:r>
              <w:rPr>
                <w:spacing w:val="-3"/>
                <w:sz w:val="24"/>
                <w:szCs w:val="24"/>
              </w:rPr>
              <w:t>定期由环卫部门清运，不得任意</w:t>
            </w:r>
            <w:r>
              <w:rPr>
                <w:sz w:val="24"/>
                <w:szCs w:val="24"/>
              </w:rPr>
              <w:t xml:space="preserve"> </w:t>
            </w:r>
            <w:r>
              <w:rPr>
                <w:spacing w:val="-1"/>
                <w:sz w:val="24"/>
                <w:szCs w:val="24"/>
              </w:rPr>
              <w:t>堆放和丢弃，以减少对环境的影响。</w:t>
            </w:r>
          </w:p>
        </w:tc>
      </w:tr>
      <w:tr w14:paraId="6C02D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3" w:hRule="atLeast"/>
        </w:trPr>
        <w:tc>
          <w:tcPr>
            <w:tcW w:w="371" w:type="dxa"/>
            <w:textDirection w:val="tbRlV"/>
            <w:vAlign w:val="top"/>
          </w:tcPr>
          <w:p w14:paraId="175C120F">
            <w:pPr>
              <w:pStyle w:val="6"/>
              <w:spacing w:before="64" w:line="209" w:lineRule="auto"/>
              <w:ind w:left="1049"/>
              <w:rPr>
                <w:sz w:val="24"/>
                <w:szCs w:val="24"/>
              </w:rPr>
            </w:pPr>
            <w:r>
              <w:rPr>
                <w:spacing w:val="24"/>
                <w:w w:val="117"/>
                <w:sz w:val="24"/>
                <w:szCs w:val="24"/>
              </w:rPr>
              <w:t>运营期环境影响和保护措施</w:t>
            </w:r>
          </w:p>
        </w:tc>
        <w:tc>
          <w:tcPr>
            <w:tcW w:w="8541" w:type="dxa"/>
            <w:vAlign w:val="top"/>
          </w:tcPr>
          <w:p w14:paraId="74698522">
            <w:pPr>
              <w:pStyle w:val="6"/>
              <w:spacing w:before="192" w:line="220" w:lineRule="auto"/>
              <w:ind w:left="119"/>
              <w:outlineLvl w:val="1"/>
              <w:rPr>
                <w:sz w:val="24"/>
                <w:szCs w:val="24"/>
              </w:rPr>
            </w:pPr>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21"/>
                <w:sz w:val="24"/>
                <w:szCs w:val="24"/>
              </w:rPr>
              <w:t xml:space="preserve"> </w:t>
            </w:r>
            <w:r>
              <w:rPr>
                <w:b/>
                <w:bCs/>
                <w:spacing w:val="-5"/>
                <w:sz w:val="24"/>
                <w:szCs w:val="24"/>
              </w:rPr>
              <w:t>、大气环境影响分析与环境保护措施</w:t>
            </w:r>
          </w:p>
          <w:p w14:paraId="335D71EB">
            <w:pPr>
              <w:pStyle w:val="6"/>
              <w:spacing w:before="181" w:line="359" w:lineRule="auto"/>
              <w:ind w:left="111" w:right="106" w:firstLine="482"/>
              <w:jc w:val="both"/>
              <w:rPr>
                <w:sz w:val="24"/>
                <w:szCs w:val="24"/>
              </w:rPr>
            </w:pPr>
            <w:r>
              <w:rPr>
                <w:spacing w:val="-3"/>
                <w:sz w:val="24"/>
                <w:szCs w:val="24"/>
              </w:rPr>
              <w:t>本项目为危险化学品停车场及配套设施建设项目，项目运营过程中运输车辆</w:t>
            </w:r>
            <w:r>
              <w:rPr>
                <w:spacing w:val="13"/>
                <w:sz w:val="24"/>
                <w:szCs w:val="24"/>
              </w:rPr>
              <w:t xml:space="preserve"> </w:t>
            </w:r>
            <w:r>
              <w:rPr>
                <w:spacing w:val="-2"/>
                <w:sz w:val="24"/>
                <w:szCs w:val="24"/>
              </w:rPr>
              <w:t>仅在停车场临时停放，不涉及物料装卸。运营期产</w:t>
            </w:r>
            <w:r>
              <w:rPr>
                <w:spacing w:val="-3"/>
                <w:sz w:val="24"/>
                <w:szCs w:val="24"/>
              </w:rPr>
              <w:t>生的废气主要为汽车尾气和槽</w:t>
            </w:r>
            <w:r>
              <w:rPr>
                <w:sz w:val="24"/>
                <w:szCs w:val="24"/>
              </w:rPr>
              <w:t xml:space="preserve"> </w:t>
            </w:r>
            <w:r>
              <w:rPr>
                <w:spacing w:val="-1"/>
                <w:sz w:val="24"/>
                <w:szCs w:val="24"/>
              </w:rPr>
              <w:t>罐车顶呼吸废气，均为无组织排放，具有间歇性和流动性。</w:t>
            </w:r>
          </w:p>
          <w:p w14:paraId="24254789">
            <w:pPr>
              <w:pStyle w:val="6"/>
              <w:spacing w:line="218"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）汽车尾气</w:t>
            </w:r>
          </w:p>
          <w:p w14:paraId="05309AF0">
            <w:pPr>
              <w:pStyle w:val="6"/>
              <w:spacing w:before="185" w:line="359" w:lineRule="auto"/>
              <w:ind w:left="112" w:right="106" w:firstLine="481"/>
              <w:rPr>
                <w:sz w:val="24"/>
                <w:szCs w:val="24"/>
              </w:rPr>
            </w:pPr>
            <w:r>
              <w:rPr>
                <w:spacing w:val="-3"/>
                <w:sz w:val="24"/>
                <w:szCs w:val="24"/>
              </w:rPr>
              <w:t>本项目场站进出的车辆主要为大型货车和槽罐车，燃料为柴油，进出项目停</w:t>
            </w:r>
            <w:r>
              <w:rPr>
                <w:spacing w:val="13"/>
                <w:sz w:val="24"/>
                <w:szCs w:val="24"/>
              </w:rPr>
              <w:t xml:space="preserve"> </w:t>
            </w:r>
            <w:r>
              <w:rPr>
                <w:spacing w:val="-1"/>
                <w:sz w:val="24"/>
                <w:szCs w:val="24"/>
              </w:rPr>
              <w:t>车场时汽车怠速及慢速（</w:t>
            </w:r>
            <w:r>
              <w:rPr>
                <w:rFonts w:ascii="Times New Roman" w:hAnsi="Times New Roman" w:eastAsia="Times New Roman" w:cs="Times New Roman"/>
                <w:spacing w:val="-1"/>
                <w:sz w:val="24"/>
                <w:szCs w:val="24"/>
              </w:rPr>
              <w:t>V</w:t>
            </w:r>
            <w:r>
              <w:rPr>
                <w:spacing w:val="-1"/>
                <w:sz w:val="24"/>
                <w:szCs w:val="24"/>
              </w:rPr>
              <w:t>≤</w:t>
            </w:r>
            <w:r>
              <w:rPr>
                <w:rFonts w:ascii="Times New Roman" w:hAnsi="Times New Roman" w:eastAsia="Times New Roman" w:cs="Times New Roman"/>
                <w:spacing w:val="-1"/>
                <w:sz w:val="24"/>
                <w:szCs w:val="24"/>
              </w:rPr>
              <w:t>10km/h</w:t>
            </w:r>
            <w:r>
              <w:rPr>
                <w:spacing w:val="-1"/>
                <w:sz w:val="24"/>
                <w:szCs w:val="24"/>
              </w:rPr>
              <w:t>）状态下的尾气排放，污染物主要有烟尘、</w:t>
            </w:r>
            <w:r>
              <w:rPr>
                <w:spacing w:val="7"/>
                <w:sz w:val="24"/>
                <w:szCs w:val="24"/>
              </w:rPr>
              <w:t xml:space="preserve"> </w:t>
            </w:r>
            <w:r>
              <w:rPr>
                <w:rFonts w:ascii="Times New Roman" w:hAnsi="Times New Roman" w:eastAsia="Times New Roman" w:cs="Times New Roman"/>
                <w:spacing w:val="-5"/>
                <w:sz w:val="24"/>
                <w:szCs w:val="24"/>
              </w:rPr>
              <w:t>CO</w:t>
            </w:r>
            <w:r>
              <w:rPr>
                <w:rFonts w:ascii="Times New Roman" w:hAnsi="Times New Roman" w:eastAsia="Times New Roman" w:cs="Times New Roman"/>
                <w:spacing w:val="-32"/>
                <w:sz w:val="24"/>
                <w:szCs w:val="24"/>
              </w:rPr>
              <w:t xml:space="preserve"> </w:t>
            </w:r>
            <w:r>
              <w:rPr>
                <w:spacing w:val="-5"/>
                <w:sz w:val="24"/>
                <w:szCs w:val="24"/>
              </w:rPr>
              <w:t>、</w:t>
            </w:r>
            <w:r>
              <w:rPr>
                <w:rFonts w:ascii="Times New Roman" w:hAnsi="Times New Roman" w:eastAsia="Times New Roman" w:cs="Times New Roman"/>
                <w:spacing w:val="-5"/>
                <w:sz w:val="24"/>
                <w:szCs w:val="24"/>
              </w:rPr>
              <w:t>NOx</w:t>
            </w:r>
            <w:r>
              <w:rPr>
                <w:rFonts w:ascii="Times New Roman" w:hAnsi="Times New Roman" w:eastAsia="Times New Roman" w:cs="Times New Roman"/>
                <w:spacing w:val="-34"/>
                <w:sz w:val="24"/>
                <w:szCs w:val="24"/>
              </w:rPr>
              <w:t xml:space="preserve"> </w:t>
            </w:r>
            <w:r>
              <w:rPr>
                <w:spacing w:val="-5"/>
                <w:sz w:val="24"/>
                <w:szCs w:val="24"/>
              </w:rPr>
              <w:t>、</w:t>
            </w:r>
            <w:r>
              <w:rPr>
                <w:rFonts w:ascii="Times New Roman" w:hAnsi="Times New Roman" w:eastAsia="Times New Roman" w:cs="Times New Roman"/>
                <w:spacing w:val="-5"/>
                <w:sz w:val="24"/>
                <w:szCs w:val="24"/>
              </w:rPr>
              <w:t xml:space="preserve">THC </w:t>
            </w:r>
            <w:r>
              <w:rPr>
                <w:spacing w:val="-5"/>
                <w:sz w:val="24"/>
                <w:szCs w:val="24"/>
              </w:rPr>
              <w:t>等。</w:t>
            </w:r>
          </w:p>
          <w:p w14:paraId="1D27A939">
            <w:pPr>
              <w:pStyle w:val="6"/>
              <w:spacing w:line="218"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）重载槽罐车小呼吸废气</w:t>
            </w:r>
          </w:p>
          <w:p w14:paraId="208AE3BC">
            <w:pPr>
              <w:pStyle w:val="6"/>
              <w:spacing w:before="181" w:line="351" w:lineRule="auto"/>
              <w:ind w:left="118" w:right="106" w:firstLine="475"/>
              <w:rPr>
                <w:sz w:val="24"/>
                <w:szCs w:val="24"/>
              </w:rPr>
            </w:pPr>
            <w:r>
              <w:rPr>
                <w:spacing w:val="-3"/>
                <w:sz w:val="24"/>
                <w:szCs w:val="24"/>
              </w:rPr>
              <w:t>本项目停车场共设计</w:t>
            </w:r>
            <w:r>
              <w:rPr>
                <w:spacing w:val="-50"/>
                <w:sz w:val="24"/>
                <w:szCs w:val="24"/>
              </w:rPr>
              <w:t xml:space="preserve"> </w:t>
            </w:r>
            <w:r>
              <w:rPr>
                <w:rFonts w:ascii="Times New Roman" w:hAnsi="Times New Roman" w:eastAsia="Times New Roman" w:cs="Times New Roman"/>
                <w:spacing w:val="-3"/>
                <w:sz w:val="24"/>
                <w:szCs w:val="24"/>
              </w:rPr>
              <w:t xml:space="preserve">92 </w:t>
            </w:r>
            <w:r>
              <w:rPr>
                <w:spacing w:val="-3"/>
                <w:sz w:val="24"/>
                <w:szCs w:val="24"/>
              </w:rPr>
              <w:t>个停车位，其中重</w:t>
            </w:r>
            <w:r>
              <w:rPr>
                <w:spacing w:val="-4"/>
                <w:sz w:val="24"/>
                <w:szCs w:val="24"/>
              </w:rPr>
              <w:t>载车辆停车位</w:t>
            </w:r>
            <w:r>
              <w:rPr>
                <w:spacing w:val="-32"/>
                <w:sz w:val="24"/>
                <w:szCs w:val="24"/>
              </w:rPr>
              <w:t xml:space="preserve"> </w:t>
            </w:r>
            <w:r>
              <w:rPr>
                <w:rFonts w:ascii="Times New Roman" w:hAnsi="Times New Roman" w:eastAsia="Times New Roman" w:cs="Times New Roman"/>
                <w:spacing w:val="-4"/>
                <w:sz w:val="24"/>
                <w:szCs w:val="24"/>
              </w:rPr>
              <w:t xml:space="preserve">10 </w:t>
            </w:r>
            <w:r>
              <w:rPr>
                <w:spacing w:val="-4"/>
                <w:sz w:val="24"/>
                <w:szCs w:val="24"/>
              </w:rPr>
              <w:t>个，空车停车位</w:t>
            </w:r>
            <w:r>
              <w:rPr>
                <w:sz w:val="24"/>
                <w:szCs w:val="24"/>
              </w:rPr>
              <w:t xml:space="preserve"> </w:t>
            </w:r>
            <w:r>
              <w:rPr>
                <w:rFonts w:ascii="Times New Roman" w:hAnsi="Times New Roman" w:eastAsia="Times New Roman" w:cs="Times New Roman"/>
                <w:spacing w:val="2"/>
                <w:sz w:val="24"/>
                <w:szCs w:val="24"/>
              </w:rPr>
              <w:t xml:space="preserve">82 </w:t>
            </w:r>
            <w:r>
              <w:rPr>
                <w:spacing w:val="2"/>
                <w:sz w:val="24"/>
                <w:szCs w:val="24"/>
              </w:rPr>
              <w:t>个，场内不涉及各类地埋式储罐及装卸服务，也不涉及罐车内壁清洗服务，</w:t>
            </w:r>
            <w:r>
              <w:rPr>
                <w:spacing w:val="17"/>
                <w:sz w:val="24"/>
                <w:szCs w:val="24"/>
              </w:rPr>
              <w:t xml:space="preserve"> </w:t>
            </w:r>
            <w:r>
              <w:rPr>
                <w:spacing w:val="-3"/>
                <w:sz w:val="24"/>
                <w:szCs w:val="24"/>
              </w:rPr>
              <w:t>因此不存在地埋储罐呼吸废气排放，仅有液态物料重载槽罐车停放过程中产生的</w:t>
            </w:r>
          </w:p>
        </w:tc>
      </w:tr>
    </w:tbl>
    <w:p w14:paraId="0C0B249D">
      <w:pPr>
        <w:pStyle w:val="2"/>
      </w:pPr>
    </w:p>
    <w:p w14:paraId="1FA2EB5F">
      <w:pPr>
        <w:sectPr>
          <w:footerReference r:id="rId68" w:type="default"/>
          <w:pgSz w:w="11906" w:h="16839"/>
          <w:pgMar w:top="400" w:right="1445" w:bottom="1259" w:left="1543" w:header="0" w:footer="1097" w:gutter="0"/>
          <w:cols w:space="720" w:num="1"/>
        </w:sectPr>
      </w:pPr>
    </w:p>
    <w:p w14:paraId="48C2BFE0">
      <w:pPr>
        <w:spacing w:before="19"/>
      </w:pPr>
    </w:p>
    <w:p w14:paraId="65C9C7B6">
      <w:pPr>
        <w:spacing w:before="19"/>
      </w:pPr>
    </w:p>
    <w:p w14:paraId="43FC72C2">
      <w:pPr>
        <w:spacing w:before="18"/>
      </w:pPr>
    </w:p>
    <w:p w14:paraId="3139B84E">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3AA33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4BA4EC1E">
            <w:pPr>
              <w:rPr>
                <w:rFonts w:ascii="Arial"/>
                <w:sz w:val="21"/>
              </w:rPr>
            </w:pPr>
          </w:p>
        </w:tc>
        <w:tc>
          <w:tcPr>
            <w:tcW w:w="8541" w:type="dxa"/>
            <w:vAlign w:val="top"/>
          </w:tcPr>
          <w:p w14:paraId="5FA0B4B2">
            <w:pPr>
              <w:pStyle w:val="6"/>
              <w:spacing w:before="42" w:line="359" w:lineRule="auto"/>
              <w:ind w:left="114" w:right="26" w:firstLine="5"/>
              <w:jc w:val="both"/>
              <w:rPr>
                <w:sz w:val="24"/>
                <w:szCs w:val="24"/>
              </w:rPr>
            </w:pPr>
            <w:r>
              <w:rPr>
                <w:spacing w:val="-3"/>
                <w:sz w:val="24"/>
                <w:szCs w:val="24"/>
              </w:rPr>
              <w:t>小呼吸废气排放。罐车受环境温度的变化使得罐车内部液态原料向气态转化，转</w:t>
            </w:r>
            <w:r>
              <w:rPr>
                <w:spacing w:val="13"/>
                <w:sz w:val="24"/>
                <w:szCs w:val="24"/>
              </w:rPr>
              <w:t xml:space="preserve"> </w:t>
            </w:r>
            <w:r>
              <w:rPr>
                <w:spacing w:val="-2"/>
                <w:sz w:val="24"/>
                <w:szCs w:val="24"/>
              </w:rPr>
              <w:t>化后的气体通过罐车顶部的排气管排入大气</w:t>
            </w:r>
            <w:r>
              <w:rPr>
                <w:spacing w:val="-3"/>
                <w:sz w:val="24"/>
                <w:szCs w:val="24"/>
              </w:rPr>
              <w:t>环境。本项目重载槽罐车内液体物料</w:t>
            </w:r>
            <w:r>
              <w:rPr>
                <w:sz w:val="24"/>
                <w:szCs w:val="24"/>
              </w:rPr>
              <w:t xml:space="preserve"> </w:t>
            </w:r>
            <w:r>
              <w:rPr>
                <w:spacing w:val="-1"/>
                <w:sz w:val="24"/>
                <w:szCs w:val="24"/>
              </w:rPr>
              <w:t>主要有硫酸、氯甲酸</w:t>
            </w:r>
            <w:r>
              <w:rPr>
                <w:rFonts w:ascii="Times New Roman" w:hAnsi="Times New Roman" w:eastAsia="Times New Roman" w:cs="Times New Roman"/>
                <w:spacing w:val="-1"/>
                <w:sz w:val="24"/>
                <w:szCs w:val="24"/>
              </w:rPr>
              <w:t>-2-</w:t>
            </w:r>
            <w:r>
              <w:rPr>
                <w:spacing w:val="-1"/>
                <w:sz w:val="24"/>
                <w:szCs w:val="24"/>
              </w:rPr>
              <w:t>乙基己酯、三氯氢硅、甲醇、乙醇、</w:t>
            </w:r>
            <w:r>
              <w:rPr>
                <w:spacing w:val="-2"/>
                <w:sz w:val="24"/>
                <w:szCs w:val="24"/>
              </w:rPr>
              <w:t>氨水、液氨、液氯、</w:t>
            </w:r>
            <w:r>
              <w:rPr>
                <w:sz w:val="24"/>
                <w:szCs w:val="24"/>
              </w:rPr>
              <w:t xml:space="preserve"> </w:t>
            </w:r>
            <w:r>
              <w:rPr>
                <w:spacing w:val="-7"/>
                <w:sz w:val="24"/>
                <w:szCs w:val="24"/>
              </w:rPr>
              <w:t>苯、甲苯、二甲苯、次氯酸钠、二氯乙烷、过氧化氢、过氧化新癸酸异丙基苯酯、</w:t>
            </w:r>
            <w:r>
              <w:rPr>
                <w:spacing w:val="6"/>
                <w:sz w:val="24"/>
                <w:szCs w:val="24"/>
              </w:rPr>
              <w:t xml:space="preserve"> </w:t>
            </w:r>
            <w:r>
              <w:rPr>
                <w:spacing w:val="-2"/>
                <w:sz w:val="24"/>
                <w:szCs w:val="24"/>
              </w:rPr>
              <w:t>过氧化二碳酸二辛酯、焦油、溶剂油、三氯</w:t>
            </w:r>
            <w:r>
              <w:rPr>
                <w:spacing w:val="-3"/>
                <w:sz w:val="24"/>
                <w:szCs w:val="24"/>
              </w:rPr>
              <w:t>化铁、洗油、硝酸、盐酸，均为挥发</w:t>
            </w:r>
            <w:r>
              <w:rPr>
                <w:sz w:val="24"/>
                <w:szCs w:val="24"/>
              </w:rPr>
              <w:t xml:space="preserve"> </w:t>
            </w:r>
            <w:r>
              <w:rPr>
                <w:spacing w:val="-1"/>
                <w:sz w:val="24"/>
                <w:szCs w:val="24"/>
              </w:rPr>
              <w:t>性有机物，采用非甲烷总烃作为常用表征指标进行估算。</w:t>
            </w:r>
          </w:p>
          <w:p w14:paraId="32201BE9">
            <w:pPr>
              <w:pStyle w:val="6"/>
              <w:spacing w:before="1" w:line="341" w:lineRule="auto"/>
              <w:ind w:left="119" w:right="106" w:firstLine="474"/>
              <w:rPr>
                <w:sz w:val="24"/>
                <w:szCs w:val="24"/>
              </w:rPr>
            </w:pPr>
            <w:r>
              <w:rPr>
                <w:spacing w:val="-3"/>
                <w:sz w:val="24"/>
                <w:szCs w:val="24"/>
              </w:rPr>
              <w:t>重载罐车小呼吸排放量计算参考《中国石油化工系统经验公式》中固定顶罐</w:t>
            </w:r>
            <w:r>
              <w:rPr>
                <w:spacing w:val="13"/>
                <w:sz w:val="24"/>
                <w:szCs w:val="24"/>
              </w:rPr>
              <w:t xml:space="preserve"> </w:t>
            </w:r>
            <w:r>
              <w:rPr>
                <w:spacing w:val="-2"/>
                <w:sz w:val="24"/>
                <w:szCs w:val="24"/>
              </w:rPr>
              <w:t>小呼吸排放估算公式：</w:t>
            </w:r>
          </w:p>
          <w:p w14:paraId="1647D766">
            <w:pPr>
              <w:pStyle w:val="6"/>
              <w:spacing w:before="1" w:line="351" w:lineRule="auto"/>
              <w:ind w:left="598" w:right="571" w:hanging="26"/>
              <w:rPr>
                <w:sz w:val="24"/>
                <w:szCs w:val="24"/>
              </w:rPr>
            </w:pPr>
            <w:r>
              <w:rPr>
                <w:rFonts w:ascii="Times New Roman" w:hAnsi="Times New Roman" w:eastAsia="Times New Roman" w:cs="Times New Roman"/>
                <w:spacing w:val="-2"/>
                <w:sz w:val="24"/>
                <w:szCs w:val="24"/>
              </w:rPr>
              <w:t>L</w:t>
            </w:r>
            <w:r>
              <w:rPr>
                <w:rFonts w:ascii="Times New Roman" w:hAnsi="Times New Roman" w:eastAsia="Times New Roman" w:cs="Times New Roman"/>
                <w:spacing w:val="-2"/>
                <w:position w:val="-2"/>
                <w:sz w:val="15"/>
                <w:szCs w:val="15"/>
              </w:rPr>
              <w:t>b</w:t>
            </w:r>
            <w:r>
              <w:rPr>
                <w:rFonts w:ascii="Times New Roman" w:hAnsi="Times New Roman" w:eastAsia="Times New Roman" w:cs="Times New Roman"/>
                <w:spacing w:val="-2"/>
                <w:sz w:val="24"/>
                <w:szCs w:val="24"/>
              </w:rPr>
              <w:t>=0.191</w:t>
            </w:r>
            <w:r>
              <w:rPr>
                <w:spacing w:val="-2"/>
                <w:sz w:val="24"/>
                <w:szCs w:val="24"/>
              </w:rPr>
              <w:t>×</w:t>
            </w:r>
            <w:r>
              <w:rPr>
                <w:rFonts w:ascii="Times New Roman" w:hAnsi="Times New Roman" w:eastAsia="Times New Roman" w:cs="Times New Roman"/>
                <w:spacing w:val="-2"/>
                <w:sz w:val="24"/>
                <w:szCs w:val="24"/>
              </w:rPr>
              <w:t>M</w:t>
            </w:r>
            <w:r>
              <w:rPr>
                <w:spacing w:val="-2"/>
                <w:sz w:val="24"/>
                <w:szCs w:val="24"/>
              </w:rPr>
              <w:t>（</w:t>
            </w:r>
            <w:r>
              <w:rPr>
                <w:rFonts w:ascii="Times New Roman" w:hAnsi="Times New Roman" w:eastAsia="Times New Roman" w:cs="Times New Roman"/>
                <w:spacing w:val="-2"/>
                <w:sz w:val="24"/>
                <w:szCs w:val="24"/>
              </w:rPr>
              <w:t>P/</w:t>
            </w:r>
            <w:r>
              <w:rPr>
                <w:spacing w:val="-2"/>
                <w:sz w:val="24"/>
                <w:szCs w:val="24"/>
              </w:rPr>
              <w:t>（</w:t>
            </w:r>
            <w:r>
              <w:rPr>
                <w:rFonts w:ascii="Times New Roman" w:hAnsi="Times New Roman" w:eastAsia="Times New Roman" w:cs="Times New Roman"/>
                <w:spacing w:val="-2"/>
                <w:sz w:val="24"/>
                <w:szCs w:val="24"/>
              </w:rPr>
              <w:t>100910-P</w:t>
            </w:r>
            <w:r>
              <w:rPr>
                <w:spacing w:val="3"/>
                <w:sz w:val="24"/>
                <w:szCs w:val="24"/>
              </w:rPr>
              <w:t>））</w:t>
            </w:r>
            <w:r>
              <w:rPr>
                <w:rFonts w:ascii="Times New Roman" w:hAnsi="Times New Roman" w:eastAsia="Times New Roman" w:cs="Times New Roman"/>
                <w:spacing w:val="-2"/>
                <w:position w:val="7"/>
                <w:sz w:val="15"/>
                <w:szCs w:val="15"/>
              </w:rPr>
              <w:t xml:space="preserve">0.68 </w:t>
            </w:r>
            <w:r>
              <w:rPr>
                <w:spacing w:val="-2"/>
                <w:sz w:val="24"/>
                <w:szCs w:val="24"/>
              </w:rPr>
              <w:t>×</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
                <w:position w:val="7"/>
                <w:sz w:val="15"/>
                <w:szCs w:val="15"/>
              </w:rPr>
              <w:t xml:space="preserve">1.73 </w:t>
            </w:r>
            <w:r>
              <w:rPr>
                <w:spacing w:val="-2"/>
                <w:sz w:val="24"/>
                <w:szCs w:val="24"/>
              </w:rPr>
              <w:t>×</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2"/>
                <w:position w:val="7"/>
                <w:sz w:val="15"/>
                <w:szCs w:val="15"/>
              </w:rPr>
              <w:t xml:space="preserve">0.51 </w:t>
            </w:r>
            <w:r>
              <w:rPr>
                <w:spacing w:val="-2"/>
                <w:sz w:val="24"/>
                <w:szCs w:val="24"/>
              </w:rPr>
              <w:t>×△</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2"/>
                <w:position w:val="7"/>
                <w:sz w:val="15"/>
                <w:szCs w:val="15"/>
              </w:rPr>
              <w:t>0</w:t>
            </w:r>
            <w:r>
              <w:rPr>
                <w:rFonts w:ascii="Times New Roman" w:hAnsi="Times New Roman" w:eastAsia="Times New Roman" w:cs="Times New Roman"/>
                <w:spacing w:val="-3"/>
                <w:position w:val="7"/>
                <w:sz w:val="15"/>
                <w:szCs w:val="15"/>
              </w:rPr>
              <w:t xml:space="preserve">.45 </w:t>
            </w:r>
            <w:r>
              <w:rPr>
                <w:spacing w:val="-3"/>
                <w:sz w:val="24"/>
                <w:szCs w:val="24"/>
              </w:rPr>
              <w:t>×</w:t>
            </w:r>
            <w:r>
              <w:rPr>
                <w:rFonts w:ascii="Times New Roman" w:hAnsi="Times New Roman" w:eastAsia="Times New Roman" w:cs="Times New Roman"/>
                <w:spacing w:val="-3"/>
                <w:sz w:val="24"/>
                <w:szCs w:val="24"/>
              </w:rPr>
              <w:t>Fp</w:t>
            </w:r>
            <w:r>
              <w:rPr>
                <w:spacing w:val="-3"/>
                <w:sz w:val="24"/>
                <w:szCs w:val="24"/>
              </w:rPr>
              <w:t>×</w:t>
            </w:r>
            <w:r>
              <w:rPr>
                <w:rFonts w:ascii="Times New Roman" w:hAnsi="Times New Roman" w:eastAsia="Times New Roman" w:cs="Times New Roman"/>
                <w:spacing w:val="-3"/>
                <w:sz w:val="24"/>
                <w:szCs w:val="24"/>
              </w:rPr>
              <w:t>C</w:t>
            </w:r>
            <w:r>
              <w:rPr>
                <w:spacing w:val="-3"/>
                <w:sz w:val="24"/>
                <w:szCs w:val="24"/>
              </w:rPr>
              <w:t>×</w:t>
            </w:r>
            <w:r>
              <w:rPr>
                <w:rFonts w:ascii="Times New Roman" w:hAnsi="Times New Roman" w:eastAsia="Times New Roman" w:cs="Times New Roman"/>
                <w:spacing w:val="-3"/>
                <w:sz w:val="24"/>
                <w:szCs w:val="24"/>
              </w:rPr>
              <w:t>Kc</w:t>
            </w:r>
            <w:r>
              <w:rPr>
                <w:rFonts w:ascii="Times New Roman" w:hAnsi="Times New Roman" w:eastAsia="Times New Roman" w:cs="Times New Roman"/>
                <w:spacing w:val="1"/>
                <w:sz w:val="24"/>
                <w:szCs w:val="24"/>
              </w:rPr>
              <w:t xml:space="preserve"> </w:t>
            </w:r>
            <w:r>
              <w:rPr>
                <w:spacing w:val="-1"/>
                <w:sz w:val="24"/>
                <w:szCs w:val="24"/>
              </w:rPr>
              <w:t>式中：</w:t>
            </w: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b</w:t>
            </w:r>
            <w:r>
              <w:rPr>
                <w:spacing w:val="-1"/>
                <w:sz w:val="24"/>
                <w:szCs w:val="24"/>
              </w:rPr>
              <w:t>——固定顶罐的呼吸排放量（</w:t>
            </w:r>
            <w:r>
              <w:rPr>
                <w:rFonts w:ascii="Times New Roman" w:hAnsi="Times New Roman" w:eastAsia="Times New Roman" w:cs="Times New Roman"/>
                <w:spacing w:val="-1"/>
                <w:sz w:val="24"/>
                <w:szCs w:val="24"/>
              </w:rPr>
              <w:t>kg/a</w:t>
            </w:r>
            <w:r>
              <w:rPr>
                <w:spacing w:val="3"/>
                <w:sz w:val="24"/>
                <w:szCs w:val="24"/>
              </w:rPr>
              <w:t>）；</w:t>
            </w:r>
          </w:p>
          <w:p w14:paraId="61DBBF5B">
            <w:pPr>
              <w:pStyle w:val="6"/>
              <w:spacing w:before="65" w:line="210" w:lineRule="auto"/>
              <w:ind w:left="1068"/>
              <w:rPr>
                <w:sz w:val="24"/>
                <w:szCs w:val="24"/>
              </w:rPr>
            </w:pPr>
            <w:r>
              <w:rPr>
                <w:rFonts w:ascii="Times New Roman" w:hAnsi="Times New Roman" w:eastAsia="Times New Roman" w:cs="Times New Roman"/>
                <w:sz w:val="24"/>
                <w:szCs w:val="24"/>
              </w:rPr>
              <w:t>M</w:t>
            </w:r>
            <w:r>
              <w:rPr>
                <w:sz w:val="24"/>
                <w:szCs w:val="24"/>
              </w:rPr>
              <w:t>——储罐内蒸气分子的分子量（非甲烷总烃</w:t>
            </w:r>
            <w:r>
              <w:rPr>
                <w:spacing w:val="-1"/>
                <w:sz w:val="24"/>
                <w:szCs w:val="24"/>
              </w:rPr>
              <w:t>按</w:t>
            </w:r>
            <w:r>
              <w:rPr>
                <w:spacing w:val="-56"/>
                <w:sz w:val="24"/>
                <w:szCs w:val="24"/>
              </w:rPr>
              <w:t xml:space="preserve"> </w:t>
            </w:r>
            <w:r>
              <w:rPr>
                <w:rFonts w:ascii="Times New Roman" w:hAnsi="Times New Roman" w:eastAsia="Times New Roman" w:cs="Times New Roman"/>
                <w:spacing w:val="-1"/>
                <w:sz w:val="24"/>
                <w:szCs w:val="24"/>
              </w:rPr>
              <w:t xml:space="preserve">44g/mol </w:t>
            </w:r>
            <w:r>
              <w:rPr>
                <w:spacing w:val="-1"/>
                <w:sz w:val="24"/>
                <w:szCs w:val="24"/>
              </w:rPr>
              <w:t>计</w:t>
            </w:r>
            <w:r>
              <w:rPr>
                <w:sz w:val="24"/>
                <w:szCs w:val="24"/>
              </w:rPr>
              <w:t>）；</w:t>
            </w:r>
          </w:p>
          <w:p w14:paraId="4DFDBC5C">
            <w:pPr>
              <w:pStyle w:val="6"/>
              <w:spacing w:before="192" w:line="219" w:lineRule="auto"/>
              <w:ind w:left="1068"/>
              <w:rPr>
                <w:sz w:val="24"/>
                <w:szCs w:val="24"/>
              </w:rPr>
            </w:pPr>
            <w:r>
              <w:rPr>
                <w:rFonts w:ascii="Times New Roman" w:hAnsi="Times New Roman" w:eastAsia="Times New Roman" w:cs="Times New Roman"/>
                <w:sz w:val="24"/>
                <w:szCs w:val="24"/>
              </w:rPr>
              <w:t>P</w:t>
            </w:r>
            <w:r>
              <w:rPr>
                <w:sz w:val="24"/>
                <w:szCs w:val="24"/>
              </w:rPr>
              <w:t>——在大量液体状态下，真实的蒸气压力（</w:t>
            </w:r>
            <w:r>
              <w:rPr>
                <w:rFonts w:ascii="Times New Roman" w:hAnsi="Times New Roman" w:eastAsia="Times New Roman" w:cs="Times New Roman"/>
                <w:spacing w:val="-1"/>
                <w:sz w:val="24"/>
                <w:szCs w:val="24"/>
              </w:rPr>
              <w:t>9540Pa</w:t>
            </w:r>
            <w:r>
              <w:rPr>
                <w:spacing w:val="-1"/>
                <w:sz w:val="24"/>
                <w:szCs w:val="24"/>
              </w:rPr>
              <w:t>）；</w:t>
            </w:r>
          </w:p>
          <w:p w14:paraId="158538AC">
            <w:pPr>
              <w:pStyle w:val="6"/>
              <w:spacing w:before="183" w:line="219" w:lineRule="auto"/>
              <w:ind w:left="1068"/>
              <w:rPr>
                <w:sz w:val="24"/>
                <w:szCs w:val="24"/>
              </w:rPr>
            </w:pPr>
            <w:r>
              <w:rPr>
                <w:rFonts w:ascii="Times New Roman" w:hAnsi="Times New Roman" w:eastAsia="Times New Roman" w:cs="Times New Roman"/>
                <w:spacing w:val="-1"/>
                <w:sz w:val="24"/>
                <w:szCs w:val="24"/>
              </w:rPr>
              <w:t>D</w:t>
            </w:r>
            <w:r>
              <w:rPr>
                <w:spacing w:val="-1"/>
                <w:sz w:val="24"/>
                <w:szCs w:val="24"/>
              </w:rPr>
              <w:t>——罐的直径（</w:t>
            </w:r>
            <w:r>
              <w:rPr>
                <w:rFonts w:ascii="Times New Roman" w:hAnsi="Times New Roman" w:eastAsia="Times New Roman" w:cs="Times New Roman"/>
                <w:spacing w:val="-1"/>
                <w:sz w:val="24"/>
                <w:szCs w:val="24"/>
              </w:rPr>
              <w:t>1.53m</w:t>
            </w:r>
            <w:r>
              <w:rPr>
                <w:spacing w:val="3"/>
                <w:sz w:val="24"/>
                <w:szCs w:val="24"/>
              </w:rPr>
              <w:t>）；</w:t>
            </w:r>
          </w:p>
          <w:p w14:paraId="20816B66">
            <w:pPr>
              <w:pStyle w:val="6"/>
              <w:spacing w:before="181" w:line="219" w:lineRule="auto"/>
              <w:ind w:left="1068"/>
              <w:rPr>
                <w:sz w:val="24"/>
                <w:szCs w:val="24"/>
              </w:rPr>
            </w:pPr>
            <w:r>
              <w:rPr>
                <w:rFonts w:ascii="Times New Roman" w:hAnsi="Times New Roman" w:eastAsia="Times New Roman" w:cs="Times New Roman"/>
                <w:spacing w:val="-1"/>
                <w:sz w:val="24"/>
                <w:szCs w:val="24"/>
              </w:rPr>
              <w:t>H</w:t>
            </w:r>
            <w:r>
              <w:rPr>
                <w:spacing w:val="-1"/>
                <w:sz w:val="24"/>
                <w:szCs w:val="24"/>
              </w:rPr>
              <w:t>——平均蒸气空间高度（</w:t>
            </w:r>
            <w:r>
              <w:rPr>
                <w:rFonts w:ascii="Times New Roman" w:hAnsi="Times New Roman" w:eastAsia="Times New Roman" w:cs="Times New Roman"/>
                <w:spacing w:val="-1"/>
                <w:sz w:val="24"/>
                <w:szCs w:val="24"/>
              </w:rPr>
              <w:t>2m</w:t>
            </w:r>
            <w:r>
              <w:rPr>
                <w:spacing w:val="4"/>
                <w:sz w:val="24"/>
                <w:szCs w:val="24"/>
              </w:rPr>
              <w:t>）；</w:t>
            </w:r>
          </w:p>
          <w:p w14:paraId="32F997D6">
            <w:pPr>
              <w:pStyle w:val="6"/>
              <w:spacing w:before="183" w:line="219" w:lineRule="auto"/>
              <w:ind w:left="1080"/>
              <w:rPr>
                <w:sz w:val="24"/>
                <w:szCs w:val="24"/>
              </w:rPr>
            </w:pPr>
            <w:r>
              <w:rPr>
                <w:spacing w:val="-2"/>
                <w:sz w:val="24"/>
                <w:szCs w:val="24"/>
              </w:rPr>
              <w:t>△</w:t>
            </w:r>
            <w:r>
              <w:rPr>
                <w:rFonts w:ascii="Times New Roman" w:hAnsi="Times New Roman" w:eastAsia="Times New Roman" w:cs="Times New Roman"/>
                <w:spacing w:val="-2"/>
                <w:sz w:val="24"/>
                <w:szCs w:val="24"/>
              </w:rPr>
              <w:t>T</w:t>
            </w:r>
            <w:r>
              <w:rPr>
                <w:spacing w:val="-2"/>
                <w:sz w:val="24"/>
                <w:szCs w:val="24"/>
              </w:rPr>
              <w:t>——</w:t>
            </w:r>
            <w:r>
              <w:rPr>
                <w:rFonts w:ascii="Times New Roman" w:hAnsi="Times New Roman" w:eastAsia="Times New Roman" w:cs="Times New Roman"/>
                <w:spacing w:val="-2"/>
                <w:sz w:val="24"/>
                <w:szCs w:val="24"/>
              </w:rPr>
              <w:t xml:space="preserve">1 </w:t>
            </w:r>
            <w:r>
              <w:rPr>
                <w:spacing w:val="-2"/>
                <w:sz w:val="24"/>
                <w:szCs w:val="24"/>
              </w:rPr>
              <w:t>天之内的平均温度差（</w:t>
            </w:r>
            <w:r>
              <w:rPr>
                <w:rFonts w:ascii="Times New Roman" w:hAnsi="Times New Roman" w:eastAsia="Times New Roman" w:cs="Times New Roman"/>
                <w:spacing w:val="-2"/>
                <w:sz w:val="24"/>
                <w:szCs w:val="24"/>
              </w:rPr>
              <w:t>10</w:t>
            </w:r>
            <w:r>
              <w:rPr>
                <w:spacing w:val="-2"/>
                <w:sz w:val="24"/>
                <w:szCs w:val="24"/>
              </w:rPr>
              <w:t>℃)</w:t>
            </w:r>
            <w:r>
              <w:rPr>
                <w:spacing w:val="54"/>
                <w:sz w:val="24"/>
                <w:szCs w:val="24"/>
              </w:rPr>
              <w:t xml:space="preserve"> </w:t>
            </w:r>
            <w:r>
              <w:rPr>
                <w:spacing w:val="-2"/>
                <w:sz w:val="24"/>
                <w:szCs w:val="24"/>
              </w:rPr>
              <w:t>;</w:t>
            </w:r>
          </w:p>
          <w:p w14:paraId="328962FB">
            <w:pPr>
              <w:pStyle w:val="6"/>
              <w:spacing w:before="181" w:line="212" w:lineRule="auto"/>
              <w:ind w:left="1067"/>
              <w:rPr>
                <w:sz w:val="24"/>
                <w:szCs w:val="24"/>
              </w:rPr>
            </w:pPr>
            <w:r>
              <w:rPr>
                <w:rFonts w:ascii="Times New Roman" w:hAnsi="Times New Roman" w:eastAsia="Times New Roman" w:cs="Times New Roman"/>
                <w:spacing w:val="-2"/>
                <w:sz w:val="24"/>
                <w:szCs w:val="24"/>
              </w:rPr>
              <w:t>Fp</w:t>
            </w:r>
            <w:r>
              <w:rPr>
                <w:spacing w:val="-2"/>
                <w:sz w:val="24"/>
                <w:szCs w:val="24"/>
              </w:rPr>
              <w:t>——涂层因子，根据油漆状况取值</w:t>
            </w:r>
            <w:r>
              <w:rPr>
                <w:spacing w:val="-25"/>
                <w:sz w:val="24"/>
                <w:szCs w:val="24"/>
              </w:rPr>
              <w:t xml:space="preserve"> </w:t>
            </w:r>
            <w:r>
              <w:rPr>
                <w:rFonts w:ascii="Times New Roman" w:hAnsi="Times New Roman" w:eastAsia="Times New Roman" w:cs="Times New Roman"/>
                <w:spacing w:val="-2"/>
                <w:sz w:val="24"/>
                <w:szCs w:val="24"/>
              </w:rPr>
              <w:t>1.2</w:t>
            </w:r>
            <w:r>
              <w:rPr>
                <w:spacing w:val="-2"/>
                <w:sz w:val="24"/>
                <w:szCs w:val="24"/>
              </w:rPr>
              <w:t>；</w:t>
            </w:r>
          </w:p>
          <w:p w14:paraId="5DD72067">
            <w:pPr>
              <w:pStyle w:val="6"/>
              <w:spacing w:before="193" w:line="359" w:lineRule="auto"/>
              <w:ind w:left="1072" w:right="695"/>
              <w:rPr>
                <w:sz w:val="24"/>
                <w:szCs w:val="24"/>
              </w:rPr>
            </w:pPr>
            <w:r>
              <w:rPr>
                <w:rFonts w:ascii="Times New Roman" w:hAnsi="Times New Roman" w:eastAsia="Times New Roman" w:cs="Times New Roman"/>
                <w:spacing w:val="-3"/>
                <w:sz w:val="24"/>
                <w:szCs w:val="24"/>
              </w:rPr>
              <w:t>C</w:t>
            </w:r>
            <w:r>
              <w:rPr>
                <w:spacing w:val="-3"/>
                <w:sz w:val="24"/>
                <w:szCs w:val="24"/>
              </w:rPr>
              <w:t>——用于小直径罐的调节因子，对于直径在</w:t>
            </w:r>
            <w:r>
              <w:rPr>
                <w:spacing w:val="-37"/>
                <w:sz w:val="24"/>
                <w:szCs w:val="24"/>
              </w:rPr>
              <w:t xml:space="preserve"> </w:t>
            </w:r>
            <w:r>
              <w:rPr>
                <w:rFonts w:ascii="Times New Roman" w:hAnsi="Times New Roman" w:eastAsia="Times New Roman" w:cs="Times New Roman"/>
                <w:spacing w:val="-3"/>
                <w:sz w:val="24"/>
                <w:szCs w:val="24"/>
              </w:rPr>
              <w:t xml:space="preserve">0~9m </w:t>
            </w:r>
            <w:r>
              <w:rPr>
                <w:spacing w:val="-3"/>
                <w:sz w:val="24"/>
                <w:szCs w:val="24"/>
              </w:rPr>
              <w:t>之间的罐体，</w:t>
            </w:r>
            <w:r>
              <w:rPr>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5"/>
                <w:sz w:val="24"/>
                <w:szCs w:val="24"/>
              </w:rPr>
              <w:t>1-0.0123</w:t>
            </w:r>
            <w:r>
              <w:rPr>
                <w:spacing w:val="-5"/>
                <w:sz w:val="24"/>
                <w:szCs w:val="24"/>
              </w:rPr>
              <w:t>×（</w:t>
            </w:r>
            <w:r>
              <w:rPr>
                <w:rFonts w:ascii="Times New Roman" w:hAnsi="Times New Roman" w:eastAsia="Times New Roman" w:cs="Times New Roman"/>
                <w:spacing w:val="-5"/>
                <w:sz w:val="24"/>
                <w:szCs w:val="24"/>
              </w:rPr>
              <w:t>D-9</w:t>
            </w:r>
            <w:r>
              <w:rPr>
                <w:spacing w:val="-5"/>
                <w:sz w:val="24"/>
                <w:szCs w:val="24"/>
              </w:rPr>
              <w:t>）</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9"/>
                <w:position w:val="8"/>
                <w:sz w:val="15"/>
                <w:szCs w:val="15"/>
              </w:rPr>
              <w:t xml:space="preserve"> </w:t>
            </w:r>
            <w:r>
              <w:rPr>
                <w:spacing w:val="-5"/>
                <w:sz w:val="24"/>
                <w:szCs w:val="24"/>
              </w:rPr>
              <w:t>，罐径大于</w:t>
            </w:r>
            <w:r>
              <w:rPr>
                <w:spacing w:val="-51"/>
                <w:sz w:val="24"/>
                <w:szCs w:val="24"/>
              </w:rPr>
              <w:t xml:space="preserve"> </w:t>
            </w:r>
            <w:r>
              <w:rPr>
                <w:rFonts w:ascii="Times New Roman" w:hAnsi="Times New Roman" w:eastAsia="Times New Roman" w:cs="Times New Roman"/>
                <w:spacing w:val="-5"/>
                <w:sz w:val="24"/>
                <w:szCs w:val="24"/>
              </w:rPr>
              <w:t>9m</w:t>
            </w:r>
            <w:r>
              <w:rPr>
                <w:rFonts w:ascii="Times New Roman" w:hAnsi="Times New Roman" w:eastAsia="Times New Roman" w:cs="Times New Roman"/>
                <w:spacing w:val="30"/>
                <w:sz w:val="24"/>
                <w:szCs w:val="24"/>
              </w:rPr>
              <w:t xml:space="preserve"> </w:t>
            </w:r>
            <w:r>
              <w:rPr>
                <w:spacing w:val="-5"/>
                <w:sz w:val="24"/>
                <w:szCs w:val="24"/>
              </w:rPr>
              <w:t>的</w:t>
            </w:r>
            <w:r>
              <w:rPr>
                <w:spacing w:val="-51"/>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1"/>
                <w:sz w:val="24"/>
                <w:szCs w:val="24"/>
              </w:rPr>
              <w:t xml:space="preserve"> </w:t>
            </w:r>
            <w:r>
              <w:rPr>
                <w:spacing w:val="-5"/>
                <w:sz w:val="24"/>
                <w:szCs w:val="24"/>
              </w:rPr>
              <w:t>，本项目为</w:t>
            </w:r>
            <w:r>
              <w:rPr>
                <w:spacing w:val="-51"/>
                <w:sz w:val="24"/>
                <w:szCs w:val="24"/>
              </w:rPr>
              <w:t xml:space="preserve"> </w:t>
            </w:r>
            <w:r>
              <w:rPr>
                <w:rFonts w:ascii="Times New Roman" w:hAnsi="Times New Roman" w:eastAsia="Times New Roman" w:cs="Times New Roman"/>
                <w:spacing w:val="-5"/>
                <w:sz w:val="24"/>
                <w:szCs w:val="24"/>
              </w:rPr>
              <w:t>0.31</w:t>
            </w:r>
            <w:r>
              <w:rPr>
                <w:spacing w:val="-5"/>
                <w:sz w:val="24"/>
                <w:szCs w:val="24"/>
              </w:rPr>
              <w:t>；</w:t>
            </w:r>
          </w:p>
          <w:p w14:paraId="54EE9F03">
            <w:pPr>
              <w:pStyle w:val="6"/>
              <w:spacing w:line="218" w:lineRule="auto"/>
              <w:ind w:left="1068"/>
              <w:rPr>
                <w:sz w:val="24"/>
                <w:szCs w:val="24"/>
              </w:rPr>
            </w:pPr>
            <w:r>
              <w:rPr>
                <w:rFonts w:ascii="Times New Roman" w:hAnsi="Times New Roman" w:eastAsia="Times New Roman" w:cs="Times New Roman"/>
                <w:spacing w:val="-2"/>
                <w:sz w:val="24"/>
                <w:szCs w:val="24"/>
              </w:rPr>
              <w:t>Kc</w:t>
            </w:r>
            <w:r>
              <w:rPr>
                <w:spacing w:val="-2"/>
                <w:sz w:val="24"/>
                <w:szCs w:val="24"/>
              </w:rPr>
              <w:t>——产品因子，其他有机液体取</w:t>
            </w:r>
            <w:r>
              <w:rPr>
                <w:spacing w:val="-27"/>
                <w:sz w:val="24"/>
                <w:szCs w:val="24"/>
              </w:rPr>
              <w:t xml:space="preserve"> </w:t>
            </w:r>
            <w:r>
              <w:rPr>
                <w:rFonts w:ascii="Times New Roman" w:hAnsi="Times New Roman" w:eastAsia="Times New Roman" w:cs="Times New Roman"/>
                <w:spacing w:val="-2"/>
                <w:sz w:val="24"/>
                <w:szCs w:val="24"/>
              </w:rPr>
              <w:t>1.0</w:t>
            </w:r>
            <w:r>
              <w:rPr>
                <w:spacing w:val="-2"/>
                <w:sz w:val="24"/>
                <w:szCs w:val="24"/>
              </w:rPr>
              <w:t>。</w:t>
            </w:r>
          </w:p>
          <w:p w14:paraId="21A0823E">
            <w:pPr>
              <w:pStyle w:val="6"/>
              <w:spacing w:before="182" w:line="212" w:lineRule="auto"/>
              <w:ind w:left="593"/>
              <w:rPr>
                <w:sz w:val="24"/>
                <w:szCs w:val="24"/>
              </w:rPr>
            </w:pPr>
            <w:r>
              <w:rPr>
                <w:spacing w:val="-1"/>
                <w:sz w:val="24"/>
                <w:szCs w:val="24"/>
              </w:rPr>
              <w:t>根据估算公式计算得出，每辆重载罐车小呼吸废气排放量为</w:t>
            </w:r>
            <w:r>
              <w:rPr>
                <w:spacing w:val="-38"/>
                <w:sz w:val="24"/>
                <w:szCs w:val="24"/>
              </w:rPr>
              <w:t xml:space="preserve"> </w:t>
            </w:r>
            <w:r>
              <w:rPr>
                <w:rFonts w:ascii="Times New Roman" w:hAnsi="Times New Roman" w:eastAsia="Times New Roman" w:cs="Times New Roman"/>
                <w:spacing w:val="-1"/>
                <w:sz w:val="24"/>
                <w:szCs w:val="24"/>
              </w:rPr>
              <w:t>3.96kg/a</w:t>
            </w:r>
            <w:r>
              <w:rPr>
                <w:spacing w:val="-1"/>
                <w:sz w:val="24"/>
                <w:szCs w:val="24"/>
              </w:rPr>
              <w:t>。</w:t>
            </w:r>
          </w:p>
          <w:p w14:paraId="52495415">
            <w:pPr>
              <w:pStyle w:val="6"/>
              <w:spacing w:before="192" w:line="359" w:lineRule="auto"/>
              <w:ind w:left="112" w:right="108" w:firstLine="481"/>
              <w:rPr>
                <w:sz w:val="24"/>
                <w:szCs w:val="24"/>
              </w:rPr>
            </w:pPr>
            <w:r>
              <w:rPr>
                <w:sz w:val="24"/>
                <w:szCs w:val="24"/>
              </w:rPr>
              <w:t>本项目停车场重载车辆停车位</w:t>
            </w:r>
            <w:r>
              <w:rPr>
                <w:spacing w:val="-29"/>
                <w:sz w:val="24"/>
                <w:szCs w:val="24"/>
              </w:rPr>
              <w:t xml:space="preserve"> </w:t>
            </w:r>
            <w:r>
              <w:rPr>
                <w:rFonts w:ascii="Times New Roman" w:hAnsi="Times New Roman" w:eastAsia="Times New Roman" w:cs="Times New Roman"/>
                <w:sz w:val="24"/>
                <w:szCs w:val="24"/>
              </w:rPr>
              <w:t xml:space="preserve">10 </w:t>
            </w:r>
            <w:r>
              <w:rPr>
                <w:sz w:val="24"/>
                <w:szCs w:val="24"/>
              </w:rPr>
              <w:t xml:space="preserve">个，按重载车辆满负荷停放计算，则项目 </w:t>
            </w:r>
            <w:r>
              <w:rPr>
                <w:spacing w:val="-1"/>
                <w:sz w:val="24"/>
                <w:szCs w:val="24"/>
              </w:rPr>
              <w:t>场站内重载罐车小呼吸无组织废气排放量为</w:t>
            </w:r>
            <w:r>
              <w:rPr>
                <w:spacing w:val="-33"/>
                <w:sz w:val="24"/>
                <w:szCs w:val="24"/>
              </w:rPr>
              <w:t xml:space="preserve"> </w:t>
            </w:r>
            <w:r>
              <w:rPr>
                <w:rFonts w:ascii="Times New Roman" w:hAnsi="Times New Roman" w:eastAsia="Times New Roman" w:cs="Times New Roman"/>
                <w:spacing w:val="-1"/>
                <w:sz w:val="24"/>
                <w:szCs w:val="24"/>
              </w:rPr>
              <w:t>0.0396t/a</w:t>
            </w:r>
            <w:r>
              <w:rPr>
                <w:spacing w:val="-1"/>
                <w:sz w:val="24"/>
                <w:szCs w:val="24"/>
              </w:rPr>
              <w:t>（</w:t>
            </w:r>
            <w:r>
              <w:rPr>
                <w:rFonts w:ascii="Times New Roman" w:hAnsi="Times New Roman" w:eastAsia="Times New Roman" w:cs="Times New Roman"/>
                <w:spacing w:val="-1"/>
                <w:sz w:val="24"/>
                <w:szCs w:val="24"/>
              </w:rPr>
              <w:t>0.0045kg/h</w:t>
            </w:r>
            <w:r>
              <w:rPr>
                <w:spacing w:val="-1"/>
                <w:sz w:val="24"/>
                <w:szCs w:val="24"/>
              </w:rPr>
              <w:t>）。</w:t>
            </w:r>
          </w:p>
          <w:p w14:paraId="1FF8D152">
            <w:pPr>
              <w:pStyle w:val="6"/>
              <w:spacing w:before="1" w:line="359" w:lineRule="auto"/>
              <w:ind w:left="112" w:right="106" w:firstLine="481"/>
              <w:jc w:val="both"/>
              <w:rPr>
                <w:sz w:val="24"/>
                <w:szCs w:val="24"/>
              </w:rPr>
            </w:pPr>
            <w:r>
              <w:rPr>
                <w:spacing w:val="-3"/>
                <w:sz w:val="24"/>
                <w:szCs w:val="24"/>
              </w:rPr>
              <w:t>本项目位于工业园区内，规模属于小型停车场，正常情况下停车场不会出现</w:t>
            </w:r>
            <w:r>
              <w:rPr>
                <w:spacing w:val="13"/>
                <w:sz w:val="24"/>
                <w:szCs w:val="24"/>
              </w:rPr>
              <w:t xml:space="preserve"> </w:t>
            </w:r>
            <w:r>
              <w:rPr>
                <w:spacing w:val="-2"/>
                <w:sz w:val="24"/>
                <w:szCs w:val="24"/>
              </w:rPr>
              <w:t>满负荷车辆同时出入的情况，且场内进出车辆行</w:t>
            </w:r>
            <w:r>
              <w:rPr>
                <w:spacing w:val="-3"/>
                <w:sz w:val="24"/>
                <w:szCs w:val="24"/>
              </w:rPr>
              <w:t>驶距离较短，场地开阔，空气流</w:t>
            </w:r>
            <w:r>
              <w:rPr>
                <w:sz w:val="24"/>
                <w:szCs w:val="24"/>
              </w:rPr>
              <w:t xml:space="preserve"> </w:t>
            </w:r>
            <w:r>
              <w:rPr>
                <w:spacing w:val="-2"/>
                <w:sz w:val="24"/>
                <w:szCs w:val="24"/>
              </w:rPr>
              <w:t>动畅通，扩散速度较快，通过加强进出运输车辆</w:t>
            </w:r>
            <w:r>
              <w:rPr>
                <w:spacing w:val="-3"/>
                <w:sz w:val="24"/>
                <w:szCs w:val="24"/>
              </w:rPr>
              <w:t>的管理、绿化吸附等措施，不会</w:t>
            </w:r>
            <w:r>
              <w:rPr>
                <w:sz w:val="24"/>
                <w:szCs w:val="24"/>
              </w:rPr>
              <w:t xml:space="preserve"> </w:t>
            </w:r>
            <w:r>
              <w:rPr>
                <w:spacing w:val="-2"/>
                <w:sz w:val="24"/>
                <w:szCs w:val="24"/>
              </w:rPr>
              <w:t>产生累计影响，废气对周边贡献较小。另外，建</w:t>
            </w:r>
            <w:r>
              <w:rPr>
                <w:spacing w:val="-3"/>
                <w:sz w:val="24"/>
                <w:szCs w:val="24"/>
              </w:rPr>
              <w:t>议建设单位在运营期加强对进出</w:t>
            </w:r>
            <w:r>
              <w:rPr>
                <w:sz w:val="24"/>
                <w:szCs w:val="24"/>
              </w:rPr>
              <w:t xml:space="preserve"> </w:t>
            </w:r>
            <w:r>
              <w:rPr>
                <w:spacing w:val="-2"/>
                <w:sz w:val="24"/>
                <w:szCs w:val="24"/>
              </w:rPr>
              <w:t>场车辆的检车管理，禁止不符合要求的车辆进入</w:t>
            </w:r>
            <w:r>
              <w:rPr>
                <w:spacing w:val="-3"/>
                <w:sz w:val="24"/>
                <w:szCs w:val="24"/>
              </w:rPr>
              <w:t>场站，确保厂界无组织废气满足</w:t>
            </w:r>
            <w:r>
              <w:rPr>
                <w:sz w:val="24"/>
                <w:szCs w:val="24"/>
              </w:rPr>
              <w:t xml:space="preserve"> </w:t>
            </w:r>
            <w:r>
              <w:rPr>
                <w:spacing w:val="-1"/>
                <w:sz w:val="24"/>
                <w:szCs w:val="24"/>
              </w:rPr>
              <w:t>有关排放标准要求。</w:t>
            </w:r>
          </w:p>
          <w:p w14:paraId="1D3ACAA7">
            <w:pPr>
              <w:pStyle w:val="6"/>
              <w:spacing w:line="219" w:lineRule="auto"/>
              <w:ind w:left="109"/>
              <w:outlineLvl w:val="1"/>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29"/>
                <w:sz w:val="24"/>
                <w:szCs w:val="24"/>
              </w:rPr>
              <w:t xml:space="preserve"> </w:t>
            </w:r>
            <w:r>
              <w:rPr>
                <w:b/>
                <w:bCs/>
                <w:spacing w:val="-4"/>
                <w:sz w:val="24"/>
                <w:szCs w:val="24"/>
              </w:rPr>
              <w:t>、水环境影响分析与环境保护措施</w:t>
            </w:r>
          </w:p>
        </w:tc>
      </w:tr>
    </w:tbl>
    <w:p w14:paraId="11B0D0D4">
      <w:pPr>
        <w:pStyle w:val="2"/>
      </w:pPr>
    </w:p>
    <w:p w14:paraId="1043CC8E">
      <w:pPr>
        <w:sectPr>
          <w:footerReference r:id="rId69" w:type="default"/>
          <w:pgSz w:w="11906" w:h="16839"/>
          <w:pgMar w:top="400" w:right="1445" w:bottom="1259" w:left="1543" w:header="0" w:footer="1097" w:gutter="0"/>
          <w:cols w:space="720" w:num="1"/>
        </w:sectPr>
      </w:pPr>
    </w:p>
    <w:p w14:paraId="42B4894C">
      <w:pPr>
        <w:spacing w:before="19"/>
      </w:pPr>
    </w:p>
    <w:p w14:paraId="3940A541">
      <w:pPr>
        <w:spacing w:before="19"/>
      </w:pPr>
    </w:p>
    <w:p w14:paraId="50FAD681">
      <w:pPr>
        <w:spacing w:before="18"/>
      </w:pPr>
    </w:p>
    <w:p w14:paraId="077CED10">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608A5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7" w:hRule="atLeast"/>
        </w:trPr>
        <w:tc>
          <w:tcPr>
            <w:tcW w:w="371" w:type="dxa"/>
            <w:vAlign w:val="top"/>
          </w:tcPr>
          <w:p w14:paraId="53B0232D">
            <w:pPr>
              <w:rPr>
                <w:rFonts w:ascii="Arial"/>
                <w:sz w:val="21"/>
              </w:rPr>
            </w:pPr>
          </w:p>
        </w:tc>
        <w:tc>
          <w:tcPr>
            <w:tcW w:w="8541" w:type="dxa"/>
            <w:vAlign w:val="top"/>
          </w:tcPr>
          <w:p w14:paraId="35777EA3">
            <w:pPr>
              <w:pStyle w:val="6"/>
              <w:spacing w:before="42" w:line="358" w:lineRule="auto"/>
              <w:ind w:left="112" w:right="106" w:firstLine="481"/>
              <w:rPr>
                <w:sz w:val="24"/>
                <w:szCs w:val="24"/>
              </w:rPr>
            </w:pPr>
            <w:r>
              <w:rPr>
                <w:spacing w:val="-3"/>
                <w:sz w:val="24"/>
                <w:szCs w:val="24"/>
              </w:rPr>
              <w:t>本项目运营期产生的废水主要为生活污水、洗车废水、地面冲洗废水和消防</w:t>
            </w:r>
            <w:r>
              <w:rPr>
                <w:spacing w:val="13"/>
                <w:sz w:val="24"/>
                <w:szCs w:val="24"/>
              </w:rPr>
              <w:t xml:space="preserve"> </w:t>
            </w:r>
            <w:r>
              <w:rPr>
                <w:spacing w:val="-3"/>
                <w:sz w:val="24"/>
                <w:szCs w:val="24"/>
              </w:rPr>
              <w:t>废水。</w:t>
            </w:r>
          </w:p>
          <w:p w14:paraId="7389B502">
            <w:pPr>
              <w:pStyle w:val="6"/>
              <w:spacing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）生活污水</w:t>
            </w:r>
          </w:p>
          <w:p w14:paraId="72573639">
            <w:pPr>
              <w:pStyle w:val="6"/>
              <w:spacing w:before="186" w:line="358" w:lineRule="auto"/>
              <w:ind w:left="109" w:right="106" w:firstLine="485"/>
              <w:rPr>
                <w:sz w:val="24"/>
                <w:szCs w:val="24"/>
              </w:rPr>
            </w:pPr>
            <w:r>
              <w:rPr>
                <w:sz w:val="24"/>
                <w:szCs w:val="24"/>
              </w:rPr>
              <w:t>本项目劳动定员为</w:t>
            </w:r>
            <w:r>
              <w:rPr>
                <w:spacing w:val="-41"/>
                <w:sz w:val="24"/>
                <w:szCs w:val="24"/>
              </w:rPr>
              <w:t xml:space="preserve"> </w:t>
            </w:r>
            <w:r>
              <w:rPr>
                <w:rFonts w:ascii="Times New Roman" w:hAnsi="Times New Roman" w:eastAsia="Times New Roman" w:cs="Times New Roman"/>
                <w:sz w:val="24"/>
                <w:szCs w:val="24"/>
              </w:rPr>
              <w:t xml:space="preserve">30 </w:t>
            </w:r>
            <w:r>
              <w:rPr>
                <w:sz w:val="24"/>
                <w:szCs w:val="24"/>
              </w:rPr>
              <w:t>人，员工在场内食宿，年工作日为</w:t>
            </w:r>
            <w:r>
              <w:rPr>
                <w:spacing w:val="-48"/>
                <w:sz w:val="24"/>
                <w:szCs w:val="24"/>
              </w:rPr>
              <w:t xml:space="preserve"> </w:t>
            </w:r>
            <w:r>
              <w:rPr>
                <w:rFonts w:ascii="Times New Roman" w:hAnsi="Times New Roman" w:eastAsia="Times New Roman" w:cs="Times New Roman"/>
                <w:sz w:val="24"/>
                <w:szCs w:val="24"/>
              </w:rPr>
              <w:t xml:space="preserve">365 </w:t>
            </w:r>
            <w:r>
              <w:rPr>
                <w:sz w:val="24"/>
                <w:szCs w:val="24"/>
              </w:rPr>
              <w:t>天，员工生活 用水量为</w:t>
            </w:r>
            <w:r>
              <w:rPr>
                <w:spacing w:val="-55"/>
                <w:sz w:val="24"/>
                <w:szCs w:val="24"/>
              </w:rPr>
              <w:t xml:space="preserve"> </w:t>
            </w:r>
            <w:r>
              <w:rPr>
                <w:rFonts w:ascii="Times New Roman" w:hAnsi="Times New Roman" w:eastAsia="Times New Roman" w:cs="Times New Roman"/>
                <w:sz w:val="24"/>
                <w:szCs w:val="24"/>
              </w:rPr>
              <w:t>2.7m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sz w:val="24"/>
                <w:szCs w:val="24"/>
              </w:rPr>
              <w:t>（</w:t>
            </w:r>
            <w:r>
              <w:rPr>
                <w:rFonts w:ascii="Times New Roman" w:hAnsi="Times New Roman" w:eastAsia="Times New Roman" w:cs="Times New Roman"/>
                <w:sz w:val="24"/>
                <w:szCs w:val="24"/>
              </w:rPr>
              <w:t>985.5m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/a</w:t>
            </w:r>
            <w:r>
              <w:rPr>
                <w:spacing w:val="7"/>
                <w:sz w:val="24"/>
                <w:szCs w:val="24"/>
              </w:rPr>
              <w:t>），</w:t>
            </w:r>
            <w:r>
              <w:rPr>
                <w:sz w:val="24"/>
                <w:szCs w:val="24"/>
              </w:rPr>
              <w:t>排放量按用水量的</w:t>
            </w:r>
            <w:r>
              <w:rPr>
                <w:spacing w:val="-46"/>
                <w:sz w:val="24"/>
                <w:szCs w:val="24"/>
              </w:rPr>
              <w:t xml:space="preserve"> </w:t>
            </w:r>
            <w:r>
              <w:rPr>
                <w:rFonts w:ascii="Times New Roman" w:hAnsi="Times New Roman" w:eastAsia="Times New Roman" w:cs="Times New Roman"/>
                <w:sz w:val="24"/>
                <w:szCs w:val="24"/>
              </w:rPr>
              <w:t>80%</w:t>
            </w:r>
            <w:r>
              <w:rPr>
                <w:sz w:val="24"/>
                <w:szCs w:val="24"/>
              </w:rPr>
              <w:t xml:space="preserve">计，则生活污水排放量 </w:t>
            </w:r>
            <w:r>
              <w:rPr>
                <w:spacing w:val="-4"/>
                <w:sz w:val="24"/>
                <w:szCs w:val="24"/>
              </w:rPr>
              <w:t>为</w:t>
            </w:r>
            <w:r>
              <w:rPr>
                <w:spacing w:val="-46"/>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16m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spacing w:val="-2"/>
                <w:sz w:val="24"/>
                <w:szCs w:val="24"/>
              </w:rPr>
              <w:t>（</w:t>
            </w:r>
            <w:r>
              <w:rPr>
                <w:rFonts w:ascii="Times New Roman" w:hAnsi="Times New Roman" w:eastAsia="Times New Roman" w:cs="Times New Roman"/>
                <w:spacing w:val="-2"/>
                <w:sz w:val="24"/>
                <w:szCs w:val="24"/>
              </w:rPr>
              <w:t>788.4m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/a</w:t>
            </w:r>
            <w:r>
              <w:rPr>
                <w:spacing w:val="-2"/>
                <w:sz w:val="24"/>
                <w:szCs w:val="24"/>
              </w:rPr>
              <w:t>）。生活污水经隔油池、化粪池收集停留一段时间后，满</w:t>
            </w:r>
            <w:r>
              <w:rPr>
                <w:sz w:val="24"/>
                <w:szCs w:val="24"/>
              </w:rPr>
              <w:t xml:space="preserve"> 足《污水综合排放标准》（</w:t>
            </w:r>
            <w:r>
              <w:rPr>
                <w:rFonts w:ascii="Times New Roman" w:hAnsi="Times New Roman" w:eastAsia="Times New Roman" w:cs="Times New Roman"/>
                <w:sz w:val="24"/>
                <w:szCs w:val="24"/>
              </w:rPr>
              <w:t>GB8978-1996</w:t>
            </w:r>
            <w:r>
              <w:rPr>
                <w:sz w:val="24"/>
                <w:szCs w:val="24"/>
              </w:rPr>
              <w:t>）三级</w:t>
            </w:r>
            <w:r>
              <w:rPr>
                <w:spacing w:val="-1"/>
                <w:sz w:val="24"/>
                <w:szCs w:val="24"/>
              </w:rPr>
              <w:t>标准，排入园区污水管网。生活</w:t>
            </w:r>
            <w:r>
              <w:rPr>
                <w:sz w:val="24"/>
                <w:szCs w:val="24"/>
              </w:rPr>
              <w:t xml:space="preserve"> </w:t>
            </w:r>
            <w:r>
              <w:rPr>
                <w:spacing w:val="-3"/>
                <w:sz w:val="24"/>
                <w:szCs w:val="24"/>
              </w:rPr>
              <w:t>污水中的主要污染物为</w:t>
            </w:r>
            <w:r>
              <w:rPr>
                <w:spacing w:val="-52"/>
                <w:sz w:val="24"/>
                <w:szCs w:val="24"/>
              </w:rPr>
              <w:t xml:space="preserve"> </w:t>
            </w:r>
            <w:r>
              <w:rPr>
                <w:rFonts w:ascii="Times New Roman" w:hAnsi="Times New Roman" w:eastAsia="Times New Roman" w:cs="Times New Roman"/>
                <w:spacing w:val="-3"/>
                <w:sz w:val="24"/>
                <w:szCs w:val="24"/>
              </w:rPr>
              <w:t>COD</w:t>
            </w:r>
            <w:r>
              <w:rPr>
                <w:rFonts w:ascii="Times New Roman" w:hAnsi="Times New Roman" w:eastAsia="Times New Roman" w:cs="Times New Roman"/>
                <w:spacing w:val="-35"/>
                <w:sz w:val="24"/>
                <w:szCs w:val="24"/>
              </w:rPr>
              <w:t xml:space="preserve"> </w:t>
            </w:r>
            <w:r>
              <w:rPr>
                <w:spacing w:val="-3"/>
                <w:sz w:val="24"/>
                <w:szCs w:val="24"/>
              </w:rPr>
              <w:t>、</w:t>
            </w:r>
            <w:r>
              <w:rPr>
                <w:rFonts w:ascii="Times New Roman" w:hAnsi="Times New Roman" w:eastAsia="Times New Roman" w:cs="Times New Roman"/>
                <w:spacing w:val="-3"/>
                <w:sz w:val="24"/>
                <w:szCs w:val="24"/>
              </w:rPr>
              <w:t>BOD</w:t>
            </w:r>
            <w:r>
              <w:rPr>
                <w:rFonts w:ascii="Times New Roman" w:hAnsi="Times New Roman" w:eastAsia="Times New Roman" w:cs="Times New Roman"/>
                <w:spacing w:val="-3"/>
                <w:position w:val="-1"/>
                <w:sz w:val="15"/>
                <w:szCs w:val="15"/>
              </w:rPr>
              <w:t>5</w:t>
            </w:r>
            <w:r>
              <w:rPr>
                <w:rFonts w:ascii="Times New Roman" w:hAnsi="Times New Roman" w:eastAsia="Times New Roman" w:cs="Times New Roman"/>
                <w:spacing w:val="-1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SS</w:t>
            </w:r>
            <w:r>
              <w:rPr>
                <w:rFonts w:ascii="Times New Roman" w:hAnsi="Times New Roman" w:eastAsia="Times New Roman" w:cs="Times New Roman"/>
                <w:spacing w:val="-36"/>
                <w:sz w:val="24"/>
                <w:szCs w:val="24"/>
              </w:rPr>
              <w:t xml:space="preserve"> </w:t>
            </w:r>
            <w:r>
              <w:rPr>
                <w:spacing w:val="-3"/>
                <w:sz w:val="24"/>
                <w:szCs w:val="24"/>
              </w:rPr>
              <w:t>、氨氮等，排放浓度一般为</w:t>
            </w:r>
            <w:r>
              <w:rPr>
                <w:spacing w:val="-56"/>
                <w:sz w:val="24"/>
                <w:szCs w:val="24"/>
              </w:rPr>
              <w:t xml:space="preserve"> </w:t>
            </w:r>
            <w:r>
              <w:rPr>
                <w:rFonts w:ascii="Times New Roman" w:hAnsi="Times New Roman" w:eastAsia="Times New Roman" w:cs="Times New Roman"/>
                <w:spacing w:val="-3"/>
                <w:sz w:val="24"/>
                <w:szCs w:val="24"/>
              </w:rPr>
              <w:t>450mg/L</w:t>
            </w:r>
            <w:r>
              <w:rPr>
                <w:spacing w:val="-3"/>
                <w:sz w:val="24"/>
                <w:szCs w:val="24"/>
              </w:rPr>
              <w:t>、</w:t>
            </w:r>
            <w:r>
              <w:rPr>
                <w:sz w:val="24"/>
                <w:szCs w:val="24"/>
              </w:rPr>
              <w:t xml:space="preserve"> </w:t>
            </w:r>
            <w:r>
              <w:rPr>
                <w:rFonts w:ascii="Times New Roman" w:hAnsi="Times New Roman" w:eastAsia="Times New Roman" w:cs="Times New Roman"/>
                <w:spacing w:val="-3"/>
                <w:sz w:val="24"/>
                <w:szCs w:val="24"/>
              </w:rPr>
              <w:t>250mg/L</w:t>
            </w:r>
            <w:r>
              <w:rPr>
                <w:rFonts w:ascii="Times New Roman" w:hAnsi="Times New Roman" w:eastAsia="Times New Roman" w:cs="Times New Roman"/>
                <w:spacing w:val="-21"/>
                <w:sz w:val="24"/>
                <w:szCs w:val="24"/>
              </w:rPr>
              <w:t xml:space="preserve"> </w:t>
            </w:r>
            <w:r>
              <w:rPr>
                <w:spacing w:val="-3"/>
                <w:sz w:val="24"/>
                <w:szCs w:val="24"/>
              </w:rPr>
              <w:t>、</w:t>
            </w:r>
            <w:r>
              <w:rPr>
                <w:rFonts w:ascii="Times New Roman" w:hAnsi="Times New Roman" w:eastAsia="Times New Roman" w:cs="Times New Roman"/>
                <w:spacing w:val="-3"/>
                <w:sz w:val="24"/>
                <w:szCs w:val="24"/>
              </w:rPr>
              <w:t>300mg/L</w:t>
            </w:r>
            <w:r>
              <w:rPr>
                <w:rFonts w:ascii="Times New Roman" w:hAnsi="Times New Roman" w:eastAsia="Times New Roman" w:cs="Times New Roman"/>
                <w:spacing w:val="-32"/>
                <w:sz w:val="24"/>
                <w:szCs w:val="24"/>
              </w:rPr>
              <w:t xml:space="preserve"> </w:t>
            </w:r>
            <w:r>
              <w:rPr>
                <w:spacing w:val="-3"/>
                <w:sz w:val="24"/>
                <w:szCs w:val="24"/>
              </w:rPr>
              <w:t>、</w:t>
            </w:r>
            <w:r>
              <w:rPr>
                <w:rFonts w:ascii="Times New Roman" w:hAnsi="Times New Roman" w:eastAsia="Times New Roman" w:cs="Times New Roman"/>
                <w:spacing w:val="-3"/>
                <w:sz w:val="24"/>
                <w:szCs w:val="24"/>
              </w:rPr>
              <w:t>30mg/L</w:t>
            </w:r>
            <w:r>
              <w:rPr>
                <w:rFonts w:ascii="Times New Roman" w:hAnsi="Times New Roman" w:eastAsia="Times New Roman" w:cs="Times New Roman"/>
                <w:spacing w:val="-31"/>
                <w:sz w:val="24"/>
                <w:szCs w:val="24"/>
              </w:rPr>
              <w:t xml:space="preserve"> </w:t>
            </w:r>
            <w:r>
              <w:rPr>
                <w:spacing w:val="-3"/>
                <w:sz w:val="24"/>
                <w:szCs w:val="24"/>
              </w:rPr>
              <w:t>，废水污染物排放情况如下：</w:t>
            </w:r>
          </w:p>
          <w:p w14:paraId="42BFE4FB">
            <w:pPr>
              <w:pStyle w:val="6"/>
              <w:spacing w:line="227" w:lineRule="auto"/>
              <w:ind w:left="2842"/>
              <w:outlineLvl w:val="1"/>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4-1    </w:t>
            </w:r>
            <w:r>
              <w:rPr>
                <w:b/>
                <w:bCs/>
                <w:spacing w:val="5"/>
                <w:sz w:val="20"/>
                <w:szCs w:val="20"/>
              </w:rPr>
              <w:t>废水污染物产排情况表</w:t>
            </w:r>
          </w:p>
          <w:p w14:paraId="7FD322D3">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9"/>
              <w:gridCol w:w="2398"/>
              <w:gridCol w:w="1203"/>
              <w:gridCol w:w="2224"/>
              <w:gridCol w:w="1582"/>
            </w:tblGrid>
            <w:tr w14:paraId="1962E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09" w:type="dxa"/>
                  <w:vAlign w:val="top"/>
                </w:tcPr>
                <w:p w14:paraId="462517FD">
                  <w:pPr>
                    <w:pStyle w:val="6"/>
                    <w:spacing w:before="36" w:line="216" w:lineRule="auto"/>
                    <w:ind w:left="249"/>
                    <w:rPr>
                      <w:sz w:val="20"/>
                      <w:szCs w:val="20"/>
                    </w:rPr>
                  </w:pPr>
                  <w:r>
                    <w:rPr>
                      <w:spacing w:val="5"/>
                      <w:sz w:val="20"/>
                      <w:szCs w:val="20"/>
                    </w:rPr>
                    <w:t>序号</w:t>
                  </w:r>
                </w:p>
              </w:tc>
              <w:tc>
                <w:tcPr>
                  <w:tcW w:w="2398" w:type="dxa"/>
                  <w:vAlign w:val="top"/>
                </w:tcPr>
                <w:p w14:paraId="780FB15C">
                  <w:pPr>
                    <w:pStyle w:val="6"/>
                    <w:spacing w:before="36" w:line="216" w:lineRule="auto"/>
                    <w:ind w:left="252"/>
                    <w:rPr>
                      <w:rFonts w:ascii="Times New Roman" w:hAnsi="Times New Roman" w:eastAsia="Times New Roman" w:cs="Times New Roman"/>
                      <w:sz w:val="20"/>
                      <w:szCs w:val="20"/>
                    </w:rPr>
                  </w:pPr>
                  <w:r>
                    <w:rPr>
                      <w:spacing w:val="6"/>
                      <w:sz w:val="20"/>
                      <w:szCs w:val="20"/>
                    </w:rPr>
                    <w:t>生活污水排放量</w:t>
                  </w:r>
                  <w:r>
                    <w:rPr>
                      <w:spacing w:val="-40"/>
                      <w:sz w:val="20"/>
                      <w:szCs w:val="20"/>
                    </w:rPr>
                    <w:t xml:space="preserve">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/a</w:t>
                  </w:r>
                </w:p>
              </w:tc>
              <w:tc>
                <w:tcPr>
                  <w:tcW w:w="1203" w:type="dxa"/>
                  <w:vAlign w:val="top"/>
                </w:tcPr>
                <w:p w14:paraId="376DB657">
                  <w:pPr>
                    <w:pStyle w:val="6"/>
                    <w:spacing w:before="36" w:line="216" w:lineRule="auto"/>
                    <w:ind w:left="295"/>
                    <w:rPr>
                      <w:sz w:val="20"/>
                      <w:szCs w:val="20"/>
                    </w:rPr>
                  </w:pPr>
                  <w:r>
                    <w:rPr>
                      <w:spacing w:val="6"/>
                      <w:sz w:val="20"/>
                      <w:szCs w:val="20"/>
                    </w:rPr>
                    <w:t>污染物</w:t>
                  </w:r>
                </w:p>
              </w:tc>
              <w:tc>
                <w:tcPr>
                  <w:tcW w:w="2224" w:type="dxa"/>
                  <w:vAlign w:val="top"/>
                </w:tcPr>
                <w:p w14:paraId="5980FA42">
                  <w:pPr>
                    <w:pStyle w:val="6"/>
                    <w:spacing w:before="36" w:line="216" w:lineRule="auto"/>
                    <w:ind w:left="446"/>
                    <w:rPr>
                      <w:rFonts w:ascii="Times New Roman" w:hAnsi="Times New Roman" w:eastAsia="Times New Roman" w:cs="Times New Roman"/>
                      <w:sz w:val="20"/>
                      <w:szCs w:val="20"/>
                    </w:rPr>
                  </w:pPr>
                  <w:r>
                    <w:rPr>
                      <w:spacing w:val="17"/>
                      <w:sz w:val="20"/>
                      <w:szCs w:val="20"/>
                    </w:rPr>
                    <w:t>排放浓度</w:t>
                  </w:r>
                  <w:r>
                    <w:rPr>
                      <w:rFonts w:ascii="Times New Roman" w:hAnsi="Times New Roman" w:eastAsia="Times New Roman" w:cs="Times New Roman"/>
                      <w:sz w:val="20"/>
                      <w:szCs w:val="20"/>
                    </w:rPr>
                    <w:t>mg</w:t>
                  </w:r>
                  <w:r>
                    <w:rPr>
                      <w:rFonts w:ascii="Times New Roman" w:hAnsi="Times New Roman" w:eastAsia="Times New Roman" w:cs="Times New Roman"/>
                      <w:spacing w:val="17"/>
                      <w:sz w:val="20"/>
                      <w:szCs w:val="20"/>
                    </w:rPr>
                    <w:t>/L</w:t>
                  </w:r>
                </w:p>
              </w:tc>
              <w:tc>
                <w:tcPr>
                  <w:tcW w:w="1582" w:type="dxa"/>
                  <w:vAlign w:val="top"/>
                </w:tcPr>
                <w:p w14:paraId="1F8AF271">
                  <w:pPr>
                    <w:pStyle w:val="6"/>
                    <w:spacing w:before="36" w:line="216" w:lineRule="auto"/>
                    <w:ind w:left="351"/>
                    <w:rPr>
                      <w:rFonts w:ascii="Times New Roman" w:hAnsi="Times New Roman" w:eastAsia="Times New Roman" w:cs="Times New Roman"/>
                      <w:sz w:val="20"/>
                      <w:szCs w:val="20"/>
                    </w:rPr>
                  </w:pPr>
                  <w:r>
                    <w:rPr>
                      <w:spacing w:val="4"/>
                      <w:sz w:val="20"/>
                      <w:szCs w:val="20"/>
                    </w:rPr>
                    <w:t>排放量</w:t>
                  </w:r>
                  <w:r>
                    <w:rPr>
                      <w:spacing w:val="-44"/>
                      <w:sz w:val="20"/>
                      <w:szCs w:val="20"/>
                    </w:rPr>
                    <w:t xml:space="preserve"> </w:t>
                  </w:r>
                  <w:r>
                    <w:rPr>
                      <w:rFonts w:ascii="Times New Roman" w:hAnsi="Times New Roman" w:eastAsia="Times New Roman" w:cs="Times New Roman"/>
                      <w:spacing w:val="4"/>
                      <w:sz w:val="20"/>
                      <w:szCs w:val="20"/>
                    </w:rPr>
                    <w:t>t/a</w:t>
                  </w:r>
                </w:p>
              </w:tc>
            </w:tr>
            <w:tr w14:paraId="51DAD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909" w:type="dxa"/>
                  <w:vAlign w:val="top"/>
                </w:tcPr>
                <w:p w14:paraId="2D5DED40">
                  <w:pPr>
                    <w:spacing w:before="53" w:line="189"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98" w:type="dxa"/>
                  <w:vMerge w:val="restart"/>
                  <w:tcBorders>
                    <w:bottom w:val="nil"/>
                  </w:tcBorders>
                  <w:vAlign w:val="top"/>
                </w:tcPr>
                <w:p w14:paraId="6F542E77">
                  <w:pPr>
                    <w:spacing w:line="370" w:lineRule="auto"/>
                    <w:rPr>
                      <w:rFonts w:ascii="Arial"/>
                      <w:sz w:val="21"/>
                    </w:rPr>
                  </w:pPr>
                </w:p>
                <w:p w14:paraId="3BBF1E8B">
                  <w:pPr>
                    <w:spacing w:before="58" w:line="195"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788.4</w:t>
                  </w:r>
                </w:p>
              </w:tc>
              <w:tc>
                <w:tcPr>
                  <w:tcW w:w="1203" w:type="dxa"/>
                  <w:vAlign w:val="top"/>
                </w:tcPr>
                <w:p w14:paraId="7DC86F62">
                  <w:pPr>
                    <w:spacing w:before="53" w:line="189"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224" w:type="dxa"/>
                  <w:vAlign w:val="top"/>
                </w:tcPr>
                <w:p w14:paraId="2067E4A8">
                  <w:pPr>
                    <w:spacing w:before="53" w:line="189" w:lineRule="auto"/>
                    <w:ind w:left="9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582" w:type="dxa"/>
                  <w:vAlign w:val="top"/>
                </w:tcPr>
                <w:p w14:paraId="6A298DD2">
                  <w:pPr>
                    <w:spacing w:before="53" w:line="189"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r>
            <w:tr w14:paraId="30BA2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909" w:type="dxa"/>
                  <w:vAlign w:val="top"/>
                </w:tcPr>
                <w:p w14:paraId="760FE3EB">
                  <w:pPr>
                    <w:spacing w:before="55" w:line="188"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98" w:type="dxa"/>
                  <w:vMerge w:val="continue"/>
                  <w:tcBorders>
                    <w:top w:val="nil"/>
                    <w:bottom w:val="nil"/>
                  </w:tcBorders>
                  <w:vAlign w:val="top"/>
                </w:tcPr>
                <w:p w14:paraId="38402BAE">
                  <w:pPr>
                    <w:rPr>
                      <w:rFonts w:ascii="Arial"/>
                      <w:sz w:val="21"/>
                    </w:rPr>
                  </w:pPr>
                </w:p>
              </w:tc>
              <w:tc>
                <w:tcPr>
                  <w:tcW w:w="1203" w:type="dxa"/>
                  <w:vAlign w:val="top"/>
                </w:tcPr>
                <w:p w14:paraId="240DFB6E">
                  <w:pPr>
                    <w:spacing w:before="55" w:line="188" w:lineRule="auto"/>
                    <w:ind w:left="346"/>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224" w:type="dxa"/>
                  <w:vAlign w:val="top"/>
                </w:tcPr>
                <w:p w14:paraId="2E893522">
                  <w:pPr>
                    <w:spacing w:before="55" w:line="188" w:lineRule="auto"/>
                    <w:ind w:left="9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582" w:type="dxa"/>
                  <w:vAlign w:val="top"/>
                </w:tcPr>
                <w:p w14:paraId="0B0AE74C">
                  <w:pPr>
                    <w:spacing w:before="55" w:line="188"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43910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909" w:type="dxa"/>
                  <w:vAlign w:val="top"/>
                </w:tcPr>
                <w:p w14:paraId="604C09C1">
                  <w:pPr>
                    <w:spacing w:before="54" w:line="188"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98" w:type="dxa"/>
                  <w:vMerge w:val="continue"/>
                  <w:tcBorders>
                    <w:top w:val="nil"/>
                    <w:bottom w:val="nil"/>
                  </w:tcBorders>
                  <w:vAlign w:val="top"/>
                </w:tcPr>
                <w:p w14:paraId="71466CB9">
                  <w:pPr>
                    <w:rPr>
                      <w:rFonts w:ascii="Arial"/>
                      <w:sz w:val="21"/>
                    </w:rPr>
                  </w:pPr>
                </w:p>
              </w:tc>
              <w:tc>
                <w:tcPr>
                  <w:tcW w:w="1203" w:type="dxa"/>
                  <w:vAlign w:val="top"/>
                </w:tcPr>
                <w:p w14:paraId="443CF18F">
                  <w:pPr>
                    <w:spacing w:before="53" w:line="189"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224" w:type="dxa"/>
                  <w:vAlign w:val="top"/>
                </w:tcPr>
                <w:p w14:paraId="482CD4F2">
                  <w:pPr>
                    <w:spacing w:before="54" w:line="188" w:lineRule="auto"/>
                    <w:ind w:left="9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300</w:t>
                  </w:r>
                </w:p>
              </w:tc>
              <w:tc>
                <w:tcPr>
                  <w:tcW w:w="1582" w:type="dxa"/>
                  <w:vAlign w:val="top"/>
                </w:tcPr>
                <w:p w14:paraId="1E4BDF14">
                  <w:pPr>
                    <w:spacing w:before="54" w:line="188"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r>
            <w:tr w14:paraId="016F0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909" w:type="dxa"/>
                  <w:vAlign w:val="top"/>
                </w:tcPr>
                <w:p w14:paraId="5635B0CC">
                  <w:pPr>
                    <w:spacing w:before="56" w:line="193"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398" w:type="dxa"/>
                  <w:vMerge w:val="continue"/>
                  <w:tcBorders>
                    <w:top w:val="nil"/>
                  </w:tcBorders>
                  <w:vAlign w:val="top"/>
                </w:tcPr>
                <w:p w14:paraId="2C5ABA6D">
                  <w:pPr>
                    <w:rPr>
                      <w:rFonts w:ascii="Arial"/>
                      <w:sz w:val="21"/>
                    </w:rPr>
                  </w:pPr>
                </w:p>
              </w:tc>
              <w:tc>
                <w:tcPr>
                  <w:tcW w:w="1203" w:type="dxa"/>
                  <w:vAlign w:val="top"/>
                </w:tcPr>
                <w:p w14:paraId="116466AA">
                  <w:pPr>
                    <w:spacing w:before="58" w:line="190"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2224" w:type="dxa"/>
                  <w:vAlign w:val="top"/>
                </w:tcPr>
                <w:p w14:paraId="1BABEB09">
                  <w:pPr>
                    <w:spacing w:before="56" w:line="193" w:lineRule="auto"/>
                    <w:ind w:left="101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82" w:type="dxa"/>
                  <w:vAlign w:val="top"/>
                </w:tcPr>
                <w:p w14:paraId="28A7AB3E">
                  <w:pPr>
                    <w:spacing w:before="56" w:line="193"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bl>
          <w:p w14:paraId="591E0FEC">
            <w:pPr>
              <w:pStyle w:val="6"/>
              <w:spacing w:before="35"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）洗车废水、地面冲洗废水</w:t>
            </w:r>
          </w:p>
          <w:p w14:paraId="6854D0D3">
            <w:pPr>
              <w:pStyle w:val="6"/>
              <w:spacing w:before="184" w:line="359" w:lineRule="auto"/>
              <w:ind w:left="113" w:right="106" w:firstLine="480"/>
              <w:rPr>
                <w:sz w:val="24"/>
                <w:szCs w:val="24"/>
              </w:rPr>
            </w:pPr>
            <w:r>
              <w:rPr>
                <w:spacing w:val="-3"/>
                <w:sz w:val="24"/>
                <w:szCs w:val="24"/>
              </w:rPr>
              <w:t>本项目洗车车间主要对空载车辆进行清洗，只清洗外部，不清洗内壁。清洗</w:t>
            </w:r>
            <w:r>
              <w:rPr>
                <w:spacing w:val="13"/>
                <w:sz w:val="24"/>
                <w:szCs w:val="24"/>
              </w:rPr>
              <w:t xml:space="preserve"> </w:t>
            </w:r>
            <w:r>
              <w:rPr>
                <w:spacing w:val="-3"/>
                <w:sz w:val="24"/>
                <w:szCs w:val="24"/>
              </w:rPr>
              <w:t>车间为间歇式工作，按一天工作</w:t>
            </w:r>
            <w:r>
              <w:rPr>
                <w:spacing w:val="-46"/>
                <w:sz w:val="24"/>
                <w:szCs w:val="24"/>
              </w:rPr>
              <w:t xml:space="preserve"> </w:t>
            </w:r>
            <w:r>
              <w:rPr>
                <w:rFonts w:ascii="Times New Roman" w:hAnsi="Times New Roman" w:eastAsia="Times New Roman" w:cs="Times New Roman"/>
                <w:spacing w:val="-3"/>
                <w:sz w:val="24"/>
                <w:szCs w:val="24"/>
              </w:rPr>
              <w:t>8h</w:t>
            </w:r>
            <w:r>
              <w:rPr>
                <w:spacing w:val="-3"/>
                <w:sz w:val="24"/>
                <w:szCs w:val="24"/>
              </w:rPr>
              <w:t>，洗车次数按最大的空车停车位</w:t>
            </w:r>
            <w:r>
              <w:rPr>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4"/>
                <w:sz w:val="24"/>
                <w:szCs w:val="24"/>
              </w:rPr>
              <w:t xml:space="preserve">2 </w:t>
            </w:r>
            <w:r>
              <w:rPr>
                <w:spacing w:val="-4"/>
                <w:sz w:val="24"/>
                <w:szCs w:val="24"/>
              </w:rPr>
              <w:t>辆</w:t>
            </w:r>
            <w:r>
              <w:rPr>
                <w:rFonts w:ascii="Times New Roman" w:hAnsi="Times New Roman" w:eastAsia="Times New Roman" w:cs="Times New Roman"/>
                <w:spacing w:val="-4"/>
                <w:sz w:val="24"/>
                <w:szCs w:val="24"/>
              </w:rPr>
              <w:t>/</w:t>
            </w:r>
            <w:r>
              <w:rPr>
                <w:spacing w:val="-4"/>
                <w:sz w:val="24"/>
                <w:szCs w:val="24"/>
              </w:rPr>
              <w:t>天进行</w:t>
            </w:r>
            <w:r>
              <w:rPr>
                <w:sz w:val="24"/>
                <w:szCs w:val="24"/>
              </w:rPr>
              <w:t xml:space="preserve"> </w:t>
            </w:r>
            <w:r>
              <w:rPr>
                <w:spacing w:val="-1"/>
                <w:sz w:val="24"/>
                <w:szCs w:val="24"/>
              </w:rPr>
              <w:t>计算，洗车用水量为</w:t>
            </w:r>
            <w:r>
              <w:rPr>
                <w:spacing w:val="-37"/>
                <w:sz w:val="24"/>
                <w:szCs w:val="24"/>
              </w:rPr>
              <w:t xml:space="preserve"> </w:t>
            </w:r>
            <w:r>
              <w:rPr>
                <w:rFonts w:ascii="Times New Roman" w:hAnsi="Times New Roman" w:eastAsia="Times New Roman" w:cs="Times New Roman"/>
                <w:spacing w:val="-1"/>
                <w:sz w:val="24"/>
                <w:szCs w:val="24"/>
              </w:rPr>
              <w:t>2.46m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/d</w:t>
            </w:r>
            <w:r>
              <w:rPr>
                <w:spacing w:val="-1"/>
                <w:sz w:val="24"/>
                <w:szCs w:val="24"/>
              </w:rPr>
              <w:t>（</w:t>
            </w:r>
            <w:r>
              <w:rPr>
                <w:rFonts w:ascii="Times New Roman" w:hAnsi="Times New Roman" w:eastAsia="Times New Roman" w:cs="Times New Roman"/>
                <w:spacing w:val="-1"/>
                <w:sz w:val="24"/>
                <w:szCs w:val="24"/>
              </w:rPr>
              <w:t>897.9m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/a</w:t>
            </w:r>
            <w:r>
              <w:rPr>
                <w:spacing w:val="-1"/>
                <w:sz w:val="24"/>
                <w:szCs w:val="24"/>
              </w:rPr>
              <w:t>）。</w:t>
            </w:r>
          </w:p>
          <w:p w14:paraId="6F3322E8">
            <w:pPr>
              <w:pStyle w:val="6"/>
              <w:spacing w:before="2" w:line="358" w:lineRule="auto"/>
              <w:ind w:left="119" w:right="106" w:firstLine="474"/>
              <w:rPr>
                <w:sz w:val="24"/>
                <w:szCs w:val="24"/>
              </w:rPr>
            </w:pPr>
            <w:r>
              <w:rPr>
                <w:spacing w:val="1"/>
                <w:sz w:val="24"/>
                <w:szCs w:val="24"/>
              </w:rPr>
              <w:t>本项目维修间、洗车间需定期进行地面冲洗，每周清洗</w:t>
            </w:r>
            <w:r>
              <w:rPr>
                <w:spacing w:val="-27"/>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8"/>
                <w:w w:val="101"/>
                <w:sz w:val="24"/>
                <w:szCs w:val="24"/>
              </w:rPr>
              <w:t xml:space="preserve"> </w:t>
            </w:r>
            <w:r>
              <w:rPr>
                <w:spacing w:val="1"/>
                <w:sz w:val="24"/>
                <w:szCs w:val="24"/>
              </w:rPr>
              <w:t>次</w:t>
            </w:r>
            <w:r>
              <w:rPr>
                <w:sz w:val="24"/>
                <w:szCs w:val="24"/>
              </w:rPr>
              <w:t>，每年清洗</w:t>
            </w:r>
            <w:r>
              <w:rPr>
                <w:spacing w:val="-44"/>
                <w:sz w:val="24"/>
                <w:szCs w:val="24"/>
              </w:rPr>
              <w:t xml:space="preserve"> </w:t>
            </w:r>
            <w:r>
              <w:rPr>
                <w:rFonts w:ascii="Times New Roman" w:hAnsi="Times New Roman" w:eastAsia="Times New Roman" w:cs="Times New Roman"/>
                <w:sz w:val="24"/>
                <w:szCs w:val="24"/>
              </w:rPr>
              <w:t xml:space="preserve">53 </w:t>
            </w:r>
            <w:r>
              <w:rPr>
                <w:spacing w:val="-3"/>
                <w:sz w:val="24"/>
                <w:szCs w:val="24"/>
              </w:rPr>
              <w:t>次，建筑面积为</w:t>
            </w:r>
            <w:r>
              <w:rPr>
                <w:spacing w:val="-48"/>
                <w:sz w:val="24"/>
                <w:szCs w:val="24"/>
              </w:rPr>
              <w:t xml:space="preserve"> </w:t>
            </w:r>
            <w:r>
              <w:rPr>
                <w:rFonts w:ascii="Times New Roman" w:hAnsi="Times New Roman" w:eastAsia="Times New Roman" w:cs="Times New Roman"/>
                <w:spacing w:val="-3"/>
                <w:sz w:val="24"/>
                <w:szCs w:val="24"/>
              </w:rPr>
              <w:t>644.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16m</w:t>
            </w:r>
            <w:r>
              <w:rPr>
                <w:rFonts w:ascii="Times New Roman" w:hAnsi="Times New Roman" w:eastAsia="Times New Roman" w:cs="Times New Roman"/>
                <w:spacing w:val="-3"/>
                <w:position w:val="7"/>
                <w:sz w:val="15"/>
                <w:szCs w:val="15"/>
              </w:rPr>
              <w:t xml:space="preserve">2 </w:t>
            </w:r>
            <w:r>
              <w:rPr>
                <w:spacing w:val="-3"/>
                <w:sz w:val="28"/>
                <w:szCs w:val="28"/>
              </w:rPr>
              <w:t>，</w:t>
            </w:r>
            <w:r>
              <w:rPr>
                <w:spacing w:val="-3"/>
                <w:sz w:val="24"/>
                <w:szCs w:val="24"/>
              </w:rPr>
              <w:t>洗车用水量为</w:t>
            </w:r>
            <w:r>
              <w:rPr>
                <w:spacing w:val="-50"/>
                <w:sz w:val="24"/>
                <w:szCs w:val="24"/>
              </w:rPr>
              <w:t xml:space="preserve"> </w:t>
            </w:r>
            <w:r>
              <w:rPr>
                <w:rFonts w:ascii="Times New Roman" w:hAnsi="Times New Roman" w:eastAsia="Times New Roman" w:cs="Times New Roman"/>
                <w:spacing w:val="-3"/>
                <w:sz w:val="24"/>
                <w:szCs w:val="24"/>
              </w:rPr>
              <w:t>68.28m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/a</w:t>
            </w:r>
            <w:r>
              <w:rPr>
                <w:spacing w:val="-3"/>
                <w:sz w:val="24"/>
                <w:szCs w:val="24"/>
              </w:rPr>
              <w:t>。</w:t>
            </w:r>
          </w:p>
          <w:p w14:paraId="7D5103BF">
            <w:pPr>
              <w:pStyle w:val="6"/>
              <w:spacing w:before="2" w:line="359" w:lineRule="auto"/>
              <w:ind w:left="109" w:right="108" w:firstLine="483"/>
              <w:jc w:val="both"/>
              <w:rPr>
                <w:sz w:val="24"/>
                <w:szCs w:val="24"/>
              </w:rPr>
            </w:pPr>
            <w:r>
              <w:rPr>
                <w:spacing w:val="17"/>
                <w:sz w:val="24"/>
                <w:szCs w:val="24"/>
              </w:rPr>
              <w:t>洗车废水、地面冲洗废水排放量按用水量的</w:t>
            </w:r>
            <w:r>
              <w:rPr>
                <w:spacing w:val="-21"/>
                <w:sz w:val="24"/>
                <w:szCs w:val="24"/>
              </w:rPr>
              <w:t xml:space="preserve"> </w:t>
            </w:r>
            <w:r>
              <w:rPr>
                <w:rFonts w:ascii="Times New Roman" w:hAnsi="Times New Roman" w:eastAsia="Times New Roman" w:cs="Times New Roman"/>
                <w:spacing w:val="17"/>
                <w:sz w:val="24"/>
                <w:szCs w:val="24"/>
              </w:rPr>
              <w:t>80%</w:t>
            </w:r>
            <w:r>
              <w:rPr>
                <w:spacing w:val="17"/>
                <w:sz w:val="24"/>
                <w:szCs w:val="24"/>
              </w:rPr>
              <w:t>计</w:t>
            </w:r>
            <w:r>
              <w:rPr>
                <w:spacing w:val="-70"/>
                <w:sz w:val="24"/>
                <w:szCs w:val="24"/>
              </w:rPr>
              <w:t xml:space="preserve"> </w:t>
            </w:r>
            <w:r>
              <w:rPr>
                <w:spacing w:val="17"/>
                <w:sz w:val="24"/>
                <w:szCs w:val="24"/>
              </w:rPr>
              <w:t>，则污水排</w:t>
            </w:r>
            <w:r>
              <w:rPr>
                <w:spacing w:val="16"/>
                <w:sz w:val="24"/>
                <w:szCs w:val="24"/>
              </w:rPr>
              <w:t>放量为</w:t>
            </w:r>
            <w:r>
              <w:rPr>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12m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sz w:val="24"/>
                <w:szCs w:val="24"/>
              </w:rPr>
              <w:t>/d</w:t>
            </w:r>
            <w:r>
              <w:rPr>
                <w:spacing w:val="8"/>
                <w:sz w:val="24"/>
                <w:szCs w:val="24"/>
              </w:rPr>
              <w:t>（</w:t>
            </w:r>
            <w:r>
              <w:rPr>
                <w:rFonts w:ascii="Times New Roman" w:hAnsi="Times New Roman" w:eastAsia="Times New Roman" w:cs="Times New Roman"/>
                <w:spacing w:val="8"/>
                <w:sz w:val="24"/>
                <w:szCs w:val="24"/>
              </w:rPr>
              <w:t>772.94m</w:t>
            </w:r>
            <w:r>
              <w:rPr>
                <w:rFonts w:ascii="Times New Roman" w:hAnsi="Times New Roman" w:eastAsia="Times New Roman" w:cs="Times New Roman"/>
                <w:spacing w:val="8"/>
                <w:position w:val="7"/>
                <w:sz w:val="15"/>
                <w:szCs w:val="15"/>
              </w:rPr>
              <w:t>3</w:t>
            </w:r>
            <w:r>
              <w:rPr>
                <w:rFonts w:ascii="Times New Roman" w:hAnsi="Times New Roman" w:eastAsia="Times New Roman" w:cs="Times New Roman"/>
                <w:spacing w:val="8"/>
                <w:sz w:val="24"/>
                <w:szCs w:val="24"/>
              </w:rPr>
              <w:t>/a</w:t>
            </w:r>
            <w:r>
              <w:rPr>
                <w:sz w:val="24"/>
                <w:szCs w:val="24"/>
              </w:rPr>
              <w:t>）</w:t>
            </w:r>
            <w:r>
              <w:rPr>
                <w:spacing w:val="-55"/>
                <w:sz w:val="24"/>
                <w:szCs w:val="24"/>
              </w:rPr>
              <w:t xml:space="preserve"> </w:t>
            </w:r>
            <w:r>
              <w:rPr>
                <w:sz w:val="24"/>
                <w:szCs w:val="24"/>
              </w:rPr>
              <w:t>，</w:t>
            </w:r>
            <w:r>
              <w:rPr>
                <w:spacing w:val="8"/>
                <w:sz w:val="24"/>
                <w:szCs w:val="24"/>
              </w:rPr>
              <w:t>经沉淀</w:t>
            </w:r>
            <w:r>
              <w:rPr>
                <w:rFonts w:ascii="Times New Roman" w:hAnsi="Times New Roman" w:eastAsia="Times New Roman" w:cs="Times New Roman"/>
                <w:spacing w:val="8"/>
                <w:sz w:val="24"/>
                <w:szCs w:val="24"/>
              </w:rPr>
              <w:t>+</w:t>
            </w:r>
            <w:r>
              <w:rPr>
                <w:rFonts w:ascii="Times New Roman" w:hAnsi="Times New Roman" w:eastAsia="Times New Roman" w:cs="Times New Roman"/>
                <w:spacing w:val="-18"/>
                <w:sz w:val="24"/>
                <w:szCs w:val="24"/>
              </w:rPr>
              <w:t xml:space="preserve"> </w:t>
            </w:r>
            <w:r>
              <w:rPr>
                <w:spacing w:val="8"/>
                <w:sz w:val="24"/>
                <w:szCs w:val="24"/>
              </w:rPr>
              <w:t>隔油处</w:t>
            </w:r>
            <w:r>
              <w:rPr>
                <w:spacing w:val="7"/>
                <w:sz w:val="24"/>
                <w:szCs w:val="24"/>
              </w:rPr>
              <w:t>理后，满足《污水综合排放标准》</w:t>
            </w:r>
            <w:r>
              <w:rPr>
                <w:sz w:val="24"/>
                <w:szCs w:val="24"/>
              </w:rPr>
              <w:t xml:space="preserve"> （</w:t>
            </w:r>
            <w:r>
              <w:rPr>
                <w:rFonts w:ascii="Times New Roman" w:hAnsi="Times New Roman" w:eastAsia="Times New Roman" w:cs="Times New Roman"/>
                <w:sz w:val="24"/>
                <w:szCs w:val="24"/>
              </w:rPr>
              <w:t>GB8978-1996</w:t>
            </w:r>
            <w:r>
              <w:rPr>
                <w:sz w:val="24"/>
                <w:szCs w:val="24"/>
              </w:rPr>
              <w:t>）三级标准，排入</w:t>
            </w:r>
            <w:r>
              <w:rPr>
                <w:spacing w:val="-1"/>
                <w:sz w:val="24"/>
                <w:szCs w:val="24"/>
              </w:rPr>
              <w:t>园区污水管网。</w:t>
            </w:r>
          </w:p>
          <w:p w14:paraId="5B6CE143">
            <w:pPr>
              <w:pStyle w:val="6"/>
              <w:spacing w:line="357" w:lineRule="auto"/>
              <w:ind w:left="113" w:right="106" w:firstLine="478"/>
              <w:rPr>
                <w:sz w:val="24"/>
                <w:szCs w:val="24"/>
              </w:rPr>
            </w:pPr>
            <w:r>
              <w:rPr>
                <w:spacing w:val="5"/>
                <w:sz w:val="24"/>
                <w:szCs w:val="24"/>
              </w:rPr>
              <w:t>废水中的主要污染物为主要污染物为悬浮物、石油类等，排放浓</w:t>
            </w:r>
            <w:r>
              <w:rPr>
                <w:spacing w:val="4"/>
                <w:sz w:val="24"/>
                <w:szCs w:val="24"/>
              </w:rPr>
              <w:t>度一般为</w:t>
            </w:r>
            <w:r>
              <w:rPr>
                <w:sz w:val="24"/>
                <w:szCs w:val="24"/>
              </w:rPr>
              <w:t xml:space="preserve"> </w:t>
            </w:r>
            <w:r>
              <w:rPr>
                <w:rFonts w:ascii="Times New Roman" w:hAnsi="Times New Roman" w:eastAsia="Times New Roman" w:cs="Times New Roman"/>
                <w:spacing w:val="-3"/>
                <w:sz w:val="24"/>
                <w:szCs w:val="24"/>
              </w:rPr>
              <w:t>300mg/L</w:t>
            </w:r>
            <w:r>
              <w:rPr>
                <w:rFonts w:ascii="Times New Roman" w:hAnsi="Times New Roman" w:eastAsia="Times New Roman" w:cs="Times New Roman"/>
                <w:spacing w:val="-23"/>
                <w:sz w:val="24"/>
                <w:szCs w:val="24"/>
              </w:rPr>
              <w:t xml:space="preserve"> </w:t>
            </w:r>
            <w:r>
              <w:rPr>
                <w:spacing w:val="-3"/>
                <w:sz w:val="24"/>
                <w:szCs w:val="24"/>
              </w:rPr>
              <w:t>、</w:t>
            </w:r>
            <w:r>
              <w:rPr>
                <w:rFonts w:ascii="Times New Roman" w:hAnsi="Times New Roman" w:eastAsia="Times New Roman" w:cs="Times New Roman"/>
                <w:spacing w:val="-3"/>
                <w:sz w:val="24"/>
                <w:szCs w:val="24"/>
              </w:rPr>
              <w:t>10mg/L</w:t>
            </w:r>
            <w:r>
              <w:rPr>
                <w:rFonts w:ascii="Times New Roman" w:hAnsi="Times New Roman" w:eastAsia="Times New Roman" w:cs="Times New Roman"/>
                <w:spacing w:val="-28"/>
                <w:sz w:val="24"/>
                <w:szCs w:val="24"/>
              </w:rPr>
              <w:t xml:space="preserve"> </w:t>
            </w:r>
            <w:r>
              <w:rPr>
                <w:spacing w:val="-3"/>
                <w:sz w:val="24"/>
                <w:szCs w:val="24"/>
              </w:rPr>
              <w:t>，废水污染物排放情况如下：</w:t>
            </w:r>
          </w:p>
          <w:p w14:paraId="1A148E6F">
            <w:pPr>
              <w:pStyle w:val="6"/>
              <w:spacing w:before="1" w:line="227" w:lineRule="auto"/>
              <w:ind w:left="2842"/>
              <w:outlineLvl w:val="1"/>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4-2    </w:t>
            </w:r>
            <w:r>
              <w:rPr>
                <w:b/>
                <w:bCs/>
                <w:spacing w:val="5"/>
                <w:sz w:val="20"/>
                <w:szCs w:val="20"/>
              </w:rPr>
              <w:t>废水污染物产排情况表</w:t>
            </w:r>
          </w:p>
          <w:p w14:paraId="503B8FCD">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900"/>
              <w:gridCol w:w="917"/>
              <w:gridCol w:w="1029"/>
              <w:gridCol w:w="916"/>
              <w:gridCol w:w="1431"/>
              <w:gridCol w:w="1405"/>
              <w:gridCol w:w="1265"/>
            </w:tblGrid>
            <w:tr w14:paraId="3B5A4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453" w:type="dxa"/>
                  <w:textDirection w:val="tbRlV"/>
                  <w:vAlign w:val="top"/>
                </w:tcPr>
                <w:p w14:paraId="2435B963">
                  <w:pPr>
                    <w:pStyle w:val="6"/>
                    <w:spacing w:before="118" w:line="218" w:lineRule="auto"/>
                    <w:ind w:left="35"/>
                    <w:rPr>
                      <w:sz w:val="20"/>
                      <w:szCs w:val="20"/>
                    </w:rPr>
                  </w:pPr>
                  <w:r>
                    <w:rPr>
                      <w:spacing w:val="8"/>
                      <w:sz w:val="20"/>
                      <w:szCs w:val="20"/>
                    </w:rPr>
                    <w:t>序</w:t>
                  </w:r>
                  <w:r>
                    <w:rPr>
                      <w:spacing w:val="-38"/>
                      <w:sz w:val="20"/>
                      <w:szCs w:val="20"/>
                    </w:rPr>
                    <w:t xml:space="preserve"> </w:t>
                  </w:r>
                  <w:r>
                    <w:rPr>
                      <w:spacing w:val="8"/>
                      <w:sz w:val="20"/>
                      <w:szCs w:val="20"/>
                    </w:rPr>
                    <w:t>号</w:t>
                  </w:r>
                </w:p>
              </w:tc>
              <w:tc>
                <w:tcPr>
                  <w:tcW w:w="900" w:type="dxa"/>
                  <w:vAlign w:val="top"/>
                </w:tcPr>
                <w:p w14:paraId="2FE123F0">
                  <w:pPr>
                    <w:pStyle w:val="6"/>
                    <w:spacing w:before="48" w:line="241" w:lineRule="auto"/>
                    <w:ind w:left="253" w:right="136" w:hanging="114"/>
                    <w:rPr>
                      <w:rFonts w:ascii="Times New Roman" w:hAnsi="Times New Roman" w:eastAsia="Times New Roman" w:cs="Times New Roman"/>
                      <w:sz w:val="20"/>
                      <w:szCs w:val="20"/>
                    </w:rPr>
                  </w:pPr>
                  <w:r>
                    <w:rPr>
                      <w:spacing w:val="6"/>
                      <w:sz w:val="20"/>
                      <w:szCs w:val="20"/>
                    </w:rPr>
                    <w:t>污水量</w:t>
                  </w:r>
                  <w:r>
                    <w:rPr>
                      <w:sz w:val="20"/>
                      <w:szCs w:val="20"/>
                    </w:rPr>
                    <w:t xml:space="preserve"> </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position w:val="-1"/>
                      <w:sz w:val="20"/>
                      <w:szCs w:val="20"/>
                    </w:rPr>
                    <w:t>/a</w:t>
                  </w:r>
                </w:p>
              </w:tc>
              <w:tc>
                <w:tcPr>
                  <w:tcW w:w="917" w:type="dxa"/>
                  <w:vAlign w:val="top"/>
                </w:tcPr>
                <w:p w14:paraId="5C60E077">
                  <w:pPr>
                    <w:pStyle w:val="6"/>
                    <w:spacing w:before="170" w:line="228" w:lineRule="auto"/>
                    <w:ind w:left="149"/>
                    <w:rPr>
                      <w:sz w:val="20"/>
                      <w:szCs w:val="20"/>
                    </w:rPr>
                  </w:pPr>
                  <w:r>
                    <w:rPr>
                      <w:spacing w:val="6"/>
                      <w:sz w:val="20"/>
                      <w:szCs w:val="20"/>
                    </w:rPr>
                    <w:t>污染物</w:t>
                  </w:r>
                </w:p>
              </w:tc>
              <w:tc>
                <w:tcPr>
                  <w:tcW w:w="1029" w:type="dxa"/>
                  <w:vAlign w:val="top"/>
                </w:tcPr>
                <w:p w14:paraId="631727CA">
                  <w:pPr>
                    <w:pStyle w:val="6"/>
                    <w:spacing w:before="36" w:line="233" w:lineRule="auto"/>
                    <w:ind w:left="158" w:right="157" w:firstLine="44"/>
                    <w:rPr>
                      <w:rFonts w:ascii="Times New Roman" w:hAnsi="Times New Roman" w:eastAsia="Times New Roman" w:cs="Times New Roman"/>
                      <w:sz w:val="20"/>
                      <w:szCs w:val="20"/>
                    </w:rPr>
                  </w:pPr>
                  <w:r>
                    <w:rPr>
                      <w:spacing w:val="6"/>
                      <w:sz w:val="20"/>
                      <w:szCs w:val="20"/>
                    </w:rPr>
                    <w:t>产生浓</w:t>
                  </w:r>
                  <w:r>
                    <w:rPr>
                      <w:spacing w:val="1"/>
                      <w:sz w:val="20"/>
                      <w:szCs w:val="20"/>
                    </w:rPr>
                    <w:t xml:space="preserve"> </w:t>
                  </w:r>
                  <w:r>
                    <w:rPr>
                      <w:spacing w:val="6"/>
                      <w:sz w:val="20"/>
                      <w:szCs w:val="20"/>
                    </w:rPr>
                    <w:t>度</w:t>
                  </w:r>
                  <w:r>
                    <w:rPr>
                      <w:spacing w:val="-45"/>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p>
              </w:tc>
              <w:tc>
                <w:tcPr>
                  <w:tcW w:w="916" w:type="dxa"/>
                  <w:vAlign w:val="top"/>
                </w:tcPr>
                <w:p w14:paraId="2C89A3E9">
                  <w:pPr>
                    <w:pStyle w:val="6"/>
                    <w:spacing w:before="36" w:line="233" w:lineRule="auto"/>
                    <w:ind w:left="111" w:right="108" w:firstLine="36"/>
                    <w:rPr>
                      <w:rFonts w:ascii="Times New Roman" w:hAnsi="Times New Roman" w:eastAsia="Times New Roman" w:cs="Times New Roman"/>
                      <w:sz w:val="20"/>
                      <w:szCs w:val="20"/>
                    </w:rPr>
                  </w:pPr>
                  <w:r>
                    <w:rPr>
                      <w:spacing w:val="6"/>
                      <w:sz w:val="20"/>
                      <w:szCs w:val="20"/>
                    </w:rPr>
                    <w:t>排放浓</w:t>
                  </w:r>
                  <w:r>
                    <w:rPr>
                      <w:spacing w:val="1"/>
                      <w:sz w:val="20"/>
                      <w:szCs w:val="20"/>
                    </w:rPr>
                    <w:t xml:space="preserve"> </w:t>
                  </w:r>
                  <w:r>
                    <w:rPr>
                      <w:spacing w:val="19"/>
                      <w:sz w:val="20"/>
                      <w:szCs w:val="20"/>
                    </w:rPr>
                    <w:t>度</w:t>
                  </w:r>
                  <w:r>
                    <w:rPr>
                      <w:rFonts w:ascii="Times New Roman" w:hAnsi="Times New Roman" w:eastAsia="Times New Roman" w:cs="Times New Roman"/>
                      <w:sz w:val="20"/>
                      <w:szCs w:val="20"/>
                    </w:rPr>
                    <w:t>mg</w:t>
                  </w:r>
                  <w:r>
                    <w:rPr>
                      <w:rFonts w:ascii="Times New Roman" w:hAnsi="Times New Roman" w:eastAsia="Times New Roman" w:cs="Times New Roman"/>
                      <w:spacing w:val="19"/>
                      <w:sz w:val="20"/>
                      <w:szCs w:val="20"/>
                    </w:rPr>
                    <w:t>/L</w:t>
                  </w:r>
                </w:p>
              </w:tc>
              <w:tc>
                <w:tcPr>
                  <w:tcW w:w="1431" w:type="dxa"/>
                  <w:vAlign w:val="top"/>
                </w:tcPr>
                <w:p w14:paraId="74A56E77">
                  <w:pPr>
                    <w:pStyle w:val="6"/>
                    <w:spacing w:before="169" w:line="229" w:lineRule="auto"/>
                    <w:ind w:left="276"/>
                    <w:rPr>
                      <w:rFonts w:ascii="Times New Roman" w:hAnsi="Times New Roman" w:eastAsia="Times New Roman" w:cs="Times New Roman"/>
                      <w:sz w:val="20"/>
                      <w:szCs w:val="20"/>
                    </w:rPr>
                  </w:pPr>
                  <w:r>
                    <w:rPr>
                      <w:spacing w:val="4"/>
                      <w:sz w:val="20"/>
                      <w:szCs w:val="20"/>
                    </w:rPr>
                    <w:t>排放量</w:t>
                  </w:r>
                  <w:r>
                    <w:rPr>
                      <w:spacing w:val="-44"/>
                      <w:sz w:val="20"/>
                      <w:szCs w:val="20"/>
                    </w:rPr>
                    <w:t xml:space="preserve"> </w:t>
                  </w:r>
                  <w:r>
                    <w:rPr>
                      <w:rFonts w:ascii="Times New Roman" w:hAnsi="Times New Roman" w:eastAsia="Times New Roman" w:cs="Times New Roman"/>
                      <w:spacing w:val="4"/>
                      <w:sz w:val="20"/>
                      <w:szCs w:val="20"/>
                    </w:rPr>
                    <w:t>t/a</w:t>
                  </w:r>
                </w:p>
              </w:tc>
              <w:tc>
                <w:tcPr>
                  <w:tcW w:w="1405" w:type="dxa"/>
                  <w:vAlign w:val="top"/>
                </w:tcPr>
                <w:p w14:paraId="279B980C">
                  <w:pPr>
                    <w:pStyle w:val="6"/>
                    <w:spacing w:before="36" w:line="233" w:lineRule="auto"/>
                    <w:ind w:left="247" w:right="174" w:hanging="61"/>
                    <w:rPr>
                      <w:rFonts w:ascii="Times New Roman" w:hAnsi="Times New Roman" w:eastAsia="Times New Roman" w:cs="Times New Roman"/>
                      <w:sz w:val="20"/>
                      <w:szCs w:val="20"/>
                    </w:rPr>
                  </w:pPr>
                  <w:r>
                    <w:rPr>
                      <w:spacing w:val="7"/>
                      <w:sz w:val="20"/>
                      <w:szCs w:val="20"/>
                    </w:rPr>
                    <w:t>污水</w:t>
                  </w:r>
                  <w:r>
                    <w:rPr>
                      <w:rFonts w:hint="eastAsia"/>
                      <w:spacing w:val="7"/>
                      <w:sz w:val="20"/>
                      <w:szCs w:val="20"/>
                      <w:lang w:val="en-US" w:eastAsia="zh-CN"/>
                    </w:rPr>
                    <w:t>处理</w:t>
                  </w:r>
                  <w:r>
                    <w:rPr>
                      <w:spacing w:val="7"/>
                      <w:sz w:val="20"/>
                      <w:szCs w:val="20"/>
                    </w:rPr>
                    <w:t>厂接收</w:t>
                  </w:r>
                  <w:r>
                    <w:rPr>
                      <w:spacing w:val="3"/>
                      <w:sz w:val="20"/>
                      <w:szCs w:val="20"/>
                    </w:rPr>
                    <w:t xml:space="preserve"> </w:t>
                  </w:r>
                  <w:r>
                    <w:rPr>
                      <w:spacing w:val="20"/>
                      <w:sz w:val="20"/>
                      <w:szCs w:val="20"/>
                    </w:rPr>
                    <w:t>标准</w:t>
                  </w:r>
                  <w:r>
                    <w:rPr>
                      <w:rFonts w:ascii="Times New Roman" w:hAnsi="Times New Roman" w:eastAsia="Times New Roman" w:cs="Times New Roman"/>
                      <w:sz w:val="20"/>
                      <w:szCs w:val="20"/>
                    </w:rPr>
                    <w:t>mg</w:t>
                  </w:r>
                  <w:r>
                    <w:rPr>
                      <w:rFonts w:ascii="Times New Roman" w:hAnsi="Times New Roman" w:eastAsia="Times New Roman" w:cs="Times New Roman"/>
                      <w:spacing w:val="20"/>
                      <w:sz w:val="20"/>
                      <w:szCs w:val="20"/>
                    </w:rPr>
                    <w:t>/L</w:t>
                  </w:r>
                </w:p>
              </w:tc>
              <w:tc>
                <w:tcPr>
                  <w:tcW w:w="1265" w:type="dxa"/>
                  <w:vAlign w:val="top"/>
                </w:tcPr>
                <w:p w14:paraId="1BC5A1F4">
                  <w:pPr>
                    <w:pStyle w:val="6"/>
                    <w:spacing w:before="35" w:line="228" w:lineRule="auto"/>
                    <w:ind w:left="220"/>
                    <w:rPr>
                      <w:sz w:val="20"/>
                      <w:szCs w:val="20"/>
                    </w:rPr>
                  </w:pPr>
                  <w:r>
                    <w:rPr>
                      <w:spacing w:val="6"/>
                      <w:sz w:val="20"/>
                      <w:szCs w:val="20"/>
                    </w:rPr>
                    <w:t>是否符合</w:t>
                  </w:r>
                </w:p>
                <w:p w14:paraId="42C6F71E">
                  <w:pPr>
                    <w:pStyle w:val="6"/>
                    <w:spacing w:before="24" w:line="216" w:lineRule="auto"/>
                    <w:ind w:left="216"/>
                    <w:rPr>
                      <w:sz w:val="20"/>
                      <w:szCs w:val="20"/>
                    </w:rPr>
                  </w:pPr>
                  <w:r>
                    <w:rPr>
                      <w:spacing w:val="7"/>
                      <w:sz w:val="20"/>
                      <w:szCs w:val="20"/>
                    </w:rPr>
                    <w:t>接收标准</w:t>
                  </w:r>
                </w:p>
              </w:tc>
            </w:tr>
            <w:tr w14:paraId="39347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3" w:type="dxa"/>
                  <w:vAlign w:val="top"/>
                </w:tcPr>
                <w:p w14:paraId="761E80A6">
                  <w:pPr>
                    <w:spacing w:before="6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0" w:type="dxa"/>
                  <w:vMerge w:val="restart"/>
                  <w:tcBorders>
                    <w:bottom w:val="nil"/>
                  </w:tcBorders>
                  <w:vAlign w:val="top"/>
                </w:tcPr>
                <w:p w14:paraId="4A3877B9">
                  <w:pPr>
                    <w:spacing w:before="21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772.94</w:t>
                  </w:r>
                </w:p>
              </w:tc>
              <w:tc>
                <w:tcPr>
                  <w:tcW w:w="917" w:type="dxa"/>
                  <w:vAlign w:val="top"/>
                </w:tcPr>
                <w:p w14:paraId="7DB0DD96">
                  <w:pPr>
                    <w:pStyle w:val="6"/>
                    <w:spacing w:before="34" w:line="215" w:lineRule="auto"/>
                    <w:ind w:left="150"/>
                    <w:rPr>
                      <w:sz w:val="20"/>
                      <w:szCs w:val="20"/>
                    </w:rPr>
                  </w:pPr>
                  <w:r>
                    <w:rPr>
                      <w:spacing w:val="6"/>
                      <w:sz w:val="20"/>
                      <w:szCs w:val="20"/>
                    </w:rPr>
                    <w:t>悬浮物</w:t>
                  </w:r>
                </w:p>
              </w:tc>
              <w:tc>
                <w:tcPr>
                  <w:tcW w:w="1029" w:type="dxa"/>
                  <w:vAlign w:val="top"/>
                </w:tcPr>
                <w:p w14:paraId="04EB4FCD">
                  <w:pPr>
                    <w:spacing w:before="69"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916" w:type="dxa"/>
                  <w:vAlign w:val="top"/>
                </w:tcPr>
                <w:p w14:paraId="710853A3">
                  <w:pPr>
                    <w:spacing w:before="69"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431" w:type="dxa"/>
                  <w:vAlign w:val="top"/>
                </w:tcPr>
                <w:p w14:paraId="70B982AF">
                  <w:pPr>
                    <w:spacing w:before="69"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405" w:type="dxa"/>
                  <w:vAlign w:val="top"/>
                </w:tcPr>
                <w:p w14:paraId="23260EAA">
                  <w:pPr>
                    <w:spacing w:before="69" w:line="195" w:lineRule="auto"/>
                    <w:ind w:left="5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265" w:type="dxa"/>
                  <w:vAlign w:val="top"/>
                </w:tcPr>
                <w:p w14:paraId="274535A7">
                  <w:pPr>
                    <w:pStyle w:val="6"/>
                    <w:spacing w:before="34" w:line="215" w:lineRule="auto"/>
                    <w:ind w:left="537"/>
                    <w:rPr>
                      <w:sz w:val="20"/>
                      <w:szCs w:val="20"/>
                    </w:rPr>
                  </w:pPr>
                  <w:r>
                    <w:rPr>
                      <w:sz w:val="20"/>
                      <w:szCs w:val="20"/>
                    </w:rPr>
                    <w:t>是</w:t>
                  </w:r>
                </w:p>
              </w:tc>
            </w:tr>
            <w:tr w14:paraId="3941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3" w:type="dxa"/>
                  <w:vAlign w:val="top"/>
                </w:tcPr>
                <w:p w14:paraId="75820F77">
                  <w:pPr>
                    <w:spacing w:before="71"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0" w:type="dxa"/>
                  <w:vMerge w:val="continue"/>
                  <w:tcBorders>
                    <w:top w:val="nil"/>
                  </w:tcBorders>
                  <w:vAlign w:val="top"/>
                </w:tcPr>
                <w:p w14:paraId="60CCCBD7">
                  <w:pPr>
                    <w:rPr>
                      <w:rFonts w:ascii="Arial"/>
                      <w:sz w:val="21"/>
                    </w:rPr>
                  </w:pPr>
                </w:p>
              </w:tc>
              <w:tc>
                <w:tcPr>
                  <w:tcW w:w="917" w:type="dxa"/>
                  <w:vAlign w:val="top"/>
                </w:tcPr>
                <w:p w14:paraId="1886BEB5">
                  <w:pPr>
                    <w:pStyle w:val="6"/>
                    <w:spacing w:before="34" w:line="217" w:lineRule="auto"/>
                    <w:ind w:left="148"/>
                    <w:rPr>
                      <w:sz w:val="20"/>
                      <w:szCs w:val="20"/>
                    </w:rPr>
                  </w:pPr>
                  <w:r>
                    <w:rPr>
                      <w:spacing w:val="6"/>
                      <w:sz w:val="20"/>
                      <w:szCs w:val="20"/>
                    </w:rPr>
                    <w:t>石油类</w:t>
                  </w:r>
                </w:p>
              </w:tc>
              <w:tc>
                <w:tcPr>
                  <w:tcW w:w="1029" w:type="dxa"/>
                  <w:vAlign w:val="top"/>
                </w:tcPr>
                <w:p w14:paraId="38C4CA1D">
                  <w:pPr>
                    <w:spacing w:before="70" w:line="195" w:lineRule="auto"/>
                    <w:ind w:left="4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16" w:type="dxa"/>
                  <w:vAlign w:val="top"/>
                </w:tcPr>
                <w:p w14:paraId="06F27600">
                  <w:pPr>
                    <w:spacing w:before="70"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31" w:type="dxa"/>
                  <w:vAlign w:val="top"/>
                </w:tcPr>
                <w:p w14:paraId="5EBCED4D">
                  <w:pPr>
                    <w:spacing w:before="70"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1405" w:type="dxa"/>
                  <w:vAlign w:val="top"/>
                </w:tcPr>
                <w:p w14:paraId="6099D5DE">
                  <w:pPr>
                    <w:spacing w:before="7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65" w:type="dxa"/>
                  <w:vAlign w:val="top"/>
                </w:tcPr>
                <w:p w14:paraId="7FDB2436">
                  <w:pPr>
                    <w:pStyle w:val="6"/>
                    <w:spacing w:before="34" w:line="217" w:lineRule="auto"/>
                    <w:ind w:left="537"/>
                    <w:rPr>
                      <w:sz w:val="20"/>
                      <w:szCs w:val="20"/>
                    </w:rPr>
                  </w:pPr>
                  <w:r>
                    <w:rPr>
                      <w:sz w:val="20"/>
                      <w:szCs w:val="20"/>
                    </w:rPr>
                    <w:t>是</w:t>
                  </w:r>
                </w:p>
              </w:tc>
            </w:tr>
          </w:tbl>
          <w:p w14:paraId="6286A9C2">
            <w:pPr>
              <w:pStyle w:val="6"/>
              <w:spacing w:before="191"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）消防废水</w:t>
            </w:r>
          </w:p>
          <w:p w14:paraId="327FEC90">
            <w:pPr>
              <w:pStyle w:val="6"/>
              <w:spacing w:before="182" w:line="219" w:lineRule="auto"/>
              <w:ind w:left="594"/>
              <w:rPr>
                <w:sz w:val="24"/>
                <w:szCs w:val="24"/>
              </w:rPr>
            </w:pPr>
            <w:r>
              <w:rPr>
                <w:sz w:val="24"/>
                <w:szCs w:val="24"/>
              </w:rPr>
              <w:t>本项目设置室外消火栓系统，遥控移动消防炮</w:t>
            </w:r>
            <w:r>
              <w:rPr>
                <w:spacing w:val="-1"/>
                <w:sz w:val="24"/>
                <w:szCs w:val="24"/>
              </w:rPr>
              <w:t>消防用水量</w:t>
            </w:r>
            <w:r>
              <w:rPr>
                <w:spacing w:val="-50"/>
                <w:sz w:val="24"/>
                <w:szCs w:val="24"/>
              </w:rPr>
              <w:t xml:space="preserve"> </w:t>
            </w:r>
            <w:r>
              <w:rPr>
                <w:rFonts w:ascii="Times New Roman" w:hAnsi="Times New Roman" w:eastAsia="Times New Roman" w:cs="Times New Roman"/>
                <w:spacing w:val="-1"/>
                <w:sz w:val="24"/>
                <w:szCs w:val="24"/>
              </w:rPr>
              <w:t>60L/s</w:t>
            </w:r>
            <w:r>
              <w:rPr>
                <w:rFonts w:ascii="Times New Roman" w:hAnsi="Times New Roman" w:eastAsia="Times New Roman" w:cs="Times New Roman"/>
                <w:spacing w:val="-28"/>
                <w:sz w:val="24"/>
                <w:szCs w:val="24"/>
              </w:rPr>
              <w:t xml:space="preserve"> </w:t>
            </w:r>
            <w:r>
              <w:rPr>
                <w:spacing w:val="-1"/>
                <w:sz w:val="24"/>
                <w:szCs w:val="24"/>
              </w:rPr>
              <w:t>，假设发生</w:t>
            </w:r>
          </w:p>
        </w:tc>
      </w:tr>
    </w:tbl>
    <w:p w14:paraId="49961D71">
      <w:pPr>
        <w:pStyle w:val="2"/>
      </w:pPr>
    </w:p>
    <w:p w14:paraId="474B31F4">
      <w:pPr>
        <w:sectPr>
          <w:footerReference r:id="rId70" w:type="default"/>
          <w:pgSz w:w="11906" w:h="16839"/>
          <w:pgMar w:top="400" w:right="1445" w:bottom="1259" w:left="1543" w:header="0" w:footer="1097" w:gutter="0"/>
          <w:cols w:space="720" w:num="1"/>
        </w:sectPr>
      </w:pPr>
    </w:p>
    <w:p w14:paraId="54F71F3C">
      <w:pPr>
        <w:spacing w:before="19"/>
      </w:pPr>
    </w:p>
    <w:p w14:paraId="6240A134">
      <w:pPr>
        <w:spacing w:before="19"/>
      </w:pPr>
    </w:p>
    <w:p w14:paraId="677A0E70">
      <w:pPr>
        <w:spacing w:before="18"/>
      </w:pPr>
    </w:p>
    <w:p w14:paraId="4BBA55BB">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5A844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90B84A4">
            <w:pPr>
              <w:rPr>
                <w:rFonts w:ascii="Arial"/>
                <w:sz w:val="21"/>
              </w:rPr>
            </w:pPr>
          </w:p>
        </w:tc>
        <w:tc>
          <w:tcPr>
            <w:tcW w:w="8541" w:type="dxa"/>
            <w:vAlign w:val="top"/>
          </w:tcPr>
          <w:p w14:paraId="1AC1638C">
            <w:pPr>
              <w:pStyle w:val="6"/>
              <w:spacing w:before="40" w:line="359" w:lineRule="auto"/>
              <w:ind w:left="113" w:right="106" w:firstLine="1"/>
              <w:jc w:val="both"/>
              <w:rPr>
                <w:sz w:val="24"/>
                <w:szCs w:val="24"/>
              </w:rPr>
            </w:pPr>
            <w:r>
              <w:rPr>
                <w:spacing w:val="-3"/>
                <w:sz w:val="24"/>
                <w:szCs w:val="24"/>
              </w:rPr>
              <w:t>火灾，持续喷水时间</w:t>
            </w:r>
            <w:r>
              <w:rPr>
                <w:spacing w:val="-49"/>
                <w:sz w:val="24"/>
                <w:szCs w:val="24"/>
              </w:rPr>
              <w:t xml:space="preserve"> </w:t>
            </w:r>
            <w:r>
              <w:rPr>
                <w:rFonts w:ascii="Times New Roman" w:hAnsi="Times New Roman" w:eastAsia="Times New Roman" w:cs="Times New Roman"/>
                <w:spacing w:val="-3"/>
                <w:sz w:val="24"/>
                <w:szCs w:val="24"/>
              </w:rPr>
              <w:t>2h</w:t>
            </w:r>
            <w:r>
              <w:rPr>
                <w:rFonts w:ascii="Times New Roman" w:hAnsi="Times New Roman" w:eastAsia="Times New Roman" w:cs="Times New Roman"/>
                <w:spacing w:val="-31"/>
                <w:sz w:val="24"/>
                <w:szCs w:val="24"/>
              </w:rPr>
              <w:t xml:space="preserve"> </w:t>
            </w:r>
            <w:r>
              <w:rPr>
                <w:spacing w:val="-3"/>
                <w:sz w:val="24"/>
                <w:szCs w:val="24"/>
              </w:rPr>
              <w:t>，火灾次数按一次计算，消防设计用水量为</w:t>
            </w:r>
            <w:r>
              <w:rPr>
                <w:spacing w:val="-56"/>
                <w:sz w:val="24"/>
                <w:szCs w:val="24"/>
              </w:rPr>
              <w:t xml:space="preserve"> </w:t>
            </w:r>
            <w:r>
              <w:rPr>
                <w:rFonts w:ascii="Times New Roman" w:hAnsi="Times New Roman" w:eastAsia="Times New Roman" w:cs="Times New Roman"/>
                <w:spacing w:val="-3"/>
                <w:sz w:val="24"/>
                <w:szCs w:val="24"/>
              </w:rPr>
              <w:t>432m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9"/>
                <w:sz w:val="24"/>
                <w:szCs w:val="24"/>
              </w:rPr>
              <w:t xml:space="preserve"> </w:t>
            </w:r>
            <w:r>
              <w:rPr>
                <w:spacing w:val="-3"/>
                <w:sz w:val="24"/>
                <w:szCs w:val="24"/>
              </w:rPr>
              <w:t>，废</w:t>
            </w:r>
            <w:r>
              <w:rPr>
                <w:sz w:val="24"/>
                <w:szCs w:val="24"/>
              </w:rPr>
              <w:t xml:space="preserve"> 水量按用水量的</w:t>
            </w:r>
            <w:r>
              <w:rPr>
                <w:spacing w:val="-47"/>
                <w:sz w:val="24"/>
                <w:szCs w:val="24"/>
              </w:rPr>
              <w:t xml:space="preserve"> </w:t>
            </w:r>
            <w:r>
              <w:rPr>
                <w:rFonts w:ascii="Times New Roman" w:hAnsi="Times New Roman" w:eastAsia="Times New Roman" w:cs="Times New Roman"/>
                <w:sz w:val="24"/>
                <w:szCs w:val="24"/>
              </w:rPr>
              <w:t>90%</w:t>
            </w:r>
            <w:r>
              <w:rPr>
                <w:sz w:val="24"/>
                <w:szCs w:val="24"/>
              </w:rPr>
              <w:t>计，则消防废水排放量为</w:t>
            </w:r>
            <w:r>
              <w:rPr>
                <w:spacing w:val="-48"/>
                <w:sz w:val="24"/>
                <w:szCs w:val="24"/>
              </w:rPr>
              <w:t xml:space="preserve"> </w:t>
            </w:r>
            <w:r>
              <w:rPr>
                <w:rFonts w:ascii="Times New Roman" w:hAnsi="Times New Roman" w:eastAsia="Times New Roman" w:cs="Times New Roman"/>
                <w:sz w:val="24"/>
                <w:szCs w:val="24"/>
              </w:rPr>
              <w:t>388.8m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/a</w:t>
            </w:r>
            <w:r>
              <w:rPr>
                <w:rFonts w:ascii="Times New Roman" w:hAnsi="Times New Roman" w:eastAsia="Times New Roman" w:cs="Times New Roman"/>
                <w:spacing w:val="-25"/>
                <w:sz w:val="24"/>
                <w:szCs w:val="24"/>
              </w:rPr>
              <w:t xml:space="preserve"> </w:t>
            </w:r>
            <w:r>
              <w:rPr>
                <w:sz w:val="24"/>
                <w:szCs w:val="24"/>
              </w:rPr>
              <w:t xml:space="preserve">。消防废水产生后，收 </w:t>
            </w:r>
            <w:r>
              <w:rPr>
                <w:spacing w:val="-1"/>
                <w:sz w:val="24"/>
                <w:szCs w:val="24"/>
              </w:rPr>
              <w:t>集至事故应急池，由罐车定期拉运至园区污水处理厂。</w:t>
            </w:r>
          </w:p>
          <w:p w14:paraId="75646A72">
            <w:pPr>
              <w:pStyle w:val="6"/>
              <w:spacing w:line="218"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）废水依托园区污水处理厂可行性分析</w:t>
            </w:r>
          </w:p>
          <w:p w14:paraId="7C4F111A">
            <w:pPr>
              <w:pStyle w:val="6"/>
              <w:spacing w:before="181" w:line="217" w:lineRule="auto"/>
              <w:ind w:left="592"/>
              <w:rPr>
                <w:sz w:val="24"/>
                <w:szCs w:val="24"/>
              </w:rPr>
            </w:pPr>
            <w:r>
              <w:rPr>
                <w:spacing w:val="-2"/>
                <w:sz w:val="24"/>
                <w:szCs w:val="24"/>
              </w:rPr>
              <w:t>①废水处理措施</w:t>
            </w:r>
          </w:p>
          <w:p w14:paraId="00E06420">
            <w:pPr>
              <w:pStyle w:val="6"/>
              <w:spacing w:before="186" w:line="359" w:lineRule="auto"/>
              <w:ind w:left="112" w:right="106" w:firstLine="481"/>
              <w:jc w:val="both"/>
              <w:rPr>
                <w:sz w:val="24"/>
                <w:szCs w:val="24"/>
              </w:rPr>
            </w:pPr>
            <w:r>
              <w:rPr>
                <w:spacing w:val="-3"/>
                <w:sz w:val="24"/>
                <w:szCs w:val="24"/>
              </w:rPr>
              <w:t>本项目运营期产生的废水主要有生活污水、洗车废水、地面冲洗水和消防废</w:t>
            </w:r>
            <w:r>
              <w:rPr>
                <w:spacing w:val="13"/>
                <w:sz w:val="24"/>
                <w:szCs w:val="24"/>
              </w:rPr>
              <w:t xml:space="preserve"> </w:t>
            </w:r>
            <w:r>
              <w:rPr>
                <w:spacing w:val="-4"/>
                <w:sz w:val="24"/>
                <w:szCs w:val="24"/>
              </w:rPr>
              <w:t>水。生活污水中的主要污染物为</w:t>
            </w:r>
            <w:r>
              <w:rPr>
                <w:spacing w:val="-45"/>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35"/>
                <w:sz w:val="24"/>
                <w:szCs w:val="24"/>
              </w:rPr>
              <w:t xml:space="preserve"> </w:t>
            </w:r>
            <w:r>
              <w:rPr>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Times New Roman" w:hAnsi="Times New Roman" w:eastAsia="Times New Roman" w:cs="Times New Roman"/>
                <w:spacing w:val="-10"/>
                <w:position w:val="-1"/>
                <w:sz w:val="15"/>
                <w:szCs w:val="15"/>
              </w:rPr>
              <w:t xml:space="preserve"> </w:t>
            </w:r>
            <w:r>
              <w:rPr>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5"/>
                <w:sz w:val="24"/>
                <w:szCs w:val="24"/>
              </w:rPr>
              <w:t xml:space="preserve"> </w:t>
            </w:r>
            <w:r>
              <w:rPr>
                <w:spacing w:val="-4"/>
                <w:sz w:val="24"/>
                <w:szCs w:val="24"/>
              </w:rPr>
              <w:t>、氨氮，洗车废水、地面冲洗</w:t>
            </w:r>
            <w:r>
              <w:rPr>
                <w:sz w:val="24"/>
                <w:szCs w:val="24"/>
              </w:rPr>
              <w:t xml:space="preserve"> </w:t>
            </w:r>
            <w:r>
              <w:rPr>
                <w:spacing w:val="-2"/>
                <w:sz w:val="24"/>
                <w:szCs w:val="24"/>
              </w:rPr>
              <w:t>废水中的主要污染物为主要污染物为悬浮物、石</w:t>
            </w:r>
            <w:r>
              <w:rPr>
                <w:spacing w:val="-3"/>
                <w:sz w:val="24"/>
                <w:szCs w:val="24"/>
              </w:rPr>
              <w:t>油类等。生活污水经隔油池、化</w:t>
            </w:r>
            <w:r>
              <w:rPr>
                <w:sz w:val="24"/>
                <w:szCs w:val="24"/>
              </w:rPr>
              <w:t xml:space="preserve"> </w:t>
            </w:r>
            <w:r>
              <w:rPr>
                <w:spacing w:val="-2"/>
                <w:sz w:val="24"/>
                <w:szCs w:val="24"/>
              </w:rPr>
              <w:t>粪池收集停留一段时间后，排入园区污水管网；</w:t>
            </w:r>
            <w:r>
              <w:rPr>
                <w:spacing w:val="-3"/>
                <w:sz w:val="24"/>
                <w:szCs w:val="24"/>
              </w:rPr>
              <w:t>洗车废水、地面冲洗废水经沉淀</w:t>
            </w:r>
            <w:r>
              <w:rPr>
                <w:sz w:val="24"/>
                <w:szCs w:val="24"/>
              </w:rPr>
              <w:t xml:space="preserve"> </w:t>
            </w:r>
            <w:r>
              <w:rPr>
                <w:spacing w:val="-2"/>
                <w:sz w:val="24"/>
                <w:szCs w:val="24"/>
              </w:rPr>
              <w:t>池、隔油池收集停留后，排入园区污水管网；消</w:t>
            </w:r>
            <w:r>
              <w:rPr>
                <w:spacing w:val="-3"/>
                <w:sz w:val="24"/>
                <w:szCs w:val="24"/>
              </w:rPr>
              <w:t>防废水产生后，收集至事故应急</w:t>
            </w:r>
            <w:r>
              <w:rPr>
                <w:sz w:val="24"/>
                <w:szCs w:val="24"/>
              </w:rPr>
              <w:t xml:space="preserve"> 池，由罐车定期拉运至棋西项目区工业污水</w:t>
            </w:r>
            <w:r>
              <w:rPr>
                <w:spacing w:val="-1"/>
                <w:sz w:val="24"/>
                <w:szCs w:val="24"/>
              </w:rPr>
              <w:t>处理厂处理，不外排。</w:t>
            </w:r>
          </w:p>
          <w:p w14:paraId="69D07C8C">
            <w:pPr>
              <w:pStyle w:val="6"/>
              <w:spacing w:line="217" w:lineRule="auto"/>
              <w:ind w:left="591"/>
              <w:rPr>
                <w:sz w:val="24"/>
                <w:szCs w:val="24"/>
              </w:rPr>
            </w:pPr>
            <w:r>
              <w:rPr>
                <w:spacing w:val="-1"/>
                <w:sz w:val="24"/>
                <w:szCs w:val="24"/>
              </w:rPr>
              <w:t>②棋西项目区污水处理厂依托可行性分析</w:t>
            </w:r>
          </w:p>
          <w:p w14:paraId="2EF5AD8D">
            <w:pPr>
              <w:pStyle w:val="6"/>
              <w:spacing w:before="186" w:line="359" w:lineRule="auto"/>
              <w:ind w:left="112" w:right="26" w:firstLine="483"/>
              <w:rPr>
                <w:sz w:val="24"/>
                <w:szCs w:val="24"/>
              </w:rPr>
            </w:pPr>
            <w:r>
              <w:rPr>
                <w:spacing w:val="-3"/>
                <w:sz w:val="24"/>
                <w:szCs w:val="24"/>
              </w:rPr>
              <w:t>棋盘井产业园化工集中区西区污水处理厂位于园区西侧，已建成日处理工业</w:t>
            </w:r>
            <w:r>
              <w:rPr>
                <w:spacing w:val="11"/>
                <w:sz w:val="24"/>
                <w:szCs w:val="24"/>
              </w:rPr>
              <w:t xml:space="preserve"> </w:t>
            </w:r>
            <w:r>
              <w:rPr>
                <w:spacing w:val="-5"/>
                <w:sz w:val="24"/>
                <w:szCs w:val="24"/>
              </w:rPr>
              <w:t>废水</w:t>
            </w:r>
            <w:r>
              <w:rPr>
                <w:spacing w:val="-4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spacing w:val="-5"/>
                <w:sz w:val="24"/>
                <w:szCs w:val="24"/>
              </w:rPr>
              <w:t>万吨、生活污水</w:t>
            </w:r>
            <w:r>
              <w:rPr>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5"/>
                <w:sz w:val="24"/>
                <w:szCs w:val="24"/>
              </w:rPr>
              <w:t xml:space="preserve"> </w:t>
            </w:r>
            <w:r>
              <w:rPr>
                <w:spacing w:val="-5"/>
                <w:sz w:val="24"/>
                <w:szCs w:val="24"/>
              </w:rPr>
              <w:t>万吨的污水处理厂，日处理</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spacing w:val="-5"/>
                <w:sz w:val="24"/>
                <w:szCs w:val="24"/>
              </w:rPr>
              <w:t>万吨浓盐水的深度处理设</w:t>
            </w:r>
            <w:r>
              <w:rPr>
                <w:sz w:val="24"/>
                <w:szCs w:val="24"/>
              </w:rPr>
              <w:t xml:space="preserve"> </w:t>
            </w:r>
            <w:r>
              <w:rPr>
                <w:spacing w:val="-1"/>
                <w:sz w:val="24"/>
                <w:szCs w:val="24"/>
              </w:rPr>
              <w:t>施。目前园区工业废水和高盐水综合处理率均达到</w:t>
            </w:r>
            <w:r>
              <w:rPr>
                <w:rFonts w:ascii="Times New Roman" w:hAnsi="Times New Roman" w:eastAsia="Times New Roman" w:cs="Times New Roman"/>
                <w:spacing w:val="-1"/>
                <w:sz w:val="24"/>
                <w:szCs w:val="24"/>
              </w:rPr>
              <w:t>95%</w:t>
            </w:r>
            <w:r>
              <w:rPr>
                <w:spacing w:val="-1"/>
                <w:sz w:val="24"/>
                <w:szCs w:val="24"/>
              </w:rPr>
              <w:t>以上，</w:t>
            </w:r>
            <w:r>
              <w:rPr>
                <w:spacing w:val="-2"/>
                <w:sz w:val="24"/>
                <w:szCs w:val="24"/>
              </w:rPr>
              <w:t>园区生活污水处理</w:t>
            </w:r>
            <w:r>
              <w:rPr>
                <w:sz w:val="24"/>
                <w:szCs w:val="24"/>
              </w:rPr>
              <w:t xml:space="preserve"> </w:t>
            </w:r>
            <w:r>
              <w:rPr>
                <w:spacing w:val="-1"/>
                <w:sz w:val="24"/>
                <w:szCs w:val="24"/>
              </w:rPr>
              <w:t>率达到</w:t>
            </w:r>
            <w:r>
              <w:rPr>
                <w:spacing w:val="-32"/>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32"/>
                <w:sz w:val="24"/>
                <w:szCs w:val="24"/>
              </w:rPr>
              <w:t xml:space="preserve"> </w:t>
            </w:r>
            <w:r>
              <w:rPr>
                <w:spacing w:val="-1"/>
                <w:sz w:val="24"/>
                <w:szCs w:val="24"/>
              </w:rPr>
              <w:t>，并且实现了氯化钠、硫酸钠分类回收。园区污水</w:t>
            </w:r>
            <w:r>
              <w:rPr>
                <w:spacing w:val="-2"/>
                <w:sz w:val="24"/>
                <w:szCs w:val="24"/>
              </w:rPr>
              <w:t>经污水处理厂处</w:t>
            </w:r>
            <w:r>
              <w:rPr>
                <w:sz w:val="24"/>
                <w:szCs w:val="24"/>
              </w:rPr>
              <w:t xml:space="preserve"> </w:t>
            </w:r>
            <w:r>
              <w:rPr>
                <w:spacing w:val="-4"/>
                <w:sz w:val="24"/>
                <w:szCs w:val="24"/>
              </w:rPr>
              <w:t>理达标后，通过供水管网向各企业供水，再生水可供水量为</w:t>
            </w:r>
            <w:r>
              <w:rPr>
                <w:spacing w:val="-50"/>
                <w:sz w:val="24"/>
                <w:szCs w:val="24"/>
              </w:rPr>
              <w:t xml:space="preserve"> </w:t>
            </w:r>
            <w:r>
              <w:rPr>
                <w:rFonts w:ascii="Times New Roman" w:hAnsi="Times New Roman" w:eastAsia="Times New Roman" w:cs="Times New Roman"/>
                <w:spacing w:val="-4"/>
                <w:sz w:val="24"/>
                <w:szCs w:val="24"/>
              </w:rPr>
              <w:t>300.21</w:t>
            </w:r>
            <w:r>
              <w:rPr>
                <w:rFonts w:ascii="Times New Roman" w:hAnsi="Times New Roman" w:eastAsia="Times New Roman" w:cs="Times New Roman"/>
                <w:spacing w:val="15"/>
                <w:w w:val="101"/>
                <w:sz w:val="24"/>
                <w:szCs w:val="24"/>
              </w:rPr>
              <w:t xml:space="preserve"> </w:t>
            </w:r>
            <w:r>
              <w:rPr>
                <w:spacing w:val="-4"/>
                <w:sz w:val="24"/>
                <w:szCs w:val="24"/>
              </w:rPr>
              <w:t>万立方米</w:t>
            </w:r>
            <w:r>
              <w:rPr>
                <w:rFonts w:ascii="Times New Roman" w:hAnsi="Times New Roman" w:eastAsia="Times New Roman" w:cs="Times New Roman"/>
                <w:spacing w:val="-4"/>
                <w:sz w:val="24"/>
                <w:szCs w:val="24"/>
              </w:rPr>
              <w:t>/</w:t>
            </w:r>
            <w:r>
              <w:rPr>
                <w:spacing w:val="-4"/>
                <w:sz w:val="24"/>
                <w:szCs w:val="24"/>
              </w:rPr>
              <w:t>日。</w:t>
            </w:r>
            <w:r>
              <w:rPr>
                <w:sz w:val="24"/>
                <w:szCs w:val="24"/>
              </w:rPr>
              <w:t xml:space="preserve"> </w:t>
            </w:r>
            <w:r>
              <w:rPr>
                <w:spacing w:val="-3"/>
                <w:sz w:val="24"/>
                <w:szCs w:val="24"/>
              </w:rPr>
              <w:t>园区年综合利用矿井疏干水达到</w:t>
            </w:r>
            <w:r>
              <w:rPr>
                <w:spacing w:val="-50"/>
                <w:sz w:val="24"/>
                <w:szCs w:val="24"/>
              </w:rPr>
              <w:t xml:space="preserve"> </w:t>
            </w:r>
            <w:r>
              <w:rPr>
                <w:rFonts w:ascii="Times New Roman" w:hAnsi="Times New Roman" w:eastAsia="Times New Roman" w:cs="Times New Roman"/>
                <w:spacing w:val="-3"/>
                <w:sz w:val="24"/>
                <w:szCs w:val="24"/>
              </w:rPr>
              <w:t>600</w:t>
            </w:r>
            <w:r>
              <w:rPr>
                <w:rFonts w:ascii="Times New Roman" w:hAnsi="Times New Roman" w:eastAsia="Times New Roman" w:cs="Times New Roman"/>
                <w:spacing w:val="21"/>
                <w:sz w:val="24"/>
                <w:szCs w:val="24"/>
              </w:rPr>
              <w:t xml:space="preserve"> </w:t>
            </w:r>
            <w:r>
              <w:rPr>
                <w:spacing w:val="-3"/>
                <w:sz w:val="24"/>
                <w:szCs w:val="24"/>
              </w:rPr>
              <w:t>多万吨，尤其是污水处理项</w:t>
            </w:r>
            <w:r>
              <w:rPr>
                <w:spacing w:val="-4"/>
                <w:sz w:val="24"/>
                <w:szCs w:val="24"/>
              </w:rPr>
              <w:t>目，出水标准已</w:t>
            </w:r>
            <w:r>
              <w:rPr>
                <w:sz w:val="24"/>
                <w:szCs w:val="24"/>
              </w:rPr>
              <w:t xml:space="preserve"> </w:t>
            </w:r>
            <w:r>
              <w:rPr>
                <w:spacing w:val="1"/>
                <w:sz w:val="24"/>
                <w:szCs w:val="24"/>
              </w:rPr>
              <w:t>达到《城镇污水处理厂污染物排放标准》（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18918-2002</w:t>
            </w:r>
            <w:r>
              <w:rPr>
                <w:spacing w:val="1"/>
                <w:sz w:val="24"/>
                <w:szCs w:val="24"/>
              </w:rPr>
              <w:t>）的一级</w:t>
            </w:r>
            <w:r>
              <w:rPr>
                <w:spacing w:val="-50"/>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标准。同</w:t>
            </w:r>
            <w:r>
              <w:rPr>
                <w:sz w:val="24"/>
                <w:szCs w:val="24"/>
              </w:rPr>
              <w:t xml:space="preserve"> </w:t>
            </w:r>
            <w:r>
              <w:rPr>
                <w:spacing w:val="-2"/>
                <w:sz w:val="24"/>
                <w:szCs w:val="24"/>
              </w:rPr>
              <w:t>时，通过采用先进的处理工艺，基本实现了高盐</w:t>
            </w:r>
            <w:r>
              <w:rPr>
                <w:spacing w:val="-3"/>
                <w:sz w:val="24"/>
                <w:szCs w:val="24"/>
              </w:rPr>
              <w:t>水零排放。西区污水处理厂现接</w:t>
            </w:r>
            <w:r>
              <w:rPr>
                <w:sz w:val="24"/>
                <w:szCs w:val="24"/>
              </w:rPr>
              <w:t xml:space="preserve"> </w:t>
            </w:r>
            <w:r>
              <w:rPr>
                <w:spacing w:val="-3"/>
                <w:sz w:val="24"/>
                <w:szCs w:val="24"/>
              </w:rPr>
              <w:t>收园区工业废水量为</w:t>
            </w:r>
            <w:r>
              <w:rPr>
                <w:spacing w:val="-55"/>
                <w:sz w:val="24"/>
                <w:szCs w:val="24"/>
              </w:rPr>
              <w:t xml:space="preserve"> </w:t>
            </w:r>
            <w:r>
              <w:rPr>
                <w:rFonts w:ascii="Times New Roman" w:hAnsi="Times New Roman" w:eastAsia="Times New Roman" w:cs="Times New Roman"/>
                <w:spacing w:val="-3"/>
                <w:sz w:val="24"/>
                <w:szCs w:val="24"/>
              </w:rPr>
              <w:t>24000-25000</w:t>
            </w:r>
            <w:r>
              <w:rPr>
                <w:rFonts w:ascii="Times New Roman" w:hAnsi="Times New Roman" w:eastAsia="Times New Roman" w:cs="Times New Roman"/>
                <w:spacing w:val="21"/>
                <w:w w:val="101"/>
                <w:sz w:val="24"/>
                <w:szCs w:val="24"/>
              </w:rPr>
              <w:t xml:space="preserve"> </w:t>
            </w:r>
            <w:r>
              <w:rPr>
                <w:spacing w:val="-3"/>
                <w:sz w:val="24"/>
                <w:szCs w:val="24"/>
              </w:rPr>
              <w:t>吨</w:t>
            </w:r>
            <w:r>
              <w:rPr>
                <w:rFonts w:ascii="Times New Roman" w:hAnsi="Times New Roman" w:eastAsia="Times New Roman" w:cs="Times New Roman"/>
                <w:spacing w:val="-3"/>
                <w:sz w:val="24"/>
                <w:szCs w:val="24"/>
              </w:rPr>
              <w:t>/</w:t>
            </w:r>
            <w:r>
              <w:rPr>
                <w:spacing w:val="-3"/>
                <w:sz w:val="24"/>
                <w:szCs w:val="24"/>
              </w:rPr>
              <w:t>日，有充分</w:t>
            </w:r>
            <w:r>
              <w:rPr>
                <w:spacing w:val="-4"/>
                <w:sz w:val="24"/>
                <w:szCs w:val="24"/>
              </w:rPr>
              <w:t>余量接收本项目废水。另外，本</w:t>
            </w:r>
            <w:r>
              <w:rPr>
                <w:sz w:val="24"/>
                <w:szCs w:val="24"/>
              </w:rPr>
              <w:t xml:space="preserve"> </w:t>
            </w:r>
            <w:r>
              <w:rPr>
                <w:spacing w:val="1"/>
                <w:sz w:val="24"/>
                <w:szCs w:val="24"/>
              </w:rPr>
              <w:t>项目产生的污废水需满足《污水综合排放标</w:t>
            </w:r>
            <w:r>
              <w:rPr>
                <w:sz w:val="24"/>
                <w:szCs w:val="24"/>
              </w:rPr>
              <w:t>准》（</w:t>
            </w:r>
            <w:r>
              <w:rPr>
                <w:rFonts w:ascii="Times New Roman" w:hAnsi="Times New Roman" w:eastAsia="Times New Roman" w:cs="Times New Roman"/>
                <w:sz w:val="24"/>
                <w:szCs w:val="24"/>
              </w:rPr>
              <w:t>GB8978-1996</w:t>
            </w:r>
            <w:r>
              <w:rPr>
                <w:sz w:val="24"/>
                <w:szCs w:val="24"/>
              </w:rPr>
              <w:t xml:space="preserve">）三级标准后， </w:t>
            </w:r>
            <w:r>
              <w:rPr>
                <w:spacing w:val="-2"/>
                <w:sz w:val="24"/>
                <w:szCs w:val="24"/>
              </w:rPr>
              <w:t>排入园区污水管网，棋西项目区污水处理厂接纳</w:t>
            </w:r>
            <w:r>
              <w:rPr>
                <w:spacing w:val="-3"/>
                <w:sz w:val="24"/>
                <w:szCs w:val="24"/>
              </w:rPr>
              <w:t>污水水质标准为《污水综合排放</w:t>
            </w:r>
            <w:r>
              <w:rPr>
                <w:sz w:val="24"/>
                <w:szCs w:val="24"/>
              </w:rPr>
              <w:t xml:space="preserve"> 标准》（</w:t>
            </w:r>
            <w:r>
              <w:rPr>
                <w:rFonts w:ascii="Times New Roman" w:hAnsi="Times New Roman" w:eastAsia="Times New Roman" w:cs="Times New Roman"/>
                <w:sz w:val="24"/>
                <w:szCs w:val="24"/>
              </w:rPr>
              <w:t>GB8978-1996</w:t>
            </w:r>
            <w:r>
              <w:rPr>
                <w:sz w:val="24"/>
                <w:szCs w:val="24"/>
              </w:rPr>
              <w:t>）三级标准，符</w:t>
            </w:r>
            <w:r>
              <w:rPr>
                <w:spacing w:val="-1"/>
                <w:sz w:val="24"/>
                <w:szCs w:val="24"/>
              </w:rPr>
              <w:t>合棋西项目区污水处理厂接纳污水水质要</w:t>
            </w:r>
            <w:r>
              <w:rPr>
                <w:sz w:val="24"/>
                <w:szCs w:val="24"/>
              </w:rPr>
              <w:t xml:space="preserve"> </w:t>
            </w:r>
            <w:r>
              <w:rPr>
                <w:spacing w:val="-5"/>
                <w:sz w:val="24"/>
                <w:szCs w:val="24"/>
              </w:rPr>
              <w:t>求。</w:t>
            </w:r>
          </w:p>
          <w:p w14:paraId="61FA80EA">
            <w:pPr>
              <w:pStyle w:val="6"/>
              <w:spacing w:before="3" w:line="359" w:lineRule="auto"/>
              <w:ind w:left="133" w:right="106" w:firstLine="463"/>
              <w:rPr>
                <w:sz w:val="24"/>
                <w:szCs w:val="24"/>
              </w:rPr>
            </w:pPr>
            <w:r>
              <w:rPr>
                <w:spacing w:val="-3"/>
                <w:sz w:val="24"/>
                <w:szCs w:val="24"/>
              </w:rPr>
              <w:t>综上所述，本项目运营期废水均可以得到合理处置，在满足水环境保护措施</w:t>
            </w:r>
            <w:r>
              <w:rPr>
                <w:spacing w:val="11"/>
                <w:sz w:val="24"/>
                <w:szCs w:val="24"/>
              </w:rPr>
              <w:t xml:space="preserve"> </w:t>
            </w:r>
            <w:r>
              <w:rPr>
                <w:spacing w:val="-2"/>
                <w:sz w:val="24"/>
                <w:szCs w:val="24"/>
              </w:rPr>
              <w:t>的条件下，项目运行不会对周围水环境产生影响。</w:t>
            </w:r>
          </w:p>
          <w:p w14:paraId="13D054D1">
            <w:pPr>
              <w:pStyle w:val="6"/>
              <w:spacing w:line="220" w:lineRule="auto"/>
              <w:ind w:left="107"/>
              <w:outlineLvl w:val="1"/>
              <w:rPr>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27"/>
                <w:sz w:val="24"/>
                <w:szCs w:val="24"/>
              </w:rPr>
              <w:t xml:space="preserve"> </w:t>
            </w:r>
            <w:r>
              <w:rPr>
                <w:b/>
                <w:bCs/>
                <w:spacing w:val="-4"/>
                <w:sz w:val="24"/>
                <w:szCs w:val="24"/>
              </w:rPr>
              <w:t>、声环境影响分析与环境保护措施</w:t>
            </w:r>
          </w:p>
          <w:p w14:paraId="38A2A683">
            <w:pPr>
              <w:pStyle w:val="6"/>
              <w:spacing w:before="179"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）噪声源强</w:t>
            </w:r>
          </w:p>
        </w:tc>
      </w:tr>
    </w:tbl>
    <w:p w14:paraId="1CE4EC84">
      <w:pPr>
        <w:pStyle w:val="2"/>
      </w:pPr>
    </w:p>
    <w:p w14:paraId="54E5DBCD">
      <w:pPr>
        <w:sectPr>
          <w:footerReference r:id="rId71" w:type="default"/>
          <w:pgSz w:w="11906" w:h="16839"/>
          <w:pgMar w:top="400" w:right="1445" w:bottom="1259" w:left="1543" w:header="0" w:footer="1097" w:gutter="0"/>
          <w:cols w:space="720" w:num="1"/>
        </w:sectPr>
      </w:pPr>
    </w:p>
    <w:p w14:paraId="5F928A1D">
      <w:pPr>
        <w:spacing w:before="19"/>
      </w:pPr>
    </w:p>
    <w:p w14:paraId="3EE92AA5">
      <w:pPr>
        <w:spacing w:before="19"/>
      </w:pPr>
    </w:p>
    <w:p w14:paraId="76C92978">
      <w:pPr>
        <w:spacing w:before="18"/>
      </w:pPr>
    </w:p>
    <w:p w14:paraId="7DBB624C">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2EF3C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4" w:hRule="atLeast"/>
        </w:trPr>
        <w:tc>
          <w:tcPr>
            <w:tcW w:w="371" w:type="dxa"/>
            <w:vAlign w:val="top"/>
          </w:tcPr>
          <w:p w14:paraId="310CF410">
            <w:pPr>
              <w:rPr>
                <w:rFonts w:ascii="Arial"/>
                <w:sz w:val="21"/>
              </w:rPr>
            </w:pPr>
          </w:p>
        </w:tc>
        <w:tc>
          <w:tcPr>
            <w:tcW w:w="8541" w:type="dxa"/>
            <w:vAlign w:val="top"/>
          </w:tcPr>
          <w:p w14:paraId="68E59F65">
            <w:pPr>
              <w:pStyle w:val="6"/>
              <w:spacing w:before="40" w:line="359" w:lineRule="auto"/>
              <w:ind w:left="114" w:right="90" w:firstLine="480"/>
              <w:jc w:val="both"/>
              <w:rPr>
                <w:sz w:val="24"/>
                <w:szCs w:val="24"/>
              </w:rPr>
            </w:pPr>
            <w:r>
              <w:rPr>
                <w:spacing w:val="-2"/>
                <w:sz w:val="24"/>
                <w:szCs w:val="24"/>
              </w:rPr>
              <w:t>本项目噪声源主要来源于危险化学品运输车辆进出场地产生的机动</w:t>
            </w:r>
            <w:r>
              <w:rPr>
                <w:spacing w:val="-3"/>
                <w:sz w:val="24"/>
                <w:szCs w:val="24"/>
              </w:rPr>
              <w:t>车噪声，</w:t>
            </w:r>
            <w:r>
              <w:rPr>
                <w:sz w:val="24"/>
                <w:szCs w:val="24"/>
              </w:rPr>
              <w:t xml:space="preserve"> </w:t>
            </w:r>
            <w:r>
              <w:rPr>
                <w:spacing w:val="-2"/>
                <w:sz w:val="24"/>
                <w:szCs w:val="24"/>
              </w:rPr>
              <w:t>以及洗车间高压水枪等产生的设备噪声，噪</w:t>
            </w:r>
            <w:r>
              <w:rPr>
                <w:spacing w:val="-3"/>
                <w:sz w:val="24"/>
                <w:szCs w:val="24"/>
              </w:rPr>
              <w:t>声源多为间歇性噪声，声级值范围在</w:t>
            </w:r>
            <w:r>
              <w:rPr>
                <w:sz w:val="24"/>
                <w:szCs w:val="24"/>
              </w:rPr>
              <w:t xml:space="preserve"> </w:t>
            </w:r>
            <w:r>
              <w:rPr>
                <w:rFonts w:ascii="Times New Roman" w:hAnsi="Times New Roman" w:eastAsia="Times New Roman" w:cs="Times New Roman"/>
                <w:spacing w:val="-1"/>
                <w:sz w:val="24"/>
                <w:szCs w:val="24"/>
              </w:rPr>
              <w:t>60~75dB</w:t>
            </w:r>
            <w:r>
              <w:rPr>
                <w:spacing w:val="-1"/>
                <w:sz w:val="24"/>
                <w:szCs w:val="24"/>
              </w:rPr>
              <w:t>（</w:t>
            </w:r>
            <w:r>
              <w:rPr>
                <w:rFonts w:ascii="Times New Roman" w:hAnsi="Times New Roman" w:eastAsia="Times New Roman" w:cs="Times New Roman"/>
                <w:spacing w:val="-1"/>
                <w:sz w:val="24"/>
                <w:szCs w:val="24"/>
              </w:rPr>
              <w:t>A</w:t>
            </w:r>
            <w:r>
              <w:rPr>
                <w:spacing w:val="-1"/>
                <w:sz w:val="24"/>
                <w:szCs w:val="24"/>
              </w:rPr>
              <w:t>）之间。</w:t>
            </w:r>
          </w:p>
          <w:p w14:paraId="48F3906E">
            <w:pPr>
              <w:pStyle w:val="6"/>
              <w:spacing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）噪声影响预测模式</w:t>
            </w:r>
          </w:p>
          <w:p w14:paraId="784075B5">
            <w:pPr>
              <w:pStyle w:val="6"/>
              <w:spacing w:before="182" w:line="359" w:lineRule="auto"/>
              <w:ind w:left="111" w:right="106" w:firstLine="510"/>
              <w:rPr>
                <w:sz w:val="24"/>
                <w:szCs w:val="24"/>
              </w:rPr>
            </w:pPr>
            <w:r>
              <w:rPr>
                <w:spacing w:val="-4"/>
                <w:sz w:val="24"/>
                <w:szCs w:val="24"/>
              </w:rPr>
              <w:t>由于预测点距声源的距离远远大于声源本身的尺寸，噪声源设备辐射的噪声</w:t>
            </w:r>
            <w:r>
              <w:rPr>
                <w:spacing w:val="18"/>
                <w:sz w:val="24"/>
                <w:szCs w:val="24"/>
              </w:rPr>
              <w:t xml:space="preserve"> </w:t>
            </w:r>
            <w:r>
              <w:rPr>
                <w:spacing w:val="17"/>
                <w:sz w:val="24"/>
                <w:szCs w:val="24"/>
              </w:rPr>
              <w:t>传播可视为</w:t>
            </w:r>
            <w:r>
              <w:rPr>
                <w:spacing w:val="-58"/>
                <w:sz w:val="24"/>
                <w:szCs w:val="24"/>
              </w:rPr>
              <w:t xml:space="preserve"> </w:t>
            </w:r>
            <w:r>
              <w:rPr>
                <w:spacing w:val="17"/>
                <w:sz w:val="24"/>
                <w:szCs w:val="24"/>
              </w:rPr>
              <w:t>点声源</w:t>
            </w:r>
            <w:r>
              <w:rPr>
                <w:spacing w:val="-54"/>
                <w:sz w:val="24"/>
                <w:szCs w:val="24"/>
              </w:rPr>
              <w:t xml:space="preserve"> </w:t>
            </w:r>
            <w:r>
              <w:rPr>
                <w:spacing w:val="17"/>
                <w:sz w:val="24"/>
                <w:szCs w:val="24"/>
              </w:rPr>
              <w:t>。本</w:t>
            </w:r>
            <w:r>
              <w:rPr>
                <w:spacing w:val="-70"/>
                <w:sz w:val="24"/>
                <w:szCs w:val="24"/>
              </w:rPr>
              <w:t xml:space="preserve"> </w:t>
            </w:r>
            <w:r>
              <w:rPr>
                <w:spacing w:val="17"/>
                <w:sz w:val="24"/>
                <w:szCs w:val="24"/>
              </w:rPr>
              <w:t>次评价采用《</w:t>
            </w:r>
            <w:r>
              <w:rPr>
                <w:spacing w:val="-54"/>
                <w:sz w:val="24"/>
                <w:szCs w:val="24"/>
              </w:rPr>
              <w:t xml:space="preserve"> </w:t>
            </w:r>
            <w:r>
              <w:rPr>
                <w:spacing w:val="17"/>
                <w:sz w:val="24"/>
                <w:szCs w:val="24"/>
              </w:rPr>
              <w:t>环境影</w:t>
            </w:r>
            <w:r>
              <w:rPr>
                <w:spacing w:val="-64"/>
                <w:sz w:val="24"/>
                <w:szCs w:val="24"/>
              </w:rPr>
              <w:t xml:space="preserve"> </w:t>
            </w:r>
            <w:r>
              <w:rPr>
                <w:spacing w:val="17"/>
                <w:sz w:val="24"/>
                <w:szCs w:val="24"/>
              </w:rPr>
              <w:t>响评价技术</w:t>
            </w:r>
            <w:r>
              <w:rPr>
                <w:spacing w:val="-71"/>
                <w:sz w:val="24"/>
                <w:szCs w:val="24"/>
              </w:rPr>
              <w:t xml:space="preserve"> </w:t>
            </w:r>
            <w:r>
              <w:rPr>
                <w:spacing w:val="17"/>
                <w:sz w:val="24"/>
                <w:szCs w:val="24"/>
              </w:rPr>
              <w:t>导则</w:t>
            </w:r>
            <w:r>
              <w:rPr>
                <w:spacing w:val="82"/>
                <w:sz w:val="24"/>
                <w:szCs w:val="24"/>
              </w:rPr>
              <w:t xml:space="preserve"> </w:t>
            </w:r>
            <w:r>
              <w:rPr>
                <w:spacing w:val="17"/>
                <w:sz w:val="24"/>
                <w:szCs w:val="24"/>
              </w:rPr>
              <w:t>声环境</w:t>
            </w:r>
            <w:r>
              <w:rPr>
                <w:spacing w:val="-64"/>
                <w:sz w:val="24"/>
                <w:szCs w:val="24"/>
              </w:rPr>
              <w:t xml:space="preserve"> </w:t>
            </w:r>
            <w:r>
              <w:rPr>
                <w:spacing w:val="17"/>
                <w:sz w:val="24"/>
                <w:szCs w:val="24"/>
              </w:rPr>
              <w:t>》</w:t>
            </w:r>
            <w:r>
              <w:rPr>
                <w:sz w:val="24"/>
                <w:szCs w:val="24"/>
              </w:rPr>
              <w:t xml:space="preserve"> （</w:t>
            </w:r>
            <w:r>
              <w:rPr>
                <w:rFonts w:ascii="Times New Roman" w:hAnsi="Times New Roman" w:eastAsia="Times New Roman" w:cs="Times New Roman"/>
                <w:sz w:val="24"/>
                <w:szCs w:val="24"/>
              </w:rPr>
              <w:t>HJ/T2.4-2021</w:t>
            </w:r>
            <w:r>
              <w:rPr>
                <w:sz w:val="24"/>
                <w:szCs w:val="24"/>
              </w:rPr>
              <w:t>）中推荐的工业噪声预测计算模型进行预测，声源位于室内，室</w:t>
            </w:r>
            <w:r>
              <w:rPr>
                <w:spacing w:val="14"/>
                <w:sz w:val="24"/>
                <w:szCs w:val="24"/>
              </w:rPr>
              <w:t xml:space="preserve"> </w:t>
            </w:r>
            <w:r>
              <w:rPr>
                <w:spacing w:val="-2"/>
                <w:sz w:val="24"/>
                <w:szCs w:val="24"/>
              </w:rPr>
              <w:t>内声源可采用等效室外声源声功率级法进行计算。</w:t>
            </w:r>
            <w:r>
              <w:rPr>
                <w:spacing w:val="-3"/>
                <w:sz w:val="24"/>
                <w:szCs w:val="24"/>
              </w:rPr>
              <w:t>噪声源强为按设计及环评要求</w:t>
            </w:r>
            <w:r>
              <w:rPr>
                <w:sz w:val="24"/>
                <w:szCs w:val="24"/>
              </w:rPr>
              <w:t xml:space="preserve"> </w:t>
            </w:r>
            <w:r>
              <w:rPr>
                <w:spacing w:val="-1"/>
                <w:sz w:val="24"/>
                <w:szCs w:val="24"/>
              </w:rPr>
              <w:t>采取降噪措施前后分别计算室外排放值。</w:t>
            </w:r>
          </w:p>
          <w:p w14:paraId="49992C8C">
            <w:pPr>
              <w:pStyle w:val="6"/>
              <w:spacing w:line="217" w:lineRule="auto"/>
              <w:jc w:val="right"/>
              <w:rPr>
                <w:sz w:val="24"/>
                <w:szCs w:val="24"/>
              </w:rPr>
            </w:pPr>
            <w:r>
              <w:rPr>
                <w:spacing w:val="-5"/>
                <w:sz w:val="24"/>
                <w:szCs w:val="24"/>
              </w:rPr>
              <w:t>①室内声压级采用导则附录</w:t>
            </w:r>
            <w:r>
              <w:rPr>
                <w:spacing w:val="-45"/>
                <w:sz w:val="24"/>
                <w:szCs w:val="24"/>
              </w:rPr>
              <w:t xml:space="preserve"> </w:t>
            </w:r>
            <w:r>
              <w:rPr>
                <w:rFonts w:ascii="Times New Roman" w:hAnsi="Times New Roman" w:eastAsia="Times New Roman" w:cs="Times New Roman"/>
                <w:spacing w:val="-5"/>
                <w:sz w:val="24"/>
                <w:szCs w:val="24"/>
              </w:rPr>
              <w:t xml:space="preserve">B </w:t>
            </w:r>
            <w:r>
              <w:rPr>
                <w:spacing w:val="-5"/>
                <w:sz w:val="24"/>
                <w:szCs w:val="24"/>
              </w:rPr>
              <w:t>工业噪声预测计算模型（</w:t>
            </w:r>
            <w:r>
              <w:rPr>
                <w:rFonts w:ascii="Times New Roman" w:hAnsi="Times New Roman" w:eastAsia="Times New Roman" w:cs="Times New Roman"/>
                <w:spacing w:val="-5"/>
                <w:sz w:val="24"/>
                <w:szCs w:val="24"/>
              </w:rPr>
              <w:t>B.2</w:t>
            </w:r>
            <w:r>
              <w:rPr>
                <w:spacing w:val="-5"/>
                <w:sz w:val="24"/>
                <w:szCs w:val="24"/>
              </w:rPr>
              <w:t>）式计算，如下：</w:t>
            </w:r>
          </w:p>
          <w:p w14:paraId="1CBE32EA">
            <w:pPr>
              <w:spacing w:before="148" w:line="722" w:lineRule="exact"/>
              <w:ind w:firstLine="2787"/>
            </w:pPr>
            <w:r>
              <w:rPr>
                <w:position w:val="-14"/>
              </w:rPr>
              <w:drawing>
                <wp:inline distT="0" distB="0" distL="0" distR="0">
                  <wp:extent cx="1877060" cy="4584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71"/>
                          <a:stretch>
                            <a:fillRect/>
                          </a:stretch>
                        </pic:blipFill>
                        <pic:spPr>
                          <a:xfrm>
                            <a:off x="0" y="0"/>
                            <a:ext cx="1877567" cy="458723"/>
                          </a:xfrm>
                          <a:prstGeom prst="rect">
                            <a:avLst/>
                          </a:prstGeom>
                        </pic:spPr>
                      </pic:pic>
                    </a:graphicData>
                  </a:graphic>
                </wp:inline>
              </w:drawing>
            </w:r>
          </w:p>
          <w:p w14:paraId="09F2B11F">
            <w:pPr>
              <w:pStyle w:val="6"/>
              <w:spacing w:before="157" w:line="226" w:lineRule="auto"/>
              <w:ind w:left="598"/>
              <w:rPr>
                <w:sz w:val="24"/>
                <w:szCs w:val="24"/>
              </w:rPr>
            </w:pPr>
            <w:r>
              <w:rPr>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sz w:val="24"/>
                <w:szCs w:val="24"/>
              </w:rPr>
              <w:t>靠近开口处（或窗户）室内某倍频</w:t>
            </w:r>
            <w:r>
              <w:rPr>
                <w:spacing w:val="-1"/>
                <w:sz w:val="24"/>
                <w:szCs w:val="24"/>
              </w:rPr>
              <w:t>带的声压级或</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w:t>
            </w:r>
            <w:r>
              <w:rPr>
                <w:rFonts w:ascii="Times New Roman" w:hAnsi="Times New Roman" w:eastAsia="Times New Roman" w:cs="Times New Roman"/>
                <w:spacing w:val="-1"/>
                <w:sz w:val="24"/>
                <w:szCs w:val="24"/>
              </w:rPr>
              <w:t>dB</w:t>
            </w:r>
            <w:r>
              <w:rPr>
                <w:spacing w:val="-1"/>
                <w:sz w:val="24"/>
                <w:szCs w:val="24"/>
              </w:rPr>
              <w:t>；</w:t>
            </w:r>
          </w:p>
          <w:p w14:paraId="7CD97568">
            <w:pPr>
              <w:pStyle w:val="6"/>
              <w:spacing w:before="173" w:line="219" w:lineRule="auto"/>
              <w:ind w:left="1308"/>
              <w:rPr>
                <w:sz w:val="24"/>
                <w:szCs w:val="24"/>
              </w:rPr>
            </w:pPr>
            <w:r>
              <w:rPr>
                <w:rFonts w:ascii="Times New Roman" w:hAnsi="Times New Roman" w:eastAsia="Times New Roman" w:cs="Times New Roman"/>
                <w:spacing w:val="-1"/>
                <w:sz w:val="24"/>
                <w:szCs w:val="24"/>
              </w:rPr>
              <w:t>Lw--</w:t>
            </w:r>
            <w:r>
              <w:rPr>
                <w:spacing w:val="-1"/>
                <w:sz w:val="24"/>
                <w:szCs w:val="24"/>
              </w:rPr>
              <w:t>点声源声功率级（</w:t>
            </w:r>
            <w:r>
              <w:rPr>
                <w:rFonts w:ascii="Times New Roman" w:hAnsi="Times New Roman" w:eastAsia="Times New Roman" w:cs="Times New Roman"/>
                <w:spacing w:val="-1"/>
                <w:sz w:val="24"/>
                <w:szCs w:val="24"/>
              </w:rPr>
              <w:t xml:space="preserve">A </w:t>
            </w:r>
            <w:r>
              <w:rPr>
                <w:spacing w:val="-1"/>
                <w:sz w:val="24"/>
                <w:szCs w:val="24"/>
              </w:rPr>
              <w:t>计权或倍频带</w:t>
            </w:r>
            <w:r>
              <w:rPr>
                <w:spacing w:val="8"/>
                <w:sz w:val="24"/>
                <w:szCs w:val="24"/>
              </w:rPr>
              <w:t>），</w:t>
            </w:r>
            <w:r>
              <w:rPr>
                <w:rFonts w:ascii="Times New Roman" w:hAnsi="Times New Roman" w:eastAsia="Times New Roman" w:cs="Times New Roman"/>
                <w:spacing w:val="-1"/>
                <w:sz w:val="24"/>
                <w:szCs w:val="24"/>
              </w:rPr>
              <w:t>dB</w:t>
            </w:r>
            <w:r>
              <w:rPr>
                <w:spacing w:val="-1"/>
                <w:sz w:val="24"/>
                <w:szCs w:val="24"/>
              </w:rPr>
              <w:t>；</w:t>
            </w:r>
          </w:p>
          <w:p w14:paraId="7D4C947F">
            <w:pPr>
              <w:pStyle w:val="6"/>
              <w:spacing w:before="140" w:line="350" w:lineRule="auto"/>
              <w:ind w:left="1308" w:right="47" w:firstLine="4"/>
              <w:jc w:val="both"/>
              <w:rPr>
                <w:sz w:val="24"/>
                <w:szCs w:val="24"/>
              </w:rPr>
            </w:pPr>
            <w:r>
              <w:rPr>
                <w:rFonts w:ascii="Times New Roman" w:hAnsi="Times New Roman" w:eastAsia="Times New Roman" w:cs="Times New Roman"/>
                <w:spacing w:val="-9"/>
                <w:sz w:val="24"/>
                <w:szCs w:val="24"/>
              </w:rPr>
              <w:t>Q--</w:t>
            </w:r>
            <w:r>
              <w:rPr>
                <w:spacing w:val="-9"/>
                <w:sz w:val="24"/>
                <w:szCs w:val="24"/>
              </w:rPr>
              <w:t>指向性因数；通常对无指向性声源，当声源放在房间中心时，</w:t>
            </w:r>
            <w:r>
              <w:rPr>
                <w:rFonts w:ascii="Times New Roman" w:hAnsi="Times New Roman" w:eastAsia="Times New Roman" w:cs="Times New Roman"/>
                <w:spacing w:val="-9"/>
                <w:sz w:val="24"/>
                <w:szCs w:val="24"/>
              </w:rPr>
              <w:t>Q=1</w:t>
            </w:r>
            <w:r>
              <w:rPr>
                <w:spacing w:val="-9"/>
                <w:sz w:val="24"/>
                <w:szCs w:val="24"/>
              </w:rPr>
              <w:t>；</w:t>
            </w:r>
            <w:r>
              <w:rPr>
                <w:sz w:val="24"/>
                <w:szCs w:val="24"/>
              </w:rPr>
              <w:t xml:space="preserve"> </w:t>
            </w:r>
            <w:r>
              <w:rPr>
                <w:rFonts w:ascii="Times New Roman" w:hAnsi="Times New Roman" w:eastAsia="Times New Roman" w:cs="Times New Roman"/>
                <w:sz w:val="24"/>
                <w:szCs w:val="24"/>
              </w:rPr>
              <w:t>R-</w:t>
            </w:r>
            <w:r>
              <w:rPr>
                <w:sz w:val="24"/>
                <w:szCs w:val="24"/>
              </w:rPr>
              <w:t>当放在一面墙的中心时，</w:t>
            </w:r>
            <w:r>
              <w:rPr>
                <w:rFonts w:ascii="Times New Roman" w:hAnsi="Times New Roman" w:eastAsia="Times New Roman" w:cs="Times New Roman"/>
                <w:sz w:val="24"/>
                <w:szCs w:val="24"/>
              </w:rPr>
              <w:t>Q=2</w:t>
            </w:r>
            <w:r>
              <w:rPr>
                <w:sz w:val="24"/>
                <w:szCs w:val="24"/>
              </w:rPr>
              <w:t>；当放在两面墙夹角处时</w:t>
            </w:r>
            <w:r>
              <w:rPr>
                <w:spacing w:val="-1"/>
                <w:sz w:val="24"/>
                <w:szCs w:val="24"/>
              </w:rPr>
              <w:t>，</w:t>
            </w:r>
            <w:r>
              <w:rPr>
                <w:rFonts w:ascii="Times New Roman" w:hAnsi="Times New Roman" w:eastAsia="Times New Roman" w:cs="Times New Roman"/>
                <w:spacing w:val="-1"/>
                <w:sz w:val="24"/>
                <w:szCs w:val="24"/>
              </w:rPr>
              <w:t>Q=4</w:t>
            </w:r>
            <w:r>
              <w:rPr>
                <w:spacing w:val="-1"/>
                <w:sz w:val="24"/>
                <w:szCs w:val="24"/>
              </w:rPr>
              <w:t>；当</w:t>
            </w:r>
            <w:r>
              <w:rPr>
                <w:sz w:val="24"/>
                <w:szCs w:val="24"/>
              </w:rPr>
              <w:t xml:space="preserve"> </w:t>
            </w:r>
            <w:r>
              <w:rPr>
                <w:rFonts w:ascii="Times New Roman" w:hAnsi="Times New Roman" w:eastAsia="Times New Roman" w:cs="Times New Roman"/>
                <w:spacing w:val="-1"/>
                <w:sz w:val="24"/>
                <w:szCs w:val="24"/>
              </w:rPr>
              <w:t>S-</w:t>
            </w:r>
            <w:r>
              <w:rPr>
                <w:spacing w:val="-1"/>
                <w:sz w:val="24"/>
                <w:szCs w:val="24"/>
              </w:rPr>
              <w:t>放在三面墙夹角处时，</w:t>
            </w:r>
            <w:r>
              <w:rPr>
                <w:rFonts w:ascii="Times New Roman" w:hAnsi="Times New Roman" w:eastAsia="Times New Roman" w:cs="Times New Roman"/>
                <w:spacing w:val="-1"/>
                <w:sz w:val="24"/>
                <w:szCs w:val="24"/>
              </w:rPr>
              <w:t>Q=8</w:t>
            </w:r>
            <w:r>
              <w:rPr>
                <w:spacing w:val="-1"/>
                <w:sz w:val="24"/>
                <w:szCs w:val="24"/>
              </w:rPr>
              <w:t>；</w:t>
            </w:r>
          </w:p>
          <w:p w14:paraId="67FE040A">
            <w:pPr>
              <w:pStyle w:val="6"/>
              <w:spacing w:before="33" w:line="354" w:lineRule="auto"/>
              <w:ind w:left="1319" w:right="106" w:hanging="11"/>
              <w:rPr>
                <w:sz w:val="24"/>
                <w:szCs w:val="24"/>
              </w:rPr>
            </w:pPr>
            <w:r>
              <w:rPr>
                <w:rFonts w:ascii="Times New Roman" w:hAnsi="Times New Roman" w:eastAsia="Times New Roman" w:cs="Times New Roman"/>
                <w:spacing w:val="-1"/>
                <w:sz w:val="24"/>
                <w:szCs w:val="24"/>
              </w:rPr>
              <w:t>R--</w:t>
            </w:r>
            <w:r>
              <w:rPr>
                <w:spacing w:val="-1"/>
                <w:sz w:val="24"/>
                <w:szCs w:val="24"/>
              </w:rPr>
              <w:t>房间常数；</w:t>
            </w:r>
            <w:r>
              <w:rPr>
                <w:rFonts w:ascii="Times New Roman" w:hAnsi="Times New Roman" w:eastAsia="Times New Roman" w:cs="Times New Roman"/>
                <w:spacing w:val="-1"/>
                <w:sz w:val="24"/>
                <w:szCs w:val="24"/>
              </w:rPr>
              <w:t>R=Sa/</w:t>
            </w:r>
            <w:r>
              <w:rPr>
                <w:spacing w:val="-1"/>
                <w:sz w:val="24"/>
                <w:szCs w:val="24"/>
              </w:rPr>
              <w:t>（</w:t>
            </w:r>
            <w:r>
              <w:rPr>
                <w:rFonts w:ascii="Times New Roman" w:hAnsi="Times New Roman" w:eastAsia="Times New Roman" w:cs="Times New Roman"/>
                <w:spacing w:val="-1"/>
                <w:sz w:val="24"/>
                <w:szCs w:val="24"/>
              </w:rPr>
              <w:t>1-a</w:t>
            </w:r>
            <w:r>
              <w:rPr>
                <w:spacing w:val="6"/>
                <w:sz w:val="24"/>
                <w:szCs w:val="24"/>
              </w:rPr>
              <w:t>），</w:t>
            </w:r>
            <w:r>
              <w:rPr>
                <w:rFonts w:ascii="Times New Roman" w:hAnsi="Times New Roman" w:eastAsia="Times New Roman" w:cs="Times New Roman"/>
                <w:spacing w:val="-1"/>
                <w:sz w:val="24"/>
                <w:szCs w:val="24"/>
              </w:rPr>
              <w:t xml:space="preserve">S </w:t>
            </w:r>
            <w:r>
              <w:rPr>
                <w:spacing w:val="-1"/>
                <w:sz w:val="24"/>
                <w:szCs w:val="24"/>
              </w:rPr>
              <w:t>为房间内</w:t>
            </w:r>
            <w:r>
              <w:rPr>
                <w:spacing w:val="-2"/>
                <w:sz w:val="24"/>
                <w:szCs w:val="24"/>
              </w:rPr>
              <w:t>表面面积，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9"/>
                <w:position w:val="7"/>
                <w:sz w:val="15"/>
                <w:szCs w:val="15"/>
              </w:rPr>
              <w:t xml:space="preserve"> </w:t>
            </w:r>
            <w:r>
              <w:rPr>
                <w:spacing w:val="-2"/>
                <w:sz w:val="24"/>
                <w:szCs w:val="24"/>
              </w:rPr>
              <w:t>；</w:t>
            </w:r>
            <w:r>
              <w:rPr>
                <w:rFonts w:ascii="Times New Roman" w:hAnsi="Times New Roman" w:eastAsia="Times New Roman" w:cs="Times New Roman"/>
                <w:spacing w:val="-2"/>
                <w:sz w:val="24"/>
                <w:szCs w:val="24"/>
              </w:rPr>
              <w:t xml:space="preserve">a </w:t>
            </w:r>
            <w:r>
              <w:rPr>
                <w:spacing w:val="-2"/>
                <w:sz w:val="24"/>
                <w:szCs w:val="24"/>
              </w:rPr>
              <w:t>为平均吸</w:t>
            </w:r>
            <w:r>
              <w:rPr>
                <w:sz w:val="24"/>
                <w:szCs w:val="24"/>
              </w:rPr>
              <w:t xml:space="preserve"> </w:t>
            </w:r>
            <w:r>
              <w:rPr>
                <w:rFonts w:ascii="Times New Roman" w:hAnsi="Times New Roman" w:eastAsia="Times New Roman" w:cs="Times New Roman"/>
                <w:spacing w:val="-3"/>
                <w:sz w:val="24"/>
                <w:szCs w:val="24"/>
              </w:rPr>
              <w:t>S-</w:t>
            </w:r>
            <w:r>
              <w:rPr>
                <w:spacing w:val="-3"/>
                <w:sz w:val="24"/>
                <w:szCs w:val="24"/>
              </w:rPr>
              <w:t>声系数；</w:t>
            </w:r>
          </w:p>
          <w:p w14:paraId="460ADFCD">
            <w:pPr>
              <w:pStyle w:val="6"/>
              <w:spacing w:before="57" w:line="220" w:lineRule="auto"/>
              <w:ind w:left="1308"/>
              <w:rPr>
                <w:sz w:val="24"/>
                <w:szCs w:val="24"/>
              </w:rPr>
            </w:pPr>
            <w:r>
              <w:rPr>
                <w:rFonts w:ascii="Times New Roman" w:hAnsi="Times New Roman" w:eastAsia="Times New Roman" w:cs="Times New Roman"/>
                <w:spacing w:val="-1"/>
                <w:sz w:val="24"/>
                <w:szCs w:val="24"/>
              </w:rPr>
              <w:t>R--</w:t>
            </w:r>
            <w:r>
              <w:rPr>
                <w:spacing w:val="-1"/>
                <w:sz w:val="24"/>
                <w:szCs w:val="24"/>
              </w:rPr>
              <w:t>声源到靠近围护结构某点处的距离，</w:t>
            </w:r>
            <w:r>
              <w:rPr>
                <w:rFonts w:ascii="Times New Roman" w:hAnsi="Times New Roman" w:eastAsia="Times New Roman" w:cs="Times New Roman"/>
                <w:spacing w:val="-1"/>
                <w:sz w:val="24"/>
                <w:szCs w:val="24"/>
              </w:rPr>
              <w:t>m</w:t>
            </w:r>
            <w:r>
              <w:rPr>
                <w:spacing w:val="-1"/>
                <w:sz w:val="24"/>
                <w:szCs w:val="24"/>
              </w:rPr>
              <w:t>。</w:t>
            </w:r>
          </w:p>
          <w:p w14:paraId="47FCA984">
            <w:pPr>
              <w:pStyle w:val="6"/>
              <w:spacing w:before="181" w:line="346" w:lineRule="auto"/>
              <w:ind w:left="114" w:right="108" w:firstLine="480"/>
              <w:rPr>
                <w:sz w:val="24"/>
                <w:szCs w:val="24"/>
              </w:rPr>
            </w:pPr>
            <w:r>
              <w:rPr>
                <w:spacing w:val="3"/>
                <w:sz w:val="24"/>
                <w:szCs w:val="24"/>
              </w:rPr>
              <w:t>然后按式（</w:t>
            </w:r>
            <w:r>
              <w:rPr>
                <w:rFonts w:ascii="Times New Roman" w:hAnsi="Times New Roman" w:eastAsia="Times New Roman" w:cs="Times New Roman"/>
                <w:spacing w:val="3"/>
                <w:sz w:val="24"/>
                <w:szCs w:val="24"/>
              </w:rPr>
              <w:t>B.3</w:t>
            </w:r>
            <w:r>
              <w:rPr>
                <w:spacing w:val="3"/>
                <w:sz w:val="24"/>
                <w:szCs w:val="24"/>
              </w:rPr>
              <w:t>）计算出所有室内声源在</w:t>
            </w:r>
            <w:r>
              <w:rPr>
                <w:spacing w:val="2"/>
                <w:sz w:val="24"/>
                <w:szCs w:val="24"/>
              </w:rPr>
              <w:t>围护结构处产生的</w:t>
            </w:r>
            <w:r>
              <w:rPr>
                <w:spacing w:val="-44"/>
                <w:sz w:val="24"/>
                <w:szCs w:val="24"/>
              </w:rPr>
              <w:t xml:space="preserve"> </w:t>
            </w:r>
            <w:r>
              <w:rPr>
                <w:rFonts w:ascii="Times New Roman" w:hAnsi="Times New Roman" w:eastAsia="Times New Roman" w:cs="Times New Roman"/>
                <w:i/>
                <w:iCs/>
                <w:spacing w:val="2"/>
                <w:sz w:val="24"/>
                <w:szCs w:val="24"/>
              </w:rPr>
              <w:t xml:space="preserve">i </w:t>
            </w:r>
            <w:r>
              <w:rPr>
                <w:spacing w:val="2"/>
                <w:sz w:val="24"/>
                <w:szCs w:val="24"/>
              </w:rPr>
              <w:t>倍频带叠加声</w:t>
            </w:r>
            <w:r>
              <w:rPr>
                <w:sz w:val="24"/>
                <w:szCs w:val="24"/>
              </w:rPr>
              <w:t xml:space="preserve"> </w:t>
            </w:r>
            <w:r>
              <w:rPr>
                <w:spacing w:val="-4"/>
                <w:sz w:val="24"/>
                <w:szCs w:val="24"/>
              </w:rPr>
              <w:t>压级：</w:t>
            </w:r>
          </w:p>
          <w:p w14:paraId="30799152">
            <w:pPr>
              <w:spacing w:line="787" w:lineRule="exact"/>
              <w:ind w:firstLine="2885"/>
            </w:pPr>
            <w:r>
              <w:rPr>
                <w:position w:val="-15"/>
              </w:rPr>
              <w:drawing>
                <wp:inline distT="0" distB="0" distL="0" distR="0">
                  <wp:extent cx="1752600" cy="4997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2"/>
                          <a:stretch>
                            <a:fillRect/>
                          </a:stretch>
                        </pic:blipFill>
                        <pic:spPr>
                          <a:xfrm>
                            <a:off x="0" y="0"/>
                            <a:ext cx="1752600" cy="499871"/>
                          </a:xfrm>
                          <a:prstGeom prst="rect">
                            <a:avLst/>
                          </a:prstGeom>
                        </pic:spPr>
                      </pic:pic>
                    </a:graphicData>
                  </a:graphic>
                </wp:inline>
              </w:drawing>
            </w:r>
          </w:p>
          <w:p w14:paraId="0B0249C9">
            <w:pPr>
              <w:pStyle w:val="6"/>
              <w:spacing w:before="155" w:line="218" w:lineRule="auto"/>
              <w:jc w:val="right"/>
              <w:rPr>
                <w:sz w:val="24"/>
                <w:szCs w:val="24"/>
              </w:rPr>
            </w:pPr>
            <w:r>
              <w:rPr>
                <w:spacing w:val="-4"/>
                <w:sz w:val="24"/>
                <w:szCs w:val="24"/>
              </w:rPr>
              <w:t>式中：</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1"/>
                <w:sz w:val="15"/>
                <w:szCs w:val="15"/>
              </w:rPr>
              <w:t>pli</w:t>
            </w:r>
            <w:r>
              <w:rPr>
                <w:spacing w:val="-4"/>
                <w:sz w:val="24"/>
                <w:szCs w:val="24"/>
              </w:rPr>
              <w:t>（</w:t>
            </w:r>
            <w:r>
              <w:rPr>
                <w:rFonts w:ascii="Times New Roman" w:hAnsi="Times New Roman" w:eastAsia="Times New Roman" w:cs="Times New Roman"/>
                <w:spacing w:val="-4"/>
                <w:sz w:val="24"/>
                <w:szCs w:val="24"/>
              </w:rPr>
              <w:t>T</w:t>
            </w:r>
            <w:r>
              <w:rPr>
                <w:spacing w:val="-4"/>
                <w:sz w:val="24"/>
                <w:szCs w:val="24"/>
              </w:rPr>
              <w:t>）</w:t>
            </w:r>
            <w:r>
              <w:rPr>
                <w:rFonts w:ascii="Times New Roman" w:hAnsi="Times New Roman" w:eastAsia="Times New Roman" w:cs="Times New Roman"/>
                <w:spacing w:val="-4"/>
                <w:sz w:val="24"/>
                <w:szCs w:val="24"/>
              </w:rPr>
              <w:t>--</w:t>
            </w:r>
            <w:r>
              <w:rPr>
                <w:spacing w:val="-4"/>
                <w:sz w:val="24"/>
                <w:szCs w:val="24"/>
              </w:rPr>
              <w:t>靠近围护结构处室内</w:t>
            </w:r>
            <w:r>
              <w:rPr>
                <w:rFonts w:ascii="Times New Roman" w:hAnsi="Times New Roman" w:eastAsia="Times New Roman" w:cs="Times New Roman"/>
                <w:spacing w:val="-4"/>
                <w:sz w:val="24"/>
                <w:szCs w:val="24"/>
              </w:rPr>
              <w:t xml:space="preserve">N </w:t>
            </w:r>
            <w:r>
              <w:rPr>
                <w:spacing w:val="-4"/>
                <w:sz w:val="24"/>
                <w:szCs w:val="24"/>
              </w:rPr>
              <w:t>个声源</w:t>
            </w:r>
            <w:r>
              <w:rPr>
                <w:spacing w:val="-39"/>
                <w:sz w:val="24"/>
                <w:szCs w:val="24"/>
              </w:rPr>
              <w:t xml:space="preserve"> </w:t>
            </w:r>
            <w:r>
              <w:rPr>
                <w:rFonts w:ascii="Times New Roman" w:hAnsi="Times New Roman" w:eastAsia="Times New Roman" w:cs="Times New Roman"/>
                <w:spacing w:val="-4"/>
                <w:sz w:val="24"/>
                <w:szCs w:val="24"/>
              </w:rPr>
              <w:t xml:space="preserve">i </w:t>
            </w:r>
            <w:r>
              <w:rPr>
                <w:spacing w:val="-4"/>
                <w:sz w:val="24"/>
                <w:szCs w:val="24"/>
              </w:rPr>
              <w:t>倍频带的叠加声压级，</w:t>
            </w:r>
            <w:r>
              <w:rPr>
                <w:rFonts w:ascii="Times New Roman" w:hAnsi="Times New Roman" w:eastAsia="Times New Roman" w:cs="Times New Roman"/>
                <w:spacing w:val="-4"/>
                <w:sz w:val="24"/>
                <w:szCs w:val="24"/>
              </w:rPr>
              <w:t>dB</w:t>
            </w:r>
            <w:r>
              <w:rPr>
                <w:spacing w:val="-4"/>
                <w:sz w:val="24"/>
                <w:szCs w:val="24"/>
              </w:rPr>
              <w:t>；</w:t>
            </w:r>
          </w:p>
          <w:p w14:paraId="4D76D8E8">
            <w:pPr>
              <w:pStyle w:val="6"/>
              <w:spacing w:before="182" w:line="212" w:lineRule="auto"/>
              <w:ind w:left="1068"/>
              <w:rPr>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position w:val="-1"/>
                <w:sz w:val="15"/>
                <w:szCs w:val="15"/>
              </w:rPr>
              <w:t>lij</w:t>
            </w:r>
            <w:r>
              <w:rPr>
                <w:rFonts w:ascii="Times New Roman" w:hAnsi="Times New Roman" w:eastAsia="Times New Roman" w:cs="Times New Roman"/>
                <w:spacing w:val="2"/>
                <w:sz w:val="24"/>
                <w:szCs w:val="24"/>
              </w:rPr>
              <w:t>--</w:t>
            </w:r>
            <w:r>
              <w:rPr>
                <w:spacing w:val="2"/>
                <w:sz w:val="24"/>
                <w:szCs w:val="24"/>
              </w:rPr>
              <w:t>室内</w:t>
            </w:r>
            <w:r>
              <w:rPr>
                <w:rFonts w:ascii="Times New Roman" w:hAnsi="Times New Roman" w:eastAsia="Times New Roman" w:cs="Times New Roman"/>
                <w:spacing w:val="2"/>
                <w:sz w:val="24"/>
                <w:szCs w:val="24"/>
              </w:rPr>
              <w:t xml:space="preserve">j </w:t>
            </w:r>
            <w:r>
              <w:rPr>
                <w:spacing w:val="2"/>
                <w:sz w:val="24"/>
                <w:szCs w:val="24"/>
              </w:rPr>
              <w:t>声源</w:t>
            </w:r>
            <w:r>
              <w:rPr>
                <w:spacing w:val="-41"/>
                <w:sz w:val="24"/>
                <w:szCs w:val="24"/>
              </w:rPr>
              <w:t xml:space="preserve"> </w:t>
            </w:r>
            <w:r>
              <w:rPr>
                <w:rFonts w:ascii="Times New Roman" w:hAnsi="Times New Roman" w:eastAsia="Times New Roman" w:cs="Times New Roman"/>
                <w:spacing w:val="2"/>
                <w:sz w:val="24"/>
                <w:szCs w:val="24"/>
              </w:rPr>
              <w:t xml:space="preserve">i </w:t>
            </w:r>
            <w:r>
              <w:rPr>
                <w:spacing w:val="2"/>
                <w:sz w:val="24"/>
                <w:szCs w:val="24"/>
              </w:rPr>
              <w:t>倍频带的声压级，</w:t>
            </w:r>
            <w:r>
              <w:rPr>
                <w:rFonts w:ascii="Times New Roman" w:hAnsi="Times New Roman" w:eastAsia="Times New Roman" w:cs="Times New Roman"/>
                <w:sz w:val="24"/>
                <w:szCs w:val="24"/>
              </w:rPr>
              <w:t>dB</w:t>
            </w:r>
            <w:r>
              <w:rPr>
                <w:spacing w:val="2"/>
                <w:sz w:val="24"/>
                <w:szCs w:val="24"/>
              </w:rPr>
              <w:t>；</w:t>
            </w:r>
          </w:p>
          <w:p w14:paraId="0AA21809">
            <w:pPr>
              <w:pStyle w:val="6"/>
              <w:spacing w:before="193" w:line="219" w:lineRule="auto"/>
              <w:ind w:left="1061"/>
              <w:rPr>
                <w:sz w:val="24"/>
                <w:szCs w:val="24"/>
              </w:rPr>
            </w:pPr>
            <w:r>
              <w:rPr>
                <w:rFonts w:ascii="Times New Roman" w:hAnsi="Times New Roman" w:eastAsia="Times New Roman" w:cs="Times New Roman"/>
                <w:sz w:val="24"/>
                <w:szCs w:val="24"/>
              </w:rPr>
              <w:t>N--</w:t>
            </w:r>
            <w:r>
              <w:rPr>
                <w:sz w:val="24"/>
                <w:szCs w:val="24"/>
              </w:rPr>
              <w:t>室内声源总数。</w:t>
            </w:r>
          </w:p>
          <w:p w14:paraId="6CCB6CB2">
            <w:pPr>
              <w:pStyle w:val="6"/>
              <w:spacing w:before="181" w:line="217" w:lineRule="auto"/>
              <w:ind w:left="591"/>
              <w:rPr>
                <w:sz w:val="24"/>
                <w:szCs w:val="24"/>
              </w:rPr>
            </w:pPr>
            <w:r>
              <w:rPr>
                <w:spacing w:val="-2"/>
                <w:sz w:val="24"/>
                <w:szCs w:val="24"/>
              </w:rPr>
              <w:t>②室外的倍频带声压级可按式（</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1</w:t>
            </w:r>
            <w:r>
              <w:rPr>
                <w:spacing w:val="-2"/>
                <w:sz w:val="24"/>
                <w:szCs w:val="24"/>
              </w:rPr>
              <w:t>）式计算，公示如下：</w:t>
            </w:r>
          </w:p>
          <w:p w14:paraId="05F56216">
            <w:pPr>
              <w:spacing w:before="151" w:line="324" w:lineRule="exact"/>
              <w:ind w:firstLine="3346"/>
            </w:pPr>
            <w:r>
              <w:rPr>
                <w:position w:val="-6"/>
              </w:rPr>
              <w:drawing>
                <wp:inline distT="0" distB="0" distL="0" distR="0">
                  <wp:extent cx="1168400" cy="2051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3"/>
                          <a:stretch>
                            <a:fillRect/>
                          </a:stretch>
                        </pic:blipFill>
                        <pic:spPr>
                          <a:xfrm>
                            <a:off x="0" y="0"/>
                            <a:ext cx="1168908" cy="205739"/>
                          </a:xfrm>
                          <a:prstGeom prst="rect">
                            <a:avLst/>
                          </a:prstGeom>
                        </pic:spPr>
                      </pic:pic>
                    </a:graphicData>
                  </a:graphic>
                </wp:inline>
              </w:drawing>
            </w:r>
          </w:p>
          <w:p w14:paraId="2879278F">
            <w:pPr>
              <w:pStyle w:val="6"/>
              <w:spacing w:before="157" w:line="226" w:lineRule="auto"/>
              <w:ind w:left="598"/>
              <w:rPr>
                <w:sz w:val="24"/>
                <w:szCs w:val="24"/>
              </w:rPr>
            </w:pPr>
            <w:r>
              <w:rPr>
                <w:sz w:val="24"/>
                <w:szCs w:val="24"/>
              </w:rPr>
              <w:t>式中：</w:t>
            </w: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p1</w:t>
            </w:r>
            <w:r>
              <w:rPr>
                <w:rFonts w:ascii="Times New Roman" w:hAnsi="Times New Roman" w:eastAsia="Times New Roman" w:cs="Times New Roman"/>
                <w:sz w:val="24"/>
                <w:szCs w:val="24"/>
              </w:rPr>
              <w:t>--</w:t>
            </w:r>
            <w:r>
              <w:rPr>
                <w:sz w:val="24"/>
                <w:szCs w:val="24"/>
              </w:rPr>
              <w:t>靠近开口处（或窗户）室内某倍频</w:t>
            </w:r>
            <w:r>
              <w:rPr>
                <w:spacing w:val="-1"/>
                <w:sz w:val="24"/>
                <w:szCs w:val="24"/>
              </w:rPr>
              <w:t>带的声压级或</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w:t>
            </w:r>
            <w:r>
              <w:rPr>
                <w:rFonts w:ascii="Times New Roman" w:hAnsi="Times New Roman" w:eastAsia="Times New Roman" w:cs="Times New Roman"/>
                <w:spacing w:val="-1"/>
                <w:sz w:val="24"/>
                <w:szCs w:val="24"/>
              </w:rPr>
              <w:t>dB</w:t>
            </w:r>
            <w:r>
              <w:rPr>
                <w:spacing w:val="-1"/>
                <w:sz w:val="24"/>
                <w:szCs w:val="24"/>
              </w:rPr>
              <w:t>；</w:t>
            </w:r>
          </w:p>
        </w:tc>
      </w:tr>
    </w:tbl>
    <w:p w14:paraId="2ED05C5F">
      <w:pPr>
        <w:pStyle w:val="2"/>
        <w:spacing w:line="233" w:lineRule="exact"/>
        <w:rPr>
          <w:sz w:val="20"/>
        </w:rPr>
      </w:pPr>
    </w:p>
    <w:p w14:paraId="4C2289D4">
      <w:pPr>
        <w:spacing w:line="233" w:lineRule="exact"/>
        <w:rPr>
          <w:sz w:val="20"/>
          <w:szCs w:val="20"/>
        </w:rPr>
        <w:sectPr>
          <w:footerReference r:id="rId72" w:type="default"/>
          <w:pgSz w:w="11906" w:h="16839"/>
          <w:pgMar w:top="400" w:right="1445" w:bottom="1259" w:left="1543" w:header="0" w:footer="1097" w:gutter="0"/>
          <w:cols w:space="720" w:num="1"/>
        </w:sectPr>
      </w:pPr>
    </w:p>
    <w:p w14:paraId="18862579">
      <w:pPr>
        <w:spacing w:before="19"/>
      </w:pPr>
    </w:p>
    <w:p w14:paraId="6038EE1D">
      <w:pPr>
        <w:spacing w:before="19"/>
      </w:pPr>
    </w:p>
    <w:p w14:paraId="5B7427CF">
      <w:pPr>
        <w:spacing w:before="18"/>
      </w:pPr>
    </w:p>
    <w:p w14:paraId="33FFA980">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0320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9" w:hRule="atLeast"/>
        </w:trPr>
        <w:tc>
          <w:tcPr>
            <w:tcW w:w="371" w:type="dxa"/>
            <w:vAlign w:val="top"/>
          </w:tcPr>
          <w:p w14:paraId="2797B417">
            <w:pPr>
              <w:rPr>
                <w:rFonts w:ascii="Arial"/>
                <w:sz w:val="21"/>
              </w:rPr>
            </w:pPr>
          </w:p>
        </w:tc>
        <w:tc>
          <w:tcPr>
            <w:tcW w:w="8541" w:type="dxa"/>
            <w:vAlign w:val="top"/>
          </w:tcPr>
          <w:p w14:paraId="53FC4451">
            <w:pPr>
              <w:pStyle w:val="6"/>
              <w:spacing w:before="41" w:line="226" w:lineRule="auto"/>
              <w:ind w:left="1068"/>
              <w:rPr>
                <w:sz w:val="24"/>
                <w:szCs w:val="24"/>
              </w:rPr>
            </w:pPr>
            <w:r>
              <w:rPr>
                <w:rFonts w:ascii="Times New Roman" w:hAnsi="Times New Roman" w:eastAsia="Times New Roman" w:cs="Times New Roman"/>
                <w:sz w:val="24"/>
                <w:szCs w:val="24"/>
              </w:rPr>
              <w:t>L</w:t>
            </w:r>
            <w:r>
              <w:rPr>
                <w:rFonts w:ascii="Times New Roman" w:hAnsi="Times New Roman" w:eastAsia="Times New Roman" w:cs="Times New Roman"/>
                <w:sz w:val="15"/>
                <w:szCs w:val="15"/>
              </w:rPr>
              <w:t>p2</w:t>
            </w:r>
            <w:r>
              <w:rPr>
                <w:rFonts w:ascii="Times New Roman" w:hAnsi="Times New Roman" w:eastAsia="Times New Roman" w:cs="Times New Roman"/>
                <w:sz w:val="24"/>
                <w:szCs w:val="24"/>
              </w:rPr>
              <w:t>--</w:t>
            </w:r>
            <w:r>
              <w:rPr>
                <w:sz w:val="24"/>
                <w:szCs w:val="24"/>
              </w:rPr>
              <w:t>靠近开口处（或窗户）室外某倍频带的声压级或</w:t>
            </w:r>
            <w:r>
              <w:rPr>
                <w:spacing w:val="-58"/>
                <w:sz w:val="24"/>
                <w:szCs w:val="24"/>
              </w:rPr>
              <w:t xml:space="preserve"> </w:t>
            </w:r>
            <w:r>
              <w:rPr>
                <w:rFonts w:ascii="Times New Roman" w:hAnsi="Times New Roman" w:eastAsia="Times New Roman" w:cs="Times New Roman"/>
                <w:sz w:val="24"/>
                <w:szCs w:val="24"/>
              </w:rPr>
              <w:t xml:space="preserve">A </w:t>
            </w:r>
            <w:r>
              <w:rPr>
                <w:sz w:val="24"/>
                <w:szCs w:val="24"/>
              </w:rPr>
              <w:t>声</w:t>
            </w:r>
            <w:r>
              <w:rPr>
                <w:spacing w:val="-1"/>
                <w:sz w:val="24"/>
                <w:szCs w:val="24"/>
              </w:rPr>
              <w:t>级，</w:t>
            </w:r>
            <w:r>
              <w:rPr>
                <w:rFonts w:ascii="Times New Roman" w:hAnsi="Times New Roman" w:eastAsia="Times New Roman" w:cs="Times New Roman"/>
                <w:spacing w:val="-1"/>
                <w:sz w:val="24"/>
                <w:szCs w:val="24"/>
              </w:rPr>
              <w:t>dB</w:t>
            </w:r>
            <w:r>
              <w:rPr>
                <w:spacing w:val="-1"/>
                <w:sz w:val="24"/>
                <w:szCs w:val="24"/>
              </w:rPr>
              <w:t>；</w:t>
            </w:r>
          </w:p>
          <w:p w14:paraId="59D88AD1">
            <w:pPr>
              <w:pStyle w:val="6"/>
              <w:spacing w:before="172" w:line="219" w:lineRule="auto"/>
              <w:ind w:left="1071"/>
              <w:rPr>
                <w:sz w:val="24"/>
                <w:szCs w:val="24"/>
              </w:rPr>
            </w:pPr>
            <w:r>
              <w:rPr>
                <w:rFonts w:ascii="Times New Roman" w:hAnsi="Times New Roman" w:eastAsia="Times New Roman" w:cs="Times New Roman"/>
                <w:spacing w:val="-1"/>
                <w:sz w:val="24"/>
                <w:szCs w:val="24"/>
              </w:rPr>
              <w:t>TL--</w:t>
            </w:r>
            <w:r>
              <w:rPr>
                <w:spacing w:val="-1"/>
                <w:sz w:val="24"/>
                <w:szCs w:val="24"/>
              </w:rPr>
              <w:t>隔墙（或窗户）倍频带或</w:t>
            </w:r>
            <w:r>
              <w:rPr>
                <w:spacing w:val="-42"/>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声级的隔声量，</w:t>
            </w:r>
            <w:r>
              <w:rPr>
                <w:rFonts w:ascii="Times New Roman" w:hAnsi="Times New Roman" w:eastAsia="Times New Roman" w:cs="Times New Roman"/>
                <w:spacing w:val="-1"/>
                <w:sz w:val="24"/>
                <w:szCs w:val="24"/>
              </w:rPr>
              <w:t>dB</w:t>
            </w:r>
            <w:r>
              <w:rPr>
                <w:spacing w:val="-1"/>
                <w:sz w:val="24"/>
                <w:szCs w:val="24"/>
              </w:rPr>
              <w:t>。</w:t>
            </w:r>
          </w:p>
          <w:p w14:paraId="500E7877">
            <w:pPr>
              <w:pStyle w:val="6"/>
              <w:spacing w:before="180" w:line="219" w:lineRule="auto"/>
              <w:ind w:left="594"/>
              <w:rPr>
                <w:sz w:val="24"/>
                <w:szCs w:val="24"/>
              </w:rPr>
            </w:pPr>
            <w:r>
              <w:rPr>
                <w:sz w:val="24"/>
                <w:szCs w:val="24"/>
              </w:rPr>
              <w:t>靠近室外围护结构处的声压级可按式（</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4</w:t>
            </w:r>
            <w:r>
              <w:rPr>
                <w:spacing w:val="-1"/>
                <w:sz w:val="24"/>
                <w:szCs w:val="24"/>
              </w:rPr>
              <w:t>）式计算，公示如下：</w:t>
            </w:r>
          </w:p>
          <w:p w14:paraId="656A77F5">
            <w:pPr>
              <w:spacing w:before="148" w:line="333" w:lineRule="exact"/>
              <w:ind w:firstLine="2849"/>
            </w:pPr>
            <w:r>
              <w:rPr>
                <w:position w:val="-6"/>
              </w:rPr>
              <w:drawing>
                <wp:inline distT="0" distB="0" distL="0" distR="0">
                  <wp:extent cx="1799590" cy="21145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4"/>
                          <a:stretch>
                            <a:fillRect/>
                          </a:stretch>
                        </pic:blipFill>
                        <pic:spPr>
                          <a:xfrm>
                            <a:off x="0" y="0"/>
                            <a:ext cx="1799843" cy="211835"/>
                          </a:xfrm>
                          <a:prstGeom prst="rect">
                            <a:avLst/>
                          </a:prstGeom>
                        </pic:spPr>
                      </pic:pic>
                    </a:graphicData>
                  </a:graphic>
                </wp:inline>
              </w:drawing>
            </w:r>
          </w:p>
          <w:p w14:paraId="2EED5CE7">
            <w:pPr>
              <w:pStyle w:val="6"/>
              <w:spacing w:before="155" w:line="218" w:lineRule="auto"/>
              <w:jc w:val="right"/>
              <w:rPr>
                <w:sz w:val="24"/>
                <w:szCs w:val="24"/>
              </w:rPr>
            </w:pPr>
            <w:r>
              <w:rPr>
                <w:spacing w:val="-8"/>
                <w:sz w:val="24"/>
                <w:szCs w:val="24"/>
              </w:rPr>
              <w:t>式中：</w:t>
            </w:r>
            <w:r>
              <w:rPr>
                <w:rFonts w:ascii="Times New Roman" w:hAnsi="Times New Roman" w:eastAsia="Times New Roman" w:cs="Times New Roman"/>
                <w:spacing w:val="-8"/>
                <w:sz w:val="24"/>
                <w:szCs w:val="24"/>
              </w:rPr>
              <w:t>L</w:t>
            </w:r>
            <w:r>
              <w:rPr>
                <w:rFonts w:ascii="Times New Roman" w:hAnsi="Times New Roman" w:eastAsia="Times New Roman" w:cs="Times New Roman"/>
                <w:spacing w:val="-8"/>
                <w:position w:val="-1"/>
                <w:sz w:val="15"/>
                <w:szCs w:val="15"/>
              </w:rPr>
              <w:t>p2i</w:t>
            </w:r>
            <w:r>
              <w:rPr>
                <w:spacing w:val="-5"/>
                <w:sz w:val="24"/>
                <w:szCs w:val="24"/>
              </w:rPr>
              <w:t>（</w:t>
            </w:r>
            <w:r>
              <w:rPr>
                <w:rFonts w:ascii="Times New Roman" w:hAnsi="Times New Roman" w:eastAsia="Times New Roman" w:cs="Times New Roman"/>
                <w:spacing w:val="-5"/>
                <w:sz w:val="24"/>
                <w:szCs w:val="24"/>
              </w:rPr>
              <w:t>T</w:t>
            </w:r>
            <w:r>
              <w:rPr>
                <w:spacing w:val="-5"/>
                <w:sz w:val="24"/>
                <w:szCs w:val="24"/>
              </w:rPr>
              <w:t>）</w:t>
            </w:r>
            <w:r>
              <w:rPr>
                <w:rFonts w:ascii="Times New Roman" w:hAnsi="Times New Roman" w:eastAsia="Times New Roman" w:cs="Times New Roman"/>
                <w:spacing w:val="-5"/>
                <w:sz w:val="24"/>
                <w:szCs w:val="24"/>
              </w:rPr>
              <w:t>--</w:t>
            </w:r>
            <w:r>
              <w:rPr>
                <w:spacing w:val="-5"/>
                <w:sz w:val="24"/>
                <w:szCs w:val="24"/>
              </w:rPr>
              <w:t>靠近围护结构处室外</w:t>
            </w:r>
            <w:r>
              <w:rPr>
                <w:spacing w:val="-62"/>
                <w:sz w:val="24"/>
                <w:szCs w:val="24"/>
              </w:rPr>
              <w:t xml:space="preserve"> </w:t>
            </w:r>
            <w:r>
              <w:rPr>
                <w:rFonts w:ascii="Times New Roman" w:hAnsi="Times New Roman" w:eastAsia="Times New Roman" w:cs="Times New Roman"/>
                <w:spacing w:val="-5"/>
                <w:sz w:val="24"/>
                <w:szCs w:val="24"/>
              </w:rPr>
              <w:t xml:space="preserve">N </w:t>
            </w:r>
            <w:r>
              <w:rPr>
                <w:spacing w:val="-5"/>
                <w:sz w:val="24"/>
                <w:szCs w:val="24"/>
              </w:rPr>
              <w:t>个声源</w:t>
            </w:r>
            <w:r>
              <w:rPr>
                <w:spacing w:val="-53"/>
                <w:sz w:val="24"/>
                <w:szCs w:val="24"/>
              </w:rPr>
              <w:t xml:space="preserve"> </w:t>
            </w:r>
            <w:r>
              <w:rPr>
                <w:rFonts w:ascii="Times New Roman" w:hAnsi="Times New Roman" w:eastAsia="Times New Roman" w:cs="Times New Roman"/>
                <w:spacing w:val="-6"/>
                <w:sz w:val="24"/>
                <w:szCs w:val="24"/>
              </w:rPr>
              <w:t xml:space="preserve">i </w:t>
            </w:r>
            <w:r>
              <w:rPr>
                <w:spacing w:val="-6"/>
                <w:sz w:val="24"/>
                <w:szCs w:val="24"/>
              </w:rPr>
              <w:t>倍频带的叠加声压级，</w:t>
            </w:r>
            <w:r>
              <w:rPr>
                <w:rFonts w:ascii="Times New Roman" w:hAnsi="Times New Roman" w:eastAsia="Times New Roman" w:cs="Times New Roman"/>
                <w:spacing w:val="-6"/>
                <w:sz w:val="24"/>
                <w:szCs w:val="24"/>
              </w:rPr>
              <w:t>dB</w:t>
            </w:r>
            <w:r>
              <w:rPr>
                <w:spacing w:val="-6"/>
                <w:sz w:val="24"/>
                <w:szCs w:val="24"/>
              </w:rPr>
              <w:t>；</w:t>
            </w:r>
          </w:p>
          <w:p w14:paraId="2902B3C0">
            <w:pPr>
              <w:pStyle w:val="6"/>
              <w:spacing w:before="184" w:line="351" w:lineRule="auto"/>
              <w:ind w:left="1070" w:right="157" w:hanging="2"/>
              <w:rPr>
                <w:sz w:val="24"/>
                <w:szCs w:val="24"/>
              </w:rPr>
            </w:pPr>
            <w:r>
              <w:rPr>
                <w:rFonts w:ascii="Times New Roman" w:hAnsi="Times New Roman" w:eastAsia="Times New Roman" w:cs="Times New Roman"/>
                <w:spacing w:val="-1"/>
                <w:sz w:val="24"/>
                <w:szCs w:val="24"/>
              </w:rPr>
              <w:t>L</w:t>
            </w:r>
            <w:r>
              <w:rPr>
                <w:rFonts w:ascii="Times New Roman" w:hAnsi="Times New Roman" w:eastAsia="Times New Roman" w:cs="Times New Roman"/>
                <w:spacing w:val="-1"/>
                <w:position w:val="-1"/>
                <w:sz w:val="15"/>
                <w:szCs w:val="15"/>
              </w:rPr>
              <w:t>pli</w:t>
            </w:r>
            <w:r>
              <w:rPr>
                <w:sz w:val="24"/>
                <w:szCs w:val="24"/>
              </w:rPr>
              <w:t>（</w:t>
            </w:r>
            <w:r>
              <w:rPr>
                <w:rFonts w:ascii="Times New Roman" w:hAnsi="Times New Roman" w:eastAsia="Times New Roman" w:cs="Times New Roman"/>
                <w:sz w:val="24"/>
                <w:szCs w:val="24"/>
              </w:rPr>
              <w:t>T</w:t>
            </w:r>
            <w:r>
              <w:rPr>
                <w:sz w:val="24"/>
                <w:szCs w:val="24"/>
              </w:rPr>
              <w:t>）</w:t>
            </w:r>
            <w:r>
              <w:rPr>
                <w:rFonts w:ascii="Times New Roman" w:hAnsi="Times New Roman" w:eastAsia="Times New Roman" w:cs="Times New Roman"/>
                <w:sz w:val="24"/>
                <w:szCs w:val="24"/>
              </w:rPr>
              <w:t>--</w:t>
            </w:r>
            <w:r>
              <w:rPr>
                <w:sz w:val="24"/>
                <w:szCs w:val="24"/>
              </w:rPr>
              <w:t>靠近围护结构处室内</w:t>
            </w:r>
            <w:r>
              <w:rPr>
                <w:rFonts w:ascii="Times New Roman" w:hAnsi="Times New Roman" w:eastAsia="Times New Roman" w:cs="Times New Roman"/>
                <w:sz w:val="24"/>
                <w:szCs w:val="24"/>
              </w:rPr>
              <w:t xml:space="preserve">N </w:t>
            </w:r>
            <w:r>
              <w:rPr>
                <w:sz w:val="24"/>
                <w:szCs w:val="24"/>
              </w:rPr>
              <w:t>个声源</w:t>
            </w:r>
            <w:r>
              <w:rPr>
                <w:spacing w:val="-52"/>
                <w:sz w:val="24"/>
                <w:szCs w:val="24"/>
              </w:rPr>
              <w:t xml:space="preserve"> </w:t>
            </w:r>
            <w:r>
              <w:rPr>
                <w:rFonts w:ascii="Times New Roman" w:hAnsi="Times New Roman" w:eastAsia="Times New Roman" w:cs="Times New Roman"/>
                <w:sz w:val="24"/>
                <w:szCs w:val="24"/>
              </w:rPr>
              <w:t xml:space="preserve">i </w:t>
            </w:r>
            <w:r>
              <w:rPr>
                <w:sz w:val="24"/>
                <w:szCs w:val="24"/>
              </w:rPr>
              <w:t>倍频带的叠</w:t>
            </w:r>
            <w:r>
              <w:rPr>
                <w:spacing w:val="-1"/>
                <w:sz w:val="24"/>
                <w:szCs w:val="24"/>
              </w:rPr>
              <w:t>加声压级，</w:t>
            </w:r>
            <w:r>
              <w:rPr>
                <w:rFonts w:ascii="Times New Roman" w:hAnsi="Times New Roman" w:eastAsia="Times New Roman" w:cs="Times New Roman"/>
                <w:spacing w:val="-1"/>
                <w:sz w:val="24"/>
                <w:szCs w:val="24"/>
              </w:rPr>
              <w:t>dB</w:t>
            </w:r>
            <w:r>
              <w:rPr>
                <w:spacing w:val="-1"/>
                <w:sz w:val="24"/>
                <w:szCs w:val="24"/>
              </w:rPr>
              <w:t>；</w:t>
            </w:r>
            <w:r>
              <w:rPr>
                <w:sz w:val="24"/>
                <w:szCs w:val="24"/>
              </w:rPr>
              <w:t xml:space="preserve"> </w:t>
            </w:r>
            <w:r>
              <w:rPr>
                <w:rFonts w:ascii="Times New Roman" w:hAnsi="Times New Roman" w:eastAsia="Times New Roman" w:cs="Times New Roman"/>
                <w:spacing w:val="-1"/>
                <w:sz w:val="24"/>
                <w:szCs w:val="24"/>
              </w:rPr>
              <w:t>TL--</w:t>
            </w:r>
            <w:r>
              <w:rPr>
                <w:spacing w:val="-1"/>
                <w:sz w:val="24"/>
                <w:szCs w:val="24"/>
              </w:rPr>
              <w:t>围护结构</w:t>
            </w:r>
            <w:r>
              <w:rPr>
                <w:spacing w:val="-49"/>
                <w:sz w:val="24"/>
                <w:szCs w:val="24"/>
              </w:rPr>
              <w:t xml:space="preserve"> </w:t>
            </w:r>
            <w:r>
              <w:rPr>
                <w:rFonts w:ascii="Times New Roman" w:hAnsi="Times New Roman" w:eastAsia="Times New Roman" w:cs="Times New Roman"/>
                <w:spacing w:val="-1"/>
                <w:sz w:val="24"/>
                <w:szCs w:val="24"/>
              </w:rPr>
              <w:t xml:space="preserve">i </w:t>
            </w:r>
            <w:r>
              <w:rPr>
                <w:spacing w:val="-1"/>
                <w:sz w:val="24"/>
                <w:szCs w:val="24"/>
              </w:rPr>
              <w:t>倍频带的隔声量，</w:t>
            </w:r>
            <w:r>
              <w:rPr>
                <w:rFonts w:ascii="Times New Roman" w:hAnsi="Times New Roman" w:eastAsia="Times New Roman" w:cs="Times New Roman"/>
                <w:spacing w:val="-1"/>
                <w:sz w:val="24"/>
                <w:szCs w:val="24"/>
              </w:rPr>
              <w:t>dB</w:t>
            </w:r>
            <w:r>
              <w:rPr>
                <w:spacing w:val="-1"/>
                <w:sz w:val="24"/>
                <w:szCs w:val="24"/>
              </w:rPr>
              <w:t>。</w:t>
            </w:r>
          </w:p>
          <w:p w14:paraId="093D17AD">
            <w:pPr>
              <w:pStyle w:val="6"/>
              <w:spacing w:before="18" w:line="346" w:lineRule="auto"/>
              <w:ind w:left="113" w:right="106" w:firstLine="478"/>
              <w:rPr>
                <w:sz w:val="24"/>
                <w:szCs w:val="24"/>
              </w:rPr>
            </w:pPr>
            <w:r>
              <w:rPr>
                <w:spacing w:val="-2"/>
                <w:sz w:val="24"/>
                <w:szCs w:val="24"/>
              </w:rPr>
              <w:t>③中心位置位于透声面积（</w:t>
            </w:r>
            <w:r>
              <w:rPr>
                <w:rFonts w:ascii="Times New Roman" w:hAnsi="Times New Roman" w:eastAsia="Times New Roman" w:cs="Times New Roman"/>
                <w:spacing w:val="-2"/>
                <w:sz w:val="24"/>
                <w:szCs w:val="24"/>
              </w:rPr>
              <w:t>S</w:t>
            </w:r>
            <w:r>
              <w:rPr>
                <w:spacing w:val="-2"/>
                <w:sz w:val="24"/>
                <w:szCs w:val="24"/>
              </w:rPr>
              <w:t>）处等效声源的倍频带声功率级按</w:t>
            </w:r>
            <w:r>
              <w:rPr>
                <w:spacing w:val="-3"/>
                <w:sz w:val="24"/>
                <w:szCs w:val="24"/>
              </w:rPr>
              <w:t>式（</w:t>
            </w:r>
            <w:r>
              <w:rPr>
                <w:rFonts w:ascii="Times New Roman" w:hAnsi="Times New Roman" w:eastAsia="Times New Roman" w:cs="Times New Roman"/>
                <w:spacing w:val="-3"/>
                <w:sz w:val="24"/>
                <w:szCs w:val="24"/>
              </w:rPr>
              <w:t>B.5</w:t>
            </w:r>
            <w:r>
              <w:rPr>
                <w:spacing w:val="-3"/>
                <w:sz w:val="24"/>
                <w:szCs w:val="24"/>
              </w:rPr>
              <w:t>）式</w:t>
            </w:r>
            <w:r>
              <w:rPr>
                <w:sz w:val="24"/>
                <w:szCs w:val="24"/>
              </w:rPr>
              <w:t xml:space="preserve"> </w:t>
            </w:r>
            <w:r>
              <w:rPr>
                <w:spacing w:val="-4"/>
                <w:sz w:val="24"/>
                <w:szCs w:val="24"/>
              </w:rPr>
              <w:t>计算：</w:t>
            </w:r>
          </w:p>
          <w:p w14:paraId="7B3F36F0">
            <w:pPr>
              <w:spacing w:before="1" w:line="209" w:lineRule="auto"/>
              <w:ind w:left="3060"/>
              <w:rPr>
                <w:rFonts w:ascii="Arial" w:hAnsi="Arial" w:eastAsia="Arial" w:cs="Arial"/>
                <w:sz w:val="34"/>
                <w:szCs w:val="34"/>
              </w:rPr>
            </w:pPr>
            <w:r>
              <w:rPr>
                <w:rFonts w:ascii="Arial" w:hAnsi="Arial" w:eastAsia="Arial" w:cs="Arial"/>
                <w:color w:val="858585"/>
                <w:spacing w:val="-3"/>
                <w:sz w:val="34"/>
                <w:szCs w:val="34"/>
              </w:rPr>
              <w:t>L,=L,2(T)+10lg</w:t>
            </w:r>
            <w:r>
              <w:rPr>
                <w:rFonts w:ascii="Arial" w:hAnsi="Arial" w:eastAsia="Arial" w:cs="Arial"/>
                <w:color w:val="858585"/>
                <w:spacing w:val="-42"/>
                <w:sz w:val="34"/>
                <w:szCs w:val="34"/>
              </w:rPr>
              <w:t xml:space="preserve"> </w:t>
            </w:r>
            <w:r>
              <w:rPr>
                <w:rFonts w:ascii="Arial" w:hAnsi="Arial" w:eastAsia="Arial" w:cs="Arial"/>
                <w:color w:val="858585"/>
                <w:spacing w:val="-3"/>
                <w:sz w:val="34"/>
                <w:szCs w:val="34"/>
              </w:rPr>
              <w:t>s</w:t>
            </w:r>
          </w:p>
          <w:p w14:paraId="30E2C753">
            <w:pPr>
              <w:pStyle w:val="6"/>
              <w:spacing w:before="174" w:line="219" w:lineRule="auto"/>
              <w:jc w:val="right"/>
              <w:rPr>
                <w:sz w:val="24"/>
                <w:szCs w:val="24"/>
              </w:rPr>
            </w:pPr>
            <w:r>
              <w:rPr>
                <w:spacing w:val="-6"/>
                <w:sz w:val="24"/>
                <w:szCs w:val="24"/>
              </w:rPr>
              <w:t>式中：</w:t>
            </w:r>
            <w:r>
              <w:rPr>
                <w:rFonts w:ascii="Times New Roman" w:hAnsi="Times New Roman" w:eastAsia="Times New Roman" w:cs="Times New Roman"/>
                <w:spacing w:val="-6"/>
                <w:sz w:val="24"/>
                <w:szCs w:val="24"/>
              </w:rPr>
              <w:t>Lw--</w:t>
            </w:r>
            <w:r>
              <w:rPr>
                <w:spacing w:val="-6"/>
                <w:sz w:val="24"/>
                <w:szCs w:val="24"/>
              </w:rPr>
              <w:t>中心位置位于透声面积（</w:t>
            </w:r>
            <w:r>
              <w:rPr>
                <w:rFonts w:ascii="Times New Roman" w:hAnsi="Times New Roman" w:eastAsia="Times New Roman" w:cs="Times New Roman"/>
                <w:spacing w:val="-6"/>
                <w:sz w:val="24"/>
                <w:szCs w:val="24"/>
              </w:rPr>
              <w:t>S</w:t>
            </w:r>
            <w:r>
              <w:rPr>
                <w:spacing w:val="-6"/>
                <w:sz w:val="24"/>
                <w:szCs w:val="24"/>
              </w:rPr>
              <w:t>）处等效声源的倍频带声功率级，</w:t>
            </w:r>
            <w:r>
              <w:rPr>
                <w:rFonts w:ascii="Times New Roman" w:hAnsi="Times New Roman" w:eastAsia="Times New Roman" w:cs="Times New Roman"/>
                <w:spacing w:val="-6"/>
                <w:sz w:val="24"/>
                <w:szCs w:val="24"/>
              </w:rPr>
              <w:t>dB</w:t>
            </w:r>
            <w:r>
              <w:rPr>
                <w:spacing w:val="-6"/>
                <w:sz w:val="24"/>
                <w:szCs w:val="24"/>
              </w:rPr>
              <w:t>；</w:t>
            </w:r>
          </w:p>
          <w:p w14:paraId="2849FF24">
            <w:pPr>
              <w:pStyle w:val="6"/>
              <w:spacing w:before="181" w:line="212" w:lineRule="auto"/>
              <w:ind w:left="1308"/>
              <w:rPr>
                <w:sz w:val="24"/>
                <w:szCs w:val="24"/>
              </w:rPr>
            </w:pPr>
            <w:r>
              <w:rPr>
                <w:rFonts w:ascii="Times New Roman" w:hAnsi="Times New Roman" w:eastAsia="Times New Roman" w:cs="Times New Roman"/>
                <w:sz w:val="24"/>
                <w:szCs w:val="24"/>
              </w:rPr>
              <w:t>Lp2</w:t>
            </w:r>
            <w:r>
              <w:rPr>
                <w:sz w:val="24"/>
                <w:szCs w:val="24"/>
              </w:rPr>
              <w:t>（</w:t>
            </w:r>
            <w:r>
              <w:rPr>
                <w:rFonts w:ascii="Times New Roman" w:hAnsi="Times New Roman" w:eastAsia="Times New Roman" w:cs="Times New Roman"/>
                <w:sz w:val="24"/>
                <w:szCs w:val="24"/>
              </w:rPr>
              <w:t>T</w:t>
            </w:r>
            <w:r>
              <w:rPr>
                <w:sz w:val="24"/>
                <w:szCs w:val="24"/>
              </w:rPr>
              <w:t>）</w:t>
            </w:r>
            <w:r>
              <w:rPr>
                <w:rFonts w:ascii="Times New Roman" w:hAnsi="Times New Roman" w:eastAsia="Times New Roman" w:cs="Times New Roman"/>
                <w:sz w:val="24"/>
                <w:szCs w:val="24"/>
              </w:rPr>
              <w:t>--</w:t>
            </w:r>
            <w:r>
              <w:rPr>
                <w:sz w:val="24"/>
                <w:szCs w:val="24"/>
              </w:rPr>
              <w:t>靠近围护结构处室外声源的声</w:t>
            </w:r>
            <w:r>
              <w:rPr>
                <w:spacing w:val="-1"/>
                <w:sz w:val="24"/>
                <w:szCs w:val="24"/>
              </w:rPr>
              <w:t>压级，</w:t>
            </w:r>
            <w:r>
              <w:rPr>
                <w:rFonts w:ascii="Times New Roman" w:hAnsi="Times New Roman" w:eastAsia="Times New Roman" w:cs="Times New Roman"/>
                <w:spacing w:val="-1"/>
                <w:sz w:val="24"/>
                <w:szCs w:val="24"/>
              </w:rPr>
              <w:t>dB</w:t>
            </w:r>
            <w:r>
              <w:rPr>
                <w:spacing w:val="-1"/>
                <w:sz w:val="24"/>
                <w:szCs w:val="24"/>
              </w:rPr>
              <w:t>；</w:t>
            </w:r>
          </w:p>
          <w:p w14:paraId="7DDEACAA">
            <w:pPr>
              <w:pStyle w:val="6"/>
              <w:spacing w:before="192" w:line="220" w:lineRule="auto"/>
              <w:ind w:left="1319"/>
              <w:rPr>
                <w:sz w:val="24"/>
                <w:szCs w:val="24"/>
              </w:rPr>
            </w:pPr>
            <w:r>
              <w:rPr>
                <w:rFonts w:ascii="Times New Roman" w:hAnsi="Times New Roman" w:eastAsia="Times New Roman" w:cs="Times New Roman"/>
                <w:spacing w:val="-4"/>
                <w:sz w:val="24"/>
                <w:szCs w:val="24"/>
              </w:rPr>
              <w:t>S--</w:t>
            </w:r>
            <w:r>
              <w:rPr>
                <w:spacing w:val="-4"/>
                <w:sz w:val="24"/>
                <w:szCs w:val="24"/>
              </w:rPr>
              <w:t>透声面积，㎡。</w:t>
            </w:r>
          </w:p>
          <w:p w14:paraId="5CF353FB">
            <w:pPr>
              <w:pStyle w:val="6"/>
              <w:spacing w:before="179" w:line="346" w:lineRule="auto"/>
              <w:ind w:left="120" w:right="108" w:firstLine="470"/>
              <w:rPr>
                <w:sz w:val="24"/>
                <w:szCs w:val="24"/>
              </w:rPr>
            </w:pPr>
            <w:r>
              <w:rPr>
                <w:sz w:val="24"/>
                <w:szCs w:val="24"/>
              </w:rPr>
              <w:t>④户外声传播衰减引起的衰减，预测点的声级采用（</w:t>
            </w:r>
            <w:r>
              <w:rPr>
                <w:rFonts w:ascii="Times New Roman" w:hAnsi="Times New Roman" w:eastAsia="Times New Roman" w:cs="Times New Roman"/>
                <w:sz w:val="24"/>
                <w:szCs w:val="24"/>
              </w:rPr>
              <w:t>A.</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1</w:t>
            </w:r>
            <w:r>
              <w:rPr>
                <w:sz w:val="24"/>
                <w:szCs w:val="24"/>
              </w:rPr>
              <w:t xml:space="preserve">）式计算，公示如 </w:t>
            </w:r>
            <w:r>
              <w:rPr>
                <w:spacing w:val="-9"/>
                <w:sz w:val="24"/>
                <w:szCs w:val="24"/>
              </w:rPr>
              <w:t>下：</w:t>
            </w:r>
          </w:p>
          <w:p w14:paraId="7F6DDDB9">
            <w:pPr>
              <w:spacing w:line="341" w:lineRule="exact"/>
              <w:ind w:firstLine="2062"/>
            </w:pPr>
            <w:r>
              <w:rPr>
                <w:position w:val="-6"/>
              </w:rPr>
              <w:drawing>
                <wp:inline distT="0" distB="0" distL="0" distR="0">
                  <wp:extent cx="2797810" cy="2159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5"/>
                          <a:stretch>
                            <a:fillRect/>
                          </a:stretch>
                        </pic:blipFill>
                        <pic:spPr>
                          <a:xfrm>
                            <a:off x="0" y="0"/>
                            <a:ext cx="2798064" cy="216408"/>
                          </a:xfrm>
                          <a:prstGeom prst="rect">
                            <a:avLst/>
                          </a:prstGeom>
                        </pic:spPr>
                      </pic:pic>
                    </a:graphicData>
                  </a:graphic>
                </wp:inline>
              </w:drawing>
            </w:r>
          </w:p>
          <w:p w14:paraId="20358332">
            <w:pPr>
              <w:pStyle w:val="6"/>
              <w:spacing w:before="174" w:line="210"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Lp</w:t>
            </w:r>
            <w:r>
              <w:rPr>
                <w:spacing w:val="-1"/>
                <w:sz w:val="24"/>
                <w:szCs w:val="24"/>
              </w:rPr>
              <w:t>（</w:t>
            </w:r>
            <w:r>
              <w:rPr>
                <w:rFonts w:ascii="Times New Roman" w:hAnsi="Times New Roman" w:eastAsia="Times New Roman" w:cs="Times New Roman"/>
                <w:spacing w:val="-1"/>
                <w:sz w:val="24"/>
                <w:szCs w:val="24"/>
              </w:rPr>
              <w:t>r</w:t>
            </w:r>
            <w:r>
              <w:rPr>
                <w:spacing w:val="-1"/>
                <w:sz w:val="24"/>
                <w:szCs w:val="24"/>
              </w:rPr>
              <w:t>）</w:t>
            </w:r>
            <w:r>
              <w:rPr>
                <w:rFonts w:ascii="Times New Roman" w:hAnsi="Times New Roman" w:eastAsia="Times New Roman" w:cs="Times New Roman"/>
                <w:spacing w:val="-1"/>
                <w:sz w:val="24"/>
                <w:szCs w:val="24"/>
              </w:rPr>
              <w:t>--</w:t>
            </w:r>
            <w:r>
              <w:rPr>
                <w:spacing w:val="-1"/>
                <w:sz w:val="24"/>
                <w:szCs w:val="24"/>
              </w:rPr>
              <w:t>预测点处声压级，</w:t>
            </w:r>
            <w:r>
              <w:rPr>
                <w:rFonts w:ascii="Times New Roman" w:hAnsi="Times New Roman" w:eastAsia="Times New Roman" w:cs="Times New Roman"/>
                <w:spacing w:val="-1"/>
                <w:sz w:val="24"/>
                <w:szCs w:val="24"/>
              </w:rPr>
              <w:t>dB</w:t>
            </w:r>
            <w:r>
              <w:rPr>
                <w:spacing w:val="-1"/>
                <w:sz w:val="24"/>
                <w:szCs w:val="24"/>
              </w:rPr>
              <w:t>；</w:t>
            </w:r>
          </w:p>
          <w:p w14:paraId="21B557DA">
            <w:pPr>
              <w:pStyle w:val="6"/>
              <w:spacing w:before="193" w:line="219" w:lineRule="auto"/>
              <w:ind w:left="1308"/>
              <w:rPr>
                <w:sz w:val="24"/>
                <w:szCs w:val="24"/>
              </w:rPr>
            </w:pPr>
            <w:r>
              <w:rPr>
                <w:rFonts w:ascii="Times New Roman" w:hAnsi="Times New Roman" w:eastAsia="Times New Roman" w:cs="Times New Roman"/>
                <w:spacing w:val="-1"/>
                <w:sz w:val="24"/>
                <w:szCs w:val="24"/>
              </w:rPr>
              <w:t>Lw--</w:t>
            </w:r>
            <w:r>
              <w:rPr>
                <w:spacing w:val="-1"/>
                <w:sz w:val="24"/>
                <w:szCs w:val="24"/>
              </w:rPr>
              <w:t>由点声源产生的声功率级（</w:t>
            </w:r>
            <w:r>
              <w:rPr>
                <w:rFonts w:ascii="Times New Roman" w:hAnsi="Times New Roman" w:eastAsia="Times New Roman" w:cs="Times New Roman"/>
                <w:spacing w:val="-1"/>
                <w:sz w:val="24"/>
                <w:szCs w:val="24"/>
              </w:rPr>
              <w:t xml:space="preserve">A </w:t>
            </w:r>
            <w:r>
              <w:rPr>
                <w:spacing w:val="-1"/>
                <w:sz w:val="24"/>
                <w:szCs w:val="24"/>
              </w:rPr>
              <w:t>计权或倍频带</w:t>
            </w:r>
            <w:r>
              <w:rPr>
                <w:spacing w:val="10"/>
                <w:sz w:val="24"/>
                <w:szCs w:val="24"/>
              </w:rPr>
              <w:t>），</w:t>
            </w:r>
            <w:r>
              <w:rPr>
                <w:rFonts w:ascii="Times New Roman" w:hAnsi="Times New Roman" w:eastAsia="Times New Roman" w:cs="Times New Roman"/>
                <w:spacing w:val="-1"/>
                <w:sz w:val="24"/>
                <w:szCs w:val="24"/>
              </w:rPr>
              <w:t>dB</w:t>
            </w:r>
            <w:r>
              <w:rPr>
                <w:spacing w:val="-1"/>
                <w:sz w:val="24"/>
                <w:szCs w:val="24"/>
              </w:rPr>
              <w:t>；</w:t>
            </w:r>
          </w:p>
          <w:p w14:paraId="64D5172C">
            <w:pPr>
              <w:pStyle w:val="6"/>
              <w:spacing w:before="183" w:line="359" w:lineRule="auto"/>
              <w:ind w:left="1308" w:right="260"/>
              <w:rPr>
                <w:sz w:val="24"/>
                <w:szCs w:val="24"/>
              </w:rPr>
            </w:pPr>
            <w:r>
              <w:rPr>
                <w:rFonts w:ascii="Times New Roman" w:hAnsi="Times New Roman" w:eastAsia="Times New Roman" w:cs="Times New Roman"/>
                <w:sz w:val="24"/>
                <w:szCs w:val="24"/>
              </w:rPr>
              <w:t>DC--</w:t>
            </w:r>
            <w:r>
              <w:rPr>
                <w:sz w:val="24"/>
                <w:szCs w:val="24"/>
              </w:rPr>
              <w:t>指向性校正，它描述点声源的等效连续声压级</w:t>
            </w:r>
            <w:r>
              <w:rPr>
                <w:spacing w:val="-1"/>
                <w:sz w:val="24"/>
                <w:szCs w:val="24"/>
              </w:rPr>
              <w:t>与产生声功率级</w:t>
            </w:r>
            <w:r>
              <w:rPr>
                <w:sz w:val="24"/>
                <w:szCs w:val="24"/>
              </w:rPr>
              <w:t xml:space="preserve"> </w:t>
            </w:r>
            <w:r>
              <w:rPr>
                <w:rFonts w:ascii="Times New Roman" w:hAnsi="Times New Roman" w:eastAsia="Times New Roman" w:cs="Times New Roman"/>
                <w:spacing w:val="-2"/>
                <w:sz w:val="24"/>
                <w:szCs w:val="24"/>
              </w:rPr>
              <w:t>Lw</w:t>
            </w:r>
            <w:r>
              <w:rPr>
                <w:rFonts w:ascii="Times New Roman" w:hAnsi="Times New Roman" w:eastAsia="Times New Roman" w:cs="Times New Roman"/>
                <w:spacing w:val="43"/>
                <w:sz w:val="24"/>
                <w:szCs w:val="24"/>
              </w:rPr>
              <w:t xml:space="preserve"> </w:t>
            </w:r>
            <w:r>
              <w:rPr>
                <w:spacing w:val="-2"/>
                <w:sz w:val="24"/>
                <w:szCs w:val="24"/>
              </w:rPr>
              <w:t>的全向点声源在规定方向的声级的偏差程度，</w:t>
            </w:r>
            <w:r>
              <w:rPr>
                <w:rFonts w:ascii="Times New Roman" w:hAnsi="Times New Roman" w:eastAsia="Times New Roman" w:cs="Times New Roman"/>
                <w:spacing w:val="-2"/>
                <w:sz w:val="24"/>
                <w:szCs w:val="24"/>
              </w:rPr>
              <w:t>dB</w:t>
            </w:r>
            <w:r>
              <w:rPr>
                <w:spacing w:val="-2"/>
                <w:sz w:val="24"/>
                <w:szCs w:val="24"/>
              </w:rPr>
              <w:t>；</w:t>
            </w:r>
          </w:p>
          <w:p w14:paraId="06B851D8">
            <w:pPr>
              <w:pStyle w:val="6"/>
              <w:spacing w:line="218" w:lineRule="auto"/>
              <w:ind w:left="1305"/>
              <w:rPr>
                <w:sz w:val="24"/>
                <w:szCs w:val="24"/>
              </w:rPr>
            </w:pPr>
            <w:r>
              <w:rPr>
                <w:rFonts w:ascii="Times New Roman" w:hAnsi="Times New Roman" w:eastAsia="Times New Roman" w:cs="Times New Roman"/>
                <w:spacing w:val="-1"/>
                <w:sz w:val="24"/>
                <w:szCs w:val="24"/>
              </w:rPr>
              <w:t>Adiv--</w:t>
            </w:r>
            <w:r>
              <w:rPr>
                <w:spacing w:val="-1"/>
                <w:sz w:val="24"/>
                <w:szCs w:val="24"/>
              </w:rPr>
              <w:t>几何发散引起的衰减，</w:t>
            </w:r>
            <w:r>
              <w:rPr>
                <w:rFonts w:ascii="Times New Roman" w:hAnsi="Times New Roman" w:eastAsia="Times New Roman" w:cs="Times New Roman"/>
                <w:spacing w:val="-1"/>
                <w:sz w:val="24"/>
                <w:szCs w:val="24"/>
              </w:rPr>
              <w:t>dB</w:t>
            </w:r>
            <w:r>
              <w:rPr>
                <w:spacing w:val="-1"/>
                <w:sz w:val="24"/>
                <w:szCs w:val="24"/>
              </w:rPr>
              <w:t>；</w:t>
            </w:r>
          </w:p>
          <w:p w14:paraId="14665FE4">
            <w:pPr>
              <w:pStyle w:val="6"/>
              <w:spacing w:before="182" w:line="219" w:lineRule="auto"/>
              <w:ind w:left="1305"/>
              <w:rPr>
                <w:sz w:val="24"/>
                <w:szCs w:val="24"/>
              </w:rPr>
            </w:pPr>
            <w:r>
              <w:rPr>
                <w:rFonts w:ascii="Times New Roman" w:hAnsi="Times New Roman" w:eastAsia="Times New Roman" w:cs="Times New Roman"/>
                <w:spacing w:val="-1"/>
                <w:sz w:val="24"/>
                <w:szCs w:val="24"/>
              </w:rPr>
              <w:t>Aatm--</w:t>
            </w:r>
            <w:r>
              <w:rPr>
                <w:spacing w:val="-1"/>
                <w:sz w:val="24"/>
                <w:szCs w:val="24"/>
              </w:rPr>
              <w:t>大气吸收引起的衰减，</w:t>
            </w:r>
            <w:r>
              <w:rPr>
                <w:rFonts w:ascii="Times New Roman" w:hAnsi="Times New Roman" w:eastAsia="Times New Roman" w:cs="Times New Roman"/>
                <w:spacing w:val="-1"/>
                <w:sz w:val="24"/>
                <w:szCs w:val="24"/>
              </w:rPr>
              <w:t>dB</w:t>
            </w:r>
            <w:r>
              <w:rPr>
                <w:spacing w:val="-1"/>
                <w:sz w:val="24"/>
                <w:szCs w:val="24"/>
              </w:rPr>
              <w:t>；</w:t>
            </w:r>
          </w:p>
          <w:p w14:paraId="4F2966D2">
            <w:pPr>
              <w:pStyle w:val="6"/>
              <w:spacing w:before="183" w:line="210" w:lineRule="auto"/>
              <w:ind w:left="1305"/>
              <w:rPr>
                <w:sz w:val="24"/>
                <w:szCs w:val="24"/>
              </w:rPr>
            </w:pPr>
            <w:r>
              <w:rPr>
                <w:rFonts w:ascii="Times New Roman" w:hAnsi="Times New Roman" w:eastAsia="Times New Roman" w:cs="Times New Roman"/>
                <w:spacing w:val="-1"/>
                <w:sz w:val="24"/>
                <w:szCs w:val="24"/>
              </w:rPr>
              <w:t>Agr--</w:t>
            </w:r>
            <w:r>
              <w:rPr>
                <w:spacing w:val="-1"/>
                <w:sz w:val="24"/>
                <w:szCs w:val="24"/>
              </w:rPr>
              <w:t>地面效应引起的衰减，</w:t>
            </w:r>
            <w:r>
              <w:rPr>
                <w:rFonts w:ascii="Times New Roman" w:hAnsi="Times New Roman" w:eastAsia="Times New Roman" w:cs="Times New Roman"/>
                <w:spacing w:val="-1"/>
                <w:sz w:val="24"/>
                <w:szCs w:val="24"/>
              </w:rPr>
              <w:t>dB</w:t>
            </w:r>
            <w:r>
              <w:rPr>
                <w:spacing w:val="-1"/>
                <w:sz w:val="24"/>
                <w:szCs w:val="24"/>
              </w:rPr>
              <w:t>；</w:t>
            </w:r>
          </w:p>
          <w:p w14:paraId="497D6A85">
            <w:pPr>
              <w:pStyle w:val="6"/>
              <w:spacing w:before="193" w:line="219" w:lineRule="auto"/>
              <w:ind w:left="1305"/>
              <w:rPr>
                <w:sz w:val="24"/>
                <w:szCs w:val="24"/>
              </w:rPr>
            </w:pPr>
            <w:r>
              <w:rPr>
                <w:rFonts w:ascii="Times New Roman" w:hAnsi="Times New Roman" w:eastAsia="Times New Roman" w:cs="Times New Roman"/>
                <w:spacing w:val="-1"/>
                <w:sz w:val="24"/>
                <w:szCs w:val="24"/>
              </w:rPr>
              <w:t>Abar--</w:t>
            </w:r>
            <w:r>
              <w:rPr>
                <w:spacing w:val="-1"/>
                <w:sz w:val="24"/>
                <w:szCs w:val="24"/>
              </w:rPr>
              <w:t>障碍物屏蔽引起的衰减，</w:t>
            </w:r>
            <w:r>
              <w:rPr>
                <w:rFonts w:ascii="Times New Roman" w:hAnsi="Times New Roman" w:eastAsia="Times New Roman" w:cs="Times New Roman"/>
                <w:spacing w:val="-1"/>
                <w:sz w:val="24"/>
                <w:szCs w:val="24"/>
              </w:rPr>
              <w:t>dB</w:t>
            </w:r>
            <w:r>
              <w:rPr>
                <w:spacing w:val="-1"/>
                <w:sz w:val="24"/>
                <w:szCs w:val="24"/>
              </w:rPr>
              <w:t>；</w:t>
            </w:r>
          </w:p>
          <w:p w14:paraId="459DB2F3">
            <w:pPr>
              <w:pStyle w:val="6"/>
              <w:spacing w:before="183" w:line="220" w:lineRule="auto"/>
              <w:ind w:left="1305"/>
              <w:rPr>
                <w:sz w:val="24"/>
                <w:szCs w:val="24"/>
              </w:rPr>
            </w:pPr>
            <w:r>
              <w:rPr>
                <w:rFonts w:ascii="Times New Roman" w:hAnsi="Times New Roman" w:eastAsia="Times New Roman" w:cs="Times New Roman"/>
                <w:spacing w:val="-1"/>
                <w:sz w:val="24"/>
                <w:szCs w:val="24"/>
              </w:rPr>
              <w:t>Amisc--</w:t>
            </w:r>
            <w:r>
              <w:rPr>
                <w:spacing w:val="-1"/>
                <w:sz w:val="24"/>
                <w:szCs w:val="24"/>
              </w:rPr>
              <w:t>其他多方面效应引起的衰减，</w:t>
            </w:r>
            <w:r>
              <w:rPr>
                <w:rFonts w:ascii="Times New Roman" w:hAnsi="Times New Roman" w:eastAsia="Times New Roman" w:cs="Times New Roman"/>
                <w:spacing w:val="-1"/>
                <w:sz w:val="24"/>
                <w:szCs w:val="24"/>
              </w:rPr>
              <w:t>dB</w:t>
            </w:r>
            <w:r>
              <w:rPr>
                <w:spacing w:val="-1"/>
                <w:sz w:val="24"/>
                <w:szCs w:val="24"/>
              </w:rPr>
              <w:t>。</w:t>
            </w:r>
          </w:p>
          <w:p w14:paraId="7BC099D6">
            <w:pPr>
              <w:pStyle w:val="6"/>
              <w:spacing w:before="180" w:line="217" w:lineRule="auto"/>
              <w:jc w:val="right"/>
              <w:rPr>
                <w:sz w:val="24"/>
                <w:szCs w:val="24"/>
              </w:rPr>
            </w:pPr>
            <w:r>
              <w:rPr>
                <w:spacing w:val="-5"/>
                <w:sz w:val="24"/>
                <w:szCs w:val="24"/>
              </w:rPr>
              <w:t>⑤噪声贡献值采用导则附录</w:t>
            </w:r>
            <w:r>
              <w:rPr>
                <w:spacing w:val="-44"/>
                <w:sz w:val="24"/>
                <w:szCs w:val="24"/>
              </w:rPr>
              <w:t xml:space="preserve"> </w:t>
            </w:r>
            <w:r>
              <w:rPr>
                <w:rFonts w:ascii="Times New Roman" w:hAnsi="Times New Roman" w:eastAsia="Times New Roman" w:cs="Times New Roman"/>
                <w:spacing w:val="-5"/>
                <w:sz w:val="24"/>
                <w:szCs w:val="24"/>
              </w:rPr>
              <w:t xml:space="preserve">B </w:t>
            </w:r>
            <w:r>
              <w:rPr>
                <w:spacing w:val="-5"/>
                <w:sz w:val="24"/>
                <w:szCs w:val="24"/>
              </w:rPr>
              <w:t>工业噪声预测计算模型（</w:t>
            </w:r>
            <w:r>
              <w:rPr>
                <w:rFonts w:ascii="Times New Roman" w:hAnsi="Times New Roman" w:eastAsia="Times New Roman" w:cs="Times New Roman"/>
                <w:spacing w:val="-5"/>
                <w:sz w:val="24"/>
                <w:szCs w:val="24"/>
              </w:rPr>
              <w:t>B.6</w:t>
            </w:r>
            <w:r>
              <w:rPr>
                <w:spacing w:val="-5"/>
                <w:sz w:val="24"/>
                <w:szCs w:val="24"/>
              </w:rPr>
              <w:t>）式计算，如下：</w:t>
            </w:r>
          </w:p>
          <w:p w14:paraId="7B5FE493">
            <w:pPr>
              <w:spacing w:before="148" w:line="850" w:lineRule="exact"/>
              <w:ind w:firstLine="2002"/>
            </w:pPr>
            <w:r>
              <w:rPr>
                <w:position w:val="-16"/>
              </w:rPr>
              <w:drawing>
                <wp:inline distT="0" distB="0" distL="0" distR="0">
                  <wp:extent cx="2875280" cy="5391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6"/>
                          <a:stretch>
                            <a:fillRect/>
                          </a:stretch>
                        </pic:blipFill>
                        <pic:spPr>
                          <a:xfrm>
                            <a:off x="0" y="0"/>
                            <a:ext cx="2875787" cy="539496"/>
                          </a:xfrm>
                          <a:prstGeom prst="rect">
                            <a:avLst/>
                          </a:prstGeom>
                        </pic:spPr>
                      </pic:pic>
                    </a:graphicData>
                  </a:graphic>
                </wp:inline>
              </w:drawing>
            </w:r>
          </w:p>
          <w:p w14:paraId="5CAC6912">
            <w:pPr>
              <w:pStyle w:val="6"/>
              <w:spacing w:before="37" w:line="212"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Leqg--</w:t>
            </w:r>
            <w:r>
              <w:rPr>
                <w:spacing w:val="-1"/>
                <w:sz w:val="24"/>
                <w:szCs w:val="24"/>
              </w:rPr>
              <w:t>建设项目声源在预测点产生的噪声贡献值，</w:t>
            </w:r>
            <w:r>
              <w:rPr>
                <w:rFonts w:ascii="Times New Roman" w:hAnsi="Times New Roman" w:eastAsia="Times New Roman" w:cs="Times New Roman"/>
                <w:spacing w:val="-1"/>
                <w:sz w:val="24"/>
                <w:szCs w:val="24"/>
              </w:rPr>
              <w:t>dB</w:t>
            </w:r>
            <w:r>
              <w:rPr>
                <w:spacing w:val="-1"/>
                <w:sz w:val="24"/>
                <w:szCs w:val="24"/>
              </w:rPr>
              <w:t>；</w:t>
            </w:r>
          </w:p>
          <w:p w14:paraId="6735D931">
            <w:pPr>
              <w:pStyle w:val="6"/>
              <w:spacing w:before="193" w:line="219" w:lineRule="auto"/>
              <w:ind w:left="1311"/>
              <w:rPr>
                <w:sz w:val="24"/>
                <w:szCs w:val="24"/>
              </w:rPr>
            </w:pPr>
            <w:r>
              <w:rPr>
                <w:rFonts w:ascii="Times New Roman" w:hAnsi="Times New Roman" w:eastAsia="Times New Roman" w:cs="Times New Roman"/>
                <w:spacing w:val="-4"/>
                <w:sz w:val="24"/>
                <w:szCs w:val="24"/>
              </w:rPr>
              <w:t>T--</w:t>
            </w:r>
            <w:r>
              <w:rPr>
                <w:spacing w:val="-4"/>
                <w:sz w:val="24"/>
                <w:szCs w:val="24"/>
              </w:rPr>
              <w:t>在</w:t>
            </w:r>
            <w:r>
              <w:rPr>
                <w:spacing w:val="-41"/>
                <w:sz w:val="24"/>
                <w:szCs w:val="24"/>
              </w:rPr>
              <w:t xml:space="preserve"> </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1"/>
                <w:sz w:val="24"/>
                <w:szCs w:val="24"/>
              </w:rPr>
              <w:t xml:space="preserve"> </w:t>
            </w:r>
            <w:r>
              <w:rPr>
                <w:spacing w:val="-4"/>
                <w:sz w:val="24"/>
                <w:szCs w:val="24"/>
              </w:rPr>
              <w:t>时间内该声源工作时间，</w:t>
            </w:r>
            <w:r>
              <w:rPr>
                <w:rFonts w:ascii="Times New Roman" w:hAnsi="Times New Roman" w:eastAsia="Times New Roman" w:cs="Times New Roman"/>
                <w:spacing w:val="-4"/>
                <w:sz w:val="24"/>
                <w:szCs w:val="24"/>
              </w:rPr>
              <w:t>s</w:t>
            </w:r>
            <w:r>
              <w:rPr>
                <w:spacing w:val="-4"/>
                <w:sz w:val="24"/>
                <w:szCs w:val="24"/>
              </w:rPr>
              <w:t>；</w:t>
            </w:r>
          </w:p>
        </w:tc>
      </w:tr>
    </w:tbl>
    <w:p w14:paraId="02A3135F">
      <w:pPr>
        <w:pStyle w:val="2"/>
        <w:spacing w:line="168" w:lineRule="exact"/>
        <w:rPr>
          <w:sz w:val="14"/>
        </w:rPr>
      </w:pPr>
    </w:p>
    <w:p w14:paraId="1001EE64">
      <w:pPr>
        <w:spacing w:line="168" w:lineRule="exact"/>
        <w:rPr>
          <w:sz w:val="14"/>
          <w:szCs w:val="14"/>
        </w:rPr>
        <w:sectPr>
          <w:footerReference r:id="rId73" w:type="default"/>
          <w:pgSz w:w="11906" w:h="16839"/>
          <w:pgMar w:top="400" w:right="1445" w:bottom="1259" w:left="1543" w:header="0" w:footer="1097" w:gutter="0"/>
          <w:cols w:space="720" w:num="1"/>
        </w:sectPr>
      </w:pPr>
    </w:p>
    <w:p w14:paraId="67BAB33B">
      <w:pPr>
        <w:spacing w:before="19"/>
      </w:pPr>
    </w:p>
    <w:p w14:paraId="284AA5A6">
      <w:pPr>
        <w:spacing w:before="19"/>
      </w:pPr>
    </w:p>
    <w:p w14:paraId="379C9745">
      <w:pPr>
        <w:spacing w:before="18"/>
      </w:pPr>
    </w:p>
    <w:p w14:paraId="7A82A3A1">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6BAB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7" w:hRule="atLeast"/>
        </w:trPr>
        <w:tc>
          <w:tcPr>
            <w:tcW w:w="371" w:type="dxa"/>
            <w:vAlign w:val="top"/>
          </w:tcPr>
          <w:p w14:paraId="7C99A8B6">
            <w:pPr>
              <w:rPr>
                <w:rFonts w:ascii="Arial"/>
                <w:sz w:val="21"/>
              </w:rPr>
            </w:pPr>
          </w:p>
        </w:tc>
        <w:tc>
          <w:tcPr>
            <w:tcW w:w="8541" w:type="dxa"/>
            <w:vAlign w:val="top"/>
          </w:tcPr>
          <w:p w14:paraId="5C10CCA1">
            <w:pPr>
              <w:pStyle w:val="6"/>
              <w:spacing w:before="42" w:line="219" w:lineRule="auto"/>
              <w:ind w:left="1301"/>
              <w:rPr>
                <w:sz w:val="24"/>
                <w:szCs w:val="24"/>
              </w:rPr>
            </w:pPr>
            <w:r>
              <w:rPr>
                <w:rFonts w:ascii="Times New Roman" w:hAnsi="Times New Roman" w:eastAsia="Times New Roman" w:cs="Times New Roman"/>
                <w:sz w:val="24"/>
                <w:szCs w:val="24"/>
              </w:rPr>
              <w:t>N-</w:t>
            </w:r>
            <w:r>
              <w:rPr>
                <w:sz w:val="24"/>
                <w:szCs w:val="24"/>
              </w:rPr>
              <w:t>室内声源总数；</w:t>
            </w:r>
          </w:p>
          <w:p w14:paraId="109BB86C">
            <w:pPr>
              <w:pStyle w:val="6"/>
              <w:spacing w:before="180" w:line="219" w:lineRule="auto"/>
              <w:ind w:left="1306"/>
              <w:rPr>
                <w:sz w:val="24"/>
                <w:szCs w:val="24"/>
              </w:rPr>
            </w:pPr>
            <w:r>
              <w:rPr>
                <w:rFonts w:ascii="Times New Roman" w:hAnsi="Times New Roman" w:eastAsia="Times New Roman" w:cs="Times New Roman"/>
                <w:spacing w:val="-2"/>
                <w:sz w:val="24"/>
                <w:szCs w:val="24"/>
              </w:rPr>
              <w:t>ti-</w:t>
            </w:r>
            <w:r>
              <w:rPr>
                <w:spacing w:val="-2"/>
                <w:sz w:val="24"/>
                <w:szCs w:val="24"/>
              </w:rPr>
              <w:t>在</w:t>
            </w:r>
            <w:r>
              <w:rPr>
                <w:spacing w:val="-48"/>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18"/>
                <w:sz w:val="24"/>
                <w:szCs w:val="24"/>
              </w:rPr>
              <w:t xml:space="preserve"> </w:t>
            </w:r>
            <w:r>
              <w:rPr>
                <w:spacing w:val="-2"/>
                <w:sz w:val="24"/>
                <w:szCs w:val="24"/>
              </w:rPr>
              <w:t>时间内该声源工作时间，</w:t>
            </w:r>
            <w:r>
              <w:rPr>
                <w:rFonts w:ascii="Times New Roman" w:hAnsi="Times New Roman" w:eastAsia="Times New Roman" w:cs="Times New Roman"/>
                <w:spacing w:val="-2"/>
                <w:sz w:val="24"/>
                <w:szCs w:val="24"/>
              </w:rPr>
              <w:t>s</w:t>
            </w:r>
            <w:r>
              <w:rPr>
                <w:spacing w:val="-2"/>
                <w:sz w:val="24"/>
                <w:szCs w:val="24"/>
              </w:rPr>
              <w:t>；</w:t>
            </w:r>
          </w:p>
          <w:p w14:paraId="2391C8FF">
            <w:pPr>
              <w:pStyle w:val="6"/>
              <w:spacing w:before="180" w:line="219" w:lineRule="auto"/>
              <w:ind w:left="1308"/>
              <w:rPr>
                <w:sz w:val="24"/>
                <w:szCs w:val="24"/>
              </w:rPr>
            </w:pPr>
            <w:r>
              <w:rPr>
                <w:rFonts w:ascii="Times New Roman" w:hAnsi="Times New Roman" w:eastAsia="Times New Roman" w:cs="Times New Roman"/>
                <w:spacing w:val="-1"/>
                <w:sz w:val="24"/>
                <w:szCs w:val="24"/>
              </w:rPr>
              <w:t>M-</w:t>
            </w:r>
            <w:r>
              <w:rPr>
                <w:spacing w:val="-1"/>
                <w:sz w:val="24"/>
                <w:szCs w:val="24"/>
              </w:rPr>
              <w:t>等效室外声源个数；</w:t>
            </w:r>
          </w:p>
          <w:p w14:paraId="5E551E71">
            <w:pPr>
              <w:pStyle w:val="6"/>
              <w:spacing w:before="183" w:line="210" w:lineRule="auto"/>
              <w:ind w:left="1306"/>
              <w:rPr>
                <w:sz w:val="24"/>
                <w:szCs w:val="24"/>
              </w:rPr>
            </w:pPr>
            <w:r>
              <w:rPr>
                <w:rFonts w:ascii="Times New Roman" w:hAnsi="Times New Roman" w:eastAsia="Times New Roman" w:cs="Times New Roman"/>
                <w:spacing w:val="-2"/>
                <w:sz w:val="24"/>
                <w:szCs w:val="24"/>
              </w:rPr>
              <w:t>tj-</w:t>
            </w:r>
            <w:r>
              <w:rPr>
                <w:spacing w:val="-2"/>
                <w:sz w:val="24"/>
                <w:szCs w:val="24"/>
              </w:rPr>
              <w:t>在</w:t>
            </w:r>
            <w:r>
              <w:rPr>
                <w:spacing w:val="-48"/>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18"/>
                <w:sz w:val="24"/>
                <w:szCs w:val="24"/>
              </w:rPr>
              <w:t xml:space="preserve"> </w:t>
            </w:r>
            <w:r>
              <w:rPr>
                <w:spacing w:val="-2"/>
                <w:sz w:val="24"/>
                <w:szCs w:val="24"/>
              </w:rPr>
              <w:t>时间内该声源工作时间，</w:t>
            </w:r>
            <w:r>
              <w:rPr>
                <w:rFonts w:ascii="Times New Roman" w:hAnsi="Times New Roman" w:eastAsia="Times New Roman" w:cs="Times New Roman"/>
                <w:spacing w:val="-2"/>
                <w:sz w:val="24"/>
                <w:szCs w:val="24"/>
              </w:rPr>
              <w:t>s</w:t>
            </w:r>
            <w:r>
              <w:rPr>
                <w:spacing w:val="-2"/>
                <w:sz w:val="24"/>
                <w:szCs w:val="24"/>
              </w:rPr>
              <w:t>；</w:t>
            </w:r>
          </w:p>
          <w:p w14:paraId="1E951A65">
            <w:pPr>
              <w:pStyle w:val="6"/>
              <w:spacing w:before="192" w:line="219" w:lineRule="auto"/>
              <w:ind w:left="1308"/>
              <w:rPr>
                <w:sz w:val="24"/>
                <w:szCs w:val="24"/>
              </w:rPr>
            </w:pPr>
            <w:r>
              <w:rPr>
                <w:rFonts w:ascii="Times New Roman" w:hAnsi="Times New Roman" w:eastAsia="Times New Roman" w:cs="Times New Roman"/>
                <w:spacing w:val="-1"/>
                <w:sz w:val="24"/>
                <w:szCs w:val="24"/>
              </w:rPr>
              <w:t>LAi--</w:t>
            </w:r>
            <w:r>
              <w:rPr>
                <w:spacing w:val="-1"/>
                <w:sz w:val="24"/>
                <w:szCs w:val="24"/>
              </w:rPr>
              <w:t>第</w:t>
            </w:r>
            <w:r>
              <w:rPr>
                <w:spacing w:val="-41"/>
                <w:sz w:val="24"/>
                <w:szCs w:val="24"/>
              </w:rPr>
              <w:t xml:space="preserve"> </w:t>
            </w:r>
            <w:r>
              <w:rPr>
                <w:rFonts w:ascii="Times New Roman" w:hAnsi="Times New Roman" w:eastAsia="Times New Roman" w:cs="Times New Roman"/>
                <w:spacing w:val="-1"/>
                <w:sz w:val="24"/>
                <w:szCs w:val="24"/>
              </w:rPr>
              <w:t xml:space="preserve">i </w:t>
            </w:r>
            <w:r>
              <w:rPr>
                <w:spacing w:val="-1"/>
                <w:sz w:val="24"/>
                <w:szCs w:val="24"/>
              </w:rPr>
              <w:t>个室外声源在预测点产生的</w:t>
            </w:r>
            <w:r>
              <w:rPr>
                <w:spacing w:val="-58"/>
                <w:sz w:val="24"/>
                <w:szCs w:val="24"/>
              </w:rPr>
              <w:t xml:space="preserve"> </w:t>
            </w:r>
            <w:r>
              <w:rPr>
                <w:rFonts w:ascii="Times New Roman" w:hAnsi="Times New Roman" w:eastAsia="Times New Roman" w:cs="Times New Roman"/>
                <w:spacing w:val="-1"/>
                <w:sz w:val="24"/>
                <w:szCs w:val="24"/>
              </w:rPr>
              <w:t xml:space="preserve">A </w:t>
            </w:r>
            <w:r>
              <w:rPr>
                <w:spacing w:val="-1"/>
                <w:sz w:val="24"/>
                <w:szCs w:val="24"/>
              </w:rPr>
              <w:t>声级为，</w:t>
            </w:r>
            <w:r>
              <w:rPr>
                <w:rFonts w:ascii="Times New Roman" w:hAnsi="Times New Roman" w:eastAsia="Times New Roman" w:cs="Times New Roman"/>
                <w:spacing w:val="-1"/>
                <w:sz w:val="24"/>
                <w:szCs w:val="24"/>
              </w:rPr>
              <w:t>dB</w:t>
            </w:r>
            <w:r>
              <w:rPr>
                <w:spacing w:val="-1"/>
                <w:sz w:val="24"/>
                <w:szCs w:val="24"/>
              </w:rPr>
              <w:t>；</w:t>
            </w:r>
          </w:p>
          <w:p w14:paraId="1606F4B8">
            <w:pPr>
              <w:pStyle w:val="6"/>
              <w:spacing w:before="183" w:line="212" w:lineRule="auto"/>
              <w:ind w:left="1308"/>
              <w:rPr>
                <w:sz w:val="24"/>
                <w:szCs w:val="24"/>
              </w:rPr>
            </w:pPr>
            <w:r>
              <w:rPr>
                <w:rFonts w:ascii="Times New Roman" w:hAnsi="Times New Roman" w:eastAsia="Times New Roman" w:cs="Times New Roman"/>
                <w:sz w:val="24"/>
                <w:szCs w:val="24"/>
              </w:rPr>
              <w:t>LAj</w:t>
            </w:r>
            <w:r>
              <w:rPr>
                <w:rFonts w:ascii="Times New Roman" w:hAnsi="Times New Roman" w:eastAsia="Times New Roman" w:cs="Times New Roman"/>
                <w:spacing w:val="4"/>
                <w:sz w:val="24"/>
                <w:szCs w:val="24"/>
              </w:rPr>
              <w:t>--</w:t>
            </w:r>
            <w:r>
              <w:rPr>
                <w:spacing w:val="4"/>
                <w:sz w:val="24"/>
                <w:szCs w:val="24"/>
              </w:rPr>
              <w:t>第</w:t>
            </w:r>
            <w:r>
              <w:rPr>
                <w:rFonts w:ascii="Times New Roman" w:hAnsi="Times New Roman" w:eastAsia="Times New Roman" w:cs="Times New Roman"/>
                <w:spacing w:val="4"/>
                <w:sz w:val="24"/>
                <w:szCs w:val="24"/>
              </w:rPr>
              <w:t>j</w:t>
            </w:r>
            <w:r>
              <w:rPr>
                <w:spacing w:val="4"/>
                <w:sz w:val="24"/>
                <w:szCs w:val="24"/>
              </w:rPr>
              <w:t>个等效室外声源在预测点产生的</w:t>
            </w:r>
            <w:r>
              <w:rPr>
                <w:spacing w:val="-44"/>
                <w:sz w:val="24"/>
                <w:szCs w:val="24"/>
              </w:rPr>
              <w:t xml:space="preserve"> </w:t>
            </w:r>
            <w:r>
              <w:rPr>
                <w:rFonts w:ascii="Times New Roman" w:hAnsi="Times New Roman" w:eastAsia="Times New Roman" w:cs="Times New Roman"/>
                <w:spacing w:val="4"/>
                <w:sz w:val="24"/>
                <w:szCs w:val="24"/>
              </w:rPr>
              <w:t xml:space="preserve">A </w:t>
            </w:r>
            <w:r>
              <w:rPr>
                <w:spacing w:val="4"/>
                <w:sz w:val="24"/>
                <w:szCs w:val="24"/>
              </w:rPr>
              <w:t>声级，</w:t>
            </w:r>
            <w:r>
              <w:rPr>
                <w:rFonts w:ascii="Times New Roman" w:hAnsi="Times New Roman" w:eastAsia="Times New Roman" w:cs="Times New Roman"/>
                <w:sz w:val="24"/>
                <w:szCs w:val="24"/>
              </w:rPr>
              <w:t>dB</w:t>
            </w:r>
            <w:r>
              <w:rPr>
                <w:spacing w:val="4"/>
                <w:sz w:val="24"/>
                <w:szCs w:val="24"/>
              </w:rPr>
              <w:t>。</w:t>
            </w:r>
          </w:p>
          <w:p w14:paraId="07D3EE06">
            <w:pPr>
              <w:pStyle w:val="6"/>
              <w:spacing w:before="193" w:line="217" w:lineRule="auto"/>
              <w:ind w:left="591"/>
              <w:rPr>
                <w:sz w:val="24"/>
                <w:szCs w:val="24"/>
              </w:rPr>
            </w:pPr>
            <w:r>
              <w:rPr>
                <w:sz w:val="24"/>
                <w:szCs w:val="24"/>
              </w:rPr>
              <w:t>⑥预测点噪声预测值为贡献值和背景值按能量叠加方</w:t>
            </w:r>
            <w:r>
              <w:rPr>
                <w:spacing w:val="-1"/>
                <w:sz w:val="24"/>
                <w:szCs w:val="24"/>
              </w:rPr>
              <w:t>法计算，公式如下：</w:t>
            </w:r>
          </w:p>
          <w:p w14:paraId="3E927E3A">
            <w:pPr>
              <w:spacing w:before="148" w:line="572" w:lineRule="exact"/>
              <w:ind w:firstLine="2849"/>
            </w:pPr>
            <w:r>
              <w:rPr>
                <w:position w:val="-11"/>
              </w:rPr>
              <w:drawing>
                <wp:inline distT="0" distB="0" distL="0" distR="0">
                  <wp:extent cx="1799590" cy="3625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7"/>
                          <a:stretch>
                            <a:fillRect/>
                          </a:stretch>
                        </pic:blipFill>
                        <pic:spPr>
                          <a:xfrm>
                            <a:off x="0" y="0"/>
                            <a:ext cx="1799843" cy="362711"/>
                          </a:xfrm>
                          <a:prstGeom prst="rect">
                            <a:avLst/>
                          </a:prstGeom>
                        </pic:spPr>
                      </pic:pic>
                    </a:graphicData>
                  </a:graphic>
                </wp:inline>
              </w:drawing>
            </w:r>
          </w:p>
          <w:p w14:paraId="1B3495BC">
            <w:pPr>
              <w:pStyle w:val="6"/>
              <w:spacing w:before="171" w:line="212" w:lineRule="auto"/>
              <w:ind w:left="598"/>
              <w:rPr>
                <w:sz w:val="24"/>
                <w:szCs w:val="24"/>
              </w:rPr>
            </w:pPr>
            <w:r>
              <w:rPr>
                <w:spacing w:val="-1"/>
                <w:sz w:val="24"/>
                <w:szCs w:val="24"/>
              </w:rPr>
              <w:t>式中：</w:t>
            </w:r>
            <w:r>
              <w:rPr>
                <w:rFonts w:ascii="Times New Roman" w:hAnsi="Times New Roman" w:eastAsia="Times New Roman" w:cs="Times New Roman"/>
                <w:spacing w:val="-1"/>
                <w:sz w:val="24"/>
                <w:szCs w:val="24"/>
              </w:rPr>
              <w:t>Leq--</w:t>
            </w:r>
            <w:r>
              <w:rPr>
                <w:spacing w:val="-1"/>
                <w:sz w:val="24"/>
                <w:szCs w:val="24"/>
              </w:rPr>
              <w:t>预测点的预测等效声级，</w:t>
            </w:r>
            <w:r>
              <w:rPr>
                <w:rFonts w:ascii="Times New Roman" w:hAnsi="Times New Roman" w:eastAsia="Times New Roman" w:cs="Times New Roman"/>
                <w:spacing w:val="-1"/>
                <w:sz w:val="24"/>
                <w:szCs w:val="24"/>
              </w:rPr>
              <w:t>dB</w:t>
            </w:r>
            <w:r>
              <w:rPr>
                <w:spacing w:val="-1"/>
                <w:sz w:val="24"/>
                <w:szCs w:val="24"/>
              </w:rPr>
              <w:t>；</w:t>
            </w:r>
          </w:p>
          <w:p w14:paraId="1A288DB7">
            <w:pPr>
              <w:pStyle w:val="6"/>
              <w:spacing w:before="190" w:line="212" w:lineRule="auto"/>
              <w:ind w:left="1308"/>
              <w:rPr>
                <w:sz w:val="24"/>
                <w:szCs w:val="24"/>
              </w:rPr>
            </w:pPr>
            <w:r>
              <w:rPr>
                <w:rFonts w:ascii="Times New Roman" w:hAnsi="Times New Roman" w:eastAsia="Times New Roman" w:cs="Times New Roman"/>
                <w:spacing w:val="-1"/>
                <w:sz w:val="24"/>
                <w:szCs w:val="24"/>
              </w:rPr>
              <w:t>Leqb-</w:t>
            </w:r>
            <w:r>
              <w:rPr>
                <w:spacing w:val="-1"/>
                <w:sz w:val="24"/>
                <w:szCs w:val="24"/>
              </w:rPr>
              <w:t>预测点背景噪声值，</w:t>
            </w:r>
            <w:r>
              <w:rPr>
                <w:rFonts w:ascii="Times New Roman" w:hAnsi="Times New Roman" w:eastAsia="Times New Roman" w:cs="Times New Roman"/>
                <w:spacing w:val="-1"/>
                <w:sz w:val="24"/>
                <w:szCs w:val="24"/>
              </w:rPr>
              <w:t>dB</w:t>
            </w:r>
            <w:r>
              <w:rPr>
                <w:spacing w:val="-1"/>
                <w:sz w:val="24"/>
                <w:szCs w:val="24"/>
              </w:rPr>
              <w:t>；</w:t>
            </w:r>
          </w:p>
          <w:p w14:paraId="099FA2C4">
            <w:pPr>
              <w:pStyle w:val="6"/>
              <w:spacing w:before="193" w:line="212" w:lineRule="auto"/>
              <w:ind w:left="1308"/>
              <w:rPr>
                <w:sz w:val="24"/>
                <w:szCs w:val="24"/>
              </w:rPr>
            </w:pPr>
            <w:r>
              <w:rPr>
                <w:rFonts w:ascii="Times New Roman" w:hAnsi="Times New Roman" w:eastAsia="Times New Roman" w:cs="Times New Roman"/>
                <w:sz w:val="24"/>
                <w:szCs w:val="24"/>
              </w:rPr>
              <w:t>Leqg-</w:t>
            </w:r>
            <w:r>
              <w:rPr>
                <w:sz w:val="24"/>
                <w:szCs w:val="24"/>
              </w:rPr>
              <w:t>建设项目声源在预测点产生的噪声贡</w:t>
            </w:r>
            <w:r>
              <w:rPr>
                <w:spacing w:val="-1"/>
                <w:sz w:val="24"/>
                <w:szCs w:val="24"/>
              </w:rPr>
              <w:t>献值，</w:t>
            </w:r>
            <w:r>
              <w:rPr>
                <w:rFonts w:ascii="Times New Roman" w:hAnsi="Times New Roman" w:eastAsia="Times New Roman" w:cs="Times New Roman"/>
                <w:spacing w:val="-1"/>
                <w:sz w:val="24"/>
                <w:szCs w:val="24"/>
              </w:rPr>
              <w:t>dB</w:t>
            </w:r>
            <w:r>
              <w:rPr>
                <w:spacing w:val="-1"/>
                <w:sz w:val="24"/>
                <w:szCs w:val="24"/>
              </w:rPr>
              <w:t>。</w:t>
            </w:r>
          </w:p>
          <w:p w14:paraId="47B4D24B">
            <w:pPr>
              <w:pStyle w:val="6"/>
              <w:spacing w:before="192" w:line="217" w:lineRule="auto"/>
              <w:ind w:left="591"/>
              <w:rPr>
                <w:sz w:val="24"/>
                <w:szCs w:val="24"/>
              </w:rPr>
            </w:pPr>
            <w:r>
              <w:rPr>
                <w:spacing w:val="-2"/>
                <w:sz w:val="24"/>
                <w:szCs w:val="24"/>
              </w:rPr>
              <w:t>⑦预测参数确定</w:t>
            </w:r>
          </w:p>
          <w:p w14:paraId="7C86849D">
            <w:pPr>
              <w:pStyle w:val="6"/>
              <w:spacing w:before="184" w:line="359" w:lineRule="auto"/>
              <w:ind w:left="113" w:right="44" w:firstLine="491"/>
              <w:rPr>
                <w:sz w:val="24"/>
                <w:szCs w:val="24"/>
              </w:rPr>
            </w:pPr>
            <w:r>
              <w:rPr>
                <w:spacing w:val="-8"/>
                <w:sz w:val="24"/>
                <w:szCs w:val="24"/>
              </w:rPr>
              <w:t>噪声源衰减量包括遮挡物衰减量、空气吸收衰减量、地面效应引起的衰</w:t>
            </w:r>
            <w:r>
              <w:rPr>
                <w:spacing w:val="-9"/>
                <w:sz w:val="24"/>
                <w:szCs w:val="24"/>
              </w:rPr>
              <w:t>减量，</w:t>
            </w:r>
            <w:r>
              <w:rPr>
                <w:sz w:val="24"/>
                <w:szCs w:val="24"/>
              </w:rPr>
              <w:t xml:space="preserve"> </w:t>
            </w:r>
            <w:r>
              <w:rPr>
                <w:spacing w:val="-2"/>
                <w:sz w:val="24"/>
                <w:szCs w:val="24"/>
              </w:rPr>
              <w:t>空气吸收和地面效应引起的衰减量与距离衰减</w:t>
            </w:r>
            <w:r>
              <w:rPr>
                <w:spacing w:val="-3"/>
                <w:sz w:val="24"/>
                <w:szCs w:val="24"/>
              </w:rPr>
              <w:t>相比很小，其中主要为遮挡物衰减</w:t>
            </w:r>
            <w:r>
              <w:rPr>
                <w:sz w:val="24"/>
                <w:szCs w:val="24"/>
              </w:rPr>
              <w:t xml:space="preserve"> </w:t>
            </w:r>
            <w:r>
              <w:rPr>
                <w:spacing w:val="-2"/>
                <w:sz w:val="24"/>
                <w:szCs w:val="24"/>
              </w:rPr>
              <w:t>量。通过声源的房间内表面面积及平均吸声系</w:t>
            </w:r>
            <w:r>
              <w:rPr>
                <w:spacing w:val="-3"/>
                <w:sz w:val="24"/>
                <w:szCs w:val="24"/>
              </w:rPr>
              <w:t>数确定房间常数，声源所处位置确</w:t>
            </w:r>
            <w:r>
              <w:rPr>
                <w:sz w:val="24"/>
                <w:szCs w:val="24"/>
              </w:rPr>
              <w:t xml:space="preserve"> </w:t>
            </w:r>
            <w:r>
              <w:rPr>
                <w:spacing w:val="-1"/>
                <w:sz w:val="24"/>
                <w:szCs w:val="24"/>
              </w:rPr>
              <w:t>定指向性因数，由建筑物建造结构确定建筑物插入损失值等。</w:t>
            </w:r>
          </w:p>
          <w:p w14:paraId="4E094CF5">
            <w:pPr>
              <w:pStyle w:val="6"/>
              <w:spacing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）噪声预测结果</w:t>
            </w:r>
          </w:p>
          <w:p w14:paraId="1107EC6E">
            <w:pPr>
              <w:pStyle w:val="6"/>
              <w:spacing w:before="183" w:line="357" w:lineRule="auto"/>
              <w:ind w:left="115" w:right="106" w:firstLine="477"/>
              <w:rPr>
                <w:sz w:val="24"/>
                <w:szCs w:val="24"/>
              </w:rPr>
            </w:pPr>
            <w:r>
              <w:rPr>
                <w:spacing w:val="-3"/>
                <w:sz w:val="24"/>
                <w:szCs w:val="24"/>
              </w:rPr>
              <w:t>在采取洗车间隔声、设备基础减震、厂区车辆限速等降噪措施后，厂界噪声</w:t>
            </w:r>
            <w:r>
              <w:rPr>
                <w:spacing w:val="15"/>
                <w:sz w:val="24"/>
                <w:szCs w:val="24"/>
              </w:rPr>
              <w:t xml:space="preserve"> </w:t>
            </w:r>
            <w:r>
              <w:rPr>
                <w:spacing w:val="-2"/>
                <w:sz w:val="24"/>
                <w:szCs w:val="24"/>
              </w:rPr>
              <w:t>预测贡献值如下：</w:t>
            </w:r>
          </w:p>
          <w:p w14:paraId="691B07FE">
            <w:pPr>
              <w:pStyle w:val="6"/>
              <w:spacing w:line="228" w:lineRule="auto"/>
              <w:ind w:left="2960"/>
              <w:outlineLvl w:val="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4-3    </w:t>
            </w:r>
            <w:r>
              <w:rPr>
                <w:b/>
                <w:bCs/>
                <w:spacing w:val="6"/>
                <w:sz w:val="20"/>
                <w:szCs w:val="20"/>
              </w:rPr>
              <w:t>厂界噪声预测结果</w:t>
            </w:r>
            <w:r>
              <w:rPr>
                <w:spacing w:val="6"/>
                <w:sz w:val="20"/>
                <w:szCs w:val="20"/>
              </w:rPr>
              <w:t xml:space="preserve">          </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p w14:paraId="4268E5E2">
            <w:pPr>
              <w:spacing w:line="130" w:lineRule="exact"/>
            </w:pPr>
          </w:p>
          <w:tbl>
            <w:tblPr>
              <w:tblStyle w:val="5"/>
              <w:tblW w:w="829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5"/>
              <w:gridCol w:w="2071"/>
              <w:gridCol w:w="2071"/>
              <w:gridCol w:w="2075"/>
            </w:tblGrid>
            <w:tr w14:paraId="0A296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075" w:type="dxa"/>
                  <w:vAlign w:val="top"/>
                </w:tcPr>
                <w:p w14:paraId="09C1630D">
                  <w:pPr>
                    <w:pStyle w:val="6"/>
                    <w:spacing w:before="34" w:line="219" w:lineRule="auto"/>
                    <w:ind w:left="626"/>
                    <w:rPr>
                      <w:sz w:val="20"/>
                      <w:szCs w:val="20"/>
                    </w:rPr>
                  </w:pPr>
                  <w:r>
                    <w:rPr>
                      <w:spacing w:val="6"/>
                      <w:sz w:val="20"/>
                      <w:szCs w:val="20"/>
                    </w:rPr>
                    <w:t>预测点位</w:t>
                  </w:r>
                </w:p>
              </w:tc>
              <w:tc>
                <w:tcPr>
                  <w:tcW w:w="2071" w:type="dxa"/>
                  <w:vAlign w:val="top"/>
                </w:tcPr>
                <w:p w14:paraId="3B4A5133">
                  <w:pPr>
                    <w:pStyle w:val="6"/>
                    <w:spacing w:before="34" w:line="219" w:lineRule="auto"/>
                    <w:ind w:left="308"/>
                    <w:rPr>
                      <w:sz w:val="20"/>
                      <w:szCs w:val="20"/>
                    </w:rPr>
                  </w:pPr>
                  <w:r>
                    <w:rPr>
                      <w:spacing w:val="6"/>
                      <w:sz w:val="20"/>
                      <w:szCs w:val="20"/>
                    </w:rPr>
                    <w:t>预测值（昼间）</w:t>
                  </w:r>
                </w:p>
              </w:tc>
              <w:tc>
                <w:tcPr>
                  <w:tcW w:w="2071" w:type="dxa"/>
                  <w:vAlign w:val="top"/>
                </w:tcPr>
                <w:p w14:paraId="0BA9368A">
                  <w:pPr>
                    <w:pStyle w:val="6"/>
                    <w:spacing w:before="34" w:line="219" w:lineRule="auto"/>
                    <w:ind w:left="308"/>
                    <w:rPr>
                      <w:sz w:val="20"/>
                      <w:szCs w:val="20"/>
                    </w:rPr>
                  </w:pPr>
                  <w:r>
                    <w:rPr>
                      <w:spacing w:val="6"/>
                      <w:sz w:val="20"/>
                      <w:szCs w:val="20"/>
                    </w:rPr>
                    <w:t>预测值（夜间）</w:t>
                  </w:r>
                </w:p>
              </w:tc>
              <w:tc>
                <w:tcPr>
                  <w:tcW w:w="2075" w:type="dxa"/>
                  <w:vAlign w:val="top"/>
                </w:tcPr>
                <w:p w14:paraId="04BAFB70">
                  <w:pPr>
                    <w:pStyle w:val="6"/>
                    <w:spacing w:before="34" w:line="219" w:lineRule="auto"/>
                    <w:ind w:left="623"/>
                    <w:rPr>
                      <w:sz w:val="20"/>
                      <w:szCs w:val="20"/>
                    </w:rPr>
                  </w:pPr>
                  <w:r>
                    <w:rPr>
                      <w:spacing w:val="7"/>
                      <w:sz w:val="20"/>
                      <w:szCs w:val="20"/>
                    </w:rPr>
                    <w:t>执行标准</w:t>
                  </w:r>
                </w:p>
              </w:tc>
            </w:tr>
            <w:tr w14:paraId="7A5B6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75" w:type="dxa"/>
                  <w:vAlign w:val="top"/>
                </w:tcPr>
                <w:p w14:paraId="019F6F9C">
                  <w:pPr>
                    <w:pStyle w:val="6"/>
                    <w:spacing w:before="31" w:line="216" w:lineRule="auto"/>
                    <w:ind w:left="569"/>
                    <w:rPr>
                      <w:rFonts w:ascii="Times New Roman" w:hAnsi="Times New Roman" w:eastAsia="Times New Roman" w:cs="Times New Roman"/>
                      <w:sz w:val="20"/>
                      <w:szCs w:val="20"/>
                    </w:rPr>
                  </w:pPr>
                  <w:r>
                    <w:rPr>
                      <w:spacing w:val="1"/>
                      <w:sz w:val="20"/>
                      <w:szCs w:val="20"/>
                    </w:rPr>
                    <w:t>厂界东</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0083AC25">
                  <w:pPr>
                    <w:spacing w:before="6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48.46</w:t>
                  </w:r>
                </w:p>
              </w:tc>
              <w:tc>
                <w:tcPr>
                  <w:tcW w:w="2071" w:type="dxa"/>
                  <w:vAlign w:val="top"/>
                </w:tcPr>
                <w:p w14:paraId="0D073449">
                  <w:pPr>
                    <w:spacing w:before="67"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34.89</w:t>
                  </w:r>
                </w:p>
              </w:tc>
              <w:tc>
                <w:tcPr>
                  <w:tcW w:w="2075" w:type="dxa"/>
                  <w:vMerge w:val="restart"/>
                  <w:tcBorders>
                    <w:bottom w:val="nil"/>
                  </w:tcBorders>
                  <w:vAlign w:val="top"/>
                </w:tcPr>
                <w:p w14:paraId="157C1D7C">
                  <w:pPr>
                    <w:pStyle w:val="6"/>
                    <w:spacing w:before="31" w:line="228" w:lineRule="auto"/>
                    <w:ind w:left="209"/>
                    <w:rPr>
                      <w:sz w:val="20"/>
                      <w:szCs w:val="20"/>
                    </w:rPr>
                  </w:pPr>
                  <w:r>
                    <w:rPr>
                      <w:spacing w:val="8"/>
                      <w:sz w:val="20"/>
                      <w:szCs w:val="20"/>
                    </w:rPr>
                    <w:t>《工业企业厂界环</w:t>
                  </w:r>
                </w:p>
                <w:p w14:paraId="3B62139B">
                  <w:pPr>
                    <w:pStyle w:val="6"/>
                    <w:spacing w:before="24" w:line="228" w:lineRule="auto"/>
                    <w:ind w:left="204"/>
                    <w:rPr>
                      <w:sz w:val="20"/>
                      <w:szCs w:val="20"/>
                    </w:rPr>
                  </w:pPr>
                  <w:r>
                    <w:rPr>
                      <w:spacing w:val="7"/>
                      <w:sz w:val="20"/>
                      <w:szCs w:val="20"/>
                    </w:rPr>
                    <w:t>境噪声排放标准》</w:t>
                  </w:r>
                </w:p>
                <w:p w14:paraId="66748CB8">
                  <w:pPr>
                    <w:pStyle w:val="6"/>
                    <w:spacing w:before="26"/>
                    <w:ind w:left="125"/>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3</w:t>
                  </w:r>
                </w:p>
                <w:p w14:paraId="0D0DD6BC">
                  <w:pPr>
                    <w:pStyle w:val="6"/>
                    <w:spacing w:before="10" w:line="228" w:lineRule="auto"/>
                    <w:ind w:left="114"/>
                    <w:rPr>
                      <w:sz w:val="20"/>
                      <w:szCs w:val="20"/>
                    </w:rPr>
                  </w:pPr>
                  <w:r>
                    <w:rPr>
                      <w:spacing w:val="6"/>
                      <w:sz w:val="20"/>
                      <w:szCs w:val="20"/>
                    </w:rPr>
                    <w:t>类区标准，昼间</w:t>
                  </w:r>
                  <w:r>
                    <w:rPr>
                      <w:spacing w:val="-38"/>
                      <w:sz w:val="20"/>
                      <w:szCs w:val="20"/>
                    </w:rPr>
                    <w:t xml:space="preserve"> </w:t>
                  </w:r>
                  <w:r>
                    <w:rPr>
                      <w:rFonts w:ascii="Times New Roman" w:hAnsi="Times New Roman" w:eastAsia="Times New Roman" w:cs="Times New Roman"/>
                      <w:spacing w:val="6"/>
                      <w:sz w:val="20"/>
                      <w:szCs w:val="20"/>
                    </w:rPr>
                    <w:t>65</w:t>
                  </w:r>
                  <w:r>
                    <w:rPr>
                      <w:spacing w:val="6"/>
                      <w:sz w:val="20"/>
                      <w:szCs w:val="20"/>
                    </w:rPr>
                    <w:t>，</w:t>
                  </w:r>
                </w:p>
                <w:p w14:paraId="745C0B76">
                  <w:pPr>
                    <w:pStyle w:val="6"/>
                    <w:spacing w:before="27" w:line="213" w:lineRule="auto"/>
                    <w:ind w:left="598"/>
                    <w:rPr>
                      <w:sz w:val="20"/>
                      <w:szCs w:val="20"/>
                    </w:rPr>
                  </w:pPr>
                  <w:r>
                    <w:rPr>
                      <w:spacing w:val="1"/>
                      <w:sz w:val="20"/>
                      <w:szCs w:val="20"/>
                    </w:rPr>
                    <w:t>夜间</w:t>
                  </w:r>
                  <w:r>
                    <w:rPr>
                      <w:spacing w:val="-35"/>
                      <w:sz w:val="20"/>
                      <w:szCs w:val="20"/>
                    </w:rPr>
                    <w:t xml:space="preserve"> </w:t>
                  </w:r>
                  <w:r>
                    <w:rPr>
                      <w:rFonts w:ascii="Times New Roman" w:hAnsi="Times New Roman" w:eastAsia="Times New Roman" w:cs="Times New Roman"/>
                      <w:spacing w:val="1"/>
                      <w:sz w:val="20"/>
                      <w:szCs w:val="20"/>
                    </w:rPr>
                    <w:t>55</w:t>
                  </w:r>
                  <w:r>
                    <w:rPr>
                      <w:spacing w:val="1"/>
                      <w:sz w:val="20"/>
                      <w:szCs w:val="20"/>
                    </w:rPr>
                    <w:t>。</w:t>
                  </w:r>
                </w:p>
              </w:tc>
            </w:tr>
            <w:tr w14:paraId="3017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75" w:type="dxa"/>
                  <w:vAlign w:val="top"/>
                </w:tcPr>
                <w:p w14:paraId="00CFBEEA">
                  <w:pPr>
                    <w:pStyle w:val="6"/>
                    <w:spacing w:before="30" w:line="217" w:lineRule="auto"/>
                    <w:ind w:left="569"/>
                    <w:rPr>
                      <w:rFonts w:ascii="Times New Roman" w:hAnsi="Times New Roman" w:eastAsia="Times New Roman" w:cs="Times New Roman"/>
                      <w:sz w:val="20"/>
                      <w:szCs w:val="20"/>
                    </w:rPr>
                  </w:pPr>
                  <w:r>
                    <w:rPr>
                      <w:spacing w:val="1"/>
                      <w:sz w:val="20"/>
                      <w:szCs w:val="20"/>
                    </w:rPr>
                    <w:t>厂界南</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461B2B1D">
                  <w:pPr>
                    <w:spacing w:before="6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47.33</w:t>
                  </w:r>
                </w:p>
              </w:tc>
              <w:tc>
                <w:tcPr>
                  <w:tcW w:w="2071" w:type="dxa"/>
                  <w:vAlign w:val="top"/>
                </w:tcPr>
                <w:p w14:paraId="67A66431">
                  <w:pPr>
                    <w:spacing w:before="67"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34.08</w:t>
                  </w:r>
                </w:p>
              </w:tc>
              <w:tc>
                <w:tcPr>
                  <w:tcW w:w="2075" w:type="dxa"/>
                  <w:vMerge w:val="continue"/>
                  <w:tcBorders>
                    <w:top w:val="nil"/>
                    <w:bottom w:val="nil"/>
                  </w:tcBorders>
                  <w:vAlign w:val="top"/>
                </w:tcPr>
                <w:p w14:paraId="71BDEF8F">
                  <w:pPr>
                    <w:rPr>
                      <w:rFonts w:ascii="Arial"/>
                      <w:sz w:val="21"/>
                    </w:rPr>
                  </w:pPr>
                </w:p>
              </w:tc>
            </w:tr>
            <w:tr w14:paraId="3D770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075" w:type="dxa"/>
                  <w:vAlign w:val="top"/>
                </w:tcPr>
                <w:p w14:paraId="3E8EE9B1">
                  <w:pPr>
                    <w:pStyle w:val="6"/>
                    <w:spacing w:before="33" w:line="216" w:lineRule="auto"/>
                    <w:ind w:left="569"/>
                    <w:rPr>
                      <w:rFonts w:ascii="Times New Roman" w:hAnsi="Times New Roman" w:eastAsia="Times New Roman" w:cs="Times New Roman"/>
                      <w:sz w:val="20"/>
                      <w:szCs w:val="20"/>
                    </w:rPr>
                  </w:pPr>
                  <w:r>
                    <w:rPr>
                      <w:spacing w:val="1"/>
                      <w:sz w:val="20"/>
                      <w:szCs w:val="20"/>
                    </w:rPr>
                    <w:t>厂界西</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6765808C">
                  <w:pPr>
                    <w:spacing w:before="69"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46.68</w:t>
                  </w:r>
                </w:p>
              </w:tc>
              <w:tc>
                <w:tcPr>
                  <w:tcW w:w="2071" w:type="dxa"/>
                  <w:vAlign w:val="top"/>
                </w:tcPr>
                <w:p w14:paraId="54DA7429">
                  <w:pPr>
                    <w:spacing w:before="69"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33.61</w:t>
                  </w:r>
                </w:p>
              </w:tc>
              <w:tc>
                <w:tcPr>
                  <w:tcW w:w="2075" w:type="dxa"/>
                  <w:vMerge w:val="continue"/>
                  <w:tcBorders>
                    <w:top w:val="nil"/>
                    <w:bottom w:val="nil"/>
                  </w:tcBorders>
                  <w:vAlign w:val="top"/>
                </w:tcPr>
                <w:p w14:paraId="55DCCF4A">
                  <w:pPr>
                    <w:rPr>
                      <w:rFonts w:ascii="Arial"/>
                      <w:sz w:val="21"/>
                    </w:rPr>
                  </w:pPr>
                </w:p>
              </w:tc>
            </w:tr>
            <w:tr w14:paraId="0EC19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075" w:type="dxa"/>
                  <w:vAlign w:val="top"/>
                </w:tcPr>
                <w:p w14:paraId="4E169469">
                  <w:pPr>
                    <w:pStyle w:val="6"/>
                    <w:spacing w:before="155" w:line="228" w:lineRule="auto"/>
                    <w:ind w:left="569"/>
                    <w:rPr>
                      <w:rFonts w:ascii="Times New Roman" w:hAnsi="Times New Roman" w:eastAsia="Times New Roman" w:cs="Times New Roman"/>
                      <w:sz w:val="20"/>
                      <w:szCs w:val="20"/>
                    </w:rPr>
                  </w:pPr>
                  <w:r>
                    <w:rPr>
                      <w:spacing w:val="1"/>
                      <w:sz w:val="20"/>
                      <w:szCs w:val="20"/>
                    </w:rPr>
                    <w:t>厂界北</w:t>
                  </w:r>
                  <w:r>
                    <w:rPr>
                      <w:spacing w:val="-23"/>
                      <w:sz w:val="20"/>
                      <w:szCs w:val="20"/>
                    </w:rPr>
                    <w:t xml:space="preserve"> </w:t>
                  </w:r>
                  <w:r>
                    <w:rPr>
                      <w:rFonts w:ascii="Times New Roman" w:hAnsi="Times New Roman" w:eastAsia="Times New Roman" w:cs="Times New Roman"/>
                      <w:spacing w:val="1"/>
                      <w:sz w:val="20"/>
                      <w:szCs w:val="20"/>
                    </w:rPr>
                    <w:t>1m</w:t>
                  </w:r>
                </w:p>
              </w:tc>
              <w:tc>
                <w:tcPr>
                  <w:tcW w:w="2071" w:type="dxa"/>
                  <w:vAlign w:val="top"/>
                </w:tcPr>
                <w:p w14:paraId="2462D56B">
                  <w:pPr>
                    <w:spacing w:before="190"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48.35</w:t>
                  </w:r>
                </w:p>
              </w:tc>
              <w:tc>
                <w:tcPr>
                  <w:tcW w:w="2071" w:type="dxa"/>
                  <w:vAlign w:val="top"/>
                </w:tcPr>
                <w:p w14:paraId="23D22EE0">
                  <w:pPr>
                    <w:spacing w:before="190" w:line="195"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34.81</w:t>
                  </w:r>
                </w:p>
              </w:tc>
              <w:tc>
                <w:tcPr>
                  <w:tcW w:w="2075" w:type="dxa"/>
                  <w:vMerge w:val="continue"/>
                  <w:tcBorders>
                    <w:top w:val="nil"/>
                  </w:tcBorders>
                  <w:vAlign w:val="top"/>
                </w:tcPr>
                <w:p w14:paraId="54D746BF">
                  <w:pPr>
                    <w:rPr>
                      <w:rFonts w:ascii="Arial"/>
                      <w:sz w:val="21"/>
                    </w:rPr>
                  </w:pPr>
                </w:p>
              </w:tc>
            </w:tr>
            <w:tr w14:paraId="65C1D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292" w:type="dxa"/>
                  <w:gridSpan w:val="4"/>
                  <w:vAlign w:val="top"/>
                </w:tcPr>
                <w:p w14:paraId="169EBCB3">
                  <w:pPr>
                    <w:pStyle w:val="6"/>
                    <w:spacing w:before="36" w:line="217" w:lineRule="auto"/>
                    <w:ind w:left="118"/>
                    <w:rPr>
                      <w:sz w:val="20"/>
                      <w:szCs w:val="20"/>
                    </w:rPr>
                  </w:pPr>
                  <w:r>
                    <w:rPr>
                      <w:spacing w:val="9"/>
                      <w:sz w:val="20"/>
                      <w:szCs w:val="20"/>
                    </w:rPr>
                    <w:t>备注：洗车间夜间不工作，仅有运输车辆噪声</w:t>
                  </w:r>
                </w:p>
              </w:tc>
            </w:tr>
          </w:tbl>
          <w:p w14:paraId="4B3F1594">
            <w:pPr>
              <w:pStyle w:val="6"/>
              <w:spacing w:before="190" w:line="353" w:lineRule="auto"/>
              <w:ind w:left="107" w:right="26" w:firstLine="485"/>
              <w:jc w:val="both"/>
              <w:rPr>
                <w:sz w:val="24"/>
                <w:szCs w:val="24"/>
              </w:rPr>
            </w:pPr>
            <w:r>
              <w:rPr>
                <w:spacing w:val="17"/>
                <w:sz w:val="24"/>
                <w:szCs w:val="24"/>
              </w:rPr>
              <w:t>根据厂界噪声贡献预测结果可知</w:t>
            </w:r>
            <w:r>
              <w:rPr>
                <w:spacing w:val="-67"/>
                <w:sz w:val="24"/>
                <w:szCs w:val="24"/>
              </w:rPr>
              <w:t xml:space="preserve"> </w:t>
            </w:r>
            <w:r>
              <w:rPr>
                <w:spacing w:val="17"/>
                <w:sz w:val="24"/>
                <w:szCs w:val="24"/>
              </w:rPr>
              <w:t>，项</w:t>
            </w:r>
            <w:r>
              <w:rPr>
                <w:spacing w:val="-44"/>
                <w:sz w:val="24"/>
                <w:szCs w:val="24"/>
              </w:rPr>
              <w:t xml:space="preserve"> </w:t>
            </w:r>
            <w:r>
              <w:rPr>
                <w:spacing w:val="17"/>
                <w:sz w:val="24"/>
                <w:szCs w:val="24"/>
              </w:rPr>
              <w:t>目运营期昼间厂</w:t>
            </w:r>
            <w:r>
              <w:rPr>
                <w:spacing w:val="16"/>
                <w:sz w:val="24"/>
                <w:szCs w:val="24"/>
              </w:rPr>
              <w:t>界噪声贡献值在</w:t>
            </w:r>
            <w:r>
              <w:rPr>
                <w:sz w:val="24"/>
                <w:szCs w:val="24"/>
              </w:rPr>
              <w:t xml:space="preserve"> </w:t>
            </w:r>
            <w:r>
              <w:rPr>
                <w:rFonts w:ascii="Times New Roman" w:hAnsi="Times New Roman" w:eastAsia="Times New Roman" w:cs="Times New Roman"/>
                <w:spacing w:val="-1"/>
                <w:sz w:val="24"/>
                <w:szCs w:val="24"/>
              </w:rPr>
              <w:t>46.69~48.46dB</w:t>
            </w:r>
            <w:r>
              <w:rPr>
                <w:spacing w:val="-1"/>
                <w:sz w:val="24"/>
                <w:szCs w:val="24"/>
              </w:rPr>
              <w:t>（</w:t>
            </w:r>
            <w:r>
              <w:rPr>
                <w:rFonts w:ascii="Times New Roman" w:hAnsi="Times New Roman" w:eastAsia="Times New Roman" w:cs="Times New Roman"/>
                <w:spacing w:val="-1"/>
                <w:sz w:val="24"/>
                <w:szCs w:val="24"/>
              </w:rPr>
              <w:t>A</w:t>
            </w:r>
            <w:r>
              <w:rPr>
                <w:spacing w:val="-1"/>
                <w:sz w:val="24"/>
                <w:szCs w:val="24"/>
              </w:rPr>
              <w:t>）之间，夜间</w:t>
            </w:r>
            <w:r>
              <w:rPr>
                <w:spacing w:val="-2"/>
                <w:sz w:val="24"/>
                <w:szCs w:val="24"/>
              </w:rPr>
              <w:t>洗车间夜间不工作，仅有运输车辆噪声，厂界噪</w:t>
            </w:r>
            <w:r>
              <w:rPr>
                <w:sz w:val="24"/>
                <w:szCs w:val="24"/>
              </w:rPr>
              <w:t xml:space="preserve"> </w:t>
            </w:r>
            <w:r>
              <w:rPr>
                <w:spacing w:val="-3"/>
                <w:sz w:val="24"/>
                <w:szCs w:val="24"/>
              </w:rPr>
              <w:t>声贡献值在</w:t>
            </w:r>
            <w:r>
              <w:rPr>
                <w:spacing w:val="-50"/>
                <w:sz w:val="24"/>
                <w:szCs w:val="24"/>
              </w:rPr>
              <w:t xml:space="preserve"> </w:t>
            </w:r>
            <w:r>
              <w:rPr>
                <w:rFonts w:ascii="Times New Roman" w:hAnsi="Times New Roman" w:eastAsia="Times New Roman" w:cs="Times New Roman"/>
                <w:spacing w:val="-3"/>
                <w:sz w:val="24"/>
                <w:szCs w:val="24"/>
              </w:rPr>
              <w:t>33.61~34.89dB</w:t>
            </w:r>
            <w:r>
              <w:rPr>
                <w:spacing w:val="-3"/>
                <w:sz w:val="24"/>
                <w:szCs w:val="24"/>
              </w:rPr>
              <w:t>（</w:t>
            </w:r>
            <w:r>
              <w:rPr>
                <w:rFonts w:ascii="Times New Roman" w:hAnsi="Times New Roman" w:eastAsia="Times New Roman" w:cs="Times New Roman"/>
                <w:spacing w:val="-3"/>
                <w:sz w:val="24"/>
                <w:szCs w:val="24"/>
              </w:rPr>
              <w:t>A</w:t>
            </w:r>
            <w:r>
              <w:rPr>
                <w:spacing w:val="-3"/>
                <w:sz w:val="24"/>
                <w:szCs w:val="24"/>
              </w:rPr>
              <w:t>）之间，厂界噪声符合《工业企业</w:t>
            </w:r>
            <w:r>
              <w:rPr>
                <w:spacing w:val="-4"/>
                <w:sz w:val="24"/>
                <w:szCs w:val="24"/>
              </w:rPr>
              <w:t>厂界环境噪声排</w:t>
            </w:r>
            <w:r>
              <w:rPr>
                <w:sz w:val="24"/>
                <w:szCs w:val="24"/>
              </w:rPr>
              <w:t xml:space="preserve"> </w:t>
            </w:r>
            <w:r>
              <w:rPr>
                <w:spacing w:val="-2"/>
                <w:sz w:val="24"/>
                <w:szCs w:val="24"/>
              </w:rPr>
              <w:t>放标准》（</w:t>
            </w:r>
            <w:r>
              <w:rPr>
                <w:rFonts w:ascii="Times New Roman" w:hAnsi="Times New Roman" w:eastAsia="Times New Roman" w:cs="Times New Roman"/>
                <w:spacing w:val="-2"/>
                <w:sz w:val="24"/>
                <w:szCs w:val="24"/>
              </w:rPr>
              <w:t>GB12348-2008</w:t>
            </w:r>
            <w:r>
              <w:rPr>
                <w:spacing w:val="-2"/>
                <w:sz w:val="24"/>
                <w:szCs w:val="24"/>
              </w:rPr>
              <w:t>）</w:t>
            </w:r>
            <w:r>
              <w:rPr>
                <w:rFonts w:ascii="Times New Roman" w:hAnsi="Times New Roman" w:eastAsia="Times New Roman" w:cs="Times New Roman"/>
                <w:spacing w:val="-2"/>
                <w:sz w:val="24"/>
                <w:szCs w:val="24"/>
              </w:rPr>
              <w:t xml:space="preserve">3 </w:t>
            </w:r>
            <w:r>
              <w:rPr>
                <w:spacing w:val="-2"/>
                <w:sz w:val="24"/>
                <w:szCs w:val="24"/>
              </w:rPr>
              <w:t>类区标准昼间</w:t>
            </w:r>
            <w:r>
              <w:rPr>
                <w:spacing w:val="-49"/>
                <w:sz w:val="24"/>
                <w:szCs w:val="24"/>
              </w:rPr>
              <w:t xml:space="preserve"> </w:t>
            </w:r>
            <w:r>
              <w:rPr>
                <w:rFonts w:ascii="Times New Roman" w:hAnsi="Times New Roman" w:eastAsia="Times New Roman" w:cs="Times New Roman"/>
                <w:spacing w:val="-2"/>
                <w:sz w:val="24"/>
                <w:szCs w:val="24"/>
              </w:rPr>
              <w:t>65dB</w:t>
            </w:r>
            <w:r>
              <w:rPr>
                <w:spacing w:val="-2"/>
                <w:sz w:val="24"/>
                <w:szCs w:val="24"/>
              </w:rPr>
              <w:t>（</w:t>
            </w:r>
            <w:r>
              <w:rPr>
                <w:rFonts w:ascii="Times New Roman" w:hAnsi="Times New Roman" w:eastAsia="Times New Roman" w:cs="Times New Roman"/>
                <w:spacing w:val="-2"/>
                <w:sz w:val="24"/>
                <w:szCs w:val="24"/>
              </w:rPr>
              <w:t>A</w:t>
            </w:r>
            <w:r>
              <w:rPr>
                <w:spacing w:val="5"/>
                <w:sz w:val="24"/>
                <w:szCs w:val="24"/>
              </w:rPr>
              <w:t>），</w:t>
            </w:r>
            <w:r>
              <w:rPr>
                <w:spacing w:val="-2"/>
                <w:sz w:val="24"/>
                <w:szCs w:val="24"/>
              </w:rPr>
              <w:t>夜间</w:t>
            </w:r>
            <w:r>
              <w:rPr>
                <w:spacing w:val="-49"/>
                <w:sz w:val="24"/>
                <w:szCs w:val="24"/>
              </w:rPr>
              <w:t xml:space="preserve"> </w:t>
            </w:r>
            <w:r>
              <w:rPr>
                <w:rFonts w:ascii="Times New Roman" w:hAnsi="Times New Roman" w:eastAsia="Times New Roman" w:cs="Times New Roman"/>
                <w:spacing w:val="-2"/>
                <w:sz w:val="24"/>
                <w:szCs w:val="24"/>
              </w:rPr>
              <w:t>55dB</w:t>
            </w:r>
            <w:r>
              <w:rPr>
                <w:spacing w:val="-2"/>
                <w:sz w:val="24"/>
                <w:szCs w:val="24"/>
              </w:rPr>
              <w:t>（</w:t>
            </w:r>
            <w:r>
              <w:rPr>
                <w:rFonts w:ascii="Times New Roman" w:hAnsi="Times New Roman" w:eastAsia="Times New Roman" w:cs="Times New Roman"/>
                <w:spacing w:val="-2"/>
                <w:sz w:val="24"/>
                <w:szCs w:val="24"/>
              </w:rPr>
              <w:t>A</w:t>
            </w:r>
            <w:r>
              <w:rPr>
                <w:spacing w:val="-3"/>
                <w:sz w:val="24"/>
                <w:szCs w:val="24"/>
              </w:rPr>
              <w:t>）要求。</w:t>
            </w:r>
          </w:p>
        </w:tc>
      </w:tr>
    </w:tbl>
    <w:p w14:paraId="600699AE">
      <w:pPr>
        <w:pStyle w:val="2"/>
      </w:pPr>
    </w:p>
    <w:p w14:paraId="04B2E62F">
      <w:pPr>
        <w:sectPr>
          <w:footerReference r:id="rId74" w:type="default"/>
          <w:pgSz w:w="11906" w:h="16839"/>
          <w:pgMar w:top="400" w:right="1445" w:bottom="1259" w:left="1543" w:header="0" w:footer="1097" w:gutter="0"/>
          <w:cols w:space="720" w:num="1"/>
        </w:sectPr>
      </w:pPr>
    </w:p>
    <w:p w14:paraId="3C1BD9EA">
      <w:pPr>
        <w:spacing w:before="19"/>
      </w:pPr>
    </w:p>
    <w:p w14:paraId="6BED9E7A">
      <w:pPr>
        <w:spacing w:before="19"/>
      </w:pPr>
    </w:p>
    <w:p w14:paraId="5221D27C">
      <w:pPr>
        <w:spacing w:before="18"/>
      </w:pPr>
    </w:p>
    <w:p w14:paraId="0D1299AF">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4BB75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8" w:hRule="atLeast"/>
        </w:trPr>
        <w:tc>
          <w:tcPr>
            <w:tcW w:w="371" w:type="dxa"/>
            <w:vAlign w:val="top"/>
          </w:tcPr>
          <w:p w14:paraId="577AA55C">
            <w:pPr>
              <w:rPr>
                <w:rFonts w:ascii="Arial"/>
                <w:sz w:val="21"/>
              </w:rPr>
            </w:pPr>
          </w:p>
        </w:tc>
        <w:tc>
          <w:tcPr>
            <w:tcW w:w="8541" w:type="dxa"/>
            <w:vAlign w:val="top"/>
          </w:tcPr>
          <w:p w14:paraId="64C6DCA7">
            <w:pPr>
              <w:pStyle w:val="6"/>
              <w:spacing w:before="41" w:line="220"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）噪声污染防治措施</w:t>
            </w:r>
          </w:p>
          <w:p w14:paraId="0B0DB39C">
            <w:pPr>
              <w:pStyle w:val="6"/>
              <w:spacing w:before="179" w:line="218" w:lineRule="auto"/>
              <w:ind w:left="596"/>
              <w:rPr>
                <w:sz w:val="24"/>
                <w:szCs w:val="24"/>
              </w:rPr>
            </w:pPr>
            <w:r>
              <w:rPr>
                <w:spacing w:val="-1"/>
                <w:sz w:val="24"/>
                <w:szCs w:val="24"/>
              </w:rPr>
              <w:t>为降低项目运营期噪声污染，建议采取以下噪声污染防治措施：</w:t>
            </w:r>
          </w:p>
          <w:p w14:paraId="315D2D26">
            <w:pPr>
              <w:pStyle w:val="6"/>
              <w:spacing w:before="182" w:line="217" w:lineRule="auto"/>
              <w:ind w:left="592"/>
              <w:rPr>
                <w:sz w:val="24"/>
                <w:szCs w:val="24"/>
              </w:rPr>
            </w:pPr>
            <w:r>
              <w:rPr>
                <w:sz w:val="24"/>
                <w:szCs w:val="24"/>
              </w:rPr>
              <w:t>①停车场出入口进设置明显的减速及限速标</w:t>
            </w:r>
            <w:r>
              <w:rPr>
                <w:spacing w:val="-1"/>
                <w:sz w:val="24"/>
                <w:szCs w:val="24"/>
              </w:rPr>
              <w:t>志，并设置禁鸣标志；</w:t>
            </w:r>
          </w:p>
          <w:p w14:paraId="056635B2">
            <w:pPr>
              <w:pStyle w:val="6"/>
              <w:spacing w:before="185" w:line="217" w:lineRule="auto"/>
              <w:ind w:left="591"/>
              <w:rPr>
                <w:sz w:val="24"/>
                <w:szCs w:val="24"/>
              </w:rPr>
            </w:pPr>
            <w:r>
              <w:rPr>
                <w:sz w:val="24"/>
                <w:szCs w:val="24"/>
              </w:rPr>
              <w:t>②加强停车场内的车辆停放管理，车辆进出场</w:t>
            </w:r>
            <w:r>
              <w:rPr>
                <w:spacing w:val="-1"/>
                <w:sz w:val="24"/>
                <w:szCs w:val="24"/>
              </w:rPr>
              <w:t>听从管理人员引导；</w:t>
            </w:r>
          </w:p>
          <w:p w14:paraId="70CAEE96">
            <w:pPr>
              <w:pStyle w:val="6"/>
              <w:spacing w:before="184" w:line="217" w:lineRule="auto"/>
              <w:ind w:left="591"/>
              <w:rPr>
                <w:sz w:val="24"/>
                <w:szCs w:val="24"/>
              </w:rPr>
            </w:pPr>
            <w:r>
              <w:rPr>
                <w:spacing w:val="-1"/>
                <w:sz w:val="24"/>
                <w:szCs w:val="24"/>
              </w:rPr>
              <w:t>③停车场场界四周设置围墙，可以起到一定的隔声效果；</w:t>
            </w:r>
          </w:p>
          <w:p w14:paraId="598DF85B">
            <w:pPr>
              <w:pStyle w:val="6"/>
              <w:spacing w:before="186" w:line="217" w:lineRule="auto"/>
              <w:ind w:left="591"/>
              <w:rPr>
                <w:sz w:val="24"/>
                <w:szCs w:val="24"/>
              </w:rPr>
            </w:pPr>
            <w:r>
              <w:rPr>
                <w:spacing w:val="-1"/>
                <w:sz w:val="24"/>
                <w:szCs w:val="24"/>
              </w:rPr>
              <w:t>④停车区周围及停车场场界四周设置绿化带进行吸声、隔声。</w:t>
            </w:r>
          </w:p>
          <w:p w14:paraId="12624C05">
            <w:pPr>
              <w:pStyle w:val="6"/>
              <w:spacing w:before="185" w:line="221" w:lineRule="auto"/>
              <w:ind w:left="604"/>
              <w:rPr>
                <w:sz w:val="24"/>
                <w:szCs w:val="24"/>
              </w:rPr>
            </w:pPr>
            <w:r>
              <w:rPr>
                <w:spacing w:val="-5"/>
                <w:sz w:val="24"/>
                <w:szCs w:val="24"/>
              </w:rPr>
              <w:t>（</w:t>
            </w:r>
            <w:r>
              <w:rPr>
                <w:rFonts w:ascii="Times New Roman" w:hAnsi="Times New Roman" w:eastAsia="Times New Roman" w:cs="Times New Roman"/>
                <w:spacing w:val="-5"/>
                <w:sz w:val="24"/>
                <w:szCs w:val="24"/>
              </w:rPr>
              <w:t>5</w:t>
            </w:r>
            <w:r>
              <w:rPr>
                <w:spacing w:val="-5"/>
                <w:sz w:val="24"/>
                <w:szCs w:val="24"/>
              </w:rPr>
              <w:t>）结论</w:t>
            </w:r>
          </w:p>
          <w:p w14:paraId="60948EB9">
            <w:pPr>
              <w:pStyle w:val="6"/>
              <w:spacing w:before="178" w:line="219" w:lineRule="auto"/>
              <w:ind w:left="594"/>
              <w:rPr>
                <w:sz w:val="24"/>
                <w:szCs w:val="24"/>
              </w:rPr>
            </w:pPr>
            <w:r>
              <w:rPr>
                <w:spacing w:val="-1"/>
                <w:sz w:val="24"/>
                <w:szCs w:val="24"/>
              </w:rPr>
              <w:t>本项目噪声产、排及污染防治措施情况详见下表。</w:t>
            </w:r>
          </w:p>
          <w:p w14:paraId="41DF73B1">
            <w:pPr>
              <w:pStyle w:val="6"/>
              <w:spacing w:before="179" w:line="228" w:lineRule="auto"/>
              <w:ind w:left="2525"/>
              <w:outlineLvl w:val="1"/>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4-4    </w:t>
            </w:r>
            <w:r>
              <w:rPr>
                <w:b/>
                <w:bCs/>
                <w:spacing w:val="6"/>
                <w:sz w:val="20"/>
                <w:szCs w:val="20"/>
              </w:rPr>
              <w:t>噪声产、排及污染防治措施表</w:t>
            </w:r>
          </w:p>
          <w:p w14:paraId="33B5BECC">
            <w:pPr>
              <w:spacing w:line="131" w:lineRule="exact"/>
            </w:pPr>
          </w:p>
          <w:tbl>
            <w:tblPr>
              <w:tblStyle w:val="5"/>
              <w:tblW w:w="831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043"/>
              <w:gridCol w:w="1041"/>
              <w:gridCol w:w="3102"/>
              <w:gridCol w:w="1274"/>
              <w:gridCol w:w="1219"/>
            </w:tblGrid>
            <w:tr w14:paraId="55266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637" w:type="dxa"/>
                  <w:textDirection w:val="tbRlV"/>
                  <w:vAlign w:val="top"/>
                </w:tcPr>
                <w:p w14:paraId="763AB4F6">
                  <w:pPr>
                    <w:pStyle w:val="6"/>
                    <w:spacing w:before="211" w:line="218" w:lineRule="auto"/>
                    <w:ind w:left="172"/>
                    <w:rPr>
                      <w:sz w:val="20"/>
                      <w:szCs w:val="20"/>
                    </w:rPr>
                  </w:pPr>
                  <w:r>
                    <w:rPr>
                      <w:spacing w:val="8"/>
                      <w:sz w:val="20"/>
                      <w:szCs w:val="20"/>
                    </w:rPr>
                    <w:t>序</w:t>
                  </w:r>
                  <w:r>
                    <w:rPr>
                      <w:spacing w:val="-38"/>
                      <w:sz w:val="20"/>
                      <w:szCs w:val="20"/>
                    </w:rPr>
                    <w:t xml:space="preserve"> </w:t>
                  </w:r>
                  <w:r>
                    <w:rPr>
                      <w:spacing w:val="8"/>
                      <w:sz w:val="20"/>
                      <w:szCs w:val="20"/>
                    </w:rPr>
                    <w:t>号</w:t>
                  </w:r>
                </w:p>
              </w:tc>
              <w:tc>
                <w:tcPr>
                  <w:tcW w:w="1043" w:type="dxa"/>
                  <w:vAlign w:val="top"/>
                </w:tcPr>
                <w:p w14:paraId="6E49083A">
                  <w:pPr>
                    <w:rPr>
                      <w:rFonts w:ascii="Arial"/>
                      <w:sz w:val="21"/>
                    </w:rPr>
                  </w:pPr>
                </w:p>
                <w:p w14:paraId="0BC5BCAF">
                  <w:pPr>
                    <w:pStyle w:val="6"/>
                    <w:spacing w:before="65" w:line="228" w:lineRule="auto"/>
                    <w:ind w:left="220"/>
                    <w:rPr>
                      <w:sz w:val="20"/>
                      <w:szCs w:val="20"/>
                    </w:rPr>
                  </w:pPr>
                  <w:r>
                    <w:rPr>
                      <w:spacing w:val="3"/>
                      <w:sz w:val="20"/>
                      <w:szCs w:val="20"/>
                    </w:rPr>
                    <w:t>噪声源</w:t>
                  </w:r>
                </w:p>
              </w:tc>
              <w:tc>
                <w:tcPr>
                  <w:tcW w:w="1041" w:type="dxa"/>
                  <w:vAlign w:val="top"/>
                </w:tcPr>
                <w:p w14:paraId="562FA5CC">
                  <w:pPr>
                    <w:pStyle w:val="6"/>
                    <w:spacing w:before="34" w:line="228" w:lineRule="auto"/>
                    <w:ind w:left="209"/>
                    <w:rPr>
                      <w:sz w:val="20"/>
                      <w:szCs w:val="20"/>
                    </w:rPr>
                  </w:pPr>
                  <w:r>
                    <w:rPr>
                      <w:spacing w:val="6"/>
                      <w:sz w:val="20"/>
                      <w:szCs w:val="20"/>
                    </w:rPr>
                    <w:t>产生强</w:t>
                  </w:r>
                </w:p>
                <w:p w14:paraId="03F0534C">
                  <w:pPr>
                    <w:pStyle w:val="6"/>
                    <w:spacing w:before="24" w:line="228" w:lineRule="auto"/>
                    <w:ind w:left="271"/>
                    <w:rPr>
                      <w:rFonts w:ascii="Times New Roman" w:hAnsi="Times New Roman" w:eastAsia="Times New Roman" w:cs="Times New Roman"/>
                      <w:sz w:val="20"/>
                      <w:szCs w:val="20"/>
                    </w:rPr>
                  </w:pPr>
                  <w:r>
                    <w:rPr>
                      <w:spacing w:val="6"/>
                      <w:sz w:val="20"/>
                      <w:szCs w:val="20"/>
                    </w:rPr>
                    <w:t>度</w:t>
                  </w:r>
                  <w:r>
                    <w:rPr>
                      <w:spacing w:val="-41"/>
                      <w:sz w:val="20"/>
                      <w:szCs w:val="20"/>
                    </w:rPr>
                    <w:t xml:space="preserve"> </w:t>
                  </w:r>
                  <w:r>
                    <w:rPr>
                      <w:rFonts w:ascii="Times New Roman" w:hAnsi="Times New Roman" w:eastAsia="Times New Roman" w:cs="Times New Roman"/>
                      <w:sz w:val="20"/>
                      <w:szCs w:val="20"/>
                    </w:rPr>
                    <w:t>dB</w:t>
                  </w:r>
                </w:p>
                <w:p w14:paraId="50BC0E35">
                  <w:pPr>
                    <w:pStyle w:val="6"/>
                    <w:spacing w:before="26" w:line="217" w:lineRule="auto"/>
                    <w:ind w:left="248"/>
                    <w:rPr>
                      <w:sz w:val="20"/>
                      <w:szCs w:val="20"/>
                    </w:rPr>
                  </w:pPr>
                  <w:r>
                    <w:rPr>
                      <w:spacing w:val="-1"/>
                      <w:sz w:val="20"/>
                      <w:szCs w:val="20"/>
                    </w:rPr>
                    <w:t>（</w:t>
                  </w:r>
                  <w:r>
                    <w:rPr>
                      <w:rFonts w:ascii="Times New Roman" w:hAnsi="Times New Roman" w:eastAsia="Times New Roman" w:cs="Times New Roman"/>
                      <w:spacing w:val="-1"/>
                      <w:sz w:val="20"/>
                      <w:szCs w:val="20"/>
                    </w:rPr>
                    <w:t>A</w:t>
                  </w:r>
                  <w:r>
                    <w:rPr>
                      <w:spacing w:val="-1"/>
                      <w:sz w:val="20"/>
                      <w:szCs w:val="20"/>
                    </w:rPr>
                    <w:t>）</w:t>
                  </w:r>
                </w:p>
              </w:tc>
              <w:tc>
                <w:tcPr>
                  <w:tcW w:w="3102" w:type="dxa"/>
                  <w:vAlign w:val="top"/>
                </w:tcPr>
                <w:p w14:paraId="2EE982EA">
                  <w:pPr>
                    <w:pStyle w:val="6"/>
                    <w:spacing w:before="306" w:line="228" w:lineRule="auto"/>
                    <w:ind w:left="1152"/>
                    <w:rPr>
                      <w:sz w:val="20"/>
                      <w:szCs w:val="20"/>
                    </w:rPr>
                  </w:pPr>
                  <w:r>
                    <w:rPr>
                      <w:spacing w:val="3"/>
                      <w:sz w:val="20"/>
                      <w:szCs w:val="20"/>
                    </w:rPr>
                    <w:t>降噪措施</w:t>
                  </w:r>
                </w:p>
              </w:tc>
              <w:tc>
                <w:tcPr>
                  <w:tcW w:w="1274" w:type="dxa"/>
                  <w:vAlign w:val="top"/>
                </w:tcPr>
                <w:p w14:paraId="4584C719">
                  <w:pPr>
                    <w:pStyle w:val="6"/>
                    <w:spacing w:before="171" w:line="258" w:lineRule="auto"/>
                    <w:ind w:left="233" w:right="213" w:hanging="10"/>
                    <w:rPr>
                      <w:sz w:val="20"/>
                      <w:szCs w:val="20"/>
                    </w:rPr>
                  </w:pPr>
                  <w:r>
                    <w:rPr>
                      <w:spacing w:val="8"/>
                      <w:sz w:val="20"/>
                      <w:szCs w:val="20"/>
                    </w:rPr>
                    <w:t>排放强度</w:t>
                  </w:r>
                  <w:r>
                    <w:rPr>
                      <w:sz w:val="20"/>
                      <w:szCs w:val="20"/>
                    </w:rPr>
                    <w:t xml:space="preserve"> </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c>
                <w:tcPr>
                  <w:tcW w:w="1219" w:type="dxa"/>
                  <w:vAlign w:val="top"/>
                </w:tcPr>
                <w:p w14:paraId="3EDFC63C">
                  <w:pPr>
                    <w:pStyle w:val="6"/>
                    <w:spacing w:before="306" w:line="227" w:lineRule="auto"/>
                    <w:ind w:left="197"/>
                    <w:rPr>
                      <w:sz w:val="20"/>
                      <w:szCs w:val="20"/>
                    </w:rPr>
                  </w:pPr>
                  <w:r>
                    <w:rPr>
                      <w:spacing w:val="6"/>
                      <w:sz w:val="20"/>
                      <w:szCs w:val="20"/>
                    </w:rPr>
                    <w:t>持续时间</w:t>
                  </w:r>
                </w:p>
              </w:tc>
            </w:tr>
            <w:tr w14:paraId="52DB9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637" w:type="dxa"/>
                  <w:vAlign w:val="top"/>
                </w:tcPr>
                <w:p w14:paraId="229ADA27">
                  <w:pPr>
                    <w:spacing w:line="281" w:lineRule="auto"/>
                    <w:rPr>
                      <w:rFonts w:ascii="Arial"/>
                      <w:sz w:val="21"/>
                    </w:rPr>
                  </w:pPr>
                </w:p>
                <w:p w14:paraId="50BCE835">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3" w:type="dxa"/>
                  <w:vAlign w:val="top"/>
                </w:tcPr>
                <w:p w14:paraId="61429F93">
                  <w:pPr>
                    <w:pStyle w:val="6"/>
                    <w:spacing w:before="167" w:line="228" w:lineRule="auto"/>
                    <w:ind w:left="212"/>
                    <w:rPr>
                      <w:sz w:val="20"/>
                      <w:szCs w:val="20"/>
                    </w:rPr>
                  </w:pPr>
                  <w:r>
                    <w:rPr>
                      <w:spacing w:val="6"/>
                      <w:sz w:val="20"/>
                      <w:szCs w:val="20"/>
                    </w:rPr>
                    <w:t>车辆行</w:t>
                  </w:r>
                </w:p>
                <w:p w14:paraId="09C6683C">
                  <w:pPr>
                    <w:pStyle w:val="6"/>
                    <w:spacing w:before="26" w:line="228" w:lineRule="auto"/>
                    <w:ind w:left="210"/>
                    <w:rPr>
                      <w:sz w:val="20"/>
                      <w:szCs w:val="20"/>
                    </w:rPr>
                  </w:pPr>
                  <w:r>
                    <w:rPr>
                      <w:spacing w:val="6"/>
                      <w:sz w:val="20"/>
                      <w:szCs w:val="20"/>
                    </w:rPr>
                    <w:t>驶噪声</w:t>
                  </w:r>
                </w:p>
              </w:tc>
              <w:tc>
                <w:tcPr>
                  <w:tcW w:w="1041" w:type="dxa"/>
                  <w:vAlign w:val="top"/>
                </w:tcPr>
                <w:p w14:paraId="240261F5">
                  <w:pPr>
                    <w:spacing w:line="281" w:lineRule="auto"/>
                    <w:rPr>
                      <w:rFonts w:ascii="Arial"/>
                      <w:sz w:val="21"/>
                    </w:rPr>
                  </w:pPr>
                </w:p>
                <w:p w14:paraId="79EC3772">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65~75</w:t>
                  </w:r>
                </w:p>
              </w:tc>
              <w:tc>
                <w:tcPr>
                  <w:tcW w:w="3102" w:type="dxa"/>
                  <w:vAlign w:val="top"/>
                </w:tcPr>
                <w:p w14:paraId="782425BC">
                  <w:pPr>
                    <w:pStyle w:val="6"/>
                    <w:spacing w:before="33" w:line="239" w:lineRule="auto"/>
                    <w:ind w:left="191" w:right="106" w:hanging="80"/>
                    <w:jc w:val="both"/>
                    <w:rPr>
                      <w:sz w:val="20"/>
                      <w:szCs w:val="20"/>
                    </w:rPr>
                  </w:pPr>
                  <w:r>
                    <w:rPr>
                      <w:spacing w:val="5"/>
                      <w:sz w:val="20"/>
                      <w:szCs w:val="20"/>
                    </w:rPr>
                    <w:t>推荐使用合格的运输车辆、限制</w:t>
                  </w:r>
                  <w:r>
                    <w:rPr>
                      <w:spacing w:val="8"/>
                      <w:sz w:val="20"/>
                      <w:szCs w:val="20"/>
                    </w:rPr>
                    <w:t xml:space="preserve"> </w:t>
                  </w:r>
                  <w:r>
                    <w:rPr>
                      <w:spacing w:val="9"/>
                      <w:sz w:val="20"/>
                      <w:szCs w:val="20"/>
                    </w:rPr>
                    <w:t>车辆行驶速度、停车场禁止鸣</w:t>
                  </w:r>
                  <w:r>
                    <w:rPr>
                      <w:spacing w:val="1"/>
                      <w:sz w:val="20"/>
                      <w:szCs w:val="20"/>
                    </w:rPr>
                    <w:t xml:space="preserve"> </w:t>
                  </w:r>
                  <w:r>
                    <w:rPr>
                      <w:spacing w:val="9"/>
                      <w:sz w:val="20"/>
                      <w:szCs w:val="20"/>
                    </w:rPr>
                    <w:t>笛、通过围墙及绿化带等隔声</w:t>
                  </w:r>
                </w:p>
              </w:tc>
              <w:tc>
                <w:tcPr>
                  <w:tcW w:w="1274" w:type="dxa"/>
                  <w:vAlign w:val="top"/>
                </w:tcPr>
                <w:p w14:paraId="7C459A93">
                  <w:pPr>
                    <w:spacing w:line="281" w:lineRule="auto"/>
                    <w:rPr>
                      <w:rFonts w:ascii="Arial"/>
                      <w:sz w:val="21"/>
                    </w:rPr>
                  </w:pPr>
                </w:p>
                <w:p w14:paraId="7B447FB1">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33.61~34.89</w:t>
                  </w:r>
                </w:p>
              </w:tc>
              <w:tc>
                <w:tcPr>
                  <w:tcW w:w="1219" w:type="dxa"/>
                  <w:vAlign w:val="top"/>
                </w:tcPr>
                <w:p w14:paraId="51A693E8">
                  <w:pPr>
                    <w:pStyle w:val="6"/>
                    <w:spacing w:before="168" w:line="225" w:lineRule="auto"/>
                    <w:ind w:left="111"/>
                    <w:rPr>
                      <w:sz w:val="20"/>
                      <w:szCs w:val="20"/>
                    </w:rPr>
                  </w:pPr>
                  <w:r>
                    <w:rPr>
                      <w:rFonts w:ascii="Times New Roman" w:hAnsi="Times New Roman" w:eastAsia="Times New Roman" w:cs="Times New Roman"/>
                      <w:spacing w:val="-12"/>
                      <w:sz w:val="20"/>
                      <w:szCs w:val="20"/>
                    </w:rPr>
                    <w:t>24</w:t>
                  </w:r>
                  <w:r>
                    <w:rPr>
                      <w:rFonts w:ascii="Times New Roman" w:hAnsi="Times New Roman" w:eastAsia="Times New Roman" w:cs="Times New Roman"/>
                      <w:spacing w:val="18"/>
                      <w:w w:val="101"/>
                      <w:sz w:val="20"/>
                      <w:szCs w:val="20"/>
                    </w:rPr>
                    <w:t xml:space="preserve"> </w:t>
                  </w:r>
                  <w:r>
                    <w:rPr>
                      <w:spacing w:val="-12"/>
                      <w:sz w:val="20"/>
                      <w:szCs w:val="20"/>
                    </w:rPr>
                    <w:t>小时，具</w:t>
                  </w:r>
                </w:p>
                <w:p w14:paraId="6F0F69DD">
                  <w:pPr>
                    <w:pStyle w:val="6"/>
                    <w:spacing w:before="28" w:line="228" w:lineRule="auto"/>
                    <w:ind w:left="195"/>
                    <w:rPr>
                      <w:sz w:val="20"/>
                      <w:szCs w:val="20"/>
                    </w:rPr>
                  </w:pPr>
                  <w:r>
                    <w:rPr>
                      <w:spacing w:val="7"/>
                      <w:sz w:val="20"/>
                      <w:szCs w:val="20"/>
                    </w:rPr>
                    <w:t>有间歇性</w:t>
                  </w:r>
                </w:p>
              </w:tc>
            </w:tr>
            <w:tr w14:paraId="2FC35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37" w:type="dxa"/>
                  <w:vAlign w:val="top"/>
                </w:tcPr>
                <w:p w14:paraId="4EA4415F">
                  <w:pPr>
                    <w:spacing w:before="20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43" w:type="dxa"/>
                  <w:vAlign w:val="top"/>
                </w:tcPr>
                <w:p w14:paraId="551CB797">
                  <w:pPr>
                    <w:pStyle w:val="6"/>
                    <w:spacing w:before="33" w:line="229" w:lineRule="auto"/>
                    <w:ind w:left="214"/>
                    <w:rPr>
                      <w:sz w:val="20"/>
                      <w:szCs w:val="20"/>
                    </w:rPr>
                  </w:pPr>
                  <w:r>
                    <w:rPr>
                      <w:spacing w:val="5"/>
                      <w:sz w:val="20"/>
                      <w:szCs w:val="20"/>
                    </w:rPr>
                    <w:t>设备噪</w:t>
                  </w:r>
                </w:p>
                <w:p w14:paraId="603828DA">
                  <w:pPr>
                    <w:pStyle w:val="6"/>
                    <w:spacing w:before="25" w:line="216" w:lineRule="auto"/>
                    <w:ind w:left="423"/>
                    <w:rPr>
                      <w:sz w:val="20"/>
                      <w:szCs w:val="20"/>
                    </w:rPr>
                  </w:pPr>
                  <w:r>
                    <w:rPr>
                      <w:sz w:val="20"/>
                      <w:szCs w:val="20"/>
                    </w:rPr>
                    <w:t>声</w:t>
                  </w:r>
                </w:p>
              </w:tc>
              <w:tc>
                <w:tcPr>
                  <w:tcW w:w="1041" w:type="dxa"/>
                  <w:vAlign w:val="top"/>
                </w:tcPr>
                <w:p w14:paraId="64A37F9F">
                  <w:pPr>
                    <w:spacing w:before="20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60~70</w:t>
                  </w:r>
                </w:p>
              </w:tc>
              <w:tc>
                <w:tcPr>
                  <w:tcW w:w="3102" w:type="dxa"/>
                  <w:vAlign w:val="top"/>
                </w:tcPr>
                <w:p w14:paraId="4155C282">
                  <w:pPr>
                    <w:pStyle w:val="6"/>
                    <w:spacing w:before="32" w:line="235" w:lineRule="auto"/>
                    <w:ind w:left="507" w:right="106" w:hanging="395"/>
                    <w:rPr>
                      <w:sz w:val="20"/>
                      <w:szCs w:val="20"/>
                    </w:rPr>
                  </w:pPr>
                  <w:r>
                    <w:rPr>
                      <w:spacing w:val="5"/>
                      <w:sz w:val="20"/>
                      <w:szCs w:val="20"/>
                    </w:rPr>
                    <w:t>使用低噪声设备、定期进行设备</w:t>
                  </w:r>
                  <w:r>
                    <w:rPr>
                      <w:spacing w:val="7"/>
                      <w:sz w:val="20"/>
                      <w:szCs w:val="20"/>
                    </w:rPr>
                    <w:t xml:space="preserve"> </w:t>
                  </w:r>
                  <w:r>
                    <w:rPr>
                      <w:spacing w:val="8"/>
                      <w:sz w:val="20"/>
                      <w:szCs w:val="20"/>
                    </w:rPr>
                    <w:t>检查、厂房及围墙隔音</w:t>
                  </w:r>
                </w:p>
              </w:tc>
              <w:tc>
                <w:tcPr>
                  <w:tcW w:w="1274" w:type="dxa"/>
                  <w:vAlign w:val="top"/>
                </w:tcPr>
                <w:p w14:paraId="4CBB8182">
                  <w:pPr>
                    <w:spacing w:before="20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21.36~22.43</w:t>
                  </w:r>
                </w:p>
              </w:tc>
              <w:tc>
                <w:tcPr>
                  <w:tcW w:w="1219" w:type="dxa"/>
                  <w:vAlign w:val="top"/>
                </w:tcPr>
                <w:p w14:paraId="0B0D35BC">
                  <w:pPr>
                    <w:pStyle w:val="6"/>
                    <w:spacing w:before="34" w:line="225" w:lineRule="auto"/>
                    <w:ind w:left="120"/>
                    <w:rPr>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18"/>
                      <w:sz w:val="20"/>
                      <w:szCs w:val="20"/>
                    </w:rPr>
                    <w:t xml:space="preserve"> </w:t>
                  </w:r>
                  <w:r>
                    <w:rPr>
                      <w:spacing w:val="3"/>
                      <w:sz w:val="20"/>
                      <w:szCs w:val="20"/>
                    </w:rPr>
                    <w:t>小时，具</w:t>
                  </w:r>
                </w:p>
                <w:p w14:paraId="44C0BB08">
                  <w:pPr>
                    <w:pStyle w:val="6"/>
                    <w:spacing w:before="29" w:line="216" w:lineRule="auto"/>
                    <w:ind w:left="195"/>
                    <w:rPr>
                      <w:sz w:val="20"/>
                      <w:szCs w:val="20"/>
                    </w:rPr>
                  </w:pPr>
                  <w:r>
                    <w:rPr>
                      <w:spacing w:val="7"/>
                      <w:sz w:val="20"/>
                      <w:szCs w:val="20"/>
                    </w:rPr>
                    <w:t>有间歇性</w:t>
                  </w:r>
                </w:p>
              </w:tc>
            </w:tr>
          </w:tbl>
          <w:p w14:paraId="778A2E90">
            <w:pPr>
              <w:pStyle w:val="6"/>
              <w:spacing w:before="192" w:line="359" w:lineRule="auto"/>
              <w:ind w:left="118" w:right="79" w:firstLine="478"/>
              <w:jc w:val="both"/>
              <w:rPr>
                <w:sz w:val="24"/>
                <w:szCs w:val="24"/>
              </w:rPr>
            </w:pPr>
            <w:r>
              <w:rPr>
                <w:spacing w:val="-3"/>
                <w:sz w:val="24"/>
                <w:szCs w:val="24"/>
              </w:rPr>
              <w:t>综上所述，本项目位于工业园区内，周边主要为其他工业企业或空地，没有</w:t>
            </w:r>
            <w:r>
              <w:rPr>
                <w:spacing w:val="11"/>
                <w:sz w:val="24"/>
                <w:szCs w:val="24"/>
              </w:rPr>
              <w:t xml:space="preserve"> </w:t>
            </w:r>
            <w:r>
              <w:rPr>
                <w:spacing w:val="-3"/>
                <w:sz w:val="24"/>
                <w:szCs w:val="24"/>
              </w:rPr>
              <w:t>声环境敏感点，在采取上述建议措施后，厂界噪声可以满足《工业企业厂界环境</w:t>
            </w:r>
            <w:r>
              <w:rPr>
                <w:spacing w:val="15"/>
                <w:sz w:val="24"/>
                <w:szCs w:val="24"/>
              </w:rPr>
              <w:t xml:space="preserve"> </w:t>
            </w:r>
            <w:r>
              <w:rPr>
                <w:spacing w:val="-1"/>
                <w:sz w:val="24"/>
                <w:szCs w:val="24"/>
              </w:rPr>
              <w:t>噪声排放标准》（</w:t>
            </w:r>
            <w:r>
              <w:rPr>
                <w:rFonts w:ascii="Times New Roman" w:hAnsi="Times New Roman" w:eastAsia="Times New Roman" w:cs="Times New Roman"/>
                <w:spacing w:val="-1"/>
                <w:sz w:val="24"/>
                <w:szCs w:val="24"/>
              </w:rPr>
              <w:t>GB12348-2008</w:t>
            </w:r>
            <w:r>
              <w:rPr>
                <w:spacing w:val="-1"/>
                <w:sz w:val="24"/>
                <w:szCs w:val="24"/>
              </w:rPr>
              <w:t>）</w:t>
            </w:r>
            <w:r>
              <w:rPr>
                <w:rFonts w:ascii="Times New Roman" w:hAnsi="Times New Roman" w:eastAsia="Times New Roman" w:cs="Times New Roman"/>
                <w:spacing w:val="-1"/>
                <w:sz w:val="24"/>
                <w:szCs w:val="24"/>
              </w:rPr>
              <w:t xml:space="preserve">3 </w:t>
            </w:r>
            <w:r>
              <w:rPr>
                <w:spacing w:val="-1"/>
                <w:sz w:val="24"/>
                <w:szCs w:val="24"/>
              </w:rPr>
              <w:t>类标准，项</w:t>
            </w:r>
            <w:r>
              <w:rPr>
                <w:spacing w:val="-2"/>
                <w:sz w:val="24"/>
                <w:szCs w:val="24"/>
              </w:rPr>
              <w:t>目运营对周围声环境影响较小。</w:t>
            </w:r>
          </w:p>
          <w:p w14:paraId="72C3E78A">
            <w:pPr>
              <w:pStyle w:val="6"/>
              <w:spacing w:before="1" w:line="220" w:lineRule="auto"/>
              <w:ind w:left="109"/>
              <w:outlineLvl w:val="1"/>
              <w:rPr>
                <w:sz w:val="24"/>
                <w:szCs w:val="24"/>
              </w:rPr>
            </w:pPr>
            <w:r>
              <w:rPr>
                <w:rFonts w:ascii="Times New Roman" w:hAnsi="Times New Roman" w:eastAsia="Times New Roman" w:cs="Times New Roman"/>
                <w:b/>
                <w:bCs/>
                <w:spacing w:val="-4"/>
                <w:sz w:val="24"/>
                <w:szCs w:val="24"/>
              </w:rPr>
              <w:t>4</w:t>
            </w:r>
            <w:r>
              <w:rPr>
                <w:rFonts w:ascii="Times New Roman" w:hAnsi="Times New Roman" w:eastAsia="Times New Roman" w:cs="Times New Roman"/>
                <w:b/>
                <w:bCs/>
                <w:spacing w:val="-23"/>
                <w:sz w:val="24"/>
                <w:szCs w:val="24"/>
              </w:rPr>
              <w:t xml:space="preserve"> </w:t>
            </w:r>
            <w:r>
              <w:rPr>
                <w:b/>
                <w:bCs/>
                <w:spacing w:val="-4"/>
                <w:sz w:val="24"/>
                <w:szCs w:val="24"/>
              </w:rPr>
              <w:t>、固体废物环境影响分析及环境保护措施</w:t>
            </w:r>
          </w:p>
          <w:p w14:paraId="6E7F1A47">
            <w:pPr>
              <w:pStyle w:val="6"/>
              <w:spacing w:before="179" w:line="359" w:lineRule="auto"/>
              <w:ind w:left="116" w:right="106" w:firstLine="478"/>
              <w:rPr>
                <w:sz w:val="24"/>
                <w:szCs w:val="24"/>
              </w:rPr>
            </w:pPr>
            <w:r>
              <w:rPr>
                <w:spacing w:val="-3"/>
                <w:sz w:val="24"/>
                <w:szCs w:val="24"/>
              </w:rPr>
              <w:t>本项目运营产生的固体废物主要为生活垃圾、车辆废弃零件，危险废物主要</w:t>
            </w:r>
            <w:r>
              <w:rPr>
                <w:spacing w:val="13"/>
                <w:sz w:val="24"/>
                <w:szCs w:val="24"/>
              </w:rPr>
              <w:t xml:space="preserve"> </w:t>
            </w:r>
            <w:r>
              <w:rPr>
                <w:spacing w:val="-1"/>
                <w:sz w:val="24"/>
                <w:szCs w:val="24"/>
              </w:rPr>
              <w:t>为废机油、废手套、废油桶、含油废抹布、污泥、浮渣和沉渣等。</w:t>
            </w:r>
          </w:p>
          <w:p w14:paraId="36BB38F8">
            <w:pPr>
              <w:pStyle w:val="6"/>
              <w:spacing w:line="220"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）生活垃圾</w:t>
            </w:r>
          </w:p>
          <w:p w14:paraId="78B58B06">
            <w:pPr>
              <w:pStyle w:val="6"/>
              <w:spacing w:before="182" w:line="352" w:lineRule="auto"/>
              <w:ind w:left="118" w:right="44" w:firstLine="476"/>
              <w:rPr>
                <w:sz w:val="24"/>
                <w:szCs w:val="24"/>
              </w:rPr>
            </w:pPr>
            <w:r>
              <w:rPr>
                <w:spacing w:val="-4"/>
                <w:sz w:val="24"/>
                <w:szCs w:val="24"/>
              </w:rPr>
              <w:t>本项目劳动定员为</w:t>
            </w:r>
            <w:r>
              <w:rPr>
                <w:spacing w:val="-47"/>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人，年工作日为</w:t>
            </w:r>
            <w:r>
              <w:rPr>
                <w:spacing w:val="-51"/>
                <w:sz w:val="24"/>
                <w:szCs w:val="24"/>
              </w:rPr>
              <w:t xml:space="preserve"> </w:t>
            </w:r>
            <w:r>
              <w:rPr>
                <w:rFonts w:ascii="Times New Roman" w:hAnsi="Times New Roman" w:eastAsia="Times New Roman" w:cs="Times New Roman"/>
                <w:spacing w:val="-4"/>
                <w:sz w:val="24"/>
                <w:szCs w:val="24"/>
              </w:rPr>
              <w:t>365</w:t>
            </w:r>
            <w:r>
              <w:rPr>
                <w:rFonts w:ascii="Times New Roman" w:hAnsi="Times New Roman" w:eastAsia="Times New Roman" w:cs="Times New Roman"/>
                <w:spacing w:val="15"/>
                <w:sz w:val="24"/>
                <w:szCs w:val="24"/>
              </w:rPr>
              <w:t xml:space="preserve"> </w:t>
            </w:r>
            <w:r>
              <w:rPr>
                <w:spacing w:val="-4"/>
                <w:sz w:val="24"/>
                <w:szCs w:val="24"/>
              </w:rPr>
              <w:t>天，生活垃圾按每人</w:t>
            </w:r>
            <w:r>
              <w:rPr>
                <w:spacing w:val="-32"/>
                <w:sz w:val="24"/>
                <w:szCs w:val="24"/>
              </w:rPr>
              <w:t xml:space="preserve"> </w:t>
            </w:r>
            <w:r>
              <w:rPr>
                <w:rFonts w:ascii="Times New Roman" w:hAnsi="Times New Roman" w:eastAsia="Times New Roman" w:cs="Times New Roman"/>
                <w:spacing w:val="-4"/>
                <w:sz w:val="24"/>
                <w:szCs w:val="24"/>
              </w:rPr>
              <w:t xml:space="preserve">1kg/d </w:t>
            </w:r>
            <w:r>
              <w:rPr>
                <w:spacing w:val="-4"/>
                <w:sz w:val="24"/>
                <w:szCs w:val="24"/>
              </w:rPr>
              <w:t>计算，</w:t>
            </w:r>
            <w:r>
              <w:rPr>
                <w:sz w:val="24"/>
                <w:szCs w:val="24"/>
              </w:rPr>
              <w:t xml:space="preserve"> </w:t>
            </w:r>
            <w:r>
              <w:rPr>
                <w:spacing w:val="-2"/>
                <w:sz w:val="24"/>
                <w:szCs w:val="24"/>
              </w:rPr>
              <w:t>则项目生活垃圾产生量为</w:t>
            </w:r>
            <w:r>
              <w:rPr>
                <w:spacing w:val="-32"/>
                <w:sz w:val="24"/>
                <w:szCs w:val="24"/>
              </w:rPr>
              <w:t xml:space="preserve"> </w:t>
            </w:r>
            <w:r>
              <w:rPr>
                <w:rFonts w:ascii="Times New Roman" w:hAnsi="Times New Roman" w:eastAsia="Times New Roman" w:cs="Times New Roman"/>
                <w:spacing w:val="-2"/>
                <w:sz w:val="24"/>
                <w:szCs w:val="24"/>
              </w:rPr>
              <w:t>10.95t/a</w:t>
            </w:r>
            <w:r>
              <w:rPr>
                <w:rFonts w:ascii="Times New Roman" w:hAnsi="Times New Roman" w:eastAsia="Times New Roman" w:cs="Times New Roman"/>
                <w:spacing w:val="-34"/>
                <w:sz w:val="24"/>
                <w:szCs w:val="24"/>
              </w:rPr>
              <w:t xml:space="preserve"> </w:t>
            </w:r>
            <w:r>
              <w:rPr>
                <w:spacing w:val="-2"/>
                <w:sz w:val="24"/>
                <w:szCs w:val="24"/>
              </w:rPr>
              <w:t>，由环卫部门统一</w:t>
            </w:r>
            <w:r>
              <w:rPr>
                <w:spacing w:val="-3"/>
                <w:sz w:val="24"/>
                <w:szCs w:val="24"/>
              </w:rPr>
              <w:t>收集并处置。</w:t>
            </w:r>
          </w:p>
          <w:p w14:paraId="516C2D37">
            <w:pPr>
              <w:pStyle w:val="6"/>
              <w:spacing w:before="18" w:line="216" w:lineRule="auto"/>
              <w:ind w:left="60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）车辆废弃零件</w:t>
            </w:r>
          </w:p>
          <w:p w14:paraId="0D27F128">
            <w:pPr>
              <w:pStyle w:val="6"/>
              <w:spacing w:before="187" w:line="359" w:lineRule="auto"/>
              <w:ind w:left="112" w:right="44" w:firstLine="481"/>
              <w:rPr>
                <w:sz w:val="24"/>
                <w:szCs w:val="24"/>
              </w:rPr>
            </w:pPr>
            <w:r>
              <w:rPr>
                <w:spacing w:val="-8"/>
                <w:sz w:val="24"/>
                <w:szCs w:val="24"/>
              </w:rPr>
              <w:t>本项目设有维修车间，对有需要的车辆进行换机油、换轮胎等简单维修服务，</w:t>
            </w:r>
            <w:r>
              <w:rPr>
                <w:spacing w:val="7"/>
                <w:sz w:val="24"/>
                <w:szCs w:val="24"/>
              </w:rPr>
              <w:t xml:space="preserve"> </w:t>
            </w:r>
            <w:r>
              <w:rPr>
                <w:spacing w:val="-2"/>
                <w:sz w:val="24"/>
                <w:szCs w:val="24"/>
              </w:rPr>
              <w:t>在车辆保养更换零件工序和维修过程会产生废零</w:t>
            </w:r>
            <w:r>
              <w:rPr>
                <w:spacing w:val="-3"/>
                <w:sz w:val="24"/>
                <w:szCs w:val="24"/>
              </w:rPr>
              <w:t>部件、废轮胎等废配件。根据同</w:t>
            </w:r>
            <w:r>
              <w:rPr>
                <w:sz w:val="24"/>
                <w:szCs w:val="24"/>
              </w:rPr>
              <w:t xml:space="preserve"> </w:t>
            </w:r>
            <w:r>
              <w:rPr>
                <w:spacing w:val="-2"/>
                <w:sz w:val="24"/>
                <w:szCs w:val="24"/>
              </w:rPr>
              <w:t>类型项目运营数据，废弃零件产生量约为</w:t>
            </w:r>
            <w:r>
              <w:rPr>
                <w:spacing w:val="-28"/>
                <w:sz w:val="24"/>
                <w:szCs w:val="24"/>
              </w:rPr>
              <w:t xml:space="preserve"> </w:t>
            </w:r>
            <w:r>
              <w:rPr>
                <w:rFonts w:ascii="Times New Roman" w:hAnsi="Times New Roman" w:eastAsia="Times New Roman" w:cs="Times New Roman"/>
                <w:spacing w:val="-2"/>
                <w:sz w:val="24"/>
                <w:szCs w:val="24"/>
              </w:rPr>
              <w:t>15t/a</w:t>
            </w:r>
            <w:r>
              <w:rPr>
                <w:rFonts w:ascii="Times New Roman" w:hAnsi="Times New Roman" w:eastAsia="Times New Roman" w:cs="Times New Roman"/>
                <w:spacing w:val="-34"/>
                <w:sz w:val="24"/>
                <w:szCs w:val="24"/>
              </w:rPr>
              <w:t xml:space="preserve"> </w:t>
            </w:r>
            <w:r>
              <w:rPr>
                <w:spacing w:val="-2"/>
                <w:sz w:val="24"/>
                <w:szCs w:val="24"/>
              </w:rPr>
              <w:t>，经收集后外售综合利用。</w:t>
            </w:r>
          </w:p>
          <w:p w14:paraId="1E68FC2F">
            <w:pPr>
              <w:pStyle w:val="6"/>
              <w:spacing w:before="1" w:line="217" w:lineRule="auto"/>
              <w:ind w:left="604"/>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）废机油、废手套、废油桶、含油废抹布</w:t>
            </w:r>
          </w:p>
          <w:p w14:paraId="61B77C9A">
            <w:pPr>
              <w:pStyle w:val="6"/>
              <w:spacing w:before="184" w:line="219" w:lineRule="auto"/>
              <w:jc w:val="right"/>
              <w:rPr>
                <w:sz w:val="24"/>
                <w:szCs w:val="24"/>
              </w:rPr>
            </w:pPr>
            <w:r>
              <w:rPr>
                <w:spacing w:val="-8"/>
                <w:sz w:val="24"/>
                <w:szCs w:val="24"/>
              </w:rPr>
              <w:t>本项目设有维修车间，对有需要的车辆进行换机油、换轮胎等简单维修服务，</w:t>
            </w:r>
          </w:p>
        </w:tc>
      </w:tr>
    </w:tbl>
    <w:p w14:paraId="581804DF">
      <w:pPr>
        <w:pStyle w:val="2"/>
      </w:pPr>
    </w:p>
    <w:p w14:paraId="6B3BF524">
      <w:pPr>
        <w:sectPr>
          <w:footerReference r:id="rId75" w:type="default"/>
          <w:pgSz w:w="11906" w:h="16839"/>
          <w:pgMar w:top="400" w:right="1445" w:bottom="1259" w:left="1543" w:header="0" w:footer="1097" w:gutter="0"/>
          <w:cols w:space="720" w:num="1"/>
        </w:sectPr>
      </w:pPr>
    </w:p>
    <w:p w14:paraId="1045446A">
      <w:pPr>
        <w:spacing w:before="19"/>
      </w:pPr>
    </w:p>
    <w:p w14:paraId="35C63FCD">
      <w:pPr>
        <w:spacing w:before="19"/>
      </w:pPr>
    </w:p>
    <w:p w14:paraId="0A2E8315">
      <w:pPr>
        <w:spacing w:before="18"/>
      </w:pPr>
    </w:p>
    <w:p w14:paraId="29E1AC33">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8830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50A10E30">
            <w:pPr>
              <w:rPr>
                <w:rFonts w:ascii="Arial"/>
                <w:sz w:val="21"/>
              </w:rPr>
            </w:pPr>
          </w:p>
        </w:tc>
        <w:tc>
          <w:tcPr>
            <w:tcW w:w="8541" w:type="dxa"/>
            <w:vAlign w:val="top"/>
          </w:tcPr>
          <w:p w14:paraId="471946B1">
            <w:pPr>
              <w:pStyle w:val="6"/>
              <w:spacing w:before="42" w:line="359" w:lineRule="auto"/>
              <w:ind w:left="112"/>
              <w:jc w:val="both"/>
              <w:rPr>
                <w:sz w:val="24"/>
                <w:szCs w:val="24"/>
              </w:rPr>
            </w:pPr>
            <w:r>
              <w:rPr>
                <w:spacing w:val="-3"/>
                <w:sz w:val="24"/>
                <w:szCs w:val="24"/>
              </w:rPr>
              <w:t>在车辆维修过程中会产生少量的废机油、废油桶、废手套、含油废抹布。根据同</w:t>
            </w:r>
            <w:r>
              <w:rPr>
                <w:spacing w:val="6"/>
                <w:sz w:val="24"/>
                <w:szCs w:val="24"/>
              </w:rPr>
              <w:t xml:space="preserve">  </w:t>
            </w:r>
            <w:r>
              <w:rPr>
                <w:spacing w:val="-1"/>
                <w:sz w:val="24"/>
                <w:szCs w:val="24"/>
              </w:rPr>
              <w:t>类型项目运营数据，废机油产生量约为</w:t>
            </w:r>
            <w:r>
              <w:rPr>
                <w:spacing w:val="-51"/>
                <w:sz w:val="24"/>
                <w:szCs w:val="24"/>
              </w:rPr>
              <w:t xml:space="preserve"> </w:t>
            </w:r>
            <w:r>
              <w:rPr>
                <w:rFonts w:ascii="Times New Roman" w:hAnsi="Times New Roman" w:eastAsia="Times New Roman" w:cs="Times New Roman"/>
                <w:spacing w:val="-1"/>
                <w:sz w:val="24"/>
                <w:szCs w:val="24"/>
              </w:rPr>
              <w:t>0.2t/a</w:t>
            </w:r>
            <w:r>
              <w:rPr>
                <w:rFonts w:ascii="Times New Roman" w:hAnsi="Times New Roman" w:eastAsia="Times New Roman" w:cs="Times New Roman"/>
                <w:spacing w:val="-29"/>
                <w:sz w:val="24"/>
                <w:szCs w:val="24"/>
              </w:rPr>
              <w:t xml:space="preserve"> </w:t>
            </w:r>
            <w:r>
              <w:rPr>
                <w:spacing w:val="-1"/>
                <w:sz w:val="24"/>
                <w:szCs w:val="24"/>
              </w:rPr>
              <w:t>，废手套产生量</w:t>
            </w:r>
            <w:r>
              <w:rPr>
                <w:spacing w:val="-2"/>
                <w:sz w:val="24"/>
                <w:szCs w:val="24"/>
              </w:rPr>
              <w:t>约为</w:t>
            </w:r>
            <w:r>
              <w:rPr>
                <w:spacing w:val="-49"/>
                <w:sz w:val="24"/>
                <w:szCs w:val="24"/>
              </w:rPr>
              <w:t xml:space="preserve"> </w:t>
            </w:r>
            <w:r>
              <w:rPr>
                <w:rFonts w:ascii="Times New Roman" w:hAnsi="Times New Roman" w:eastAsia="Times New Roman" w:cs="Times New Roman"/>
                <w:spacing w:val="-2"/>
                <w:sz w:val="24"/>
                <w:szCs w:val="24"/>
              </w:rPr>
              <w:t>0.02t/a</w:t>
            </w:r>
            <w:r>
              <w:rPr>
                <w:rFonts w:ascii="Times New Roman" w:hAnsi="Times New Roman" w:eastAsia="Times New Roman" w:cs="Times New Roman"/>
                <w:spacing w:val="-32"/>
                <w:sz w:val="24"/>
                <w:szCs w:val="24"/>
              </w:rPr>
              <w:t xml:space="preserve"> </w:t>
            </w:r>
            <w:r>
              <w:rPr>
                <w:spacing w:val="-2"/>
                <w:sz w:val="24"/>
                <w:szCs w:val="24"/>
              </w:rPr>
              <w:t>，含油</w:t>
            </w:r>
            <w:r>
              <w:rPr>
                <w:sz w:val="24"/>
                <w:szCs w:val="24"/>
              </w:rPr>
              <w:t xml:space="preserve">  </w:t>
            </w:r>
            <w:r>
              <w:rPr>
                <w:spacing w:val="-6"/>
                <w:sz w:val="24"/>
                <w:szCs w:val="24"/>
              </w:rPr>
              <w:t>废抹布产生量约为</w:t>
            </w:r>
            <w:r>
              <w:rPr>
                <w:spacing w:val="-52"/>
                <w:sz w:val="24"/>
                <w:szCs w:val="24"/>
              </w:rPr>
              <w:t xml:space="preserve"> </w:t>
            </w:r>
            <w:r>
              <w:rPr>
                <w:rFonts w:ascii="Times New Roman" w:hAnsi="Times New Roman" w:eastAsia="Times New Roman" w:cs="Times New Roman"/>
                <w:spacing w:val="-6"/>
                <w:sz w:val="24"/>
                <w:szCs w:val="24"/>
              </w:rPr>
              <w:t>0.05t/a</w:t>
            </w:r>
            <w:r>
              <w:rPr>
                <w:spacing w:val="-6"/>
                <w:sz w:val="24"/>
                <w:szCs w:val="24"/>
              </w:rPr>
              <w:t>，废油桶产生量约为</w:t>
            </w:r>
            <w:r>
              <w:rPr>
                <w:spacing w:val="-32"/>
                <w:sz w:val="24"/>
                <w:szCs w:val="24"/>
              </w:rPr>
              <w:t xml:space="preserve"> </w:t>
            </w:r>
            <w:r>
              <w:rPr>
                <w:rFonts w:ascii="Times New Roman" w:hAnsi="Times New Roman" w:eastAsia="Times New Roman" w:cs="Times New Roman"/>
                <w:spacing w:val="-6"/>
                <w:sz w:val="24"/>
                <w:szCs w:val="24"/>
              </w:rPr>
              <w:t xml:space="preserve">12 </w:t>
            </w:r>
            <w:r>
              <w:rPr>
                <w:spacing w:val="-6"/>
                <w:sz w:val="24"/>
                <w:szCs w:val="24"/>
              </w:rPr>
              <w:t>个。维修产生的废机油属</w:t>
            </w:r>
            <w:r>
              <w:rPr>
                <w:spacing w:val="-7"/>
                <w:sz w:val="24"/>
                <w:szCs w:val="24"/>
              </w:rPr>
              <w:t>于《国</w:t>
            </w:r>
            <w:r>
              <w:rPr>
                <w:sz w:val="24"/>
                <w:szCs w:val="24"/>
              </w:rPr>
              <w:t xml:space="preserve">  </w:t>
            </w:r>
            <w:r>
              <w:rPr>
                <w:spacing w:val="-3"/>
                <w:sz w:val="24"/>
                <w:szCs w:val="24"/>
              </w:rPr>
              <w:t>家危险废物名录（</w:t>
            </w:r>
            <w:r>
              <w:rPr>
                <w:rFonts w:ascii="Times New Roman" w:hAnsi="Times New Roman" w:eastAsia="Times New Roman" w:cs="Times New Roman"/>
                <w:spacing w:val="-3"/>
                <w:sz w:val="24"/>
                <w:szCs w:val="24"/>
              </w:rPr>
              <w:t xml:space="preserve">2025 </w:t>
            </w:r>
            <w:r>
              <w:rPr>
                <w:spacing w:val="-3"/>
                <w:sz w:val="24"/>
                <w:szCs w:val="24"/>
              </w:rPr>
              <w:t>年版）》“</w:t>
            </w:r>
            <w:r>
              <w:rPr>
                <w:rFonts w:ascii="Times New Roman" w:hAnsi="Times New Roman" w:eastAsia="Times New Roman" w:cs="Times New Roman"/>
                <w:spacing w:val="-3"/>
                <w:sz w:val="24"/>
                <w:szCs w:val="24"/>
              </w:rPr>
              <w:t xml:space="preserve">HW08  </w:t>
            </w:r>
            <w:r>
              <w:rPr>
                <w:spacing w:val="-3"/>
                <w:sz w:val="24"/>
                <w:szCs w:val="24"/>
              </w:rPr>
              <w:t>废矿物油与含矿物油废物</w:t>
            </w:r>
            <w:r>
              <w:rPr>
                <w:rFonts w:ascii="Times New Roman" w:hAnsi="Times New Roman" w:eastAsia="Times New Roman" w:cs="Times New Roman"/>
                <w:spacing w:val="-3"/>
                <w:sz w:val="24"/>
                <w:szCs w:val="24"/>
              </w:rPr>
              <w:t>--</w:t>
            </w:r>
            <w:r>
              <w:rPr>
                <w:spacing w:val="-3"/>
                <w:sz w:val="24"/>
                <w:szCs w:val="24"/>
              </w:rPr>
              <w:t>车辆、轮船</w:t>
            </w:r>
            <w:r>
              <w:rPr>
                <w:spacing w:val="7"/>
                <w:sz w:val="24"/>
                <w:szCs w:val="24"/>
              </w:rPr>
              <w:t xml:space="preserve">  </w:t>
            </w:r>
            <w:r>
              <w:rPr>
                <w:spacing w:val="-3"/>
                <w:sz w:val="24"/>
                <w:szCs w:val="24"/>
              </w:rPr>
              <w:t>及其它机械维修过程中产生的废发动机油、制动器油、自动变速器油、齿轮油等</w:t>
            </w:r>
            <w:r>
              <w:rPr>
                <w:spacing w:val="6"/>
                <w:sz w:val="24"/>
                <w:szCs w:val="24"/>
              </w:rPr>
              <w:t xml:space="preserve">  </w:t>
            </w:r>
            <w:r>
              <w:rPr>
                <w:spacing w:val="-4"/>
                <w:sz w:val="24"/>
                <w:szCs w:val="24"/>
              </w:rPr>
              <w:t>废润滑油</w:t>
            </w:r>
            <w:r>
              <w:rPr>
                <w:spacing w:val="-74"/>
                <w:sz w:val="24"/>
                <w:szCs w:val="24"/>
              </w:rPr>
              <w:t xml:space="preserve"> </w:t>
            </w:r>
            <w:r>
              <w:rPr>
                <w:spacing w:val="-4"/>
                <w:sz w:val="24"/>
                <w:szCs w:val="24"/>
              </w:rPr>
              <w:t>”，危险废物代码</w:t>
            </w:r>
            <w:r>
              <w:rPr>
                <w:spacing w:val="-50"/>
                <w:sz w:val="24"/>
                <w:szCs w:val="24"/>
              </w:rPr>
              <w:t xml:space="preserve"> </w:t>
            </w:r>
            <w:r>
              <w:rPr>
                <w:rFonts w:ascii="Times New Roman" w:hAnsi="Times New Roman" w:eastAsia="Times New Roman" w:cs="Times New Roman"/>
                <w:spacing w:val="-4"/>
                <w:sz w:val="24"/>
                <w:szCs w:val="24"/>
              </w:rPr>
              <w:t>900-214-08</w:t>
            </w:r>
            <w:r>
              <w:rPr>
                <w:rFonts w:ascii="Times New Roman" w:hAnsi="Times New Roman" w:eastAsia="Times New Roman" w:cs="Times New Roman"/>
                <w:spacing w:val="-29"/>
                <w:sz w:val="24"/>
                <w:szCs w:val="24"/>
              </w:rPr>
              <w:t xml:space="preserve"> </w:t>
            </w:r>
            <w:r>
              <w:rPr>
                <w:spacing w:val="-4"/>
                <w:sz w:val="24"/>
                <w:szCs w:val="24"/>
              </w:rPr>
              <w:t>，需经专门的收集桶收集后放置在危废暂</w:t>
            </w:r>
            <w:r>
              <w:rPr>
                <w:sz w:val="24"/>
                <w:szCs w:val="24"/>
              </w:rPr>
              <w:t xml:space="preserve">  </w:t>
            </w:r>
            <w:r>
              <w:rPr>
                <w:spacing w:val="-3"/>
                <w:sz w:val="24"/>
                <w:szCs w:val="24"/>
              </w:rPr>
              <w:t>存间中暂存，按危险废物管理有关规定送至有资质的单位进行处理；废手套、含</w:t>
            </w:r>
            <w:r>
              <w:rPr>
                <w:spacing w:val="6"/>
                <w:sz w:val="24"/>
                <w:szCs w:val="24"/>
              </w:rPr>
              <w:t xml:space="preserve">  </w:t>
            </w:r>
            <w:r>
              <w:rPr>
                <w:spacing w:val="4"/>
                <w:sz w:val="24"/>
                <w:szCs w:val="24"/>
              </w:rPr>
              <w:t>油废抹布属于《国家危险废物名录（</w:t>
            </w:r>
            <w:r>
              <w:rPr>
                <w:rFonts w:ascii="Times New Roman" w:hAnsi="Times New Roman" w:eastAsia="Times New Roman" w:cs="Times New Roman"/>
                <w:spacing w:val="4"/>
                <w:sz w:val="24"/>
                <w:szCs w:val="24"/>
              </w:rPr>
              <w:t xml:space="preserve">2025 </w:t>
            </w:r>
            <w:r>
              <w:rPr>
                <w:spacing w:val="4"/>
                <w:sz w:val="24"/>
                <w:szCs w:val="24"/>
              </w:rPr>
              <w:t>年版）》“危险废物豁免管理清单</w:t>
            </w:r>
            <w:r>
              <w:rPr>
                <w:spacing w:val="-66"/>
                <w:sz w:val="24"/>
                <w:szCs w:val="24"/>
              </w:rPr>
              <w:t xml:space="preserve"> </w:t>
            </w:r>
            <w:r>
              <w:rPr>
                <w:spacing w:val="4"/>
                <w:sz w:val="24"/>
                <w:szCs w:val="24"/>
              </w:rPr>
              <w:t>”</w:t>
            </w:r>
            <w:r>
              <w:rPr>
                <w:sz w:val="24"/>
                <w:szCs w:val="24"/>
              </w:rPr>
              <w:t xml:space="preserve"> </w:t>
            </w:r>
            <w:r>
              <w:rPr>
                <w:spacing w:val="-1"/>
                <w:sz w:val="24"/>
                <w:szCs w:val="24"/>
              </w:rPr>
              <w:t>中“</w:t>
            </w:r>
            <w:r>
              <w:rPr>
                <w:rFonts w:ascii="Times New Roman" w:hAnsi="Times New Roman" w:eastAsia="Times New Roman" w:cs="Times New Roman"/>
                <w:spacing w:val="-1"/>
                <w:sz w:val="24"/>
                <w:szCs w:val="24"/>
              </w:rPr>
              <w:t xml:space="preserve">23  </w:t>
            </w:r>
            <w:r>
              <w:rPr>
                <w:spacing w:val="-1"/>
                <w:sz w:val="24"/>
                <w:szCs w:val="24"/>
              </w:rPr>
              <w:t>废弃的含油抹布、劳保用品</w:t>
            </w:r>
            <w:r>
              <w:rPr>
                <w:spacing w:val="-76"/>
                <w:sz w:val="24"/>
                <w:szCs w:val="24"/>
              </w:rPr>
              <w:t xml:space="preserve"> </w:t>
            </w:r>
            <w:r>
              <w:rPr>
                <w:spacing w:val="-1"/>
                <w:sz w:val="24"/>
                <w:szCs w:val="24"/>
              </w:rPr>
              <w:t>”，废物代码</w:t>
            </w:r>
            <w:r>
              <w:rPr>
                <w:spacing w:val="-48"/>
                <w:sz w:val="24"/>
                <w:szCs w:val="24"/>
              </w:rPr>
              <w:t xml:space="preserve"> </w:t>
            </w:r>
            <w:r>
              <w:rPr>
                <w:rFonts w:ascii="Times New Roman" w:hAnsi="Times New Roman" w:eastAsia="Times New Roman" w:cs="Times New Roman"/>
                <w:spacing w:val="-1"/>
                <w:sz w:val="24"/>
                <w:szCs w:val="24"/>
              </w:rPr>
              <w:t>900-041-49</w:t>
            </w:r>
            <w:r>
              <w:rPr>
                <w:rFonts w:ascii="Times New Roman" w:hAnsi="Times New Roman" w:eastAsia="Times New Roman" w:cs="Times New Roman"/>
                <w:spacing w:val="-27"/>
                <w:sz w:val="24"/>
                <w:szCs w:val="24"/>
              </w:rPr>
              <w:t xml:space="preserve"> </w:t>
            </w:r>
            <w:r>
              <w:rPr>
                <w:spacing w:val="-1"/>
                <w:sz w:val="24"/>
                <w:szCs w:val="24"/>
              </w:rPr>
              <w:t>，单独收集后放置</w:t>
            </w:r>
            <w:r>
              <w:rPr>
                <w:sz w:val="24"/>
                <w:szCs w:val="24"/>
              </w:rPr>
              <w:t xml:space="preserve">  </w:t>
            </w:r>
            <w:r>
              <w:rPr>
                <w:spacing w:val="-1"/>
                <w:sz w:val="24"/>
                <w:szCs w:val="24"/>
              </w:rPr>
              <w:t>在危废暂存间中暂存，与其他危险废物一同送至有资质的单位进行处理。</w:t>
            </w:r>
          </w:p>
          <w:p w14:paraId="3B2FD32F">
            <w:pPr>
              <w:pStyle w:val="6"/>
              <w:spacing w:line="220" w:lineRule="auto"/>
              <w:ind w:left="60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）污泥、浮渣和沉渣</w:t>
            </w:r>
          </w:p>
          <w:p w14:paraId="1002CAB3">
            <w:pPr>
              <w:pStyle w:val="6"/>
              <w:spacing w:before="181" w:line="359" w:lineRule="auto"/>
              <w:ind w:left="112" w:right="90" w:firstLine="481"/>
              <w:rPr>
                <w:sz w:val="24"/>
                <w:szCs w:val="24"/>
              </w:rPr>
            </w:pPr>
            <w:r>
              <w:rPr>
                <w:spacing w:val="-2"/>
                <w:sz w:val="24"/>
                <w:szCs w:val="24"/>
              </w:rPr>
              <w:t>本项目设有洗车间，主要对空载车辆进行清洗，只清洗外部，不清</w:t>
            </w:r>
            <w:r>
              <w:rPr>
                <w:spacing w:val="-3"/>
                <w:sz w:val="24"/>
                <w:szCs w:val="24"/>
              </w:rPr>
              <w:t>洗内壁，</w:t>
            </w:r>
            <w:r>
              <w:rPr>
                <w:sz w:val="24"/>
                <w:szCs w:val="24"/>
              </w:rPr>
              <w:t xml:space="preserve"> </w:t>
            </w:r>
            <w:r>
              <w:rPr>
                <w:spacing w:val="-2"/>
                <w:sz w:val="24"/>
                <w:szCs w:val="24"/>
              </w:rPr>
              <w:t>会产生洗车废水，另外地面冲洗会产生地面冲洗</w:t>
            </w:r>
            <w:r>
              <w:rPr>
                <w:spacing w:val="-3"/>
                <w:sz w:val="24"/>
                <w:szCs w:val="24"/>
              </w:rPr>
              <w:t>水，过程中产生的污泥主要有两</w:t>
            </w:r>
            <w:r>
              <w:rPr>
                <w:sz w:val="24"/>
                <w:szCs w:val="24"/>
              </w:rPr>
              <w:t xml:space="preserve"> </w:t>
            </w:r>
            <w:r>
              <w:rPr>
                <w:spacing w:val="-2"/>
                <w:sz w:val="24"/>
                <w:szCs w:val="24"/>
              </w:rPr>
              <w:t>类，一类是机油、燃油等有机物的混合物，另一</w:t>
            </w:r>
            <w:r>
              <w:rPr>
                <w:spacing w:val="-3"/>
                <w:sz w:val="24"/>
                <w:szCs w:val="24"/>
              </w:rPr>
              <w:t>类是砂子、泥土等杂质。洗车废</w:t>
            </w:r>
            <w:r>
              <w:rPr>
                <w:sz w:val="24"/>
                <w:szCs w:val="24"/>
              </w:rPr>
              <w:t xml:space="preserve"> 水、地面冲洗水沉淀</w:t>
            </w:r>
            <w:r>
              <w:rPr>
                <w:rFonts w:ascii="Times New Roman" w:hAnsi="Times New Roman" w:eastAsia="Times New Roman" w:cs="Times New Roman"/>
                <w:sz w:val="24"/>
                <w:szCs w:val="24"/>
              </w:rPr>
              <w:t>+</w:t>
            </w:r>
            <w:r>
              <w:rPr>
                <w:rFonts w:ascii="Times New Roman" w:hAnsi="Times New Roman" w:eastAsia="Times New Roman" w:cs="Times New Roman"/>
                <w:spacing w:val="-35"/>
                <w:sz w:val="24"/>
                <w:szCs w:val="24"/>
              </w:rPr>
              <w:t xml:space="preserve"> </w:t>
            </w:r>
            <w:r>
              <w:rPr>
                <w:sz w:val="24"/>
                <w:szCs w:val="24"/>
              </w:rPr>
              <w:t>隔油池处理过程中产生的污泥、浮渣和沉渣属</w:t>
            </w:r>
            <w:r>
              <w:rPr>
                <w:spacing w:val="-1"/>
                <w:sz w:val="24"/>
                <w:szCs w:val="24"/>
              </w:rPr>
              <w:t>于《国家危</w:t>
            </w:r>
            <w:r>
              <w:rPr>
                <w:sz w:val="24"/>
                <w:szCs w:val="24"/>
              </w:rPr>
              <w:t xml:space="preserve"> </w:t>
            </w:r>
            <w:r>
              <w:rPr>
                <w:spacing w:val="-2"/>
                <w:sz w:val="24"/>
                <w:szCs w:val="24"/>
              </w:rPr>
              <w:t>险废物名录（</w:t>
            </w:r>
            <w:r>
              <w:rPr>
                <w:rFonts w:ascii="Times New Roman" w:hAnsi="Times New Roman" w:eastAsia="Times New Roman" w:cs="Times New Roman"/>
                <w:spacing w:val="-2"/>
                <w:sz w:val="24"/>
                <w:szCs w:val="24"/>
              </w:rPr>
              <w:t xml:space="preserve">2025 </w:t>
            </w:r>
            <w:r>
              <w:rPr>
                <w:spacing w:val="-2"/>
                <w:sz w:val="24"/>
                <w:szCs w:val="24"/>
              </w:rPr>
              <w:t>年版）》“</w:t>
            </w:r>
            <w:r>
              <w:rPr>
                <w:rFonts w:ascii="Times New Roman" w:hAnsi="Times New Roman" w:eastAsia="Times New Roman" w:cs="Times New Roman"/>
                <w:spacing w:val="-2"/>
                <w:sz w:val="24"/>
                <w:szCs w:val="24"/>
              </w:rPr>
              <w:t xml:space="preserve">HW08  </w:t>
            </w:r>
            <w:r>
              <w:rPr>
                <w:spacing w:val="-3"/>
                <w:sz w:val="24"/>
                <w:szCs w:val="24"/>
              </w:rPr>
              <w:t>废矿物油与含矿物油废物</w:t>
            </w:r>
            <w:r>
              <w:rPr>
                <w:rFonts w:ascii="Times New Roman" w:hAnsi="Times New Roman" w:eastAsia="Times New Roman" w:cs="Times New Roman"/>
                <w:spacing w:val="-3"/>
                <w:sz w:val="24"/>
                <w:szCs w:val="24"/>
              </w:rPr>
              <w:t>--</w:t>
            </w:r>
            <w:r>
              <w:rPr>
                <w:spacing w:val="-3"/>
                <w:sz w:val="24"/>
                <w:szCs w:val="24"/>
              </w:rPr>
              <w:t>含油废水处理中</w:t>
            </w:r>
            <w:r>
              <w:rPr>
                <w:sz w:val="24"/>
                <w:szCs w:val="24"/>
              </w:rPr>
              <w:t xml:space="preserve"> </w:t>
            </w:r>
            <w:r>
              <w:rPr>
                <w:spacing w:val="-2"/>
                <w:sz w:val="24"/>
                <w:szCs w:val="24"/>
              </w:rPr>
              <w:t>隔油、气浮、沉淀等处理过程中产生的浮油、浮</w:t>
            </w:r>
            <w:r>
              <w:rPr>
                <w:spacing w:val="-3"/>
                <w:sz w:val="24"/>
                <w:szCs w:val="24"/>
              </w:rPr>
              <w:t>渣和污泥（不包括废水生化处理</w:t>
            </w:r>
            <w:r>
              <w:rPr>
                <w:sz w:val="24"/>
                <w:szCs w:val="24"/>
              </w:rPr>
              <w:t xml:space="preserve"> </w:t>
            </w:r>
            <w:r>
              <w:rPr>
                <w:spacing w:val="-4"/>
                <w:sz w:val="24"/>
                <w:szCs w:val="24"/>
              </w:rPr>
              <w:t>污泥）”,</w:t>
            </w:r>
            <w:r>
              <w:rPr>
                <w:spacing w:val="53"/>
                <w:sz w:val="24"/>
                <w:szCs w:val="24"/>
              </w:rPr>
              <w:t xml:space="preserve"> </w:t>
            </w:r>
            <w:r>
              <w:rPr>
                <w:spacing w:val="-4"/>
                <w:sz w:val="24"/>
                <w:szCs w:val="24"/>
              </w:rPr>
              <w:t>危险废物代码</w:t>
            </w:r>
            <w:r>
              <w:rPr>
                <w:spacing w:val="-50"/>
                <w:sz w:val="24"/>
                <w:szCs w:val="24"/>
              </w:rPr>
              <w:t xml:space="preserve"> </w:t>
            </w:r>
            <w:r>
              <w:rPr>
                <w:rFonts w:ascii="Times New Roman" w:hAnsi="Times New Roman" w:eastAsia="Times New Roman" w:cs="Times New Roman"/>
                <w:spacing w:val="-4"/>
                <w:sz w:val="24"/>
                <w:szCs w:val="24"/>
              </w:rPr>
              <w:t>900-210-08</w:t>
            </w:r>
            <w:r>
              <w:rPr>
                <w:rFonts w:ascii="Times New Roman" w:hAnsi="Times New Roman" w:eastAsia="Times New Roman" w:cs="Times New Roman"/>
                <w:spacing w:val="-27"/>
                <w:sz w:val="24"/>
                <w:szCs w:val="24"/>
              </w:rPr>
              <w:t xml:space="preserve"> </w:t>
            </w:r>
            <w:r>
              <w:rPr>
                <w:spacing w:val="-4"/>
                <w:sz w:val="24"/>
                <w:szCs w:val="24"/>
              </w:rPr>
              <w:t>。根据同类型项目运营数据，污泥产生量约</w:t>
            </w:r>
            <w:r>
              <w:rPr>
                <w:sz w:val="24"/>
                <w:szCs w:val="24"/>
              </w:rPr>
              <w:t xml:space="preserve"> </w:t>
            </w:r>
            <w:r>
              <w:rPr>
                <w:spacing w:val="-1"/>
                <w:sz w:val="24"/>
                <w:szCs w:val="24"/>
              </w:rPr>
              <w:t>为</w:t>
            </w:r>
            <w:r>
              <w:rPr>
                <w:spacing w:val="-17"/>
                <w:sz w:val="24"/>
                <w:szCs w:val="24"/>
              </w:rPr>
              <w:t xml:space="preserve"> </w:t>
            </w:r>
            <w:r>
              <w:rPr>
                <w:rFonts w:ascii="Times New Roman" w:hAnsi="Times New Roman" w:eastAsia="Times New Roman" w:cs="Times New Roman"/>
                <w:spacing w:val="-1"/>
                <w:sz w:val="24"/>
                <w:szCs w:val="24"/>
              </w:rPr>
              <w:t>1.5t/a</w:t>
            </w:r>
            <w:r>
              <w:rPr>
                <w:rFonts w:ascii="Times New Roman" w:hAnsi="Times New Roman" w:eastAsia="Times New Roman" w:cs="Times New Roman"/>
                <w:spacing w:val="-29"/>
                <w:sz w:val="24"/>
                <w:szCs w:val="24"/>
              </w:rPr>
              <w:t xml:space="preserve"> </w:t>
            </w:r>
            <w:r>
              <w:rPr>
                <w:spacing w:val="-1"/>
                <w:sz w:val="24"/>
                <w:szCs w:val="24"/>
              </w:rPr>
              <w:t>，需经专门的收集桶收集后放置在危废暂存间中暂存，按危险废物管理</w:t>
            </w:r>
            <w:r>
              <w:rPr>
                <w:sz w:val="24"/>
                <w:szCs w:val="24"/>
              </w:rPr>
              <w:t xml:space="preserve"> </w:t>
            </w:r>
            <w:r>
              <w:rPr>
                <w:spacing w:val="-1"/>
                <w:sz w:val="24"/>
                <w:szCs w:val="24"/>
              </w:rPr>
              <w:t>有关规定送至有资质的单位进行处理。</w:t>
            </w:r>
          </w:p>
          <w:p w14:paraId="1F734E94">
            <w:pPr>
              <w:pStyle w:val="6"/>
              <w:spacing w:line="359" w:lineRule="auto"/>
              <w:ind w:left="115" w:right="106" w:firstLine="481"/>
              <w:rPr>
                <w:sz w:val="24"/>
                <w:szCs w:val="24"/>
              </w:rPr>
            </w:pPr>
            <w:r>
              <w:rPr>
                <w:spacing w:val="-3"/>
                <w:sz w:val="24"/>
                <w:szCs w:val="24"/>
              </w:rPr>
              <w:t>项目在采取有效的措施后，固体废物均可合理处置，基本不会对周围环境产</w:t>
            </w:r>
            <w:r>
              <w:rPr>
                <w:spacing w:val="10"/>
                <w:sz w:val="24"/>
                <w:szCs w:val="24"/>
              </w:rPr>
              <w:t xml:space="preserve"> </w:t>
            </w:r>
            <w:r>
              <w:rPr>
                <w:spacing w:val="-3"/>
                <w:sz w:val="24"/>
                <w:szCs w:val="24"/>
              </w:rPr>
              <w:t>生影响。</w:t>
            </w:r>
          </w:p>
          <w:p w14:paraId="6DB4D519">
            <w:pPr>
              <w:pStyle w:val="6"/>
              <w:spacing w:line="219" w:lineRule="auto"/>
              <w:ind w:left="112"/>
              <w:outlineLvl w:val="1"/>
              <w:rPr>
                <w:sz w:val="24"/>
                <w:szCs w:val="24"/>
              </w:rPr>
            </w:pP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33"/>
                <w:sz w:val="24"/>
                <w:szCs w:val="24"/>
              </w:rPr>
              <w:t xml:space="preserve"> </w:t>
            </w:r>
            <w:r>
              <w:rPr>
                <w:b/>
                <w:bCs/>
                <w:spacing w:val="-5"/>
                <w:sz w:val="24"/>
                <w:szCs w:val="24"/>
              </w:rPr>
              <w:t>、危废暂存间建设要求</w:t>
            </w:r>
          </w:p>
          <w:p w14:paraId="126F3C3D">
            <w:pPr>
              <w:pStyle w:val="6"/>
              <w:spacing w:before="182" w:line="324" w:lineRule="auto"/>
              <w:ind w:left="113" w:right="106" w:firstLine="491"/>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）本项目建设危废暂存间一座，用于暂存废机油</w:t>
            </w:r>
            <w:r>
              <w:rPr>
                <w:sz w:val="24"/>
                <w:szCs w:val="24"/>
              </w:rPr>
              <w:t xml:space="preserve">、废油桶、废手套、含 </w:t>
            </w:r>
            <w:r>
              <w:rPr>
                <w:spacing w:val="-2"/>
                <w:sz w:val="24"/>
                <w:szCs w:val="24"/>
              </w:rPr>
              <w:t>油废抹布、污泥、浮渣和沉渣等危险废物，危</w:t>
            </w:r>
            <w:r>
              <w:rPr>
                <w:spacing w:val="-3"/>
                <w:sz w:val="24"/>
                <w:szCs w:val="24"/>
              </w:rPr>
              <w:t>险废物暂存间的建设按照《危险废</w:t>
            </w:r>
            <w:r>
              <w:rPr>
                <w:sz w:val="24"/>
                <w:szCs w:val="24"/>
              </w:rPr>
              <w:t xml:space="preserve"> </w:t>
            </w:r>
            <w:r>
              <w:rPr>
                <w:spacing w:val="3"/>
                <w:sz w:val="24"/>
                <w:szCs w:val="24"/>
              </w:rPr>
              <w:t>物贮存污染控制标准》（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18597-2023</w:t>
            </w:r>
            <w:r>
              <w:rPr>
                <w:spacing w:val="3"/>
                <w:sz w:val="24"/>
                <w:szCs w:val="24"/>
              </w:rPr>
              <w:t>）、《化</w:t>
            </w:r>
            <w:r>
              <w:rPr>
                <w:spacing w:val="2"/>
                <w:sz w:val="24"/>
                <w:szCs w:val="24"/>
              </w:rPr>
              <w:t>工园区危险品运输车辆停车场</w:t>
            </w:r>
            <w:r>
              <w:rPr>
                <w:sz w:val="24"/>
                <w:szCs w:val="24"/>
              </w:rPr>
              <w:t xml:space="preserve"> 建设标准》（</w:t>
            </w:r>
            <w:r>
              <w:rPr>
                <w:rFonts w:ascii="Times New Roman" w:hAnsi="Times New Roman" w:eastAsia="Times New Roman" w:cs="Times New Roman"/>
                <w:sz w:val="24"/>
                <w:szCs w:val="24"/>
              </w:rPr>
              <w:t>T/CPCIF0050-2020</w:t>
            </w:r>
            <w:r>
              <w:rPr>
                <w:sz w:val="24"/>
                <w:szCs w:val="24"/>
              </w:rPr>
              <w:t>）等有关要求进行规</w:t>
            </w:r>
            <w:r>
              <w:rPr>
                <w:spacing w:val="-1"/>
                <w:sz w:val="24"/>
                <w:szCs w:val="24"/>
              </w:rPr>
              <w:t>范建设，具体要求如下：</w:t>
            </w:r>
          </w:p>
          <w:p w14:paraId="23156A8D">
            <w:pPr>
              <w:pStyle w:val="6"/>
              <w:spacing w:before="182" w:line="289" w:lineRule="auto"/>
              <w:ind w:left="116" w:right="106" w:firstLine="488"/>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）按照《危险废物贮存污染控制标准》（</w:t>
            </w:r>
            <w:r>
              <w:rPr>
                <w:rFonts w:ascii="Times New Roman" w:hAnsi="Times New Roman" w:eastAsia="Times New Roman" w:cs="Times New Roman"/>
                <w:spacing w:val="-1"/>
                <w:sz w:val="24"/>
                <w:szCs w:val="24"/>
              </w:rPr>
              <w:t>GB18597-2023</w:t>
            </w:r>
            <w:r>
              <w:rPr>
                <w:spacing w:val="-1"/>
                <w:sz w:val="24"/>
                <w:szCs w:val="24"/>
              </w:rPr>
              <w:t>）、《化工园区</w:t>
            </w:r>
            <w:r>
              <w:rPr>
                <w:spacing w:val="9"/>
                <w:sz w:val="24"/>
                <w:szCs w:val="24"/>
              </w:rPr>
              <w:t xml:space="preserve"> </w:t>
            </w:r>
            <w:r>
              <w:rPr>
                <w:spacing w:val="-2"/>
                <w:sz w:val="24"/>
                <w:szCs w:val="24"/>
              </w:rPr>
              <w:t>危险品运输车辆停车场建设标准》（</w:t>
            </w:r>
            <w:r>
              <w:rPr>
                <w:rFonts w:ascii="Times New Roman" w:hAnsi="Times New Roman" w:eastAsia="Times New Roman" w:cs="Times New Roman"/>
                <w:spacing w:val="-2"/>
                <w:sz w:val="24"/>
                <w:szCs w:val="24"/>
              </w:rPr>
              <w:t>T/CPCIF0050-2020</w:t>
            </w:r>
            <w:r>
              <w:rPr>
                <w:spacing w:val="-2"/>
                <w:sz w:val="24"/>
                <w:szCs w:val="24"/>
              </w:rPr>
              <w:t>）等有关要求进行规</w:t>
            </w:r>
            <w:r>
              <w:rPr>
                <w:spacing w:val="-3"/>
                <w:sz w:val="24"/>
                <w:szCs w:val="24"/>
              </w:rPr>
              <w:t>范建</w:t>
            </w:r>
          </w:p>
        </w:tc>
      </w:tr>
    </w:tbl>
    <w:p w14:paraId="3785FAAE">
      <w:pPr>
        <w:pStyle w:val="2"/>
      </w:pPr>
    </w:p>
    <w:p w14:paraId="2392A653">
      <w:pPr>
        <w:sectPr>
          <w:footerReference r:id="rId76" w:type="default"/>
          <w:pgSz w:w="11906" w:h="16839"/>
          <w:pgMar w:top="400" w:right="1445" w:bottom="1259" w:left="1543" w:header="0" w:footer="1097" w:gutter="0"/>
          <w:cols w:space="720" w:num="1"/>
        </w:sectPr>
      </w:pPr>
    </w:p>
    <w:p w14:paraId="559C1AFB">
      <w:pPr>
        <w:spacing w:before="19"/>
      </w:pPr>
    </w:p>
    <w:p w14:paraId="141D8C6F">
      <w:pPr>
        <w:spacing w:before="19"/>
      </w:pPr>
    </w:p>
    <w:p w14:paraId="17A0456F">
      <w:pPr>
        <w:spacing w:before="18"/>
      </w:pPr>
    </w:p>
    <w:p w14:paraId="224CF49A">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12C5E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AAFC68E">
            <w:pPr>
              <w:rPr>
                <w:rFonts w:ascii="Arial"/>
                <w:sz w:val="21"/>
              </w:rPr>
            </w:pPr>
          </w:p>
        </w:tc>
        <w:tc>
          <w:tcPr>
            <w:tcW w:w="8541" w:type="dxa"/>
            <w:vAlign w:val="top"/>
          </w:tcPr>
          <w:p w14:paraId="2BEC556A">
            <w:pPr>
              <w:pStyle w:val="6"/>
              <w:spacing w:before="42" w:line="219" w:lineRule="auto"/>
              <w:ind w:left="117"/>
              <w:rPr>
                <w:sz w:val="24"/>
                <w:szCs w:val="24"/>
              </w:rPr>
            </w:pPr>
            <w:r>
              <w:rPr>
                <w:spacing w:val="-1"/>
                <w:sz w:val="24"/>
                <w:szCs w:val="24"/>
              </w:rPr>
              <w:t>设，做到防风、防晒、防雨、防漏、防渗、防腐。</w:t>
            </w:r>
          </w:p>
          <w:p w14:paraId="038268AA">
            <w:pPr>
              <w:pStyle w:val="6"/>
              <w:spacing w:before="180"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）危废暂存间应设置危险废物警示标志，并在四周设雨水边沟。</w:t>
            </w:r>
          </w:p>
          <w:p w14:paraId="37E5561D">
            <w:pPr>
              <w:pStyle w:val="6"/>
              <w:spacing w:before="181" w:line="314"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）危险废物储存场所应悬挂危险废物分类识别标</w:t>
            </w:r>
            <w:r>
              <w:rPr>
                <w:sz w:val="24"/>
                <w:szCs w:val="24"/>
              </w:rPr>
              <w:t xml:space="preserve">示牌，危废存储容器上 </w:t>
            </w:r>
            <w:r>
              <w:rPr>
                <w:spacing w:val="-2"/>
                <w:sz w:val="24"/>
                <w:szCs w:val="24"/>
              </w:rPr>
              <w:t>要张贴危险废物标签，在装存前应对危废类别、</w:t>
            </w:r>
            <w:r>
              <w:rPr>
                <w:spacing w:val="-3"/>
                <w:sz w:val="24"/>
                <w:szCs w:val="24"/>
              </w:rPr>
              <w:t>特性与危废标签的一致性进行核</w:t>
            </w:r>
            <w:r>
              <w:rPr>
                <w:sz w:val="24"/>
                <w:szCs w:val="24"/>
              </w:rPr>
              <w:t xml:space="preserve"> </w:t>
            </w:r>
            <w:r>
              <w:rPr>
                <w:spacing w:val="-5"/>
                <w:sz w:val="24"/>
                <w:szCs w:val="24"/>
              </w:rPr>
              <w:t>验。</w:t>
            </w:r>
          </w:p>
          <w:p w14:paraId="4E106C21">
            <w:pPr>
              <w:pStyle w:val="6"/>
              <w:spacing w:before="178" w:line="312" w:lineRule="auto"/>
              <w:ind w:left="112" w:right="106" w:firstLine="492"/>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）运营期应建立危险废物贮存设施环境管理制度</w:t>
            </w:r>
            <w:r>
              <w:rPr>
                <w:sz w:val="24"/>
                <w:szCs w:val="24"/>
              </w:rPr>
              <w:t xml:space="preserve">、管理人员岗位职责制 </w:t>
            </w:r>
            <w:r>
              <w:rPr>
                <w:spacing w:val="-2"/>
                <w:sz w:val="24"/>
                <w:szCs w:val="24"/>
              </w:rPr>
              <w:t>度、设施运行操作制度、人员岗位培训制度，此</w:t>
            </w:r>
            <w:r>
              <w:rPr>
                <w:spacing w:val="-3"/>
                <w:sz w:val="24"/>
                <w:szCs w:val="24"/>
              </w:rPr>
              <w:t>外还应建立危险废物管理台账并</w:t>
            </w:r>
            <w:r>
              <w:rPr>
                <w:sz w:val="24"/>
                <w:szCs w:val="24"/>
              </w:rPr>
              <w:t xml:space="preserve"> </w:t>
            </w:r>
            <w:r>
              <w:rPr>
                <w:spacing w:val="-3"/>
                <w:sz w:val="24"/>
                <w:szCs w:val="24"/>
              </w:rPr>
              <w:t>保存。</w:t>
            </w:r>
          </w:p>
          <w:p w14:paraId="5CBFE5D4">
            <w:pPr>
              <w:pStyle w:val="6"/>
              <w:spacing w:before="182" w:line="219" w:lineRule="auto"/>
              <w:jc w:val="right"/>
              <w:rPr>
                <w:sz w:val="24"/>
                <w:szCs w:val="24"/>
              </w:rPr>
            </w:pPr>
            <w:r>
              <w:rPr>
                <w:spacing w:val="-4"/>
                <w:sz w:val="24"/>
                <w:szCs w:val="24"/>
              </w:rPr>
              <w:t>（</w:t>
            </w:r>
            <w:r>
              <w:rPr>
                <w:rFonts w:ascii="Times New Roman" w:hAnsi="Times New Roman" w:eastAsia="Times New Roman" w:cs="Times New Roman"/>
                <w:spacing w:val="-4"/>
                <w:sz w:val="24"/>
                <w:szCs w:val="24"/>
              </w:rPr>
              <w:t>6</w:t>
            </w:r>
            <w:r>
              <w:rPr>
                <w:spacing w:val="-4"/>
                <w:sz w:val="24"/>
                <w:szCs w:val="24"/>
              </w:rPr>
              <w:t>）地面与裙脚要用坚固、防渗材料建造，建筑材料必须与危险废物相容。</w:t>
            </w:r>
          </w:p>
          <w:p w14:paraId="257997C4">
            <w:pPr>
              <w:pStyle w:val="6"/>
              <w:spacing w:before="18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7</w:t>
            </w:r>
            <w:r>
              <w:rPr>
                <w:spacing w:val="-2"/>
                <w:sz w:val="24"/>
                <w:szCs w:val="24"/>
              </w:rPr>
              <w:t>）设施内要有安全照明设施和观察窗口。</w:t>
            </w:r>
          </w:p>
          <w:p w14:paraId="352D8EA3">
            <w:pPr>
              <w:pStyle w:val="6"/>
              <w:spacing w:before="184" w:line="219" w:lineRule="auto"/>
              <w:ind w:left="604"/>
              <w:rPr>
                <w:sz w:val="24"/>
                <w:szCs w:val="24"/>
              </w:rPr>
            </w:pPr>
            <w:r>
              <w:rPr>
                <w:spacing w:val="-1"/>
                <w:sz w:val="24"/>
                <w:szCs w:val="24"/>
              </w:rPr>
              <w:t>（</w:t>
            </w:r>
            <w:r>
              <w:rPr>
                <w:rFonts w:ascii="Times New Roman" w:hAnsi="Times New Roman" w:eastAsia="Times New Roman" w:cs="Times New Roman"/>
                <w:spacing w:val="-1"/>
                <w:sz w:val="24"/>
                <w:szCs w:val="24"/>
              </w:rPr>
              <w:t>8</w:t>
            </w:r>
            <w:r>
              <w:rPr>
                <w:spacing w:val="-1"/>
                <w:sz w:val="24"/>
                <w:szCs w:val="24"/>
              </w:rPr>
              <w:t>）存放危险废物的地方，必须有耐腐蚀的硬化地面，且表面无裂隙。</w:t>
            </w:r>
          </w:p>
          <w:p w14:paraId="4909E761">
            <w:pPr>
              <w:pStyle w:val="6"/>
              <w:spacing w:before="179" w:line="290" w:lineRule="auto"/>
              <w:ind w:left="113" w:right="106" w:firstLine="491"/>
              <w:rPr>
                <w:sz w:val="24"/>
                <w:szCs w:val="24"/>
              </w:rPr>
            </w:pPr>
            <w:r>
              <w:rPr>
                <w:spacing w:val="1"/>
                <w:sz w:val="24"/>
                <w:szCs w:val="24"/>
              </w:rPr>
              <w:t>（</w:t>
            </w:r>
            <w:r>
              <w:rPr>
                <w:rFonts w:ascii="Times New Roman" w:hAnsi="Times New Roman" w:eastAsia="Times New Roman" w:cs="Times New Roman"/>
                <w:spacing w:val="1"/>
                <w:sz w:val="24"/>
                <w:szCs w:val="24"/>
              </w:rPr>
              <w:t>9</w:t>
            </w:r>
            <w:r>
              <w:rPr>
                <w:spacing w:val="1"/>
                <w:sz w:val="24"/>
                <w:szCs w:val="24"/>
              </w:rPr>
              <w:t>）应设计堵截泄漏的裙脚，地面与裙脚所围建的</w:t>
            </w:r>
            <w:r>
              <w:rPr>
                <w:sz w:val="24"/>
                <w:szCs w:val="24"/>
              </w:rPr>
              <w:t xml:space="preserve">容积不低于堵截最大容 </w:t>
            </w:r>
            <w:r>
              <w:rPr>
                <w:spacing w:val="-1"/>
                <w:sz w:val="24"/>
                <w:szCs w:val="24"/>
              </w:rPr>
              <w:t>器的最大储量或总储量的五分之一。</w:t>
            </w:r>
          </w:p>
          <w:p w14:paraId="72904A74">
            <w:pPr>
              <w:pStyle w:val="6"/>
              <w:spacing w:before="179" w:line="313" w:lineRule="auto"/>
              <w:ind w:left="114" w:right="44" w:firstLine="490"/>
              <w:rPr>
                <w:sz w:val="24"/>
                <w:szCs w:val="24"/>
              </w:rPr>
            </w:pPr>
            <w:r>
              <w:rPr>
                <w:spacing w:val="-8"/>
                <w:sz w:val="24"/>
                <w:szCs w:val="24"/>
              </w:rPr>
              <w:t>（</w:t>
            </w:r>
            <w:r>
              <w:rPr>
                <w:rFonts w:ascii="Times New Roman" w:hAnsi="Times New Roman" w:eastAsia="Times New Roman" w:cs="Times New Roman"/>
                <w:spacing w:val="-8"/>
                <w:sz w:val="24"/>
                <w:szCs w:val="24"/>
              </w:rPr>
              <w:t>10</w:t>
            </w:r>
            <w:r>
              <w:rPr>
                <w:spacing w:val="-8"/>
                <w:sz w:val="24"/>
                <w:szCs w:val="24"/>
              </w:rPr>
              <w:t>）危废的运输、处置严格按照有关规范执行，进行分类收集、分区存放，</w:t>
            </w:r>
            <w:r>
              <w:rPr>
                <w:spacing w:val="5"/>
                <w:sz w:val="24"/>
                <w:szCs w:val="24"/>
              </w:rPr>
              <w:t xml:space="preserve"> </w:t>
            </w:r>
            <w:r>
              <w:rPr>
                <w:spacing w:val="-2"/>
                <w:sz w:val="24"/>
                <w:szCs w:val="24"/>
              </w:rPr>
              <w:t>严禁不相容的危险废物混合堆放，危险废物</w:t>
            </w:r>
            <w:r>
              <w:rPr>
                <w:spacing w:val="-3"/>
                <w:sz w:val="24"/>
                <w:szCs w:val="24"/>
              </w:rPr>
              <w:t>转移过程应按《危险废物转移联单管</w:t>
            </w:r>
            <w:r>
              <w:rPr>
                <w:sz w:val="24"/>
                <w:szCs w:val="24"/>
              </w:rPr>
              <w:t xml:space="preserve"> </w:t>
            </w:r>
            <w:r>
              <w:rPr>
                <w:spacing w:val="-2"/>
                <w:sz w:val="24"/>
                <w:szCs w:val="24"/>
              </w:rPr>
              <w:t>理办法》执行。</w:t>
            </w:r>
          </w:p>
          <w:p w14:paraId="2FE71B94">
            <w:pPr>
              <w:pStyle w:val="6"/>
              <w:spacing w:before="183" w:line="219" w:lineRule="auto"/>
              <w:ind w:left="112"/>
              <w:outlineLvl w:val="1"/>
              <w:rPr>
                <w:sz w:val="24"/>
                <w:szCs w:val="24"/>
              </w:rPr>
            </w:pPr>
            <w:r>
              <w:rPr>
                <w:rFonts w:ascii="Times New Roman" w:hAnsi="Times New Roman" w:eastAsia="Times New Roman" w:cs="Times New Roman"/>
                <w:b/>
                <w:bCs/>
                <w:spacing w:val="-5"/>
                <w:sz w:val="24"/>
                <w:szCs w:val="24"/>
              </w:rPr>
              <w:t>6</w:t>
            </w:r>
            <w:r>
              <w:rPr>
                <w:rFonts w:ascii="Times New Roman" w:hAnsi="Times New Roman" w:eastAsia="Times New Roman" w:cs="Times New Roman"/>
                <w:b/>
                <w:bCs/>
                <w:spacing w:val="-24"/>
                <w:sz w:val="24"/>
                <w:szCs w:val="24"/>
              </w:rPr>
              <w:t xml:space="preserve"> </w:t>
            </w:r>
            <w:r>
              <w:rPr>
                <w:b/>
                <w:bCs/>
                <w:spacing w:val="-5"/>
                <w:sz w:val="24"/>
                <w:szCs w:val="24"/>
              </w:rPr>
              <w:t>、地下水环境影响及保护措施</w:t>
            </w:r>
          </w:p>
          <w:p w14:paraId="3231BBBC">
            <w:pPr>
              <w:pStyle w:val="6"/>
              <w:spacing w:before="18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）地下水污染途径分析</w:t>
            </w:r>
          </w:p>
          <w:p w14:paraId="5B40D195">
            <w:pPr>
              <w:pStyle w:val="6"/>
              <w:spacing w:before="184" w:line="359" w:lineRule="auto"/>
              <w:ind w:left="113" w:right="106" w:firstLine="480"/>
              <w:rPr>
                <w:sz w:val="24"/>
                <w:szCs w:val="24"/>
              </w:rPr>
            </w:pPr>
            <w:r>
              <w:rPr>
                <w:spacing w:val="1"/>
                <w:sz w:val="24"/>
                <w:szCs w:val="24"/>
              </w:rPr>
              <w:t>本项目停车场共设置</w:t>
            </w:r>
            <w:r>
              <w:rPr>
                <w:spacing w:val="-39"/>
                <w:sz w:val="24"/>
                <w:szCs w:val="24"/>
              </w:rPr>
              <w:t xml:space="preserve"> </w:t>
            </w:r>
            <w:r>
              <w:rPr>
                <w:rFonts w:ascii="Times New Roman" w:hAnsi="Times New Roman" w:eastAsia="Times New Roman" w:cs="Times New Roman"/>
                <w:spacing w:val="1"/>
                <w:sz w:val="24"/>
                <w:szCs w:val="24"/>
              </w:rPr>
              <w:t xml:space="preserve">92 </w:t>
            </w:r>
            <w:r>
              <w:rPr>
                <w:spacing w:val="1"/>
                <w:sz w:val="24"/>
                <w:szCs w:val="24"/>
              </w:rPr>
              <w:t>个停车位，其中有</w:t>
            </w:r>
            <w:r>
              <w:rPr>
                <w:spacing w:val="-27"/>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个重载停车位，</w:t>
            </w:r>
            <w:r>
              <w:rPr>
                <w:rFonts w:ascii="Times New Roman" w:hAnsi="Times New Roman" w:eastAsia="Times New Roman" w:cs="Times New Roman"/>
                <w:spacing w:val="1"/>
                <w:sz w:val="24"/>
                <w:szCs w:val="24"/>
              </w:rPr>
              <w:t xml:space="preserve">82 </w:t>
            </w:r>
            <w:r>
              <w:rPr>
                <w:spacing w:val="1"/>
                <w:sz w:val="24"/>
                <w:szCs w:val="24"/>
              </w:rPr>
              <w:t>个空载停</w:t>
            </w:r>
            <w:r>
              <w:rPr>
                <w:sz w:val="24"/>
                <w:szCs w:val="24"/>
              </w:rPr>
              <w:t xml:space="preserve"> </w:t>
            </w:r>
            <w:r>
              <w:rPr>
                <w:spacing w:val="-2"/>
                <w:sz w:val="24"/>
                <w:szCs w:val="24"/>
              </w:rPr>
              <w:t>车位。项目运营期对地下水的影响主要为危险</w:t>
            </w:r>
            <w:r>
              <w:rPr>
                <w:spacing w:val="-3"/>
                <w:sz w:val="24"/>
                <w:szCs w:val="24"/>
              </w:rPr>
              <w:t>品运输罐车泄漏的危险化学品、油</w:t>
            </w:r>
            <w:r>
              <w:rPr>
                <w:sz w:val="24"/>
                <w:szCs w:val="24"/>
              </w:rPr>
              <w:t xml:space="preserve"> </w:t>
            </w:r>
            <w:r>
              <w:rPr>
                <w:spacing w:val="-1"/>
                <w:sz w:val="24"/>
                <w:szCs w:val="24"/>
              </w:rPr>
              <w:t>类等液态物料沿停车场地面下渗可能会造成区内地下水污染。</w:t>
            </w:r>
          </w:p>
          <w:p w14:paraId="302261E2">
            <w:pPr>
              <w:pStyle w:val="6"/>
              <w:spacing w:before="1" w:line="219" w:lineRule="auto"/>
              <w:ind w:left="604"/>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）地下水环境保护措施</w:t>
            </w:r>
          </w:p>
          <w:p w14:paraId="5055FB5D">
            <w:pPr>
              <w:pStyle w:val="6"/>
              <w:spacing w:before="181" w:line="359" w:lineRule="auto"/>
              <w:ind w:left="113" w:firstLine="480"/>
              <w:rPr>
                <w:sz w:val="24"/>
                <w:szCs w:val="24"/>
              </w:rPr>
            </w:pPr>
            <w:r>
              <w:rPr>
                <w:spacing w:val="-7"/>
                <w:sz w:val="24"/>
                <w:szCs w:val="24"/>
              </w:rPr>
              <w:t>根据《中华人民共和国水污染防治法》、《中华人民共和国环境影响评价法》</w:t>
            </w:r>
            <w:r>
              <w:rPr>
                <w:spacing w:val="18"/>
                <w:sz w:val="24"/>
                <w:szCs w:val="24"/>
              </w:rPr>
              <w:t xml:space="preserve"> </w:t>
            </w:r>
            <w:r>
              <w:rPr>
                <w:spacing w:val="-6"/>
                <w:sz w:val="24"/>
                <w:szCs w:val="24"/>
              </w:rPr>
              <w:t>等相关规定，结合本项目的污染物产生特点及场区总平面布置，按照“源</w:t>
            </w:r>
            <w:r>
              <w:rPr>
                <w:spacing w:val="-7"/>
                <w:sz w:val="24"/>
                <w:szCs w:val="24"/>
              </w:rPr>
              <w:t>头控制、</w:t>
            </w:r>
            <w:r>
              <w:rPr>
                <w:sz w:val="24"/>
                <w:szCs w:val="24"/>
              </w:rPr>
              <w:t xml:space="preserve"> </w:t>
            </w:r>
            <w:r>
              <w:rPr>
                <w:spacing w:val="-7"/>
                <w:sz w:val="24"/>
                <w:szCs w:val="24"/>
              </w:rPr>
              <w:t>分区防治、污染监控、应急响应</w:t>
            </w:r>
            <w:r>
              <w:rPr>
                <w:spacing w:val="-88"/>
                <w:sz w:val="24"/>
                <w:szCs w:val="24"/>
              </w:rPr>
              <w:t xml:space="preserve"> </w:t>
            </w:r>
            <w:r>
              <w:rPr>
                <w:spacing w:val="-7"/>
                <w:sz w:val="24"/>
                <w:szCs w:val="24"/>
              </w:rPr>
              <w:t>”相结合的原则，从污染物的产生、入渗、扩散、</w:t>
            </w:r>
            <w:r>
              <w:rPr>
                <w:sz w:val="24"/>
                <w:szCs w:val="24"/>
              </w:rPr>
              <w:t xml:space="preserve"> </w:t>
            </w:r>
            <w:r>
              <w:rPr>
                <w:spacing w:val="-1"/>
                <w:sz w:val="24"/>
                <w:szCs w:val="24"/>
              </w:rPr>
              <w:t>应急响应等方面制定如下地下水环境保护措施：</w:t>
            </w:r>
          </w:p>
          <w:p w14:paraId="0026C230">
            <w:pPr>
              <w:pStyle w:val="6"/>
              <w:spacing w:before="2" w:line="350" w:lineRule="auto"/>
              <w:ind w:left="114" w:right="106" w:firstLine="478"/>
              <w:jc w:val="both"/>
              <w:rPr>
                <w:sz w:val="24"/>
                <w:szCs w:val="24"/>
              </w:rPr>
            </w:pPr>
            <w:r>
              <w:rPr>
                <w:spacing w:val="-3"/>
                <w:sz w:val="24"/>
                <w:szCs w:val="24"/>
              </w:rPr>
              <w:t>①项目场地区各池体要按规范采取防渗处理，收集管道（沟）必须采取有效</w:t>
            </w:r>
            <w:r>
              <w:rPr>
                <w:spacing w:val="15"/>
                <w:sz w:val="24"/>
                <w:szCs w:val="24"/>
              </w:rPr>
              <w:t xml:space="preserve"> </w:t>
            </w:r>
            <w:r>
              <w:rPr>
                <w:spacing w:val="-2"/>
                <w:sz w:val="24"/>
                <w:szCs w:val="24"/>
              </w:rPr>
              <w:t>密封措施，确保排水管（沟）完好无损，防</w:t>
            </w:r>
            <w:r>
              <w:rPr>
                <w:spacing w:val="-3"/>
                <w:sz w:val="24"/>
                <w:szCs w:val="24"/>
              </w:rPr>
              <w:t>止污染物跑、冒、滴、漏，将废污水</w:t>
            </w:r>
            <w:r>
              <w:rPr>
                <w:sz w:val="24"/>
                <w:szCs w:val="24"/>
              </w:rPr>
              <w:t xml:space="preserve"> </w:t>
            </w:r>
            <w:r>
              <w:rPr>
                <w:spacing w:val="-1"/>
                <w:sz w:val="24"/>
                <w:szCs w:val="24"/>
              </w:rPr>
              <w:t>泄漏的环境风险降低到最低程度。</w:t>
            </w:r>
          </w:p>
        </w:tc>
      </w:tr>
    </w:tbl>
    <w:p w14:paraId="0032470F">
      <w:pPr>
        <w:pStyle w:val="2"/>
      </w:pPr>
    </w:p>
    <w:p w14:paraId="40B76D7E">
      <w:pPr>
        <w:sectPr>
          <w:footerReference r:id="rId77" w:type="default"/>
          <w:pgSz w:w="11906" w:h="16839"/>
          <w:pgMar w:top="400" w:right="1445" w:bottom="1259" w:left="1543" w:header="0" w:footer="1097" w:gutter="0"/>
          <w:cols w:space="720" w:num="1"/>
        </w:sectPr>
      </w:pPr>
    </w:p>
    <w:p w14:paraId="7D788EDD">
      <w:pPr>
        <w:spacing w:before="19"/>
      </w:pPr>
    </w:p>
    <w:p w14:paraId="231D6E8B">
      <w:pPr>
        <w:spacing w:before="19"/>
      </w:pPr>
    </w:p>
    <w:p w14:paraId="24D994B8">
      <w:pPr>
        <w:spacing w:before="18"/>
      </w:pPr>
    </w:p>
    <w:p w14:paraId="782514D3">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8541"/>
      </w:tblGrid>
      <w:tr w14:paraId="25F6C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6" w:hRule="atLeast"/>
        </w:trPr>
        <w:tc>
          <w:tcPr>
            <w:tcW w:w="371" w:type="dxa"/>
            <w:vAlign w:val="top"/>
          </w:tcPr>
          <w:p w14:paraId="21B2DA48">
            <w:pPr>
              <w:rPr>
                <w:rFonts w:ascii="Arial"/>
                <w:sz w:val="21"/>
              </w:rPr>
            </w:pPr>
          </w:p>
        </w:tc>
        <w:tc>
          <w:tcPr>
            <w:tcW w:w="8541" w:type="dxa"/>
            <w:vAlign w:val="top"/>
          </w:tcPr>
          <w:p w14:paraId="2A18CBB0">
            <w:pPr>
              <w:pStyle w:val="6"/>
              <w:spacing w:before="41" w:line="359" w:lineRule="auto"/>
              <w:ind w:left="112" w:right="106" w:firstLine="479"/>
              <w:jc w:val="both"/>
              <w:rPr>
                <w:sz w:val="24"/>
                <w:szCs w:val="24"/>
              </w:rPr>
            </w:pPr>
            <w:r>
              <w:rPr>
                <w:spacing w:val="1"/>
                <w:sz w:val="24"/>
                <w:szCs w:val="24"/>
              </w:rPr>
              <w:t>②根据《环境影响评价技术导则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pacing w:val="1"/>
                <w:sz w:val="24"/>
                <w:szCs w:val="24"/>
              </w:rPr>
              <w:t>610-2016</w:t>
            </w:r>
            <w:r>
              <w:rPr>
                <w:spacing w:val="1"/>
                <w:sz w:val="24"/>
                <w:szCs w:val="24"/>
              </w:rPr>
              <w:t>）相关要求，</w:t>
            </w:r>
            <w:r>
              <w:rPr>
                <w:spacing w:val="14"/>
                <w:sz w:val="24"/>
                <w:szCs w:val="24"/>
              </w:rPr>
              <w:t xml:space="preserve"> </w:t>
            </w:r>
            <w:r>
              <w:rPr>
                <w:spacing w:val="-2"/>
                <w:sz w:val="24"/>
                <w:szCs w:val="24"/>
              </w:rPr>
              <w:t>场区应做分区防渗，将各功能单元可能产生污染</w:t>
            </w:r>
            <w:r>
              <w:rPr>
                <w:spacing w:val="-3"/>
                <w:sz w:val="24"/>
                <w:szCs w:val="24"/>
              </w:rPr>
              <w:t>的地区划分为重点防渗区和一般</w:t>
            </w:r>
            <w:r>
              <w:rPr>
                <w:sz w:val="24"/>
                <w:szCs w:val="24"/>
              </w:rPr>
              <w:t xml:space="preserve"> </w:t>
            </w:r>
            <w:r>
              <w:rPr>
                <w:spacing w:val="-2"/>
                <w:sz w:val="24"/>
                <w:szCs w:val="24"/>
              </w:rPr>
              <w:t>防渗区。停车区、候检区、维修车间、洗车车间</w:t>
            </w:r>
            <w:r>
              <w:rPr>
                <w:spacing w:val="-3"/>
                <w:sz w:val="24"/>
                <w:szCs w:val="24"/>
              </w:rPr>
              <w:t>、污水处理间、危废暂存间、事</w:t>
            </w:r>
            <w:r>
              <w:rPr>
                <w:sz w:val="24"/>
                <w:szCs w:val="24"/>
              </w:rPr>
              <w:t xml:space="preserve"> </w:t>
            </w:r>
            <w:r>
              <w:rPr>
                <w:spacing w:val="12"/>
                <w:sz w:val="24"/>
                <w:szCs w:val="24"/>
              </w:rPr>
              <w:t>故应急池、初期雨水池以及场区道路均按照《危险废</w:t>
            </w:r>
            <w:r>
              <w:rPr>
                <w:spacing w:val="11"/>
                <w:sz w:val="24"/>
                <w:szCs w:val="24"/>
              </w:rPr>
              <w:t>物贮存污染控制标准》</w:t>
            </w:r>
            <w:r>
              <w:rPr>
                <w:sz w:val="24"/>
                <w:szCs w:val="24"/>
              </w:rPr>
              <w:t xml:space="preserve"> </w:t>
            </w:r>
            <w:r>
              <w:rPr>
                <w:spacing w:val="-11"/>
                <w:sz w:val="24"/>
                <w:szCs w:val="24"/>
              </w:rPr>
              <w:t>（</w:t>
            </w:r>
            <w:r>
              <w:rPr>
                <w:spacing w:val="-52"/>
                <w:sz w:val="24"/>
                <w:szCs w:val="24"/>
              </w:rPr>
              <w:t xml:space="preserve"> </w:t>
            </w:r>
            <w:r>
              <w:rPr>
                <w:rFonts w:ascii="Times New Roman" w:hAnsi="Times New Roman" w:eastAsia="Times New Roman" w:cs="Times New Roman"/>
                <w:spacing w:val="-11"/>
                <w:sz w:val="24"/>
                <w:szCs w:val="24"/>
              </w:rPr>
              <w:t>GB18597-2023</w:t>
            </w:r>
            <w:r>
              <w:rPr>
                <w:rFonts w:ascii="Times New Roman" w:hAnsi="Times New Roman" w:eastAsia="Times New Roman" w:cs="Times New Roman"/>
                <w:spacing w:val="33"/>
                <w:sz w:val="24"/>
                <w:szCs w:val="24"/>
              </w:rPr>
              <w:t xml:space="preserve"> </w:t>
            </w:r>
            <w:r>
              <w:rPr>
                <w:spacing w:val="-11"/>
                <w:sz w:val="24"/>
                <w:szCs w:val="24"/>
              </w:rPr>
              <w:t>）</w:t>
            </w:r>
            <w:r>
              <w:rPr>
                <w:spacing w:val="-37"/>
                <w:sz w:val="24"/>
                <w:szCs w:val="24"/>
              </w:rPr>
              <w:t xml:space="preserve"> </w:t>
            </w:r>
            <w:r>
              <w:rPr>
                <w:spacing w:val="-11"/>
                <w:sz w:val="24"/>
                <w:szCs w:val="24"/>
              </w:rPr>
              <w:t>、</w:t>
            </w:r>
            <w:r>
              <w:rPr>
                <w:spacing w:val="-62"/>
                <w:sz w:val="24"/>
                <w:szCs w:val="24"/>
              </w:rPr>
              <w:t xml:space="preserve"> </w:t>
            </w:r>
            <w:r>
              <w:rPr>
                <w:spacing w:val="-11"/>
                <w:sz w:val="24"/>
                <w:szCs w:val="24"/>
              </w:rPr>
              <w:t>《</w:t>
            </w:r>
            <w:r>
              <w:rPr>
                <w:spacing w:val="-31"/>
                <w:sz w:val="24"/>
                <w:szCs w:val="24"/>
              </w:rPr>
              <w:t xml:space="preserve"> </w:t>
            </w:r>
            <w:r>
              <w:rPr>
                <w:spacing w:val="-11"/>
                <w:sz w:val="24"/>
                <w:szCs w:val="24"/>
              </w:rPr>
              <w:t>化</w:t>
            </w:r>
            <w:r>
              <w:rPr>
                <w:spacing w:val="-50"/>
                <w:sz w:val="24"/>
                <w:szCs w:val="24"/>
              </w:rPr>
              <w:t xml:space="preserve"> </w:t>
            </w:r>
            <w:r>
              <w:rPr>
                <w:spacing w:val="-11"/>
                <w:sz w:val="24"/>
                <w:szCs w:val="24"/>
              </w:rPr>
              <w:t>工</w:t>
            </w:r>
            <w:r>
              <w:rPr>
                <w:spacing w:val="-33"/>
                <w:sz w:val="24"/>
                <w:szCs w:val="24"/>
              </w:rPr>
              <w:t xml:space="preserve"> </w:t>
            </w:r>
            <w:r>
              <w:rPr>
                <w:spacing w:val="-11"/>
                <w:sz w:val="24"/>
                <w:szCs w:val="24"/>
              </w:rPr>
              <w:t>园</w:t>
            </w:r>
            <w:r>
              <w:rPr>
                <w:spacing w:val="-36"/>
                <w:sz w:val="24"/>
                <w:szCs w:val="24"/>
              </w:rPr>
              <w:t xml:space="preserve"> </w:t>
            </w:r>
            <w:r>
              <w:rPr>
                <w:spacing w:val="-11"/>
                <w:sz w:val="24"/>
                <w:szCs w:val="24"/>
              </w:rPr>
              <w:t>区</w:t>
            </w:r>
            <w:r>
              <w:rPr>
                <w:spacing w:val="-52"/>
                <w:sz w:val="24"/>
                <w:szCs w:val="24"/>
              </w:rPr>
              <w:t xml:space="preserve"> </w:t>
            </w:r>
            <w:r>
              <w:rPr>
                <w:spacing w:val="-11"/>
                <w:sz w:val="24"/>
                <w:szCs w:val="24"/>
              </w:rPr>
              <w:t>危</w:t>
            </w:r>
            <w:r>
              <w:rPr>
                <w:spacing w:val="-40"/>
                <w:sz w:val="24"/>
                <w:szCs w:val="24"/>
              </w:rPr>
              <w:t xml:space="preserve"> </w:t>
            </w:r>
            <w:r>
              <w:rPr>
                <w:spacing w:val="-11"/>
                <w:sz w:val="24"/>
                <w:szCs w:val="24"/>
              </w:rPr>
              <w:t>险</w:t>
            </w:r>
            <w:r>
              <w:rPr>
                <w:spacing w:val="-34"/>
                <w:sz w:val="24"/>
                <w:szCs w:val="24"/>
              </w:rPr>
              <w:t xml:space="preserve"> </w:t>
            </w:r>
            <w:r>
              <w:rPr>
                <w:spacing w:val="-11"/>
                <w:sz w:val="24"/>
                <w:szCs w:val="24"/>
              </w:rPr>
              <w:t>品</w:t>
            </w:r>
            <w:r>
              <w:rPr>
                <w:spacing w:val="-53"/>
                <w:sz w:val="24"/>
                <w:szCs w:val="24"/>
              </w:rPr>
              <w:t xml:space="preserve"> </w:t>
            </w:r>
            <w:r>
              <w:rPr>
                <w:spacing w:val="-11"/>
                <w:sz w:val="24"/>
                <w:szCs w:val="24"/>
              </w:rPr>
              <w:t>运</w:t>
            </w:r>
            <w:r>
              <w:rPr>
                <w:spacing w:val="-56"/>
                <w:sz w:val="24"/>
                <w:szCs w:val="24"/>
              </w:rPr>
              <w:t xml:space="preserve"> </w:t>
            </w:r>
            <w:r>
              <w:rPr>
                <w:spacing w:val="-11"/>
                <w:sz w:val="24"/>
                <w:szCs w:val="24"/>
              </w:rPr>
              <w:t>输</w:t>
            </w:r>
            <w:r>
              <w:rPr>
                <w:spacing w:val="-51"/>
                <w:sz w:val="24"/>
                <w:szCs w:val="24"/>
              </w:rPr>
              <w:t xml:space="preserve"> </w:t>
            </w:r>
            <w:r>
              <w:rPr>
                <w:spacing w:val="-11"/>
                <w:sz w:val="24"/>
                <w:szCs w:val="24"/>
              </w:rPr>
              <w:t>车</w:t>
            </w:r>
            <w:r>
              <w:rPr>
                <w:spacing w:val="-54"/>
                <w:sz w:val="24"/>
                <w:szCs w:val="24"/>
              </w:rPr>
              <w:t xml:space="preserve"> </w:t>
            </w:r>
            <w:r>
              <w:rPr>
                <w:spacing w:val="-11"/>
                <w:sz w:val="24"/>
                <w:szCs w:val="24"/>
              </w:rPr>
              <w:t>辆</w:t>
            </w:r>
            <w:r>
              <w:rPr>
                <w:spacing w:val="-52"/>
                <w:sz w:val="24"/>
                <w:szCs w:val="24"/>
              </w:rPr>
              <w:t xml:space="preserve"> </w:t>
            </w:r>
            <w:r>
              <w:rPr>
                <w:spacing w:val="-11"/>
                <w:sz w:val="24"/>
                <w:szCs w:val="24"/>
              </w:rPr>
              <w:t>停</w:t>
            </w:r>
            <w:r>
              <w:rPr>
                <w:spacing w:val="-51"/>
                <w:sz w:val="24"/>
                <w:szCs w:val="24"/>
              </w:rPr>
              <w:t xml:space="preserve"> </w:t>
            </w:r>
            <w:r>
              <w:rPr>
                <w:spacing w:val="-11"/>
                <w:sz w:val="24"/>
                <w:szCs w:val="24"/>
              </w:rPr>
              <w:t>车</w:t>
            </w:r>
            <w:r>
              <w:rPr>
                <w:spacing w:val="-57"/>
                <w:sz w:val="24"/>
                <w:szCs w:val="24"/>
              </w:rPr>
              <w:t xml:space="preserve"> </w:t>
            </w:r>
            <w:r>
              <w:rPr>
                <w:spacing w:val="-11"/>
                <w:sz w:val="24"/>
                <w:szCs w:val="24"/>
              </w:rPr>
              <w:t>场</w:t>
            </w:r>
            <w:r>
              <w:rPr>
                <w:spacing w:val="-50"/>
                <w:sz w:val="24"/>
                <w:szCs w:val="24"/>
              </w:rPr>
              <w:t xml:space="preserve"> </w:t>
            </w:r>
            <w:r>
              <w:rPr>
                <w:spacing w:val="-11"/>
                <w:sz w:val="24"/>
                <w:szCs w:val="24"/>
              </w:rPr>
              <w:t>建</w:t>
            </w:r>
            <w:r>
              <w:rPr>
                <w:spacing w:val="-49"/>
                <w:sz w:val="24"/>
                <w:szCs w:val="24"/>
              </w:rPr>
              <w:t xml:space="preserve"> </w:t>
            </w:r>
            <w:r>
              <w:rPr>
                <w:spacing w:val="-11"/>
                <w:sz w:val="24"/>
                <w:szCs w:val="24"/>
              </w:rPr>
              <w:t>设</w:t>
            </w:r>
            <w:r>
              <w:rPr>
                <w:spacing w:val="-52"/>
                <w:sz w:val="24"/>
                <w:szCs w:val="24"/>
              </w:rPr>
              <w:t xml:space="preserve"> </w:t>
            </w:r>
            <w:r>
              <w:rPr>
                <w:spacing w:val="-11"/>
                <w:sz w:val="24"/>
                <w:szCs w:val="24"/>
              </w:rPr>
              <w:t>标</w:t>
            </w:r>
            <w:r>
              <w:rPr>
                <w:spacing w:val="-54"/>
                <w:sz w:val="24"/>
                <w:szCs w:val="24"/>
              </w:rPr>
              <w:t xml:space="preserve"> </w:t>
            </w:r>
            <w:r>
              <w:rPr>
                <w:spacing w:val="-11"/>
                <w:sz w:val="24"/>
                <w:szCs w:val="24"/>
              </w:rPr>
              <w:t>准</w:t>
            </w:r>
            <w:r>
              <w:rPr>
                <w:spacing w:val="-40"/>
                <w:sz w:val="24"/>
                <w:szCs w:val="24"/>
              </w:rPr>
              <w:t xml:space="preserve"> </w:t>
            </w:r>
            <w:r>
              <w:rPr>
                <w:spacing w:val="-11"/>
                <w:sz w:val="24"/>
                <w:szCs w:val="24"/>
              </w:rPr>
              <w:t>》</w:t>
            </w:r>
            <w:r>
              <w:rPr>
                <w:sz w:val="24"/>
                <w:szCs w:val="24"/>
              </w:rPr>
              <w:t xml:space="preserve"> </w:t>
            </w:r>
            <w:r>
              <w:rPr>
                <w:spacing w:val="1"/>
                <w:sz w:val="24"/>
                <w:szCs w:val="24"/>
              </w:rPr>
              <w:t>（</w:t>
            </w:r>
            <w:r>
              <w:rPr>
                <w:rFonts w:ascii="Times New Roman" w:hAnsi="Times New Roman" w:eastAsia="Times New Roman" w:cs="Times New Roman"/>
                <w:spacing w:val="1"/>
                <w:sz w:val="24"/>
                <w:szCs w:val="24"/>
              </w:rPr>
              <w:t>T/</w:t>
            </w:r>
            <w:r>
              <w:rPr>
                <w:rFonts w:ascii="Times New Roman" w:hAnsi="Times New Roman" w:eastAsia="Times New Roman" w:cs="Times New Roman"/>
                <w:sz w:val="24"/>
                <w:szCs w:val="24"/>
              </w:rPr>
              <w:t>CPCIF</w:t>
            </w:r>
            <w:r>
              <w:rPr>
                <w:rFonts w:ascii="Times New Roman" w:hAnsi="Times New Roman" w:eastAsia="Times New Roman" w:cs="Times New Roman"/>
                <w:spacing w:val="1"/>
                <w:sz w:val="24"/>
                <w:szCs w:val="24"/>
              </w:rPr>
              <w:t>0050-2020</w:t>
            </w:r>
            <w:r>
              <w:rPr>
                <w:spacing w:val="1"/>
                <w:sz w:val="24"/>
                <w:szCs w:val="24"/>
              </w:rPr>
              <w:t>）等有关要求进行重</w:t>
            </w:r>
            <w:r>
              <w:rPr>
                <w:sz w:val="24"/>
                <w:szCs w:val="24"/>
              </w:rPr>
              <w:t>点防渗，地面采用至少</w:t>
            </w:r>
            <w:r>
              <w:rPr>
                <w:spacing w:val="-53"/>
                <w:sz w:val="24"/>
                <w:szCs w:val="24"/>
              </w:rPr>
              <w:t xml:space="preserve"> </w:t>
            </w:r>
            <w:r>
              <w:rPr>
                <w:rFonts w:ascii="Times New Roman" w:hAnsi="Times New Roman" w:eastAsia="Times New Roman" w:cs="Times New Roman"/>
                <w:sz w:val="24"/>
                <w:szCs w:val="24"/>
              </w:rPr>
              <w:t>2mm</w:t>
            </w:r>
            <w:r>
              <w:rPr>
                <w:rFonts w:ascii="Times New Roman" w:hAnsi="Times New Roman" w:eastAsia="Times New Roman" w:cs="Times New Roman"/>
                <w:spacing w:val="19"/>
                <w:sz w:val="24"/>
                <w:szCs w:val="24"/>
              </w:rPr>
              <w:t xml:space="preserve"> </w:t>
            </w:r>
            <w:r>
              <w:rPr>
                <w:sz w:val="24"/>
                <w:szCs w:val="24"/>
              </w:rPr>
              <w:t>厚</w:t>
            </w:r>
            <w:r>
              <w:rPr>
                <w:spacing w:val="-54"/>
                <w:sz w:val="24"/>
                <w:szCs w:val="24"/>
              </w:rPr>
              <w:t xml:space="preserve"> </w:t>
            </w:r>
            <w:r>
              <w:rPr>
                <w:rFonts w:ascii="Times New Roman" w:hAnsi="Times New Roman" w:eastAsia="Times New Roman" w:cs="Times New Roman"/>
                <w:sz w:val="24"/>
                <w:szCs w:val="24"/>
              </w:rPr>
              <w:t xml:space="preserve">HDPE </w:t>
            </w:r>
            <w:r>
              <w:rPr>
                <w:spacing w:val="1"/>
                <w:sz w:val="24"/>
                <w:szCs w:val="24"/>
              </w:rPr>
              <w:t>或其他人工材料进行防渗处理，渗透系数不大于</w:t>
            </w:r>
            <w:r>
              <w:rPr>
                <w:spacing w:val="-29"/>
                <w:sz w:val="24"/>
                <w:szCs w:val="24"/>
              </w:rPr>
              <w:t xml:space="preserve"> </w:t>
            </w:r>
            <w:r>
              <w:rPr>
                <w:rFonts w:ascii="Times New Roman" w:hAnsi="Times New Roman" w:eastAsia="Times New Roman" w:cs="Times New Roman"/>
                <w:spacing w:val="1"/>
                <w:sz w:val="24"/>
                <w:szCs w:val="24"/>
              </w:rPr>
              <w:t>1.0</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-10</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5"/>
                <w:sz w:val="24"/>
                <w:szCs w:val="24"/>
              </w:rPr>
              <w:t xml:space="preserve"> </w:t>
            </w:r>
            <w:r>
              <w:rPr>
                <w:spacing w:val="1"/>
                <w:sz w:val="24"/>
                <w:szCs w:val="24"/>
              </w:rPr>
              <w:t>。消</w:t>
            </w:r>
            <w:r>
              <w:rPr>
                <w:sz w:val="24"/>
                <w:szCs w:val="24"/>
              </w:rPr>
              <w:t xml:space="preserve">防水池、消 </w:t>
            </w:r>
            <w:r>
              <w:rPr>
                <w:spacing w:val="-2"/>
                <w:sz w:val="24"/>
                <w:szCs w:val="24"/>
              </w:rPr>
              <w:t>防水泵房、综合管理用房和餐厅为一般防渗区，</w:t>
            </w:r>
            <w:r>
              <w:rPr>
                <w:spacing w:val="-3"/>
                <w:sz w:val="24"/>
                <w:szCs w:val="24"/>
              </w:rPr>
              <w:t>没有特别的防渗要求，但应采用</w:t>
            </w:r>
            <w:r>
              <w:rPr>
                <w:sz w:val="24"/>
                <w:szCs w:val="24"/>
              </w:rPr>
              <w:t xml:space="preserve"> </w:t>
            </w:r>
            <w:r>
              <w:rPr>
                <w:spacing w:val="-2"/>
                <w:sz w:val="24"/>
                <w:szCs w:val="24"/>
              </w:rPr>
              <w:t>水泥硬化地面。</w:t>
            </w:r>
          </w:p>
          <w:p w14:paraId="6D8CD2CC">
            <w:pPr>
              <w:pStyle w:val="6"/>
              <w:spacing w:line="359" w:lineRule="auto"/>
              <w:ind w:left="112" w:right="44" w:firstLine="480"/>
              <w:jc w:val="both"/>
              <w:rPr>
                <w:sz w:val="24"/>
                <w:szCs w:val="24"/>
              </w:rPr>
            </w:pPr>
            <w:r>
              <w:rPr>
                <w:spacing w:val="-3"/>
                <w:sz w:val="24"/>
                <w:szCs w:val="24"/>
              </w:rPr>
              <w:t>运营期停车场应加强进场车辆检查管理，杜绝危险品运输车辆跑冒滴漏现象</w:t>
            </w:r>
            <w:r>
              <w:rPr>
                <w:spacing w:val="14"/>
                <w:sz w:val="24"/>
                <w:szCs w:val="24"/>
              </w:rPr>
              <w:t xml:space="preserve"> </w:t>
            </w:r>
            <w:r>
              <w:rPr>
                <w:spacing w:val="-2"/>
                <w:sz w:val="24"/>
                <w:szCs w:val="24"/>
              </w:rPr>
              <w:t>的发生，最大程度降低危险化学品泄漏风险，在</w:t>
            </w:r>
            <w:r>
              <w:rPr>
                <w:spacing w:val="-3"/>
                <w:sz w:val="24"/>
                <w:szCs w:val="24"/>
              </w:rPr>
              <w:t>落实上述措施后项目运营期不会</w:t>
            </w:r>
            <w:r>
              <w:rPr>
                <w:sz w:val="24"/>
                <w:szCs w:val="24"/>
              </w:rPr>
              <w:t xml:space="preserve"> </w:t>
            </w:r>
            <w:r>
              <w:rPr>
                <w:spacing w:val="-2"/>
                <w:sz w:val="24"/>
                <w:szCs w:val="24"/>
              </w:rPr>
              <w:t>对地下水环境产生明显影响。鉴于地下水污染具</w:t>
            </w:r>
            <w:r>
              <w:rPr>
                <w:spacing w:val="-3"/>
                <w:sz w:val="24"/>
                <w:szCs w:val="24"/>
              </w:rPr>
              <w:t>有隐蔽性，评价要求建设单位应</w:t>
            </w:r>
            <w:r>
              <w:rPr>
                <w:sz w:val="24"/>
                <w:szCs w:val="24"/>
              </w:rPr>
              <w:t xml:space="preserve"> </w:t>
            </w:r>
            <w:r>
              <w:rPr>
                <w:spacing w:val="-7"/>
                <w:sz w:val="24"/>
                <w:szCs w:val="24"/>
              </w:rPr>
              <w:t>加强管理和检查，尤其针对重载停车区、洗车间、事故池</w:t>
            </w:r>
            <w:r>
              <w:rPr>
                <w:spacing w:val="-8"/>
                <w:sz w:val="24"/>
                <w:szCs w:val="24"/>
              </w:rPr>
              <w:t>、危废间等重点防渗区，</w:t>
            </w:r>
            <w:r>
              <w:rPr>
                <w:sz w:val="24"/>
                <w:szCs w:val="24"/>
              </w:rPr>
              <w:t xml:space="preserve"> </w:t>
            </w:r>
            <w:r>
              <w:rPr>
                <w:spacing w:val="-2"/>
                <w:sz w:val="24"/>
                <w:szCs w:val="24"/>
              </w:rPr>
              <w:t>确保不发生危险物质泄漏现象，加强地下水监测</w:t>
            </w:r>
            <w:r>
              <w:rPr>
                <w:spacing w:val="-3"/>
                <w:sz w:val="24"/>
                <w:szCs w:val="24"/>
              </w:rPr>
              <w:t>工作。当好地面破损防渗不满足</w:t>
            </w:r>
            <w:r>
              <w:rPr>
                <w:sz w:val="24"/>
                <w:szCs w:val="24"/>
              </w:rPr>
              <w:t xml:space="preserve"> </w:t>
            </w:r>
            <w:r>
              <w:rPr>
                <w:spacing w:val="-1"/>
                <w:sz w:val="24"/>
                <w:szCs w:val="24"/>
              </w:rPr>
              <w:t>要求时须及时进行修补，降低对地下水污染。</w:t>
            </w:r>
          </w:p>
          <w:p w14:paraId="4AB93B05">
            <w:pPr>
              <w:pStyle w:val="6"/>
              <w:spacing w:line="220" w:lineRule="auto"/>
              <w:ind w:left="112"/>
              <w:outlineLvl w:val="1"/>
              <w:rPr>
                <w:sz w:val="24"/>
                <w:szCs w:val="24"/>
              </w:rPr>
            </w:pPr>
            <w:r>
              <w:rPr>
                <w:rFonts w:ascii="Times New Roman" w:hAnsi="Times New Roman" w:eastAsia="Times New Roman" w:cs="Times New Roman"/>
                <w:b/>
                <w:bCs/>
                <w:spacing w:val="-5"/>
                <w:sz w:val="24"/>
                <w:szCs w:val="24"/>
              </w:rPr>
              <w:t>7</w:t>
            </w:r>
            <w:r>
              <w:rPr>
                <w:rFonts w:ascii="Times New Roman" w:hAnsi="Times New Roman" w:eastAsia="Times New Roman" w:cs="Times New Roman"/>
                <w:b/>
                <w:bCs/>
                <w:spacing w:val="-34"/>
                <w:sz w:val="24"/>
                <w:szCs w:val="24"/>
              </w:rPr>
              <w:t xml:space="preserve"> </w:t>
            </w:r>
            <w:r>
              <w:rPr>
                <w:b/>
                <w:bCs/>
                <w:spacing w:val="-5"/>
                <w:sz w:val="24"/>
                <w:szCs w:val="24"/>
              </w:rPr>
              <w:t>、土壤环境影响分析</w:t>
            </w:r>
          </w:p>
          <w:p w14:paraId="1A5766FA">
            <w:pPr>
              <w:pStyle w:val="6"/>
              <w:spacing w:before="182" w:line="359" w:lineRule="auto"/>
              <w:ind w:left="113" w:right="106" w:firstLine="483"/>
              <w:jc w:val="both"/>
              <w:rPr>
                <w:sz w:val="24"/>
                <w:szCs w:val="24"/>
              </w:rPr>
            </w:pPr>
            <w:r>
              <w:rPr>
                <w:spacing w:val="-3"/>
                <w:sz w:val="24"/>
                <w:szCs w:val="24"/>
              </w:rPr>
              <w:t>项目所在区域为工业园区，拟建场址用地性质为工业用地，不涉及无自然保</w:t>
            </w:r>
            <w:r>
              <w:rPr>
                <w:spacing w:val="10"/>
                <w:sz w:val="24"/>
                <w:szCs w:val="24"/>
              </w:rPr>
              <w:t xml:space="preserve"> </w:t>
            </w:r>
            <w:r>
              <w:rPr>
                <w:spacing w:val="-2"/>
                <w:sz w:val="24"/>
                <w:szCs w:val="24"/>
              </w:rPr>
              <w:t>护区、饮用水源地等需要特殊保护的区域，另</w:t>
            </w:r>
            <w:r>
              <w:rPr>
                <w:spacing w:val="-3"/>
                <w:sz w:val="24"/>
                <w:szCs w:val="24"/>
              </w:rPr>
              <w:t>外根据《环境影响评价技术导则土</w:t>
            </w:r>
            <w:r>
              <w:rPr>
                <w:sz w:val="24"/>
                <w:szCs w:val="24"/>
              </w:rPr>
              <w:t xml:space="preserve"> </w:t>
            </w:r>
            <w:r>
              <w:rPr>
                <w:spacing w:val="-2"/>
                <w:sz w:val="24"/>
                <w:szCs w:val="24"/>
              </w:rPr>
              <w:t>壤环境（试行）》（</w:t>
            </w:r>
            <w:r>
              <w:rPr>
                <w:rFonts w:ascii="Times New Roman" w:hAnsi="Times New Roman" w:eastAsia="Times New Roman" w:cs="Times New Roman"/>
                <w:spacing w:val="-2"/>
                <w:sz w:val="24"/>
                <w:szCs w:val="24"/>
              </w:rPr>
              <w:t>HJ964-2018</w:t>
            </w:r>
            <w:r>
              <w:rPr>
                <w:spacing w:val="-2"/>
                <w:sz w:val="24"/>
                <w:szCs w:val="24"/>
              </w:rPr>
              <w:t>）可知，本项目属于</w:t>
            </w:r>
            <w:r>
              <w:rPr>
                <w:rFonts w:ascii="Times New Roman" w:hAnsi="Times New Roman" w:eastAsia="Times New Roman" w:cs="Times New Roman"/>
                <w:spacing w:val="-2"/>
                <w:sz w:val="24"/>
                <w:szCs w:val="24"/>
              </w:rPr>
              <w:t>Ⅳ</w:t>
            </w:r>
            <w:r>
              <w:rPr>
                <w:spacing w:val="-2"/>
                <w:sz w:val="24"/>
                <w:szCs w:val="24"/>
              </w:rPr>
              <w:t>类项目，可不开</w:t>
            </w:r>
            <w:r>
              <w:rPr>
                <w:spacing w:val="-3"/>
                <w:sz w:val="24"/>
                <w:szCs w:val="24"/>
              </w:rPr>
              <w:t>展土壤环</w:t>
            </w:r>
            <w:r>
              <w:rPr>
                <w:sz w:val="24"/>
                <w:szCs w:val="24"/>
              </w:rPr>
              <w:t xml:space="preserve"> 境影响评价。建设单位按照有关要求开展厂区防渗</w:t>
            </w:r>
            <w:r>
              <w:rPr>
                <w:spacing w:val="-1"/>
                <w:sz w:val="24"/>
                <w:szCs w:val="24"/>
              </w:rPr>
              <w:t>，对土壤污染影响较小。</w:t>
            </w:r>
          </w:p>
          <w:p w14:paraId="1B84217B">
            <w:pPr>
              <w:pStyle w:val="6"/>
              <w:spacing w:line="220" w:lineRule="auto"/>
              <w:ind w:left="112"/>
              <w:outlineLvl w:val="1"/>
              <w:rPr>
                <w:sz w:val="24"/>
                <w:szCs w:val="24"/>
              </w:rPr>
            </w:pPr>
            <w:r>
              <w:rPr>
                <w:rFonts w:ascii="Times New Roman" w:hAnsi="Times New Roman" w:eastAsia="Times New Roman" w:cs="Times New Roman"/>
                <w:b/>
                <w:bCs/>
                <w:spacing w:val="-4"/>
                <w:sz w:val="24"/>
                <w:szCs w:val="24"/>
              </w:rPr>
              <w:t>8</w:t>
            </w:r>
            <w:r>
              <w:rPr>
                <w:rFonts w:ascii="Times New Roman" w:hAnsi="Times New Roman" w:eastAsia="Times New Roman" w:cs="Times New Roman"/>
                <w:b/>
                <w:bCs/>
                <w:spacing w:val="-33"/>
                <w:sz w:val="24"/>
                <w:szCs w:val="24"/>
              </w:rPr>
              <w:t xml:space="preserve"> </w:t>
            </w:r>
            <w:r>
              <w:rPr>
                <w:b/>
                <w:bCs/>
                <w:spacing w:val="-4"/>
                <w:sz w:val="24"/>
                <w:szCs w:val="24"/>
              </w:rPr>
              <w:t>、环境风险影响分析与防范措施</w:t>
            </w:r>
          </w:p>
          <w:p w14:paraId="6A5401F5">
            <w:pPr>
              <w:pStyle w:val="6"/>
              <w:spacing w:before="179" w:line="359" w:lineRule="auto"/>
              <w:ind w:left="114" w:right="104" w:firstLine="480"/>
              <w:jc w:val="both"/>
              <w:rPr>
                <w:sz w:val="24"/>
                <w:szCs w:val="24"/>
              </w:rPr>
            </w:pPr>
            <w:r>
              <w:rPr>
                <w:spacing w:val="-3"/>
                <w:sz w:val="24"/>
                <w:szCs w:val="24"/>
              </w:rPr>
              <w:t>本项目为鄂托克经济开发区棋西项目区危险化学品车辆专用停车场项目，共</w:t>
            </w:r>
            <w:r>
              <w:rPr>
                <w:spacing w:val="13"/>
                <w:sz w:val="24"/>
                <w:szCs w:val="24"/>
              </w:rPr>
              <w:t xml:space="preserve"> </w:t>
            </w:r>
            <w:r>
              <w:rPr>
                <w:spacing w:val="-1"/>
                <w:sz w:val="24"/>
                <w:szCs w:val="24"/>
              </w:rPr>
              <w:t>设置停车位</w:t>
            </w:r>
            <w:r>
              <w:rPr>
                <w:spacing w:val="-32"/>
                <w:sz w:val="24"/>
                <w:szCs w:val="24"/>
              </w:rPr>
              <w:t xml:space="preserve"> </w:t>
            </w:r>
            <w:r>
              <w:rPr>
                <w:rFonts w:ascii="Times New Roman" w:hAnsi="Times New Roman" w:eastAsia="Times New Roman" w:cs="Times New Roman"/>
                <w:spacing w:val="-1"/>
                <w:sz w:val="24"/>
                <w:szCs w:val="24"/>
              </w:rPr>
              <w:t xml:space="preserve">92 </w:t>
            </w:r>
            <w:r>
              <w:rPr>
                <w:spacing w:val="-1"/>
                <w:sz w:val="24"/>
                <w:szCs w:val="24"/>
              </w:rPr>
              <w:t>个，包括重载车位</w:t>
            </w:r>
            <w:r>
              <w:rPr>
                <w:spacing w:val="-30"/>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个、空车车位</w:t>
            </w:r>
            <w:r>
              <w:rPr>
                <w:spacing w:val="-45"/>
                <w:sz w:val="24"/>
                <w:szCs w:val="24"/>
              </w:rPr>
              <w:t xml:space="preserve"> </w:t>
            </w:r>
            <w:r>
              <w:rPr>
                <w:rFonts w:ascii="Times New Roman" w:hAnsi="Times New Roman" w:eastAsia="Times New Roman" w:cs="Times New Roman"/>
                <w:spacing w:val="-1"/>
                <w:sz w:val="24"/>
                <w:szCs w:val="24"/>
              </w:rPr>
              <w:t xml:space="preserve">82 </w:t>
            </w:r>
            <w:r>
              <w:rPr>
                <w:spacing w:val="-1"/>
                <w:sz w:val="24"/>
                <w:szCs w:val="24"/>
              </w:rPr>
              <w:t>个。根据《建设项目环境</w:t>
            </w:r>
            <w:r>
              <w:rPr>
                <w:sz w:val="24"/>
                <w:szCs w:val="24"/>
              </w:rPr>
              <w:t xml:space="preserve"> </w:t>
            </w:r>
            <w:r>
              <w:rPr>
                <w:spacing w:val="-2"/>
                <w:sz w:val="24"/>
                <w:szCs w:val="24"/>
              </w:rPr>
              <w:t>风险评价技术导则》（</w:t>
            </w:r>
            <w:r>
              <w:rPr>
                <w:rFonts w:ascii="Times New Roman" w:hAnsi="Times New Roman" w:eastAsia="Times New Roman" w:cs="Times New Roman"/>
                <w:spacing w:val="-2"/>
                <w:sz w:val="24"/>
                <w:szCs w:val="24"/>
              </w:rPr>
              <w:t>HJ169-2018</w:t>
            </w:r>
            <w:r>
              <w:rPr>
                <w:spacing w:val="5"/>
                <w:sz w:val="24"/>
                <w:szCs w:val="24"/>
              </w:rPr>
              <w:t>），</w:t>
            </w:r>
            <w:r>
              <w:rPr>
                <w:spacing w:val="-2"/>
                <w:sz w:val="24"/>
                <w:szCs w:val="24"/>
              </w:rPr>
              <w:t>本项目重载车位日常车辆满</w:t>
            </w:r>
            <w:r>
              <w:rPr>
                <w:spacing w:val="-3"/>
                <w:sz w:val="24"/>
                <w:szCs w:val="24"/>
              </w:rPr>
              <w:t>负荷停放时，</w:t>
            </w:r>
            <w:r>
              <w:rPr>
                <w:spacing w:val="1"/>
                <w:sz w:val="24"/>
                <w:szCs w:val="24"/>
              </w:rPr>
              <w:t xml:space="preserve"> </w:t>
            </w:r>
            <w:r>
              <w:rPr>
                <w:spacing w:val="-1"/>
                <w:sz w:val="24"/>
                <w:szCs w:val="24"/>
              </w:rPr>
              <w:t>危险化学品存储量超过临界量，需开展环境风险专题评价工作。</w:t>
            </w:r>
          </w:p>
          <w:p w14:paraId="0896403E">
            <w:pPr>
              <w:pStyle w:val="6"/>
              <w:spacing w:before="5" w:line="352" w:lineRule="auto"/>
              <w:ind w:left="114" w:right="106" w:firstLine="482"/>
              <w:jc w:val="both"/>
              <w:rPr>
                <w:sz w:val="24"/>
                <w:szCs w:val="24"/>
              </w:rPr>
            </w:pPr>
            <w:r>
              <w:rPr>
                <w:spacing w:val="-3"/>
                <w:sz w:val="24"/>
                <w:szCs w:val="24"/>
              </w:rPr>
              <w:t>项目主要环境风险为满载运输车辆在停车场内停放时的泄漏、火灾、爆炸事</w:t>
            </w:r>
            <w:r>
              <w:rPr>
                <w:spacing w:val="10"/>
                <w:sz w:val="24"/>
                <w:szCs w:val="24"/>
              </w:rPr>
              <w:t xml:space="preserve"> </w:t>
            </w:r>
            <w:r>
              <w:rPr>
                <w:spacing w:val="2"/>
                <w:sz w:val="24"/>
                <w:szCs w:val="24"/>
              </w:rPr>
              <w:t>故以及其泄漏、火灾爆炸引发的伴生</w:t>
            </w:r>
            <w:r>
              <w:rPr>
                <w:rFonts w:ascii="Times New Roman" w:hAnsi="Times New Roman" w:eastAsia="Times New Roman" w:cs="Times New Roman"/>
                <w:spacing w:val="2"/>
                <w:sz w:val="24"/>
                <w:szCs w:val="24"/>
              </w:rPr>
              <w:t>/</w:t>
            </w:r>
            <w:r>
              <w:rPr>
                <w:spacing w:val="2"/>
                <w:sz w:val="24"/>
                <w:szCs w:val="24"/>
              </w:rPr>
              <w:t>次生污染等事故。环境风险的客观存在无</w:t>
            </w:r>
            <w:r>
              <w:rPr>
                <w:spacing w:val="15"/>
                <w:sz w:val="24"/>
                <w:szCs w:val="24"/>
              </w:rPr>
              <w:t xml:space="preserve"> </w:t>
            </w:r>
            <w:r>
              <w:rPr>
                <w:spacing w:val="-2"/>
                <w:sz w:val="24"/>
                <w:szCs w:val="24"/>
              </w:rPr>
              <w:t>法改变，但通过科学的设计、施工、操作和</w:t>
            </w:r>
            <w:r>
              <w:rPr>
                <w:spacing w:val="-3"/>
                <w:sz w:val="24"/>
                <w:szCs w:val="24"/>
              </w:rPr>
              <w:t>管理，可将风险事故发生的可能性和</w:t>
            </w:r>
            <w:r>
              <w:rPr>
                <w:sz w:val="24"/>
                <w:szCs w:val="24"/>
              </w:rPr>
              <w:t xml:space="preserve"> </w:t>
            </w:r>
            <w:r>
              <w:rPr>
                <w:spacing w:val="-2"/>
                <w:sz w:val="24"/>
                <w:szCs w:val="24"/>
              </w:rPr>
              <w:t>危害性降低到最小程度，真正做到防患于未</w:t>
            </w:r>
            <w:r>
              <w:rPr>
                <w:spacing w:val="-3"/>
                <w:sz w:val="24"/>
                <w:szCs w:val="24"/>
              </w:rPr>
              <w:t>然，达到预防事故发生的目的。风险</w:t>
            </w:r>
          </w:p>
        </w:tc>
      </w:tr>
    </w:tbl>
    <w:p w14:paraId="5D91B6D8">
      <w:pPr>
        <w:pStyle w:val="2"/>
      </w:pPr>
    </w:p>
    <w:p w14:paraId="272F07A3">
      <w:pPr>
        <w:sectPr>
          <w:footerReference r:id="rId78" w:type="default"/>
          <w:pgSz w:w="11906" w:h="16839"/>
          <w:pgMar w:top="400" w:right="1445" w:bottom="1259" w:left="1543" w:header="0" w:footer="1097" w:gutter="0"/>
          <w:cols w:space="720" w:num="1"/>
        </w:sectPr>
      </w:pPr>
    </w:p>
    <w:p w14:paraId="7DD3B6ED">
      <w:pPr>
        <w:spacing w:before="19"/>
      </w:pPr>
    </w:p>
    <w:p w14:paraId="11D15890">
      <w:pPr>
        <w:spacing w:before="19"/>
      </w:pPr>
    </w:p>
    <w:p w14:paraId="7220C0DE">
      <w:pPr>
        <w:spacing w:before="18"/>
      </w:pPr>
    </w:p>
    <w:p w14:paraId="294E4954">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669"/>
        <w:gridCol w:w="1029"/>
        <w:gridCol w:w="6612"/>
        <w:gridCol w:w="118"/>
      </w:tblGrid>
      <w:tr w14:paraId="6199B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6" w:hRule="atLeast"/>
        </w:trPr>
        <w:tc>
          <w:tcPr>
            <w:tcW w:w="371" w:type="dxa"/>
            <w:vMerge w:val="restart"/>
            <w:tcBorders>
              <w:bottom w:val="nil"/>
            </w:tcBorders>
            <w:vAlign w:val="top"/>
          </w:tcPr>
          <w:p w14:paraId="67C18932">
            <w:pPr>
              <w:rPr>
                <w:rFonts w:ascii="Arial"/>
                <w:sz w:val="21"/>
              </w:rPr>
            </w:pPr>
          </w:p>
        </w:tc>
        <w:tc>
          <w:tcPr>
            <w:tcW w:w="8541" w:type="dxa"/>
            <w:gridSpan w:val="5"/>
            <w:vAlign w:val="top"/>
          </w:tcPr>
          <w:p w14:paraId="339B793A">
            <w:pPr>
              <w:pStyle w:val="6"/>
              <w:spacing w:before="39" w:line="359" w:lineRule="auto"/>
              <w:ind w:left="113" w:right="26" w:firstLine="5"/>
              <w:jc w:val="both"/>
              <w:rPr>
                <w:sz w:val="24"/>
                <w:szCs w:val="24"/>
              </w:rPr>
            </w:pPr>
            <w:r>
              <w:rPr>
                <w:spacing w:val="-3"/>
                <w:sz w:val="24"/>
                <w:szCs w:val="24"/>
              </w:rPr>
              <w:t>管理的重点在于减缓、防范措施。从风险防范方面提出本项目应采用的防范及应</w:t>
            </w:r>
            <w:r>
              <w:rPr>
                <w:spacing w:val="14"/>
                <w:sz w:val="24"/>
                <w:szCs w:val="24"/>
              </w:rPr>
              <w:t xml:space="preserve"> </w:t>
            </w:r>
            <w:r>
              <w:rPr>
                <w:spacing w:val="-7"/>
                <w:sz w:val="24"/>
                <w:szCs w:val="24"/>
              </w:rPr>
              <w:t>急处理措施，主要内容包括选址、总图布置和建筑安全防范、运输过程风险防范、</w:t>
            </w:r>
            <w:r>
              <w:rPr>
                <w:spacing w:val="7"/>
                <w:sz w:val="24"/>
                <w:szCs w:val="24"/>
              </w:rPr>
              <w:t xml:space="preserve"> </w:t>
            </w:r>
            <w:r>
              <w:rPr>
                <w:spacing w:val="-2"/>
                <w:sz w:val="24"/>
                <w:szCs w:val="24"/>
              </w:rPr>
              <w:t>物料泄漏事故的防范、火灾和爆炸事故的防范</w:t>
            </w:r>
            <w:r>
              <w:rPr>
                <w:spacing w:val="-3"/>
                <w:sz w:val="24"/>
                <w:szCs w:val="24"/>
              </w:rPr>
              <w:t>、消防及火灾报警系统、废水事故</w:t>
            </w:r>
            <w:r>
              <w:rPr>
                <w:sz w:val="24"/>
                <w:szCs w:val="24"/>
              </w:rPr>
              <w:t xml:space="preserve"> </w:t>
            </w:r>
            <w:r>
              <w:rPr>
                <w:spacing w:val="-2"/>
                <w:sz w:val="24"/>
                <w:szCs w:val="24"/>
              </w:rPr>
              <w:t>排放防范及应急等。</w:t>
            </w:r>
          </w:p>
          <w:p w14:paraId="37BD75AB">
            <w:pPr>
              <w:pStyle w:val="6"/>
              <w:spacing w:before="2" w:line="359" w:lineRule="auto"/>
              <w:ind w:left="113" w:right="106" w:firstLine="480"/>
              <w:jc w:val="both"/>
              <w:rPr>
                <w:sz w:val="24"/>
                <w:szCs w:val="24"/>
              </w:rPr>
            </w:pPr>
            <w:r>
              <w:rPr>
                <w:spacing w:val="-3"/>
                <w:sz w:val="24"/>
                <w:szCs w:val="24"/>
              </w:rPr>
              <w:t>环境风险在通过加强管理，并严格落实评价中提出的风险防范措施后，可在</w:t>
            </w:r>
            <w:r>
              <w:rPr>
                <w:spacing w:val="14"/>
                <w:sz w:val="24"/>
                <w:szCs w:val="24"/>
              </w:rPr>
              <w:t xml:space="preserve"> </w:t>
            </w:r>
            <w:r>
              <w:rPr>
                <w:spacing w:val="-2"/>
                <w:sz w:val="24"/>
                <w:szCs w:val="24"/>
              </w:rPr>
              <w:t>较大程度上避免风险的产生。项目建成后，应</w:t>
            </w:r>
            <w:r>
              <w:rPr>
                <w:spacing w:val="-3"/>
                <w:sz w:val="24"/>
                <w:szCs w:val="24"/>
              </w:rPr>
              <w:t>进行必要的工程质量、施工等方面</w:t>
            </w:r>
            <w:r>
              <w:rPr>
                <w:sz w:val="24"/>
                <w:szCs w:val="24"/>
              </w:rPr>
              <w:t xml:space="preserve"> </w:t>
            </w:r>
            <w:r>
              <w:rPr>
                <w:spacing w:val="-2"/>
                <w:sz w:val="24"/>
                <w:szCs w:val="24"/>
              </w:rPr>
              <w:t>的验收后，方投入正常生产。厂内主要责任人</w:t>
            </w:r>
            <w:r>
              <w:rPr>
                <w:spacing w:val="-3"/>
                <w:sz w:val="24"/>
                <w:szCs w:val="24"/>
              </w:rPr>
              <w:t>及安全管理人员必须经安监部门培</w:t>
            </w:r>
            <w:r>
              <w:rPr>
                <w:sz w:val="24"/>
                <w:szCs w:val="24"/>
              </w:rPr>
              <w:t xml:space="preserve"> </w:t>
            </w:r>
            <w:r>
              <w:rPr>
                <w:spacing w:val="-2"/>
                <w:sz w:val="24"/>
                <w:szCs w:val="24"/>
              </w:rPr>
              <w:t>训，考核合格后持证上岗；特种作业人员必须</w:t>
            </w:r>
            <w:r>
              <w:rPr>
                <w:spacing w:val="-3"/>
                <w:sz w:val="24"/>
                <w:szCs w:val="24"/>
              </w:rPr>
              <w:t>经过专业培训持证上岗。其他从业</w:t>
            </w:r>
            <w:r>
              <w:rPr>
                <w:sz w:val="24"/>
                <w:szCs w:val="24"/>
              </w:rPr>
              <w:t xml:space="preserve"> </w:t>
            </w:r>
            <w:r>
              <w:rPr>
                <w:spacing w:val="-2"/>
                <w:sz w:val="24"/>
                <w:szCs w:val="24"/>
              </w:rPr>
              <w:t>人员均应经过三级安全教育，持证上岗。在各</w:t>
            </w:r>
            <w:r>
              <w:rPr>
                <w:spacing w:val="-3"/>
                <w:sz w:val="24"/>
                <w:szCs w:val="24"/>
              </w:rPr>
              <w:t>环境风险防范措施落实到位的情况</w:t>
            </w:r>
            <w:r>
              <w:rPr>
                <w:sz w:val="24"/>
                <w:szCs w:val="24"/>
              </w:rPr>
              <w:t xml:space="preserve"> 下，将可大降低本项目的环境风险，最大程度减少</w:t>
            </w:r>
            <w:r>
              <w:rPr>
                <w:spacing w:val="-1"/>
                <w:sz w:val="24"/>
                <w:szCs w:val="24"/>
              </w:rPr>
              <w:t>对环境可能造成的危害。</w:t>
            </w:r>
          </w:p>
          <w:p w14:paraId="2444A26A">
            <w:pPr>
              <w:pStyle w:val="6"/>
              <w:spacing w:before="1" w:line="217" w:lineRule="auto"/>
              <w:ind w:left="593"/>
              <w:rPr>
                <w:sz w:val="24"/>
                <w:szCs w:val="24"/>
              </w:rPr>
            </w:pPr>
            <w:r>
              <w:rPr>
                <w:spacing w:val="-1"/>
                <w:sz w:val="24"/>
                <w:szCs w:val="24"/>
              </w:rPr>
              <w:t>环境风险分析具体内容详见环境风险专项评价内容。</w:t>
            </w:r>
          </w:p>
          <w:p w14:paraId="1C59339F">
            <w:pPr>
              <w:pStyle w:val="6"/>
              <w:spacing w:before="182" w:line="219" w:lineRule="auto"/>
              <w:ind w:left="111"/>
              <w:outlineLvl w:val="1"/>
              <w:rPr>
                <w:sz w:val="24"/>
                <w:szCs w:val="24"/>
              </w:rPr>
            </w:pPr>
            <w:r>
              <w:rPr>
                <w:rFonts w:ascii="Times New Roman" w:hAnsi="Times New Roman" w:eastAsia="Times New Roman" w:cs="Times New Roman"/>
                <w:b/>
                <w:bCs/>
                <w:spacing w:val="-5"/>
                <w:sz w:val="24"/>
                <w:szCs w:val="24"/>
              </w:rPr>
              <w:t>9</w:t>
            </w:r>
            <w:r>
              <w:rPr>
                <w:rFonts w:ascii="Times New Roman" w:hAnsi="Times New Roman" w:eastAsia="Times New Roman" w:cs="Times New Roman"/>
                <w:b/>
                <w:bCs/>
                <w:spacing w:val="-32"/>
                <w:sz w:val="24"/>
                <w:szCs w:val="24"/>
              </w:rPr>
              <w:t xml:space="preserve"> </w:t>
            </w:r>
            <w:r>
              <w:rPr>
                <w:b/>
                <w:bCs/>
                <w:spacing w:val="-5"/>
                <w:sz w:val="24"/>
                <w:szCs w:val="24"/>
              </w:rPr>
              <w:t>、环境管理与监测计划</w:t>
            </w:r>
          </w:p>
          <w:p w14:paraId="152056EF">
            <w:pPr>
              <w:pStyle w:val="6"/>
              <w:spacing w:before="184"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）环境管理</w:t>
            </w:r>
          </w:p>
          <w:p w14:paraId="1CD19753">
            <w:pPr>
              <w:pStyle w:val="6"/>
              <w:spacing w:before="182" w:line="359" w:lineRule="auto"/>
              <w:ind w:left="112" w:right="71" w:firstLine="480"/>
              <w:rPr>
                <w:sz w:val="24"/>
                <w:szCs w:val="24"/>
              </w:rPr>
            </w:pPr>
            <w:r>
              <w:rPr>
                <w:spacing w:val="-3"/>
                <w:sz w:val="24"/>
                <w:szCs w:val="24"/>
              </w:rPr>
              <w:t>根据项目的主要环境问题、环保工程措施及省、地市生态环境主管部门对企</w:t>
            </w:r>
            <w:r>
              <w:rPr>
                <w:spacing w:val="14"/>
                <w:sz w:val="24"/>
                <w:szCs w:val="24"/>
              </w:rPr>
              <w:t xml:space="preserve"> </w:t>
            </w:r>
            <w:r>
              <w:rPr>
                <w:spacing w:val="-2"/>
                <w:sz w:val="24"/>
                <w:szCs w:val="24"/>
              </w:rPr>
              <w:t>业环境管理的要求，提出项目环境管理，供生态</w:t>
            </w:r>
            <w:r>
              <w:rPr>
                <w:spacing w:val="-3"/>
                <w:sz w:val="24"/>
                <w:szCs w:val="24"/>
              </w:rPr>
              <w:t>环境主管部门对该项目进行环境</w:t>
            </w:r>
            <w:r>
              <w:rPr>
                <w:sz w:val="24"/>
                <w:szCs w:val="24"/>
              </w:rPr>
              <w:t xml:space="preserve"> </w:t>
            </w:r>
            <w:r>
              <w:rPr>
                <w:spacing w:val="-1"/>
                <w:sz w:val="24"/>
                <w:szCs w:val="24"/>
              </w:rPr>
              <w:t>管理时参考，并作为企业项目设计、建设及运</w:t>
            </w:r>
            <w:r>
              <w:rPr>
                <w:spacing w:val="-2"/>
                <w:sz w:val="24"/>
                <w:szCs w:val="24"/>
              </w:rPr>
              <w:t>营阶段环境保护管理工作的依据。</w:t>
            </w:r>
          </w:p>
          <w:p w14:paraId="180DBCE6">
            <w:pPr>
              <w:pStyle w:val="6"/>
              <w:spacing w:before="3" w:line="358" w:lineRule="auto"/>
              <w:ind w:left="113" w:right="106" w:firstLine="483"/>
              <w:rPr>
                <w:sz w:val="24"/>
                <w:szCs w:val="24"/>
              </w:rPr>
            </w:pPr>
            <w:r>
              <w:rPr>
                <w:spacing w:val="-3"/>
                <w:sz w:val="24"/>
                <w:szCs w:val="24"/>
              </w:rPr>
              <w:t>项目环境管理工作由专人管理，负责污染治理设施的运行和维护。运行过程</w:t>
            </w:r>
            <w:r>
              <w:rPr>
                <w:spacing w:val="10"/>
                <w:sz w:val="24"/>
                <w:szCs w:val="24"/>
              </w:rPr>
              <w:t xml:space="preserve"> </w:t>
            </w:r>
            <w:r>
              <w:rPr>
                <w:spacing w:val="-2"/>
                <w:sz w:val="24"/>
                <w:szCs w:val="24"/>
              </w:rPr>
              <w:t>应明确环境管理机构职责，制定环境管理规章</w:t>
            </w:r>
            <w:r>
              <w:rPr>
                <w:spacing w:val="-3"/>
                <w:sz w:val="24"/>
                <w:szCs w:val="24"/>
              </w:rPr>
              <w:t>制度，把它作为各级领导和全体职</w:t>
            </w:r>
            <w:r>
              <w:rPr>
                <w:sz w:val="24"/>
                <w:szCs w:val="24"/>
              </w:rPr>
              <w:t xml:space="preserve"> </w:t>
            </w:r>
            <w:r>
              <w:rPr>
                <w:spacing w:val="-2"/>
                <w:sz w:val="24"/>
                <w:szCs w:val="24"/>
              </w:rPr>
              <w:t>工必须严格遵守的一种规范和准则。制定环境</w:t>
            </w:r>
            <w:r>
              <w:rPr>
                <w:spacing w:val="-3"/>
                <w:sz w:val="24"/>
                <w:szCs w:val="24"/>
              </w:rPr>
              <w:t>管理计划，环境管理计划要从项目</w:t>
            </w:r>
            <w:r>
              <w:rPr>
                <w:sz w:val="24"/>
                <w:szCs w:val="24"/>
              </w:rPr>
              <w:t xml:space="preserve"> </w:t>
            </w:r>
            <w:r>
              <w:rPr>
                <w:spacing w:val="-2"/>
                <w:sz w:val="24"/>
                <w:szCs w:val="24"/>
              </w:rPr>
              <w:t>建设全过程进行，如设计阶段污染防范、施工</w:t>
            </w:r>
            <w:r>
              <w:rPr>
                <w:spacing w:val="-3"/>
                <w:sz w:val="24"/>
                <w:szCs w:val="24"/>
              </w:rPr>
              <w:t>阶段污染防治、运营后环保设施环</w:t>
            </w:r>
            <w:r>
              <w:rPr>
                <w:sz w:val="24"/>
                <w:szCs w:val="24"/>
              </w:rPr>
              <w:t xml:space="preserve"> </w:t>
            </w:r>
            <w:r>
              <w:rPr>
                <w:spacing w:val="-2"/>
                <w:sz w:val="24"/>
                <w:szCs w:val="24"/>
              </w:rPr>
              <w:t>境管理、信息反馈和群众监督各方面形成网络</w:t>
            </w:r>
            <w:r>
              <w:rPr>
                <w:spacing w:val="-3"/>
                <w:sz w:val="24"/>
                <w:szCs w:val="24"/>
              </w:rPr>
              <w:t>管理，使环境管理工作贯穿于生产</w:t>
            </w:r>
            <w:r>
              <w:rPr>
                <w:sz w:val="24"/>
                <w:szCs w:val="24"/>
              </w:rPr>
              <w:t xml:space="preserve"> </w:t>
            </w:r>
            <w:r>
              <w:rPr>
                <w:spacing w:val="-1"/>
                <w:sz w:val="24"/>
                <w:szCs w:val="24"/>
              </w:rPr>
              <w:t>全过程。本项目环境管理工作计划见下表。</w:t>
            </w:r>
          </w:p>
          <w:p w14:paraId="4B0E1676">
            <w:pPr>
              <w:pStyle w:val="6"/>
              <w:spacing w:before="1" w:line="227" w:lineRule="auto"/>
              <w:ind w:left="2948"/>
              <w:outlineLvl w:val="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4-5    </w:t>
            </w:r>
            <w:r>
              <w:rPr>
                <w:b/>
                <w:bCs/>
                <w:spacing w:val="5"/>
                <w:sz w:val="20"/>
                <w:szCs w:val="20"/>
              </w:rPr>
              <w:t>环境管理工作计划表</w:t>
            </w:r>
          </w:p>
        </w:tc>
      </w:tr>
      <w:tr w14:paraId="0659F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371" w:type="dxa"/>
            <w:vMerge w:val="continue"/>
            <w:tcBorders>
              <w:top w:val="nil"/>
              <w:bottom w:val="nil"/>
            </w:tcBorders>
            <w:vAlign w:val="top"/>
          </w:tcPr>
          <w:p w14:paraId="79C2B05F">
            <w:pPr>
              <w:rPr>
                <w:rFonts w:ascii="Arial"/>
                <w:sz w:val="21"/>
              </w:rPr>
            </w:pPr>
          </w:p>
        </w:tc>
        <w:tc>
          <w:tcPr>
            <w:tcW w:w="113" w:type="dxa"/>
            <w:tcBorders>
              <w:top w:val="nil"/>
              <w:bottom w:val="nil"/>
            </w:tcBorders>
            <w:vAlign w:val="top"/>
          </w:tcPr>
          <w:p w14:paraId="49E39E35">
            <w:pPr>
              <w:rPr>
                <w:rFonts w:ascii="Arial"/>
                <w:sz w:val="21"/>
              </w:rPr>
            </w:pPr>
          </w:p>
        </w:tc>
        <w:tc>
          <w:tcPr>
            <w:tcW w:w="669" w:type="dxa"/>
            <w:vAlign w:val="top"/>
          </w:tcPr>
          <w:p w14:paraId="1C123593">
            <w:pPr>
              <w:pStyle w:val="6"/>
              <w:spacing w:before="93" w:line="229" w:lineRule="auto"/>
              <w:ind w:left="127"/>
              <w:rPr>
                <w:sz w:val="20"/>
                <w:szCs w:val="20"/>
              </w:rPr>
            </w:pPr>
            <w:r>
              <w:rPr>
                <w:spacing w:val="5"/>
                <w:sz w:val="20"/>
                <w:szCs w:val="20"/>
              </w:rPr>
              <w:t>序号</w:t>
            </w:r>
          </w:p>
        </w:tc>
        <w:tc>
          <w:tcPr>
            <w:tcW w:w="1029" w:type="dxa"/>
            <w:vAlign w:val="top"/>
          </w:tcPr>
          <w:p w14:paraId="7497C08C">
            <w:pPr>
              <w:pStyle w:val="6"/>
              <w:spacing w:before="93" w:line="228" w:lineRule="auto"/>
              <w:ind w:left="312"/>
              <w:rPr>
                <w:sz w:val="20"/>
                <w:szCs w:val="20"/>
              </w:rPr>
            </w:pPr>
            <w:r>
              <w:rPr>
                <w:spacing w:val="3"/>
                <w:sz w:val="20"/>
                <w:szCs w:val="20"/>
              </w:rPr>
              <w:t>项目</w:t>
            </w:r>
          </w:p>
        </w:tc>
        <w:tc>
          <w:tcPr>
            <w:tcW w:w="6612" w:type="dxa"/>
            <w:vAlign w:val="top"/>
          </w:tcPr>
          <w:p w14:paraId="4CF7260D">
            <w:pPr>
              <w:pStyle w:val="6"/>
              <w:spacing w:before="93" w:line="228" w:lineRule="auto"/>
              <w:ind w:left="2472"/>
              <w:rPr>
                <w:sz w:val="20"/>
                <w:szCs w:val="20"/>
              </w:rPr>
            </w:pPr>
            <w:r>
              <w:rPr>
                <w:spacing w:val="8"/>
                <w:sz w:val="20"/>
                <w:szCs w:val="20"/>
              </w:rPr>
              <w:t>环保管理内容要求</w:t>
            </w:r>
          </w:p>
        </w:tc>
        <w:tc>
          <w:tcPr>
            <w:tcW w:w="118" w:type="dxa"/>
            <w:tcBorders>
              <w:top w:val="nil"/>
              <w:bottom w:val="nil"/>
            </w:tcBorders>
            <w:vAlign w:val="top"/>
          </w:tcPr>
          <w:p w14:paraId="16FE7711">
            <w:pPr>
              <w:rPr>
                <w:rFonts w:ascii="Arial"/>
                <w:sz w:val="21"/>
              </w:rPr>
            </w:pPr>
          </w:p>
        </w:tc>
      </w:tr>
      <w:tr w14:paraId="4C1AB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71" w:type="dxa"/>
            <w:vMerge w:val="continue"/>
            <w:tcBorders>
              <w:top w:val="nil"/>
              <w:bottom w:val="nil"/>
            </w:tcBorders>
            <w:vAlign w:val="top"/>
          </w:tcPr>
          <w:p w14:paraId="06BC5C31">
            <w:pPr>
              <w:rPr>
                <w:rFonts w:ascii="Arial"/>
                <w:sz w:val="21"/>
              </w:rPr>
            </w:pPr>
          </w:p>
        </w:tc>
        <w:tc>
          <w:tcPr>
            <w:tcW w:w="113" w:type="dxa"/>
            <w:tcBorders>
              <w:top w:val="nil"/>
              <w:bottom w:val="nil"/>
            </w:tcBorders>
            <w:vAlign w:val="top"/>
          </w:tcPr>
          <w:p w14:paraId="19C75BFE">
            <w:pPr>
              <w:rPr>
                <w:rFonts w:ascii="Arial"/>
                <w:sz w:val="21"/>
              </w:rPr>
            </w:pPr>
          </w:p>
        </w:tc>
        <w:tc>
          <w:tcPr>
            <w:tcW w:w="669" w:type="dxa"/>
            <w:vMerge w:val="restart"/>
            <w:tcBorders>
              <w:bottom w:val="nil"/>
            </w:tcBorders>
            <w:vAlign w:val="top"/>
          </w:tcPr>
          <w:p w14:paraId="625D2A10">
            <w:pPr>
              <w:spacing w:line="274" w:lineRule="auto"/>
              <w:rPr>
                <w:rFonts w:ascii="Arial"/>
                <w:sz w:val="21"/>
              </w:rPr>
            </w:pPr>
          </w:p>
          <w:p w14:paraId="5021640D">
            <w:pPr>
              <w:spacing w:line="274" w:lineRule="auto"/>
              <w:rPr>
                <w:rFonts w:ascii="Arial"/>
                <w:sz w:val="21"/>
              </w:rPr>
            </w:pPr>
          </w:p>
          <w:p w14:paraId="377CA7FD">
            <w:pPr>
              <w:spacing w:line="274" w:lineRule="auto"/>
              <w:rPr>
                <w:rFonts w:ascii="Arial"/>
                <w:sz w:val="21"/>
              </w:rPr>
            </w:pPr>
          </w:p>
          <w:p w14:paraId="0D37BE98">
            <w:pPr>
              <w:spacing w:line="274" w:lineRule="auto"/>
              <w:rPr>
                <w:rFonts w:ascii="Arial"/>
                <w:sz w:val="21"/>
              </w:rPr>
            </w:pPr>
          </w:p>
          <w:p w14:paraId="6692A07D">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9" w:type="dxa"/>
            <w:vMerge w:val="restart"/>
            <w:tcBorders>
              <w:bottom w:val="nil"/>
            </w:tcBorders>
            <w:vAlign w:val="top"/>
          </w:tcPr>
          <w:p w14:paraId="3B843A4D">
            <w:pPr>
              <w:spacing w:line="305" w:lineRule="auto"/>
              <w:rPr>
                <w:rFonts w:ascii="Arial"/>
                <w:sz w:val="21"/>
              </w:rPr>
            </w:pPr>
          </w:p>
          <w:p w14:paraId="69656C78">
            <w:pPr>
              <w:spacing w:line="306" w:lineRule="auto"/>
              <w:rPr>
                <w:rFonts w:ascii="Arial"/>
                <w:sz w:val="21"/>
              </w:rPr>
            </w:pPr>
          </w:p>
          <w:p w14:paraId="6B56BB1A">
            <w:pPr>
              <w:spacing w:line="306" w:lineRule="auto"/>
              <w:rPr>
                <w:rFonts w:ascii="Arial"/>
                <w:sz w:val="21"/>
              </w:rPr>
            </w:pPr>
          </w:p>
          <w:p w14:paraId="3DEB3D75">
            <w:pPr>
              <w:pStyle w:val="6"/>
              <w:spacing w:before="65" w:line="228" w:lineRule="auto"/>
              <w:ind w:left="98"/>
              <w:rPr>
                <w:sz w:val="20"/>
                <w:szCs w:val="20"/>
              </w:rPr>
            </w:pPr>
            <w:r>
              <w:rPr>
                <w:spacing w:val="7"/>
                <w:sz w:val="20"/>
                <w:szCs w:val="20"/>
              </w:rPr>
              <w:t>运行过程</w:t>
            </w:r>
          </w:p>
          <w:p w14:paraId="43EA7569">
            <w:pPr>
              <w:pStyle w:val="6"/>
              <w:spacing w:before="23" w:line="228" w:lineRule="auto"/>
              <w:ind w:left="98"/>
              <w:rPr>
                <w:sz w:val="20"/>
                <w:szCs w:val="20"/>
              </w:rPr>
            </w:pPr>
            <w:r>
              <w:rPr>
                <w:spacing w:val="7"/>
                <w:sz w:val="20"/>
                <w:szCs w:val="20"/>
              </w:rPr>
              <w:t>环境管理</w:t>
            </w:r>
          </w:p>
        </w:tc>
        <w:tc>
          <w:tcPr>
            <w:tcW w:w="6612" w:type="dxa"/>
            <w:vAlign w:val="top"/>
          </w:tcPr>
          <w:p w14:paraId="030B4DD0">
            <w:pPr>
              <w:pStyle w:val="6"/>
              <w:spacing w:before="94" w:line="228" w:lineRule="auto"/>
              <w:ind w:left="89"/>
              <w:rPr>
                <w:sz w:val="20"/>
                <w:szCs w:val="20"/>
              </w:rPr>
            </w:pPr>
            <w:r>
              <w:rPr>
                <w:spacing w:val="9"/>
                <w:sz w:val="20"/>
                <w:szCs w:val="20"/>
              </w:rPr>
              <w:t>严格环境管理及危险品管理，建立环境管理体系，提高环境管理水平。</w:t>
            </w:r>
          </w:p>
        </w:tc>
        <w:tc>
          <w:tcPr>
            <w:tcW w:w="118" w:type="dxa"/>
            <w:tcBorders>
              <w:top w:val="nil"/>
              <w:bottom w:val="nil"/>
            </w:tcBorders>
            <w:vAlign w:val="top"/>
          </w:tcPr>
          <w:p w14:paraId="5ECE116D">
            <w:pPr>
              <w:rPr>
                <w:rFonts w:ascii="Arial"/>
                <w:sz w:val="21"/>
              </w:rPr>
            </w:pPr>
          </w:p>
        </w:tc>
      </w:tr>
      <w:tr w14:paraId="6C19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71" w:type="dxa"/>
            <w:vMerge w:val="continue"/>
            <w:tcBorders>
              <w:top w:val="nil"/>
              <w:bottom w:val="nil"/>
            </w:tcBorders>
            <w:vAlign w:val="top"/>
          </w:tcPr>
          <w:p w14:paraId="30C11D0A">
            <w:pPr>
              <w:rPr>
                <w:rFonts w:ascii="Arial"/>
                <w:sz w:val="21"/>
              </w:rPr>
            </w:pPr>
          </w:p>
        </w:tc>
        <w:tc>
          <w:tcPr>
            <w:tcW w:w="113" w:type="dxa"/>
            <w:tcBorders>
              <w:top w:val="nil"/>
              <w:bottom w:val="nil"/>
            </w:tcBorders>
            <w:vAlign w:val="top"/>
          </w:tcPr>
          <w:p w14:paraId="37135393">
            <w:pPr>
              <w:rPr>
                <w:rFonts w:ascii="Arial"/>
                <w:sz w:val="21"/>
              </w:rPr>
            </w:pPr>
          </w:p>
        </w:tc>
        <w:tc>
          <w:tcPr>
            <w:tcW w:w="669" w:type="dxa"/>
            <w:vMerge w:val="continue"/>
            <w:tcBorders>
              <w:top w:val="nil"/>
              <w:bottom w:val="nil"/>
            </w:tcBorders>
            <w:vAlign w:val="top"/>
          </w:tcPr>
          <w:p w14:paraId="2F10A271">
            <w:pPr>
              <w:rPr>
                <w:rFonts w:ascii="Arial"/>
                <w:sz w:val="21"/>
              </w:rPr>
            </w:pPr>
          </w:p>
        </w:tc>
        <w:tc>
          <w:tcPr>
            <w:tcW w:w="1029" w:type="dxa"/>
            <w:vMerge w:val="continue"/>
            <w:tcBorders>
              <w:top w:val="nil"/>
              <w:bottom w:val="nil"/>
            </w:tcBorders>
            <w:vAlign w:val="top"/>
          </w:tcPr>
          <w:p w14:paraId="089BC4F9">
            <w:pPr>
              <w:rPr>
                <w:rFonts w:ascii="Arial"/>
                <w:sz w:val="21"/>
              </w:rPr>
            </w:pPr>
          </w:p>
        </w:tc>
        <w:tc>
          <w:tcPr>
            <w:tcW w:w="6612" w:type="dxa"/>
            <w:vAlign w:val="top"/>
          </w:tcPr>
          <w:p w14:paraId="062EDE6F">
            <w:pPr>
              <w:pStyle w:val="6"/>
              <w:spacing w:before="70" w:line="228" w:lineRule="auto"/>
              <w:ind w:left="89"/>
              <w:rPr>
                <w:sz w:val="20"/>
                <w:szCs w:val="20"/>
              </w:rPr>
            </w:pPr>
            <w:r>
              <w:rPr>
                <w:spacing w:val="8"/>
                <w:sz w:val="20"/>
                <w:szCs w:val="20"/>
              </w:rPr>
              <w:t>运行过程建立各类危险废物产生情况、处置情</w:t>
            </w:r>
            <w:r>
              <w:rPr>
                <w:spacing w:val="7"/>
                <w:sz w:val="20"/>
                <w:szCs w:val="20"/>
              </w:rPr>
              <w:t>况台账；当污水处理设施</w:t>
            </w:r>
          </w:p>
          <w:p w14:paraId="0DE2141E">
            <w:pPr>
              <w:pStyle w:val="6"/>
              <w:spacing w:before="24" w:line="228" w:lineRule="auto"/>
              <w:ind w:left="92"/>
              <w:rPr>
                <w:sz w:val="20"/>
                <w:szCs w:val="20"/>
              </w:rPr>
            </w:pPr>
            <w:r>
              <w:rPr>
                <w:spacing w:val="7"/>
                <w:sz w:val="20"/>
                <w:szCs w:val="20"/>
              </w:rPr>
              <w:t>发生故障时，应按照程序立即停止生产，对设施进行检修，待检修合格</w:t>
            </w:r>
          </w:p>
          <w:p w14:paraId="4B98310C">
            <w:pPr>
              <w:pStyle w:val="6"/>
              <w:spacing w:before="27" w:line="179" w:lineRule="auto"/>
              <w:ind w:left="2474"/>
              <w:rPr>
                <w:sz w:val="20"/>
                <w:szCs w:val="20"/>
              </w:rPr>
            </w:pPr>
            <w:r>
              <w:rPr>
                <w:spacing w:val="7"/>
                <w:sz w:val="20"/>
                <w:szCs w:val="20"/>
              </w:rPr>
              <w:t>后方可恢复生产。</w:t>
            </w:r>
          </w:p>
        </w:tc>
        <w:tc>
          <w:tcPr>
            <w:tcW w:w="118" w:type="dxa"/>
            <w:tcBorders>
              <w:top w:val="nil"/>
              <w:bottom w:val="nil"/>
            </w:tcBorders>
            <w:vAlign w:val="top"/>
          </w:tcPr>
          <w:p w14:paraId="0CD8E750">
            <w:pPr>
              <w:rPr>
                <w:rFonts w:ascii="Arial"/>
                <w:sz w:val="21"/>
              </w:rPr>
            </w:pPr>
          </w:p>
        </w:tc>
      </w:tr>
      <w:tr w14:paraId="784EB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371" w:type="dxa"/>
            <w:vMerge w:val="continue"/>
            <w:tcBorders>
              <w:top w:val="nil"/>
              <w:bottom w:val="nil"/>
            </w:tcBorders>
            <w:vAlign w:val="top"/>
          </w:tcPr>
          <w:p w14:paraId="24F49121">
            <w:pPr>
              <w:rPr>
                <w:rFonts w:ascii="Arial"/>
                <w:sz w:val="21"/>
              </w:rPr>
            </w:pPr>
          </w:p>
        </w:tc>
        <w:tc>
          <w:tcPr>
            <w:tcW w:w="113" w:type="dxa"/>
            <w:tcBorders>
              <w:top w:val="nil"/>
              <w:bottom w:val="nil"/>
            </w:tcBorders>
            <w:vAlign w:val="top"/>
          </w:tcPr>
          <w:p w14:paraId="75BB8A02">
            <w:pPr>
              <w:rPr>
                <w:rFonts w:ascii="Arial"/>
                <w:sz w:val="21"/>
              </w:rPr>
            </w:pPr>
          </w:p>
        </w:tc>
        <w:tc>
          <w:tcPr>
            <w:tcW w:w="669" w:type="dxa"/>
            <w:vMerge w:val="continue"/>
            <w:tcBorders>
              <w:top w:val="nil"/>
              <w:bottom w:val="nil"/>
            </w:tcBorders>
            <w:vAlign w:val="top"/>
          </w:tcPr>
          <w:p w14:paraId="6426E81D">
            <w:pPr>
              <w:rPr>
                <w:rFonts w:ascii="Arial"/>
                <w:sz w:val="21"/>
              </w:rPr>
            </w:pPr>
          </w:p>
        </w:tc>
        <w:tc>
          <w:tcPr>
            <w:tcW w:w="1029" w:type="dxa"/>
            <w:vMerge w:val="continue"/>
            <w:tcBorders>
              <w:top w:val="nil"/>
              <w:bottom w:val="nil"/>
            </w:tcBorders>
            <w:vAlign w:val="top"/>
          </w:tcPr>
          <w:p w14:paraId="154C4221">
            <w:pPr>
              <w:rPr>
                <w:rFonts w:ascii="Arial"/>
                <w:sz w:val="21"/>
              </w:rPr>
            </w:pPr>
          </w:p>
        </w:tc>
        <w:tc>
          <w:tcPr>
            <w:tcW w:w="6612" w:type="dxa"/>
            <w:vAlign w:val="top"/>
          </w:tcPr>
          <w:p w14:paraId="034EAE70">
            <w:pPr>
              <w:pStyle w:val="6"/>
              <w:spacing w:before="73" w:line="228" w:lineRule="auto"/>
              <w:ind w:left="91"/>
              <w:rPr>
                <w:sz w:val="20"/>
                <w:szCs w:val="20"/>
              </w:rPr>
            </w:pPr>
            <w:r>
              <w:rPr>
                <w:spacing w:val="7"/>
                <w:sz w:val="20"/>
                <w:szCs w:val="20"/>
              </w:rPr>
              <w:t>建立运行情况记录制度，如实记载有关运行管理情况，主要包括固体废</w:t>
            </w:r>
          </w:p>
          <w:p w14:paraId="4EAD2385">
            <w:pPr>
              <w:pStyle w:val="6"/>
              <w:spacing w:before="24" w:line="227" w:lineRule="auto"/>
              <w:ind w:left="89"/>
              <w:rPr>
                <w:sz w:val="20"/>
                <w:szCs w:val="20"/>
              </w:rPr>
            </w:pPr>
            <w:r>
              <w:rPr>
                <w:spacing w:val="8"/>
                <w:sz w:val="20"/>
                <w:szCs w:val="20"/>
              </w:rPr>
              <w:t>物的种类和数量、环境监测数据等。运行情况</w:t>
            </w:r>
            <w:r>
              <w:rPr>
                <w:spacing w:val="7"/>
                <w:sz w:val="20"/>
                <w:szCs w:val="20"/>
              </w:rPr>
              <w:t>记录簿应当按照国家有关</w:t>
            </w:r>
          </w:p>
          <w:p w14:paraId="258573EF">
            <w:pPr>
              <w:pStyle w:val="6"/>
              <w:spacing w:before="25" w:line="178" w:lineRule="auto"/>
              <w:ind w:left="1527"/>
              <w:rPr>
                <w:sz w:val="20"/>
                <w:szCs w:val="20"/>
              </w:rPr>
            </w:pPr>
            <w:r>
              <w:rPr>
                <w:spacing w:val="8"/>
                <w:sz w:val="20"/>
                <w:szCs w:val="20"/>
              </w:rPr>
              <w:t>档案管理的法律法规进行整理和保管。</w:t>
            </w:r>
          </w:p>
        </w:tc>
        <w:tc>
          <w:tcPr>
            <w:tcW w:w="118" w:type="dxa"/>
            <w:tcBorders>
              <w:top w:val="nil"/>
              <w:bottom w:val="nil"/>
            </w:tcBorders>
            <w:vAlign w:val="top"/>
          </w:tcPr>
          <w:p w14:paraId="74085450">
            <w:pPr>
              <w:rPr>
                <w:rFonts w:ascii="Arial"/>
                <w:sz w:val="21"/>
              </w:rPr>
            </w:pPr>
          </w:p>
        </w:tc>
      </w:tr>
      <w:tr w14:paraId="2F3A8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1" w:type="dxa"/>
            <w:vMerge w:val="continue"/>
            <w:tcBorders>
              <w:top w:val="nil"/>
            </w:tcBorders>
            <w:vAlign w:val="top"/>
          </w:tcPr>
          <w:p w14:paraId="2A3BAFA9">
            <w:pPr>
              <w:rPr>
                <w:rFonts w:ascii="Arial"/>
                <w:sz w:val="21"/>
              </w:rPr>
            </w:pPr>
          </w:p>
        </w:tc>
        <w:tc>
          <w:tcPr>
            <w:tcW w:w="113" w:type="dxa"/>
            <w:tcBorders>
              <w:top w:val="nil"/>
            </w:tcBorders>
            <w:vAlign w:val="top"/>
          </w:tcPr>
          <w:p w14:paraId="036B4873">
            <w:pPr>
              <w:rPr>
                <w:rFonts w:ascii="Arial"/>
                <w:sz w:val="21"/>
              </w:rPr>
            </w:pPr>
          </w:p>
        </w:tc>
        <w:tc>
          <w:tcPr>
            <w:tcW w:w="669" w:type="dxa"/>
            <w:vMerge w:val="continue"/>
            <w:tcBorders>
              <w:top w:val="nil"/>
            </w:tcBorders>
            <w:vAlign w:val="top"/>
          </w:tcPr>
          <w:p w14:paraId="218CE1D6">
            <w:pPr>
              <w:rPr>
                <w:rFonts w:ascii="Arial"/>
                <w:sz w:val="21"/>
              </w:rPr>
            </w:pPr>
          </w:p>
        </w:tc>
        <w:tc>
          <w:tcPr>
            <w:tcW w:w="1029" w:type="dxa"/>
            <w:vMerge w:val="continue"/>
            <w:tcBorders>
              <w:top w:val="nil"/>
            </w:tcBorders>
            <w:vAlign w:val="top"/>
          </w:tcPr>
          <w:p w14:paraId="19E8ED35">
            <w:pPr>
              <w:rPr>
                <w:rFonts w:ascii="Arial"/>
                <w:sz w:val="21"/>
              </w:rPr>
            </w:pPr>
          </w:p>
        </w:tc>
        <w:tc>
          <w:tcPr>
            <w:tcW w:w="6612" w:type="dxa"/>
            <w:vAlign w:val="top"/>
          </w:tcPr>
          <w:p w14:paraId="53911D4B">
            <w:pPr>
              <w:pStyle w:val="6"/>
              <w:spacing w:before="134" w:line="228" w:lineRule="auto"/>
              <w:ind w:left="898"/>
              <w:rPr>
                <w:sz w:val="20"/>
                <w:szCs w:val="20"/>
              </w:rPr>
            </w:pPr>
            <w:r>
              <w:rPr>
                <w:spacing w:val="9"/>
                <w:sz w:val="20"/>
                <w:szCs w:val="20"/>
              </w:rPr>
              <w:t>提高员工的环保意识，加强环保知识教育和技术培训</w:t>
            </w:r>
          </w:p>
        </w:tc>
        <w:tc>
          <w:tcPr>
            <w:tcW w:w="118" w:type="dxa"/>
            <w:tcBorders>
              <w:top w:val="nil"/>
            </w:tcBorders>
            <w:vAlign w:val="top"/>
          </w:tcPr>
          <w:p w14:paraId="1A4E2A7C">
            <w:pPr>
              <w:rPr>
                <w:rFonts w:ascii="Arial"/>
                <w:sz w:val="21"/>
              </w:rPr>
            </w:pPr>
          </w:p>
        </w:tc>
      </w:tr>
    </w:tbl>
    <w:p w14:paraId="4BF181A2">
      <w:pPr>
        <w:pStyle w:val="2"/>
      </w:pPr>
    </w:p>
    <w:p w14:paraId="2E3CBFC1">
      <w:pPr>
        <w:sectPr>
          <w:footerReference r:id="rId79" w:type="default"/>
          <w:pgSz w:w="11906" w:h="16839"/>
          <w:pgMar w:top="400" w:right="1445" w:bottom="1259" w:left="1543" w:header="0" w:footer="1097" w:gutter="0"/>
          <w:cols w:space="720" w:num="1"/>
        </w:sectPr>
      </w:pPr>
    </w:p>
    <w:p w14:paraId="06664ADA">
      <w:pPr>
        <w:spacing w:before="19"/>
      </w:pPr>
    </w:p>
    <w:p w14:paraId="32175A3D">
      <w:pPr>
        <w:spacing w:before="19"/>
      </w:pPr>
    </w:p>
    <w:p w14:paraId="451D7D64">
      <w:pPr>
        <w:spacing w:before="18"/>
      </w:pPr>
    </w:p>
    <w:p w14:paraId="0D226C22">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2"/>
        <w:gridCol w:w="113"/>
        <w:gridCol w:w="651"/>
        <w:gridCol w:w="60"/>
        <w:gridCol w:w="426"/>
        <w:gridCol w:w="587"/>
        <w:gridCol w:w="1263"/>
        <w:gridCol w:w="1326"/>
        <w:gridCol w:w="1268"/>
        <w:gridCol w:w="1573"/>
        <w:gridCol w:w="1155"/>
        <w:gridCol w:w="118"/>
      </w:tblGrid>
      <w:tr w14:paraId="57E2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372" w:type="dxa"/>
            <w:vMerge w:val="restart"/>
            <w:tcBorders>
              <w:bottom w:val="nil"/>
            </w:tcBorders>
            <w:vAlign w:val="top"/>
          </w:tcPr>
          <w:p w14:paraId="41FB87E1">
            <w:pPr>
              <w:rPr>
                <w:rFonts w:ascii="Arial"/>
                <w:sz w:val="21"/>
              </w:rPr>
            </w:pPr>
          </w:p>
        </w:tc>
        <w:tc>
          <w:tcPr>
            <w:tcW w:w="113" w:type="dxa"/>
            <w:tcBorders>
              <w:bottom w:val="nil"/>
            </w:tcBorders>
            <w:vAlign w:val="top"/>
          </w:tcPr>
          <w:p w14:paraId="2A7E3D42">
            <w:pPr>
              <w:rPr>
                <w:rFonts w:ascii="Arial"/>
                <w:sz w:val="21"/>
              </w:rPr>
            </w:pPr>
          </w:p>
        </w:tc>
        <w:tc>
          <w:tcPr>
            <w:tcW w:w="651" w:type="dxa"/>
            <w:vAlign w:val="top"/>
          </w:tcPr>
          <w:p w14:paraId="40A95DA0">
            <w:pPr>
              <w:spacing w:line="294" w:lineRule="auto"/>
              <w:rPr>
                <w:rFonts w:ascii="Arial"/>
                <w:sz w:val="21"/>
              </w:rPr>
            </w:pPr>
          </w:p>
          <w:p w14:paraId="0F279F50">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3" w:type="dxa"/>
            <w:gridSpan w:val="3"/>
            <w:vAlign w:val="top"/>
          </w:tcPr>
          <w:p w14:paraId="2BF7CED2">
            <w:pPr>
              <w:pStyle w:val="6"/>
              <w:spacing w:before="181" w:line="228" w:lineRule="auto"/>
              <w:ind w:left="115"/>
              <w:rPr>
                <w:sz w:val="20"/>
                <w:szCs w:val="20"/>
              </w:rPr>
            </w:pPr>
            <w:r>
              <w:rPr>
                <w:spacing w:val="7"/>
                <w:sz w:val="20"/>
                <w:szCs w:val="20"/>
              </w:rPr>
              <w:t>环保设施</w:t>
            </w:r>
          </w:p>
          <w:p w14:paraId="314BBE95">
            <w:pPr>
              <w:pStyle w:val="6"/>
              <w:spacing w:before="25" w:line="228" w:lineRule="auto"/>
              <w:ind w:left="331"/>
              <w:rPr>
                <w:sz w:val="20"/>
                <w:szCs w:val="20"/>
              </w:rPr>
            </w:pPr>
            <w:r>
              <w:rPr>
                <w:spacing w:val="2"/>
                <w:sz w:val="20"/>
                <w:szCs w:val="20"/>
              </w:rPr>
              <w:t>管理</w:t>
            </w:r>
          </w:p>
        </w:tc>
        <w:tc>
          <w:tcPr>
            <w:tcW w:w="6585" w:type="dxa"/>
            <w:gridSpan w:val="5"/>
            <w:vAlign w:val="top"/>
          </w:tcPr>
          <w:p w14:paraId="7DE4B56D">
            <w:pPr>
              <w:pStyle w:val="6"/>
              <w:spacing w:before="46" w:line="228" w:lineRule="auto"/>
              <w:ind w:left="62"/>
              <w:rPr>
                <w:sz w:val="20"/>
                <w:szCs w:val="20"/>
              </w:rPr>
            </w:pPr>
            <w:r>
              <w:rPr>
                <w:spacing w:val="8"/>
                <w:sz w:val="20"/>
                <w:szCs w:val="20"/>
              </w:rPr>
              <w:t>加强对各类污水处理设施、危险废物暂存场等</w:t>
            </w:r>
            <w:r>
              <w:rPr>
                <w:spacing w:val="7"/>
                <w:sz w:val="20"/>
                <w:szCs w:val="20"/>
              </w:rPr>
              <w:t>环保设施的运行管理，制</w:t>
            </w:r>
          </w:p>
          <w:p w14:paraId="61C58380">
            <w:pPr>
              <w:pStyle w:val="6"/>
              <w:spacing w:before="24" w:line="228" w:lineRule="auto"/>
              <w:ind w:left="67"/>
              <w:rPr>
                <w:sz w:val="20"/>
                <w:szCs w:val="20"/>
              </w:rPr>
            </w:pPr>
            <w:r>
              <w:rPr>
                <w:spacing w:val="7"/>
                <w:sz w:val="20"/>
                <w:szCs w:val="20"/>
              </w:rPr>
              <w:t>定环保设施的操作规程，执行详细的环保设施管理计划，对环保设施定</w:t>
            </w:r>
          </w:p>
          <w:p w14:paraId="050C71AD">
            <w:pPr>
              <w:pStyle w:val="6"/>
              <w:spacing w:before="24" w:line="219" w:lineRule="auto"/>
              <w:ind w:left="2239"/>
              <w:rPr>
                <w:sz w:val="20"/>
                <w:szCs w:val="20"/>
              </w:rPr>
            </w:pPr>
            <w:r>
              <w:rPr>
                <w:spacing w:val="7"/>
                <w:sz w:val="20"/>
                <w:szCs w:val="20"/>
              </w:rPr>
              <w:t>期维护、检修、保养。</w:t>
            </w:r>
          </w:p>
        </w:tc>
        <w:tc>
          <w:tcPr>
            <w:tcW w:w="118" w:type="dxa"/>
            <w:tcBorders>
              <w:bottom w:val="nil"/>
            </w:tcBorders>
            <w:vAlign w:val="top"/>
          </w:tcPr>
          <w:p w14:paraId="7A0F605A">
            <w:pPr>
              <w:rPr>
                <w:rFonts w:ascii="Arial"/>
                <w:sz w:val="21"/>
              </w:rPr>
            </w:pPr>
          </w:p>
        </w:tc>
      </w:tr>
      <w:tr w14:paraId="053A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2" w:type="dxa"/>
            <w:vMerge w:val="continue"/>
            <w:tcBorders>
              <w:top w:val="nil"/>
              <w:bottom w:val="nil"/>
            </w:tcBorders>
            <w:vAlign w:val="top"/>
          </w:tcPr>
          <w:p w14:paraId="0CA3C123">
            <w:pPr>
              <w:rPr>
                <w:rFonts w:ascii="Arial"/>
                <w:sz w:val="21"/>
              </w:rPr>
            </w:pPr>
          </w:p>
        </w:tc>
        <w:tc>
          <w:tcPr>
            <w:tcW w:w="113" w:type="dxa"/>
            <w:tcBorders>
              <w:top w:val="nil"/>
              <w:bottom w:val="nil"/>
            </w:tcBorders>
            <w:vAlign w:val="top"/>
          </w:tcPr>
          <w:p w14:paraId="6921A00C">
            <w:pPr>
              <w:rPr>
                <w:rFonts w:ascii="Arial"/>
                <w:sz w:val="21"/>
              </w:rPr>
            </w:pPr>
          </w:p>
        </w:tc>
        <w:tc>
          <w:tcPr>
            <w:tcW w:w="651" w:type="dxa"/>
            <w:vAlign w:val="top"/>
          </w:tcPr>
          <w:p w14:paraId="4A992E0B">
            <w:pPr>
              <w:spacing w:line="281" w:lineRule="auto"/>
              <w:rPr>
                <w:rFonts w:ascii="Arial"/>
                <w:sz w:val="21"/>
              </w:rPr>
            </w:pPr>
          </w:p>
          <w:p w14:paraId="6D535A2D">
            <w:pPr>
              <w:spacing w:before="58"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3" w:type="dxa"/>
            <w:gridSpan w:val="3"/>
            <w:vAlign w:val="top"/>
          </w:tcPr>
          <w:p w14:paraId="26EBC4EA">
            <w:pPr>
              <w:pStyle w:val="6"/>
              <w:spacing w:before="31" w:line="225" w:lineRule="auto"/>
              <w:ind w:left="115"/>
              <w:rPr>
                <w:sz w:val="20"/>
                <w:szCs w:val="20"/>
              </w:rPr>
            </w:pPr>
            <w:r>
              <w:rPr>
                <w:spacing w:val="7"/>
                <w:sz w:val="20"/>
                <w:szCs w:val="20"/>
              </w:rPr>
              <w:t>其他环境</w:t>
            </w:r>
          </w:p>
          <w:p w14:paraId="745A7F44">
            <w:pPr>
              <w:pStyle w:val="6"/>
              <w:spacing w:before="28" w:line="228" w:lineRule="auto"/>
              <w:ind w:left="115"/>
              <w:rPr>
                <w:sz w:val="20"/>
                <w:szCs w:val="20"/>
              </w:rPr>
            </w:pPr>
            <w:r>
              <w:rPr>
                <w:spacing w:val="7"/>
                <w:sz w:val="20"/>
                <w:szCs w:val="20"/>
              </w:rPr>
              <w:t>保护管理</w:t>
            </w:r>
          </w:p>
          <w:p w14:paraId="2F16BC18">
            <w:pPr>
              <w:pStyle w:val="6"/>
              <w:spacing w:before="24" w:line="218" w:lineRule="auto"/>
              <w:ind w:left="351"/>
              <w:rPr>
                <w:sz w:val="20"/>
                <w:szCs w:val="20"/>
              </w:rPr>
            </w:pPr>
            <w:r>
              <w:rPr>
                <w:spacing w:val="-8"/>
                <w:sz w:val="20"/>
                <w:szCs w:val="20"/>
              </w:rPr>
              <w:t>内容</w:t>
            </w:r>
          </w:p>
        </w:tc>
        <w:tc>
          <w:tcPr>
            <w:tcW w:w="6585" w:type="dxa"/>
            <w:gridSpan w:val="5"/>
            <w:vAlign w:val="top"/>
          </w:tcPr>
          <w:p w14:paraId="01DC9512">
            <w:pPr>
              <w:pStyle w:val="6"/>
              <w:spacing w:before="31" w:line="228" w:lineRule="auto"/>
              <w:jc w:val="right"/>
              <w:rPr>
                <w:sz w:val="20"/>
                <w:szCs w:val="20"/>
              </w:rPr>
            </w:pPr>
            <w:r>
              <w:rPr>
                <w:spacing w:val="4"/>
                <w:sz w:val="20"/>
                <w:szCs w:val="20"/>
              </w:rPr>
              <w:t>污染物排放情况、环保设施运行管理情况、环境监测及污染物监测情况、</w:t>
            </w:r>
          </w:p>
          <w:p w14:paraId="1C6455B8">
            <w:pPr>
              <w:pStyle w:val="6"/>
              <w:spacing w:before="26" w:line="228" w:lineRule="auto"/>
              <w:ind w:left="35"/>
              <w:rPr>
                <w:sz w:val="20"/>
                <w:szCs w:val="20"/>
              </w:rPr>
            </w:pPr>
            <w:r>
              <w:rPr>
                <w:spacing w:val="9"/>
                <w:sz w:val="20"/>
                <w:szCs w:val="20"/>
              </w:rPr>
              <w:t>环境事故的调查和有关记录、污染源建档记录等接受环保主管部门监督</w:t>
            </w:r>
          </w:p>
          <w:p w14:paraId="51C22ABA">
            <w:pPr>
              <w:pStyle w:val="6"/>
              <w:spacing w:before="24" w:line="218" w:lineRule="auto"/>
              <w:ind w:left="2970"/>
              <w:rPr>
                <w:sz w:val="20"/>
                <w:szCs w:val="20"/>
              </w:rPr>
            </w:pPr>
            <w:r>
              <w:rPr>
                <w:spacing w:val="3"/>
                <w:sz w:val="20"/>
                <w:szCs w:val="20"/>
              </w:rPr>
              <w:t>检查。</w:t>
            </w:r>
          </w:p>
        </w:tc>
        <w:tc>
          <w:tcPr>
            <w:tcW w:w="118" w:type="dxa"/>
            <w:tcBorders>
              <w:top w:val="nil"/>
              <w:bottom w:val="nil"/>
            </w:tcBorders>
            <w:vAlign w:val="top"/>
          </w:tcPr>
          <w:p w14:paraId="15C8B3EE">
            <w:pPr>
              <w:rPr>
                <w:rFonts w:ascii="Arial"/>
                <w:sz w:val="21"/>
              </w:rPr>
            </w:pPr>
          </w:p>
        </w:tc>
      </w:tr>
      <w:tr w14:paraId="5F2CB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0" w:hRule="atLeast"/>
        </w:trPr>
        <w:tc>
          <w:tcPr>
            <w:tcW w:w="372" w:type="dxa"/>
            <w:vMerge w:val="continue"/>
            <w:tcBorders>
              <w:top w:val="nil"/>
              <w:bottom w:val="nil"/>
            </w:tcBorders>
            <w:vAlign w:val="top"/>
          </w:tcPr>
          <w:p w14:paraId="04369127">
            <w:pPr>
              <w:rPr>
                <w:rFonts w:ascii="Arial"/>
                <w:sz w:val="21"/>
              </w:rPr>
            </w:pPr>
          </w:p>
        </w:tc>
        <w:tc>
          <w:tcPr>
            <w:tcW w:w="8540" w:type="dxa"/>
            <w:gridSpan w:val="11"/>
            <w:vAlign w:val="top"/>
          </w:tcPr>
          <w:p w14:paraId="4CDB15EB">
            <w:pPr>
              <w:pStyle w:val="6"/>
              <w:spacing w:before="193" w:line="220" w:lineRule="auto"/>
              <w:ind w:left="603"/>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）环境监测计划</w:t>
            </w:r>
          </w:p>
          <w:p w14:paraId="371DDF8C">
            <w:pPr>
              <w:pStyle w:val="6"/>
              <w:spacing w:before="181" w:line="359" w:lineRule="auto"/>
              <w:ind w:left="111" w:right="90" w:firstLine="484"/>
              <w:rPr>
                <w:sz w:val="24"/>
                <w:szCs w:val="24"/>
              </w:rPr>
            </w:pPr>
            <w:r>
              <w:rPr>
                <w:spacing w:val="-2"/>
                <w:sz w:val="24"/>
                <w:szCs w:val="24"/>
              </w:rPr>
              <w:t>企业内部的环境监测是企业环境管理的耳目，是基本的手段</w:t>
            </w:r>
            <w:r>
              <w:rPr>
                <w:spacing w:val="-3"/>
                <w:sz w:val="24"/>
                <w:szCs w:val="24"/>
              </w:rPr>
              <w:t>和信息的基础，</w:t>
            </w:r>
            <w:r>
              <w:rPr>
                <w:sz w:val="24"/>
                <w:szCs w:val="24"/>
              </w:rPr>
              <w:t xml:space="preserve"> </w:t>
            </w:r>
            <w:r>
              <w:rPr>
                <w:spacing w:val="-2"/>
                <w:sz w:val="24"/>
                <w:szCs w:val="24"/>
              </w:rPr>
              <w:t>主要对企业生产过程中排放的污染物进行定期监</w:t>
            </w:r>
            <w:r>
              <w:rPr>
                <w:spacing w:val="-3"/>
                <w:sz w:val="24"/>
                <w:szCs w:val="24"/>
              </w:rPr>
              <w:t>测，判断环境质量，评价环保设</w:t>
            </w:r>
            <w:r>
              <w:rPr>
                <w:sz w:val="24"/>
                <w:szCs w:val="24"/>
              </w:rPr>
              <w:t xml:space="preserve"> </w:t>
            </w:r>
            <w:r>
              <w:rPr>
                <w:spacing w:val="-1"/>
                <w:sz w:val="24"/>
                <w:szCs w:val="24"/>
              </w:rPr>
              <w:t>施及其治理效果，为防治污染提供科学依据。</w:t>
            </w:r>
          </w:p>
          <w:p w14:paraId="6339B1A8">
            <w:pPr>
              <w:pStyle w:val="6"/>
              <w:spacing w:line="357" w:lineRule="auto"/>
              <w:ind w:left="114" w:right="90" w:firstLine="479"/>
              <w:rPr>
                <w:sz w:val="24"/>
                <w:szCs w:val="24"/>
              </w:rPr>
            </w:pPr>
            <w:r>
              <w:rPr>
                <w:spacing w:val="-2"/>
                <w:sz w:val="24"/>
                <w:szCs w:val="24"/>
              </w:rPr>
              <w:t>本项目在建成投入生产后建设单位对项目产生的各污染源进行监测</w:t>
            </w:r>
            <w:r>
              <w:rPr>
                <w:spacing w:val="-3"/>
                <w:sz w:val="24"/>
                <w:szCs w:val="24"/>
              </w:rPr>
              <w:t>和分析，</w:t>
            </w:r>
            <w:r>
              <w:rPr>
                <w:sz w:val="24"/>
                <w:szCs w:val="24"/>
              </w:rPr>
              <w:t xml:space="preserve"> </w:t>
            </w:r>
            <w:r>
              <w:rPr>
                <w:spacing w:val="-2"/>
                <w:sz w:val="24"/>
                <w:szCs w:val="24"/>
              </w:rPr>
              <w:t>污染源监测计划见下表。</w:t>
            </w:r>
          </w:p>
          <w:p w14:paraId="2E092B1F">
            <w:pPr>
              <w:pStyle w:val="6"/>
              <w:spacing w:line="228" w:lineRule="auto"/>
              <w:ind w:left="2524"/>
              <w:outlineLvl w:val="1"/>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4-6    </w:t>
            </w:r>
            <w:r>
              <w:rPr>
                <w:b/>
                <w:bCs/>
                <w:spacing w:val="6"/>
                <w:sz w:val="20"/>
                <w:szCs w:val="20"/>
              </w:rPr>
              <w:t>运营期环境监测及跟踪计划表</w:t>
            </w:r>
          </w:p>
        </w:tc>
      </w:tr>
      <w:tr w14:paraId="4D591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72" w:type="dxa"/>
            <w:vMerge w:val="continue"/>
            <w:tcBorders>
              <w:top w:val="nil"/>
              <w:bottom w:val="nil"/>
            </w:tcBorders>
            <w:vAlign w:val="top"/>
          </w:tcPr>
          <w:p w14:paraId="4D74A62C">
            <w:pPr>
              <w:rPr>
                <w:rFonts w:ascii="Arial"/>
                <w:sz w:val="21"/>
              </w:rPr>
            </w:pPr>
          </w:p>
        </w:tc>
        <w:tc>
          <w:tcPr>
            <w:tcW w:w="113" w:type="dxa"/>
            <w:tcBorders>
              <w:top w:val="nil"/>
              <w:bottom w:val="nil"/>
            </w:tcBorders>
            <w:vAlign w:val="top"/>
          </w:tcPr>
          <w:p w14:paraId="1EBB723B">
            <w:pPr>
              <w:rPr>
                <w:rFonts w:ascii="Arial"/>
                <w:sz w:val="21"/>
              </w:rPr>
            </w:pPr>
          </w:p>
        </w:tc>
        <w:tc>
          <w:tcPr>
            <w:tcW w:w="711" w:type="dxa"/>
            <w:gridSpan w:val="2"/>
            <w:vAlign w:val="top"/>
          </w:tcPr>
          <w:p w14:paraId="1B15D704">
            <w:pPr>
              <w:pStyle w:val="6"/>
              <w:spacing w:before="165" w:line="228" w:lineRule="auto"/>
              <w:ind w:left="149"/>
              <w:rPr>
                <w:sz w:val="20"/>
                <w:szCs w:val="20"/>
              </w:rPr>
            </w:pPr>
            <w:r>
              <w:rPr>
                <w:spacing w:val="4"/>
                <w:sz w:val="20"/>
                <w:szCs w:val="20"/>
              </w:rPr>
              <w:t>类别</w:t>
            </w:r>
          </w:p>
        </w:tc>
        <w:tc>
          <w:tcPr>
            <w:tcW w:w="426" w:type="dxa"/>
            <w:textDirection w:val="tbRlV"/>
            <w:vAlign w:val="top"/>
          </w:tcPr>
          <w:p w14:paraId="5A0DEFB6">
            <w:pPr>
              <w:pStyle w:val="6"/>
              <w:spacing w:before="106" w:line="204" w:lineRule="auto"/>
              <w:ind w:left="31"/>
              <w:rPr>
                <w:sz w:val="20"/>
                <w:szCs w:val="20"/>
              </w:rPr>
            </w:pPr>
            <w:r>
              <w:rPr>
                <w:spacing w:val="8"/>
                <w:sz w:val="20"/>
                <w:szCs w:val="20"/>
              </w:rPr>
              <w:t>项</w:t>
            </w:r>
            <w:r>
              <w:rPr>
                <w:spacing w:val="-35"/>
                <w:sz w:val="20"/>
                <w:szCs w:val="20"/>
              </w:rPr>
              <w:t xml:space="preserve"> </w:t>
            </w:r>
            <w:r>
              <w:rPr>
                <w:spacing w:val="8"/>
                <w:position w:val="1"/>
                <w:sz w:val="20"/>
                <w:szCs w:val="20"/>
              </w:rPr>
              <w:t>目</w:t>
            </w:r>
          </w:p>
        </w:tc>
        <w:tc>
          <w:tcPr>
            <w:tcW w:w="1850" w:type="dxa"/>
            <w:gridSpan w:val="2"/>
            <w:vAlign w:val="top"/>
          </w:tcPr>
          <w:p w14:paraId="33F10B0F">
            <w:pPr>
              <w:pStyle w:val="6"/>
              <w:spacing w:before="166" w:line="228" w:lineRule="auto"/>
              <w:ind w:left="510"/>
              <w:rPr>
                <w:sz w:val="20"/>
                <w:szCs w:val="20"/>
              </w:rPr>
            </w:pPr>
            <w:r>
              <w:rPr>
                <w:spacing w:val="7"/>
                <w:sz w:val="20"/>
                <w:szCs w:val="20"/>
              </w:rPr>
              <w:t>监测因子</w:t>
            </w:r>
          </w:p>
        </w:tc>
        <w:tc>
          <w:tcPr>
            <w:tcW w:w="1326" w:type="dxa"/>
            <w:vAlign w:val="top"/>
          </w:tcPr>
          <w:p w14:paraId="3453E403">
            <w:pPr>
              <w:pStyle w:val="6"/>
              <w:spacing w:before="166" w:line="228" w:lineRule="auto"/>
              <w:ind w:left="249"/>
              <w:rPr>
                <w:sz w:val="20"/>
                <w:szCs w:val="20"/>
              </w:rPr>
            </w:pPr>
            <w:r>
              <w:rPr>
                <w:spacing w:val="7"/>
                <w:sz w:val="20"/>
                <w:szCs w:val="20"/>
              </w:rPr>
              <w:t>监测点位</w:t>
            </w:r>
          </w:p>
        </w:tc>
        <w:tc>
          <w:tcPr>
            <w:tcW w:w="1268" w:type="dxa"/>
            <w:vAlign w:val="top"/>
          </w:tcPr>
          <w:p w14:paraId="08FB27F4">
            <w:pPr>
              <w:pStyle w:val="6"/>
              <w:spacing w:before="165" w:line="228" w:lineRule="auto"/>
              <w:ind w:left="219"/>
              <w:rPr>
                <w:sz w:val="20"/>
                <w:szCs w:val="20"/>
              </w:rPr>
            </w:pPr>
            <w:r>
              <w:rPr>
                <w:spacing w:val="7"/>
                <w:sz w:val="20"/>
                <w:szCs w:val="20"/>
              </w:rPr>
              <w:t>监测频率</w:t>
            </w:r>
          </w:p>
        </w:tc>
        <w:tc>
          <w:tcPr>
            <w:tcW w:w="2728" w:type="dxa"/>
            <w:gridSpan w:val="2"/>
            <w:vAlign w:val="top"/>
          </w:tcPr>
          <w:p w14:paraId="6A1AC8D5">
            <w:pPr>
              <w:pStyle w:val="6"/>
              <w:spacing w:before="165" w:line="228" w:lineRule="auto"/>
              <w:ind w:left="952"/>
              <w:rPr>
                <w:sz w:val="20"/>
                <w:szCs w:val="20"/>
              </w:rPr>
            </w:pPr>
            <w:r>
              <w:rPr>
                <w:spacing w:val="7"/>
                <w:sz w:val="20"/>
                <w:szCs w:val="20"/>
              </w:rPr>
              <w:t>执行标准</w:t>
            </w:r>
          </w:p>
        </w:tc>
        <w:tc>
          <w:tcPr>
            <w:tcW w:w="118" w:type="dxa"/>
            <w:tcBorders>
              <w:top w:val="nil"/>
              <w:bottom w:val="nil"/>
            </w:tcBorders>
            <w:vAlign w:val="top"/>
          </w:tcPr>
          <w:p w14:paraId="0DD9E907">
            <w:pPr>
              <w:rPr>
                <w:rFonts w:ascii="Arial"/>
                <w:sz w:val="21"/>
              </w:rPr>
            </w:pPr>
          </w:p>
        </w:tc>
      </w:tr>
      <w:tr w14:paraId="045E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372" w:type="dxa"/>
            <w:vMerge w:val="continue"/>
            <w:tcBorders>
              <w:top w:val="nil"/>
              <w:bottom w:val="nil"/>
            </w:tcBorders>
            <w:vAlign w:val="top"/>
          </w:tcPr>
          <w:p w14:paraId="37CECBB3">
            <w:pPr>
              <w:rPr>
                <w:rFonts w:ascii="Arial"/>
                <w:sz w:val="21"/>
              </w:rPr>
            </w:pPr>
          </w:p>
        </w:tc>
        <w:tc>
          <w:tcPr>
            <w:tcW w:w="113" w:type="dxa"/>
            <w:tcBorders>
              <w:top w:val="nil"/>
              <w:bottom w:val="nil"/>
            </w:tcBorders>
            <w:vAlign w:val="top"/>
          </w:tcPr>
          <w:p w14:paraId="29C9DC5C">
            <w:pPr>
              <w:rPr>
                <w:rFonts w:ascii="Arial"/>
                <w:sz w:val="21"/>
              </w:rPr>
            </w:pPr>
          </w:p>
        </w:tc>
        <w:tc>
          <w:tcPr>
            <w:tcW w:w="711" w:type="dxa"/>
            <w:gridSpan w:val="2"/>
            <w:vMerge w:val="restart"/>
            <w:tcBorders>
              <w:bottom w:val="nil"/>
            </w:tcBorders>
            <w:vAlign w:val="top"/>
          </w:tcPr>
          <w:p w14:paraId="2B2BC2EC">
            <w:pPr>
              <w:spacing w:line="307" w:lineRule="auto"/>
              <w:rPr>
                <w:rFonts w:ascii="Arial"/>
                <w:sz w:val="21"/>
              </w:rPr>
            </w:pPr>
          </w:p>
          <w:p w14:paraId="1BFD1FDF">
            <w:pPr>
              <w:spacing w:line="308" w:lineRule="auto"/>
              <w:rPr>
                <w:rFonts w:ascii="Arial"/>
                <w:sz w:val="21"/>
              </w:rPr>
            </w:pPr>
          </w:p>
          <w:p w14:paraId="0600377C">
            <w:pPr>
              <w:spacing w:line="308" w:lineRule="auto"/>
              <w:rPr>
                <w:rFonts w:ascii="Arial"/>
                <w:sz w:val="21"/>
              </w:rPr>
            </w:pPr>
          </w:p>
          <w:p w14:paraId="57AF591C">
            <w:pPr>
              <w:pStyle w:val="6"/>
              <w:spacing w:before="65" w:line="228" w:lineRule="auto"/>
              <w:ind w:left="151"/>
              <w:rPr>
                <w:sz w:val="20"/>
                <w:szCs w:val="20"/>
              </w:rPr>
            </w:pPr>
            <w:r>
              <w:rPr>
                <w:spacing w:val="3"/>
                <w:sz w:val="20"/>
                <w:szCs w:val="20"/>
              </w:rPr>
              <w:t>污染</w:t>
            </w:r>
          </w:p>
          <w:p w14:paraId="04497E2A">
            <w:pPr>
              <w:pStyle w:val="6"/>
              <w:spacing w:before="27" w:line="252" w:lineRule="auto"/>
              <w:ind w:left="255" w:right="147" w:hanging="107"/>
              <w:rPr>
                <w:sz w:val="20"/>
                <w:szCs w:val="20"/>
              </w:rPr>
            </w:pPr>
            <w:r>
              <w:rPr>
                <w:spacing w:val="5"/>
                <w:sz w:val="20"/>
                <w:szCs w:val="20"/>
              </w:rPr>
              <w:t>源监</w:t>
            </w:r>
            <w:r>
              <w:rPr>
                <w:sz w:val="20"/>
                <w:szCs w:val="20"/>
              </w:rPr>
              <w:t xml:space="preserve"> 测</w:t>
            </w:r>
          </w:p>
        </w:tc>
        <w:tc>
          <w:tcPr>
            <w:tcW w:w="426" w:type="dxa"/>
            <w:textDirection w:val="tbRlV"/>
            <w:vAlign w:val="top"/>
          </w:tcPr>
          <w:p w14:paraId="0DB6A857">
            <w:pPr>
              <w:pStyle w:val="6"/>
              <w:spacing w:before="106" w:line="216" w:lineRule="auto"/>
              <w:ind w:left="168"/>
              <w:rPr>
                <w:sz w:val="20"/>
                <w:szCs w:val="20"/>
              </w:rPr>
            </w:pPr>
            <w:r>
              <w:rPr>
                <w:spacing w:val="8"/>
                <w:sz w:val="20"/>
                <w:szCs w:val="20"/>
              </w:rPr>
              <w:t>废</w:t>
            </w:r>
            <w:r>
              <w:rPr>
                <w:spacing w:val="-38"/>
                <w:sz w:val="20"/>
                <w:szCs w:val="20"/>
              </w:rPr>
              <w:t xml:space="preserve"> </w:t>
            </w:r>
            <w:r>
              <w:rPr>
                <w:spacing w:val="8"/>
                <w:sz w:val="20"/>
                <w:szCs w:val="20"/>
              </w:rPr>
              <w:t>气</w:t>
            </w:r>
          </w:p>
        </w:tc>
        <w:tc>
          <w:tcPr>
            <w:tcW w:w="1850" w:type="dxa"/>
            <w:gridSpan w:val="2"/>
            <w:vAlign w:val="top"/>
          </w:tcPr>
          <w:p w14:paraId="69F5565F">
            <w:pPr>
              <w:pStyle w:val="6"/>
              <w:spacing w:before="305" w:line="228" w:lineRule="auto"/>
              <w:ind w:left="407"/>
              <w:rPr>
                <w:sz w:val="20"/>
                <w:szCs w:val="20"/>
              </w:rPr>
            </w:pPr>
            <w:r>
              <w:rPr>
                <w:spacing w:val="7"/>
                <w:sz w:val="20"/>
                <w:szCs w:val="20"/>
              </w:rPr>
              <w:t>非甲烷总烃</w:t>
            </w:r>
          </w:p>
        </w:tc>
        <w:tc>
          <w:tcPr>
            <w:tcW w:w="1326" w:type="dxa"/>
            <w:vAlign w:val="top"/>
          </w:tcPr>
          <w:p w14:paraId="6ED2E181">
            <w:pPr>
              <w:pStyle w:val="6"/>
              <w:spacing w:before="305" w:line="228" w:lineRule="auto"/>
              <w:ind w:left="145"/>
              <w:rPr>
                <w:sz w:val="20"/>
                <w:szCs w:val="20"/>
              </w:rPr>
            </w:pPr>
            <w:r>
              <w:rPr>
                <w:spacing w:val="7"/>
                <w:sz w:val="20"/>
                <w:szCs w:val="20"/>
              </w:rPr>
              <w:t>厂界下风向</w:t>
            </w:r>
          </w:p>
        </w:tc>
        <w:tc>
          <w:tcPr>
            <w:tcW w:w="1268" w:type="dxa"/>
            <w:vAlign w:val="top"/>
          </w:tcPr>
          <w:p w14:paraId="0C4D3146">
            <w:pPr>
              <w:pStyle w:val="6"/>
              <w:spacing w:before="304" w:line="228" w:lineRule="auto"/>
              <w:ind w:left="218"/>
              <w:rPr>
                <w:sz w:val="20"/>
                <w:szCs w:val="20"/>
              </w:rPr>
            </w:pPr>
            <w:r>
              <w:rPr>
                <w:spacing w:val="7"/>
                <w:sz w:val="20"/>
                <w:szCs w:val="20"/>
              </w:rPr>
              <w:t>每年一次</w:t>
            </w:r>
          </w:p>
        </w:tc>
        <w:tc>
          <w:tcPr>
            <w:tcW w:w="2728" w:type="dxa"/>
            <w:gridSpan w:val="2"/>
            <w:vAlign w:val="top"/>
          </w:tcPr>
          <w:p w14:paraId="452B200E">
            <w:pPr>
              <w:pStyle w:val="6"/>
              <w:spacing w:before="31" w:line="227" w:lineRule="auto"/>
              <w:ind w:left="223"/>
              <w:rPr>
                <w:sz w:val="20"/>
                <w:szCs w:val="20"/>
              </w:rPr>
            </w:pPr>
            <w:r>
              <w:rPr>
                <w:spacing w:val="8"/>
                <w:sz w:val="20"/>
                <w:szCs w:val="20"/>
              </w:rPr>
              <w:t>《大气污染物综合排放标</w:t>
            </w:r>
          </w:p>
          <w:p w14:paraId="14477E3E">
            <w:pPr>
              <w:pStyle w:val="6"/>
              <w:spacing w:before="27" w:line="229" w:lineRule="auto"/>
              <w:ind w:left="116"/>
              <w:rPr>
                <w:sz w:val="20"/>
                <w:szCs w:val="20"/>
              </w:rPr>
            </w:pPr>
            <w:r>
              <w:rPr>
                <w:spacing w:val="3"/>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16297-1996</w:t>
            </w:r>
            <w:r>
              <w:rPr>
                <w:spacing w:val="3"/>
                <w:sz w:val="20"/>
                <w:szCs w:val="20"/>
              </w:rPr>
              <w:t>）周界</w:t>
            </w:r>
          </w:p>
          <w:p w14:paraId="09757BF2">
            <w:pPr>
              <w:pStyle w:val="6"/>
              <w:spacing w:before="23" w:line="212" w:lineRule="auto"/>
              <w:ind w:left="536"/>
              <w:rPr>
                <w:sz w:val="20"/>
                <w:szCs w:val="20"/>
              </w:rPr>
            </w:pPr>
            <w:r>
              <w:rPr>
                <w:spacing w:val="8"/>
                <w:sz w:val="20"/>
                <w:szCs w:val="20"/>
              </w:rPr>
              <w:t>外无组织排放标准</w:t>
            </w:r>
          </w:p>
        </w:tc>
        <w:tc>
          <w:tcPr>
            <w:tcW w:w="118" w:type="dxa"/>
            <w:tcBorders>
              <w:top w:val="nil"/>
              <w:bottom w:val="nil"/>
            </w:tcBorders>
            <w:vAlign w:val="top"/>
          </w:tcPr>
          <w:p w14:paraId="71AECC2A">
            <w:pPr>
              <w:rPr>
                <w:rFonts w:ascii="Arial"/>
                <w:sz w:val="21"/>
              </w:rPr>
            </w:pPr>
          </w:p>
        </w:tc>
      </w:tr>
      <w:tr w14:paraId="31C9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372" w:type="dxa"/>
            <w:vMerge w:val="continue"/>
            <w:tcBorders>
              <w:top w:val="nil"/>
              <w:bottom w:val="nil"/>
            </w:tcBorders>
            <w:vAlign w:val="top"/>
          </w:tcPr>
          <w:p w14:paraId="47B32834">
            <w:pPr>
              <w:rPr>
                <w:rFonts w:ascii="Arial"/>
                <w:sz w:val="21"/>
              </w:rPr>
            </w:pPr>
          </w:p>
        </w:tc>
        <w:tc>
          <w:tcPr>
            <w:tcW w:w="113" w:type="dxa"/>
            <w:tcBorders>
              <w:top w:val="nil"/>
              <w:bottom w:val="nil"/>
            </w:tcBorders>
            <w:vAlign w:val="top"/>
          </w:tcPr>
          <w:p w14:paraId="0E67DA81">
            <w:pPr>
              <w:rPr>
                <w:rFonts w:ascii="Arial"/>
                <w:sz w:val="21"/>
              </w:rPr>
            </w:pPr>
          </w:p>
        </w:tc>
        <w:tc>
          <w:tcPr>
            <w:tcW w:w="711" w:type="dxa"/>
            <w:gridSpan w:val="2"/>
            <w:vMerge w:val="continue"/>
            <w:tcBorders>
              <w:top w:val="nil"/>
              <w:bottom w:val="nil"/>
            </w:tcBorders>
            <w:vAlign w:val="top"/>
          </w:tcPr>
          <w:p w14:paraId="67C0BBBE">
            <w:pPr>
              <w:rPr>
                <w:rFonts w:ascii="Arial"/>
                <w:sz w:val="21"/>
              </w:rPr>
            </w:pPr>
          </w:p>
        </w:tc>
        <w:tc>
          <w:tcPr>
            <w:tcW w:w="426" w:type="dxa"/>
            <w:textDirection w:val="tbRlV"/>
            <w:vAlign w:val="top"/>
          </w:tcPr>
          <w:p w14:paraId="26205512">
            <w:pPr>
              <w:pStyle w:val="6"/>
              <w:spacing w:before="107" w:line="216" w:lineRule="auto"/>
              <w:ind w:left="309"/>
              <w:rPr>
                <w:sz w:val="20"/>
                <w:szCs w:val="20"/>
              </w:rPr>
            </w:pPr>
            <w:r>
              <w:rPr>
                <w:spacing w:val="8"/>
                <w:sz w:val="20"/>
                <w:szCs w:val="20"/>
              </w:rPr>
              <w:t>废</w:t>
            </w:r>
            <w:r>
              <w:rPr>
                <w:spacing w:val="-35"/>
                <w:sz w:val="20"/>
                <w:szCs w:val="20"/>
              </w:rPr>
              <w:t xml:space="preserve"> </w:t>
            </w:r>
            <w:r>
              <w:rPr>
                <w:spacing w:val="8"/>
                <w:sz w:val="20"/>
                <w:szCs w:val="20"/>
              </w:rPr>
              <w:t>水</w:t>
            </w:r>
          </w:p>
        </w:tc>
        <w:tc>
          <w:tcPr>
            <w:tcW w:w="1850" w:type="dxa"/>
            <w:gridSpan w:val="2"/>
            <w:vAlign w:val="top"/>
          </w:tcPr>
          <w:p w14:paraId="1EF51EBF">
            <w:pPr>
              <w:pStyle w:val="6"/>
              <w:spacing w:before="37" w:line="228" w:lineRule="auto"/>
              <w:ind w:left="182"/>
              <w:rPr>
                <w:sz w:val="20"/>
                <w:szCs w:val="20"/>
              </w:rPr>
            </w:pPr>
            <w:r>
              <w:rPr>
                <w:spacing w:val="10"/>
                <w:sz w:val="20"/>
                <w:szCs w:val="20"/>
              </w:rPr>
              <w:t>废水量、</w:t>
            </w:r>
            <w:r>
              <w:rPr>
                <w:rFonts w:ascii="Times New Roman" w:hAnsi="Times New Roman" w:eastAsia="Times New Roman" w:cs="Times New Roman"/>
                <w:sz w:val="20"/>
                <w:szCs w:val="20"/>
              </w:rPr>
              <w:t>COD</w:t>
            </w:r>
            <w:r>
              <w:rPr>
                <w:spacing w:val="10"/>
                <w:sz w:val="20"/>
                <w:szCs w:val="20"/>
              </w:rPr>
              <w:t>、</w:t>
            </w:r>
          </w:p>
          <w:p w14:paraId="42772B28">
            <w:pPr>
              <w:pStyle w:val="6"/>
              <w:spacing w:before="60" w:line="195" w:lineRule="auto"/>
              <w:ind w:right="13"/>
              <w:jc w:val="right"/>
              <w:rPr>
                <w:sz w:val="20"/>
                <w:szCs w:val="20"/>
              </w:rPr>
            </w:pP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spacing w:val="-1"/>
                <w:position w:val="-2"/>
                <w:sz w:val="10"/>
                <w:szCs w:val="10"/>
              </w:rPr>
              <w:t>、</w:t>
            </w:r>
            <w:r>
              <w:rPr>
                <w:rFonts w:ascii="Times New Roman" w:hAnsi="Times New Roman" w:eastAsia="Times New Roman" w:cs="Times New Roman"/>
                <w:spacing w:val="-1"/>
                <w:sz w:val="20"/>
                <w:szCs w:val="20"/>
              </w:rPr>
              <w:t>SS</w:t>
            </w:r>
            <w:r>
              <w:rPr>
                <w:spacing w:val="-16"/>
                <w:w w:val="98"/>
                <w:sz w:val="20"/>
                <w:szCs w:val="20"/>
              </w:rPr>
              <w:t>、</w:t>
            </w:r>
            <w:r>
              <w:rPr>
                <w:rFonts w:ascii="Times New Roman" w:hAnsi="Times New Roman" w:eastAsia="Times New Roman" w:cs="Times New Roman"/>
                <w:spacing w:val="-16"/>
                <w:w w:val="98"/>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r>
              <w:rPr>
                <w:spacing w:val="3"/>
                <w:sz w:val="20"/>
                <w:szCs w:val="20"/>
              </w:rPr>
              <w:t>、</w:t>
            </w:r>
          </w:p>
          <w:p w14:paraId="36FA06B2">
            <w:pPr>
              <w:pStyle w:val="6"/>
              <w:spacing w:before="26" w:line="228" w:lineRule="auto"/>
              <w:ind w:left="114"/>
              <w:rPr>
                <w:sz w:val="20"/>
                <w:szCs w:val="20"/>
              </w:rPr>
            </w:pPr>
            <w:r>
              <w:rPr>
                <w:spacing w:val="7"/>
                <w:sz w:val="20"/>
                <w:szCs w:val="20"/>
              </w:rPr>
              <w:t>悬浮物、石油类、</w:t>
            </w:r>
          </w:p>
          <w:p w14:paraId="2AA6C87C">
            <w:pPr>
              <w:pStyle w:val="6"/>
              <w:spacing w:before="25" w:line="207" w:lineRule="auto"/>
              <w:ind w:left="510"/>
              <w:rPr>
                <w:sz w:val="20"/>
                <w:szCs w:val="20"/>
              </w:rPr>
            </w:pPr>
            <w:r>
              <w:rPr>
                <w:spacing w:val="7"/>
                <w:sz w:val="20"/>
                <w:szCs w:val="20"/>
              </w:rPr>
              <w:t>动植物油</w:t>
            </w:r>
          </w:p>
        </w:tc>
        <w:tc>
          <w:tcPr>
            <w:tcW w:w="1326" w:type="dxa"/>
            <w:vAlign w:val="top"/>
          </w:tcPr>
          <w:p w14:paraId="7DD3B5B5">
            <w:pPr>
              <w:pStyle w:val="6"/>
              <w:spacing w:before="172" w:line="228" w:lineRule="auto"/>
              <w:ind w:left="142"/>
              <w:rPr>
                <w:sz w:val="20"/>
                <w:szCs w:val="20"/>
              </w:rPr>
            </w:pPr>
            <w:r>
              <w:rPr>
                <w:spacing w:val="8"/>
                <w:sz w:val="20"/>
                <w:szCs w:val="20"/>
              </w:rPr>
              <w:t>废水进市政</w:t>
            </w:r>
          </w:p>
          <w:p w14:paraId="749E2881">
            <w:pPr>
              <w:pStyle w:val="6"/>
              <w:spacing w:before="26" w:line="228" w:lineRule="auto"/>
              <w:ind w:left="144"/>
              <w:rPr>
                <w:sz w:val="20"/>
                <w:szCs w:val="20"/>
              </w:rPr>
            </w:pPr>
            <w:r>
              <w:rPr>
                <w:spacing w:val="7"/>
                <w:sz w:val="20"/>
                <w:szCs w:val="20"/>
              </w:rPr>
              <w:t>污水管道入</w:t>
            </w:r>
          </w:p>
          <w:p w14:paraId="33A33037">
            <w:pPr>
              <w:pStyle w:val="6"/>
              <w:spacing w:before="24" w:line="265" w:lineRule="exact"/>
              <w:ind w:left="594"/>
              <w:rPr>
                <w:sz w:val="20"/>
                <w:szCs w:val="20"/>
              </w:rPr>
            </w:pPr>
            <w:r>
              <w:rPr>
                <w:position w:val="1"/>
                <w:sz w:val="20"/>
                <w:szCs w:val="20"/>
              </w:rPr>
              <w:t>口</w:t>
            </w:r>
          </w:p>
        </w:tc>
        <w:tc>
          <w:tcPr>
            <w:tcW w:w="1268" w:type="dxa"/>
            <w:vAlign w:val="top"/>
          </w:tcPr>
          <w:p w14:paraId="67B599FF">
            <w:pPr>
              <w:spacing w:line="378" w:lineRule="auto"/>
              <w:rPr>
                <w:rFonts w:ascii="Arial"/>
                <w:sz w:val="21"/>
              </w:rPr>
            </w:pPr>
          </w:p>
          <w:p w14:paraId="7FC9E239">
            <w:pPr>
              <w:pStyle w:val="6"/>
              <w:spacing w:before="65" w:line="228" w:lineRule="auto"/>
              <w:ind w:left="115"/>
              <w:rPr>
                <w:sz w:val="20"/>
                <w:szCs w:val="20"/>
              </w:rPr>
            </w:pPr>
            <w:r>
              <w:rPr>
                <w:spacing w:val="8"/>
                <w:sz w:val="20"/>
                <w:szCs w:val="20"/>
              </w:rPr>
              <w:t>每季度一次</w:t>
            </w:r>
          </w:p>
        </w:tc>
        <w:tc>
          <w:tcPr>
            <w:tcW w:w="2728" w:type="dxa"/>
            <w:gridSpan w:val="2"/>
            <w:vAlign w:val="top"/>
          </w:tcPr>
          <w:p w14:paraId="33A7E293">
            <w:pPr>
              <w:spacing w:line="242" w:lineRule="auto"/>
              <w:rPr>
                <w:rFonts w:ascii="Arial"/>
                <w:sz w:val="21"/>
              </w:rPr>
            </w:pPr>
          </w:p>
          <w:p w14:paraId="3DC7DC5B">
            <w:pPr>
              <w:pStyle w:val="6"/>
              <w:spacing w:before="65" w:line="228" w:lineRule="auto"/>
              <w:ind w:left="326"/>
              <w:rPr>
                <w:sz w:val="20"/>
                <w:szCs w:val="20"/>
              </w:rPr>
            </w:pPr>
            <w:r>
              <w:rPr>
                <w:spacing w:val="7"/>
                <w:sz w:val="20"/>
                <w:szCs w:val="20"/>
              </w:rPr>
              <w:t>《污水综合排放标准》</w:t>
            </w:r>
          </w:p>
          <w:p w14:paraId="266AE5AD">
            <w:pPr>
              <w:pStyle w:val="6"/>
              <w:spacing w:before="27" w:line="228" w:lineRule="auto"/>
              <w:ind w:left="151"/>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01B25F66">
            <w:pPr>
              <w:rPr>
                <w:rFonts w:ascii="Arial"/>
                <w:sz w:val="21"/>
              </w:rPr>
            </w:pPr>
          </w:p>
        </w:tc>
      </w:tr>
      <w:tr w14:paraId="24AB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372" w:type="dxa"/>
            <w:vMerge w:val="continue"/>
            <w:tcBorders>
              <w:top w:val="nil"/>
              <w:bottom w:val="nil"/>
            </w:tcBorders>
            <w:vAlign w:val="top"/>
          </w:tcPr>
          <w:p w14:paraId="0E34A0BA">
            <w:pPr>
              <w:rPr>
                <w:rFonts w:ascii="Arial"/>
                <w:sz w:val="21"/>
              </w:rPr>
            </w:pPr>
          </w:p>
        </w:tc>
        <w:tc>
          <w:tcPr>
            <w:tcW w:w="113" w:type="dxa"/>
            <w:tcBorders>
              <w:top w:val="nil"/>
              <w:bottom w:val="nil"/>
            </w:tcBorders>
            <w:vAlign w:val="top"/>
          </w:tcPr>
          <w:p w14:paraId="1C5778AD">
            <w:pPr>
              <w:rPr>
                <w:rFonts w:ascii="Arial"/>
                <w:sz w:val="21"/>
              </w:rPr>
            </w:pPr>
          </w:p>
        </w:tc>
        <w:tc>
          <w:tcPr>
            <w:tcW w:w="711" w:type="dxa"/>
            <w:gridSpan w:val="2"/>
            <w:vMerge w:val="continue"/>
            <w:tcBorders>
              <w:top w:val="nil"/>
            </w:tcBorders>
            <w:vAlign w:val="top"/>
          </w:tcPr>
          <w:p w14:paraId="7CC9B8DC">
            <w:pPr>
              <w:rPr>
                <w:rFonts w:ascii="Arial"/>
                <w:sz w:val="21"/>
              </w:rPr>
            </w:pPr>
          </w:p>
        </w:tc>
        <w:tc>
          <w:tcPr>
            <w:tcW w:w="426" w:type="dxa"/>
            <w:textDirection w:val="tbRlV"/>
            <w:vAlign w:val="top"/>
          </w:tcPr>
          <w:p w14:paraId="2B07F690">
            <w:pPr>
              <w:pStyle w:val="6"/>
              <w:spacing w:before="106" w:line="213" w:lineRule="auto"/>
              <w:ind w:left="180"/>
              <w:rPr>
                <w:sz w:val="20"/>
                <w:szCs w:val="20"/>
              </w:rPr>
            </w:pPr>
            <w:r>
              <w:rPr>
                <w:spacing w:val="8"/>
                <w:sz w:val="20"/>
                <w:szCs w:val="20"/>
              </w:rPr>
              <w:t>噪</w:t>
            </w:r>
            <w:r>
              <w:rPr>
                <w:spacing w:val="-38"/>
                <w:sz w:val="20"/>
                <w:szCs w:val="20"/>
              </w:rPr>
              <w:t xml:space="preserve"> </w:t>
            </w:r>
            <w:r>
              <w:rPr>
                <w:spacing w:val="8"/>
                <w:sz w:val="20"/>
                <w:szCs w:val="20"/>
              </w:rPr>
              <w:t>声</w:t>
            </w:r>
          </w:p>
        </w:tc>
        <w:tc>
          <w:tcPr>
            <w:tcW w:w="1850" w:type="dxa"/>
            <w:gridSpan w:val="2"/>
            <w:vAlign w:val="top"/>
          </w:tcPr>
          <w:p w14:paraId="74CB2221">
            <w:pPr>
              <w:spacing w:line="248" w:lineRule="auto"/>
              <w:rPr>
                <w:rFonts w:ascii="Arial"/>
                <w:sz w:val="21"/>
              </w:rPr>
            </w:pPr>
          </w:p>
          <w:p w14:paraId="378103A8">
            <w:pPr>
              <w:pStyle w:val="6"/>
              <w:spacing w:before="65" w:line="221" w:lineRule="auto"/>
              <w:ind w:left="325"/>
              <w:rPr>
                <w:sz w:val="20"/>
                <w:szCs w:val="20"/>
              </w:rPr>
            </w:pPr>
            <w:r>
              <w:rPr>
                <w:rFonts w:ascii="Times New Roman" w:hAnsi="Times New Roman" w:eastAsia="Times New Roman" w:cs="Times New Roman"/>
                <w:sz w:val="20"/>
                <w:szCs w:val="20"/>
              </w:rPr>
              <w:t>Leq</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dB</w:t>
            </w:r>
            <w:r>
              <w:rPr>
                <w:spacing w:val="10"/>
                <w:sz w:val="20"/>
                <w:szCs w:val="20"/>
              </w:rPr>
              <w:t>（</w:t>
            </w:r>
            <w:r>
              <w:rPr>
                <w:rFonts w:ascii="Times New Roman" w:hAnsi="Times New Roman" w:eastAsia="Times New Roman" w:cs="Times New Roman"/>
                <w:spacing w:val="10"/>
                <w:sz w:val="20"/>
                <w:szCs w:val="20"/>
              </w:rPr>
              <w:t>A</w:t>
            </w:r>
            <w:r>
              <w:rPr>
                <w:spacing w:val="10"/>
                <w:sz w:val="20"/>
                <w:szCs w:val="20"/>
              </w:rPr>
              <w:t>）</w:t>
            </w:r>
          </w:p>
        </w:tc>
        <w:tc>
          <w:tcPr>
            <w:tcW w:w="1326" w:type="dxa"/>
            <w:vAlign w:val="top"/>
          </w:tcPr>
          <w:p w14:paraId="503CB4D4">
            <w:pPr>
              <w:spacing w:line="248" w:lineRule="auto"/>
              <w:rPr>
                <w:rFonts w:ascii="Arial"/>
                <w:sz w:val="21"/>
              </w:rPr>
            </w:pPr>
          </w:p>
          <w:p w14:paraId="46810911">
            <w:pPr>
              <w:pStyle w:val="6"/>
              <w:spacing w:before="65" w:line="228" w:lineRule="auto"/>
              <w:ind w:left="251"/>
              <w:rPr>
                <w:sz w:val="20"/>
                <w:szCs w:val="20"/>
              </w:rPr>
            </w:pPr>
            <w:r>
              <w:rPr>
                <w:spacing w:val="6"/>
                <w:sz w:val="20"/>
                <w:szCs w:val="20"/>
              </w:rPr>
              <w:t>厂界四周</w:t>
            </w:r>
          </w:p>
        </w:tc>
        <w:tc>
          <w:tcPr>
            <w:tcW w:w="1268" w:type="dxa"/>
            <w:vAlign w:val="top"/>
          </w:tcPr>
          <w:p w14:paraId="624A186C">
            <w:pPr>
              <w:pStyle w:val="6"/>
              <w:spacing w:before="44" w:line="251" w:lineRule="auto"/>
              <w:ind w:left="121" w:right="106" w:firstLine="97"/>
              <w:rPr>
                <w:sz w:val="20"/>
                <w:szCs w:val="20"/>
              </w:rPr>
            </w:pPr>
            <w:r>
              <w:rPr>
                <w:spacing w:val="7"/>
                <w:sz w:val="20"/>
                <w:szCs w:val="20"/>
              </w:rPr>
              <w:t>每半年一</w:t>
            </w:r>
            <w:r>
              <w:rPr>
                <w:sz w:val="20"/>
                <w:szCs w:val="20"/>
              </w:rPr>
              <w:t xml:space="preserve">  </w:t>
            </w:r>
            <w:r>
              <w:rPr>
                <w:spacing w:val="7"/>
                <w:sz w:val="20"/>
                <w:szCs w:val="20"/>
              </w:rPr>
              <w:t>次，昼、夜</w:t>
            </w:r>
          </w:p>
          <w:p w14:paraId="45F97EFC">
            <w:pPr>
              <w:pStyle w:val="6"/>
              <w:spacing w:line="214" w:lineRule="auto"/>
              <w:ind w:left="118"/>
              <w:rPr>
                <w:sz w:val="20"/>
                <w:szCs w:val="20"/>
              </w:rPr>
            </w:pPr>
            <w:r>
              <w:rPr>
                <w:spacing w:val="-1"/>
                <w:sz w:val="20"/>
                <w:szCs w:val="20"/>
              </w:rPr>
              <w:t>各监测</w:t>
            </w:r>
            <w:r>
              <w:rPr>
                <w:spacing w:val="-2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8"/>
                <w:sz w:val="20"/>
                <w:szCs w:val="20"/>
              </w:rPr>
              <w:t xml:space="preserve"> </w:t>
            </w:r>
            <w:r>
              <w:rPr>
                <w:spacing w:val="-1"/>
                <w:sz w:val="20"/>
                <w:szCs w:val="20"/>
              </w:rPr>
              <w:t>次</w:t>
            </w:r>
          </w:p>
        </w:tc>
        <w:tc>
          <w:tcPr>
            <w:tcW w:w="2728" w:type="dxa"/>
            <w:gridSpan w:val="2"/>
            <w:vAlign w:val="top"/>
          </w:tcPr>
          <w:p w14:paraId="6A96B889">
            <w:pPr>
              <w:pStyle w:val="6"/>
              <w:spacing w:before="43" w:line="228" w:lineRule="auto"/>
              <w:ind w:left="223"/>
              <w:rPr>
                <w:sz w:val="20"/>
                <w:szCs w:val="20"/>
              </w:rPr>
            </w:pPr>
            <w:r>
              <w:rPr>
                <w:spacing w:val="8"/>
                <w:sz w:val="20"/>
                <w:szCs w:val="20"/>
              </w:rPr>
              <w:t>《工业企业厂界环境噪声</w:t>
            </w:r>
          </w:p>
          <w:p w14:paraId="529C7310">
            <w:pPr>
              <w:pStyle w:val="6"/>
              <w:spacing w:before="24" w:line="228" w:lineRule="auto"/>
              <w:ind w:right="7"/>
              <w:jc w:val="right"/>
              <w:rPr>
                <w:sz w:val="20"/>
                <w:szCs w:val="20"/>
              </w:rPr>
            </w:pPr>
            <w:r>
              <w:rPr>
                <w:spacing w:val="-3"/>
                <w:sz w:val="20"/>
                <w:szCs w:val="20"/>
              </w:rPr>
              <w:t>排放标准》（</w:t>
            </w:r>
            <w:r>
              <w:rPr>
                <w:rFonts w:ascii="Times New Roman" w:hAnsi="Times New Roman" w:eastAsia="Times New Roman" w:cs="Times New Roman"/>
                <w:spacing w:val="-3"/>
                <w:sz w:val="20"/>
                <w:szCs w:val="20"/>
              </w:rPr>
              <w:t>GB12348-2008</w:t>
            </w:r>
            <w:r>
              <w:rPr>
                <w:spacing w:val="-3"/>
                <w:sz w:val="20"/>
                <w:szCs w:val="20"/>
              </w:rPr>
              <w:t>）</w:t>
            </w:r>
          </w:p>
          <w:p w14:paraId="26B6BF97">
            <w:pPr>
              <w:pStyle w:val="6"/>
              <w:spacing w:before="26" w:line="215" w:lineRule="auto"/>
              <w:ind w:left="873"/>
              <w:rPr>
                <w:sz w:val="20"/>
                <w:szCs w:val="20"/>
              </w:rPr>
            </w:pPr>
            <w:r>
              <w:rPr>
                <w:rFonts w:ascii="Times New Roman" w:hAnsi="Times New Roman" w:eastAsia="Times New Roman" w:cs="Times New Roman"/>
                <w:spacing w:val="5"/>
                <w:sz w:val="20"/>
                <w:szCs w:val="20"/>
              </w:rPr>
              <w:t xml:space="preserve">3 </w:t>
            </w:r>
            <w:r>
              <w:rPr>
                <w:spacing w:val="5"/>
                <w:sz w:val="20"/>
                <w:szCs w:val="20"/>
              </w:rPr>
              <w:t>类区标准</w:t>
            </w:r>
          </w:p>
        </w:tc>
        <w:tc>
          <w:tcPr>
            <w:tcW w:w="118" w:type="dxa"/>
            <w:tcBorders>
              <w:top w:val="nil"/>
              <w:bottom w:val="nil"/>
            </w:tcBorders>
            <w:vAlign w:val="top"/>
          </w:tcPr>
          <w:p w14:paraId="73B5BB1C">
            <w:pPr>
              <w:rPr>
                <w:rFonts w:ascii="Arial"/>
                <w:sz w:val="21"/>
              </w:rPr>
            </w:pPr>
          </w:p>
        </w:tc>
      </w:tr>
      <w:tr w14:paraId="245FC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2" w:type="dxa"/>
            <w:vMerge w:val="continue"/>
            <w:tcBorders>
              <w:top w:val="nil"/>
              <w:bottom w:val="nil"/>
            </w:tcBorders>
            <w:vAlign w:val="top"/>
          </w:tcPr>
          <w:p w14:paraId="762F5FA7">
            <w:pPr>
              <w:rPr>
                <w:rFonts w:ascii="Arial"/>
                <w:sz w:val="21"/>
              </w:rPr>
            </w:pPr>
          </w:p>
        </w:tc>
        <w:tc>
          <w:tcPr>
            <w:tcW w:w="113" w:type="dxa"/>
            <w:tcBorders>
              <w:top w:val="nil"/>
              <w:bottom w:val="nil"/>
            </w:tcBorders>
            <w:vAlign w:val="top"/>
          </w:tcPr>
          <w:p w14:paraId="74E8596C">
            <w:pPr>
              <w:rPr>
                <w:rFonts w:ascii="Arial"/>
                <w:sz w:val="21"/>
              </w:rPr>
            </w:pPr>
          </w:p>
        </w:tc>
        <w:tc>
          <w:tcPr>
            <w:tcW w:w="711" w:type="dxa"/>
            <w:gridSpan w:val="2"/>
            <w:vAlign w:val="top"/>
          </w:tcPr>
          <w:p w14:paraId="3F5C47C3">
            <w:pPr>
              <w:pStyle w:val="6"/>
              <w:spacing w:before="35" w:line="228" w:lineRule="auto"/>
              <w:ind w:left="149"/>
              <w:rPr>
                <w:sz w:val="20"/>
                <w:szCs w:val="20"/>
              </w:rPr>
            </w:pPr>
            <w:r>
              <w:rPr>
                <w:spacing w:val="4"/>
                <w:sz w:val="20"/>
                <w:szCs w:val="20"/>
              </w:rPr>
              <w:t>环境</w:t>
            </w:r>
          </w:p>
          <w:p w14:paraId="206DCAEF">
            <w:pPr>
              <w:pStyle w:val="6"/>
              <w:spacing w:before="24" w:line="228" w:lineRule="auto"/>
              <w:ind w:left="150"/>
              <w:rPr>
                <w:sz w:val="20"/>
                <w:szCs w:val="20"/>
              </w:rPr>
            </w:pPr>
            <w:r>
              <w:rPr>
                <w:spacing w:val="4"/>
                <w:sz w:val="20"/>
                <w:szCs w:val="20"/>
              </w:rPr>
              <w:t>质量</w:t>
            </w:r>
          </w:p>
          <w:p w14:paraId="4063DAF7">
            <w:pPr>
              <w:pStyle w:val="6"/>
              <w:spacing w:before="23" w:line="216" w:lineRule="auto"/>
              <w:ind w:left="147"/>
              <w:rPr>
                <w:sz w:val="20"/>
                <w:szCs w:val="20"/>
              </w:rPr>
            </w:pPr>
            <w:r>
              <w:rPr>
                <w:spacing w:val="5"/>
                <w:sz w:val="20"/>
                <w:szCs w:val="20"/>
              </w:rPr>
              <w:t>跟踪</w:t>
            </w:r>
          </w:p>
        </w:tc>
        <w:tc>
          <w:tcPr>
            <w:tcW w:w="426" w:type="dxa"/>
            <w:textDirection w:val="tbRlV"/>
            <w:vAlign w:val="top"/>
          </w:tcPr>
          <w:p w14:paraId="264319D5">
            <w:pPr>
              <w:pStyle w:val="6"/>
              <w:spacing w:before="106" w:line="216" w:lineRule="auto"/>
              <w:ind w:left="35"/>
              <w:rPr>
                <w:sz w:val="20"/>
                <w:szCs w:val="20"/>
              </w:rPr>
            </w:pPr>
            <w:r>
              <w:rPr>
                <w:spacing w:val="8"/>
                <w:sz w:val="20"/>
                <w:szCs w:val="20"/>
              </w:rPr>
              <w:t>地</w:t>
            </w:r>
            <w:r>
              <w:rPr>
                <w:spacing w:val="-37"/>
                <w:sz w:val="20"/>
                <w:szCs w:val="20"/>
              </w:rPr>
              <w:t xml:space="preserve"> </w:t>
            </w:r>
            <w:r>
              <w:rPr>
                <w:spacing w:val="8"/>
                <w:sz w:val="20"/>
                <w:szCs w:val="20"/>
              </w:rPr>
              <w:t>下</w:t>
            </w:r>
            <w:r>
              <w:rPr>
                <w:spacing w:val="-37"/>
                <w:sz w:val="20"/>
                <w:szCs w:val="20"/>
              </w:rPr>
              <w:t xml:space="preserve"> </w:t>
            </w:r>
            <w:r>
              <w:rPr>
                <w:spacing w:val="8"/>
                <w:sz w:val="20"/>
                <w:szCs w:val="20"/>
              </w:rPr>
              <w:t>水</w:t>
            </w:r>
          </w:p>
        </w:tc>
        <w:tc>
          <w:tcPr>
            <w:tcW w:w="4444" w:type="dxa"/>
            <w:gridSpan w:val="4"/>
            <w:vAlign w:val="top"/>
          </w:tcPr>
          <w:p w14:paraId="60AD6E25">
            <w:pPr>
              <w:pStyle w:val="6"/>
              <w:spacing w:before="169" w:line="225" w:lineRule="auto"/>
              <w:ind w:left="130"/>
              <w:rPr>
                <w:sz w:val="20"/>
                <w:szCs w:val="20"/>
              </w:rPr>
            </w:pPr>
            <w:r>
              <w:rPr>
                <w:spacing w:val="9"/>
                <w:sz w:val="20"/>
                <w:szCs w:val="20"/>
              </w:rPr>
              <w:t>定期收集棋西项目区地下水监测点环境监测数</w:t>
            </w:r>
          </w:p>
          <w:p w14:paraId="33B2E682">
            <w:pPr>
              <w:pStyle w:val="6"/>
              <w:spacing w:before="29" w:line="228" w:lineRule="auto"/>
              <w:ind w:left="756"/>
              <w:rPr>
                <w:sz w:val="20"/>
                <w:szCs w:val="20"/>
              </w:rPr>
            </w:pPr>
            <w:r>
              <w:rPr>
                <w:spacing w:val="8"/>
                <w:sz w:val="20"/>
                <w:szCs w:val="20"/>
              </w:rPr>
              <w:t>据，了解区域地下水环境质量。</w:t>
            </w:r>
          </w:p>
        </w:tc>
        <w:tc>
          <w:tcPr>
            <w:tcW w:w="2728" w:type="dxa"/>
            <w:gridSpan w:val="2"/>
            <w:vAlign w:val="top"/>
          </w:tcPr>
          <w:p w14:paraId="4B6038AF">
            <w:pPr>
              <w:pStyle w:val="6"/>
              <w:spacing w:before="35" w:line="228" w:lineRule="auto"/>
              <w:ind w:left="432"/>
              <w:rPr>
                <w:sz w:val="20"/>
                <w:szCs w:val="20"/>
              </w:rPr>
            </w:pPr>
            <w:r>
              <w:rPr>
                <w:spacing w:val="7"/>
                <w:sz w:val="20"/>
                <w:szCs w:val="20"/>
              </w:rPr>
              <w:t>《地下水质量标准》</w:t>
            </w:r>
          </w:p>
          <w:p w14:paraId="3B951A18">
            <w:pPr>
              <w:pStyle w:val="6"/>
              <w:spacing w:before="24" w:line="228" w:lineRule="auto"/>
              <w:ind w:left="124"/>
              <w:rPr>
                <w:sz w:val="20"/>
                <w:szCs w:val="20"/>
              </w:rPr>
            </w:pPr>
            <w:r>
              <w:rPr>
                <w:sz w:val="20"/>
                <w:szCs w:val="20"/>
              </w:rPr>
              <w:t>（</w:t>
            </w:r>
            <w:r>
              <w:rPr>
                <w:rFonts w:ascii="Times New Roman" w:hAnsi="Times New Roman" w:eastAsia="Times New Roman" w:cs="Times New Roman"/>
                <w:sz w:val="20"/>
                <w:szCs w:val="20"/>
              </w:rPr>
              <w:t>GB/T14848-2017</w:t>
            </w:r>
            <w:r>
              <w:rPr>
                <w:sz w:val="20"/>
                <w:szCs w:val="20"/>
              </w:rPr>
              <w:t>）</w:t>
            </w:r>
            <w:r>
              <w:rPr>
                <w:rFonts w:ascii="Times New Roman" w:hAnsi="Times New Roman" w:eastAsia="Times New Roman" w:cs="Times New Roman"/>
                <w:sz w:val="20"/>
                <w:szCs w:val="20"/>
              </w:rPr>
              <w:t>III</w:t>
            </w:r>
            <w:r>
              <w:rPr>
                <w:rFonts w:ascii="Times New Roman" w:hAnsi="Times New Roman" w:eastAsia="Times New Roman" w:cs="Times New Roman"/>
                <w:spacing w:val="21"/>
                <w:w w:val="101"/>
                <w:sz w:val="20"/>
                <w:szCs w:val="20"/>
              </w:rPr>
              <w:t xml:space="preserve"> </w:t>
            </w:r>
            <w:r>
              <w:rPr>
                <w:sz w:val="20"/>
                <w:szCs w:val="20"/>
              </w:rPr>
              <w:t>类标</w:t>
            </w:r>
          </w:p>
          <w:p w14:paraId="24A97ECD">
            <w:pPr>
              <w:pStyle w:val="6"/>
              <w:spacing w:before="24" w:line="216" w:lineRule="auto"/>
              <w:ind w:left="1268"/>
              <w:rPr>
                <w:sz w:val="20"/>
                <w:szCs w:val="20"/>
              </w:rPr>
            </w:pPr>
            <w:r>
              <w:rPr>
                <w:sz w:val="20"/>
                <w:szCs w:val="20"/>
              </w:rPr>
              <w:t>准</w:t>
            </w:r>
          </w:p>
        </w:tc>
        <w:tc>
          <w:tcPr>
            <w:tcW w:w="118" w:type="dxa"/>
            <w:tcBorders>
              <w:top w:val="nil"/>
              <w:bottom w:val="nil"/>
            </w:tcBorders>
            <w:vAlign w:val="top"/>
          </w:tcPr>
          <w:p w14:paraId="15EFF690">
            <w:pPr>
              <w:rPr>
                <w:rFonts w:ascii="Arial"/>
                <w:sz w:val="21"/>
              </w:rPr>
            </w:pPr>
          </w:p>
        </w:tc>
      </w:tr>
      <w:tr w14:paraId="21A4F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9" w:hRule="atLeast"/>
        </w:trPr>
        <w:tc>
          <w:tcPr>
            <w:tcW w:w="372" w:type="dxa"/>
            <w:vMerge w:val="continue"/>
            <w:tcBorders>
              <w:top w:val="nil"/>
              <w:bottom w:val="nil"/>
            </w:tcBorders>
            <w:vAlign w:val="top"/>
          </w:tcPr>
          <w:p w14:paraId="1EB8D6BF">
            <w:pPr>
              <w:rPr>
                <w:rFonts w:ascii="Arial"/>
                <w:sz w:val="21"/>
              </w:rPr>
            </w:pPr>
          </w:p>
        </w:tc>
        <w:tc>
          <w:tcPr>
            <w:tcW w:w="8540" w:type="dxa"/>
            <w:gridSpan w:val="11"/>
            <w:vAlign w:val="top"/>
          </w:tcPr>
          <w:p w14:paraId="44D692EF">
            <w:pPr>
              <w:pStyle w:val="6"/>
              <w:spacing w:before="194" w:line="220" w:lineRule="auto"/>
              <w:ind w:left="118"/>
              <w:outlineLvl w:val="1"/>
              <w:rPr>
                <w:sz w:val="24"/>
                <w:szCs w:val="24"/>
              </w:rPr>
            </w:pPr>
            <w:r>
              <w:rPr>
                <w:rFonts w:ascii="Times New Roman" w:hAnsi="Times New Roman" w:eastAsia="Times New Roman" w:cs="Times New Roman"/>
                <w:b/>
                <w:bCs/>
                <w:spacing w:val="-8"/>
                <w:sz w:val="24"/>
                <w:szCs w:val="24"/>
              </w:rPr>
              <w:t>10</w:t>
            </w:r>
            <w:r>
              <w:rPr>
                <w:rFonts w:ascii="Times New Roman" w:hAnsi="Times New Roman" w:eastAsia="Times New Roman" w:cs="Times New Roman"/>
                <w:b/>
                <w:bCs/>
                <w:spacing w:val="-29"/>
                <w:sz w:val="24"/>
                <w:szCs w:val="24"/>
              </w:rPr>
              <w:t xml:space="preserve"> </w:t>
            </w:r>
            <w:r>
              <w:rPr>
                <w:b/>
                <w:bCs/>
                <w:spacing w:val="-8"/>
                <w:sz w:val="24"/>
                <w:szCs w:val="24"/>
              </w:rPr>
              <w:t>、环保投资</w:t>
            </w:r>
          </w:p>
          <w:p w14:paraId="35D1BD7C">
            <w:pPr>
              <w:pStyle w:val="6"/>
              <w:spacing w:before="182" w:line="357" w:lineRule="auto"/>
              <w:ind w:left="113" w:right="106" w:firstLine="480"/>
              <w:rPr>
                <w:sz w:val="24"/>
                <w:szCs w:val="24"/>
              </w:rPr>
            </w:pPr>
            <w:r>
              <w:rPr>
                <w:spacing w:val="5"/>
                <w:sz w:val="24"/>
                <w:szCs w:val="24"/>
              </w:rPr>
              <w:t>本项目总投资</w:t>
            </w:r>
            <w:r>
              <w:rPr>
                <w:spacing w:val="-46"/>
                <w:sz w:val="24"/>
                <w:szCs w:val="24"/>
              </w:rPr>
              <w:t xml:space="preserve"> </w:t>
            </w:r>
            <w:r>
              <w:rPr>
                <w:rFonts w:ascii="Times New Roman" w:hAnsi="Times New Roman" w:eastAsia="Times New Roman" w:cs="Times New Roman"/>
                <w:spacing w:val="5"/>
                <w:sz w:val="24"/>
                <w:szCs w:val="24"/>
              </w:rPr>
              <w:t>2400</w:t>
            </w:r>
            <w:r>
              <w:rPr>
                <w:rFonts w:ascii="Times New Roman" w:hAnsi="Times New Roman" w:eastAsia="Times New Roman" w:cs="Times New Roman"/>
                <w:spacing w:val="25"/>
                <w:sz w:val="24"/>
                <w:szCs w:val="24"/>
              </w:rPr>
              <w:t xml:space="preserve"> </w:t>
            </w:r>
            <w:r>
              <w:rPr>
                <w:spacing w:val="5"/>
                <w:sz w:val="24"/>
                <w:szCs w:val="24"/>
              </w:rPr>
              <w:t>万元，其中环保投资</w:t>
            </w:r>
            <w:r>
              <w:rPr>
                <w:spacing w:val="-22"/>
                <w:sz w:val="24"/>
                <w:szCs w:val="24"/>
              </w:rPr>
              <w:t xml:space="preserve"> </w:t>
            </w:r>
            <w:r>
              <w:rPr>
                <w:rFonts w:ascii="Times New Roman" w:hAnsi="Times New Roman" w:eastAsia="Times New Roman" w:cs="Times New Roman"/>
                <w:spacing w:val="5"/>
                <w:sz w:val="24"/>
                <w:szCs w:val="24"/>
              </w:rPr>
              <w:t>160</w:t>
            </w:r>
            <w:r>
              <w:rPr>
                <w:rFonts w:ascii="Times New Roman" w:hAnsi="Times New Roman" w:eastAsia="Times New Roman" w:cs="Times New Roman"/>
                <w:spacing w:val="27"/>
                <w:sz w:val="24"/>
                <w:szCs w:val="24"/>
              </w:rPr>
              <w:t xml:space="preserve"> </w:t>
            </w:r>
            <w:r>
              <w:rPr>
                <w:spacing w:val="5"/>
                <w:sz w:val="24"/>
                <w:szCs w:val="24"/>
              </w:rPr>
              <w:t>万元，环保投资占总投资的</w:t>
            </w:r>
            <w:r>
              <w:rPr>
                <w:sz w:val="24"/>
                <w:szCs w:val="24"/>
              </w:rPr>
              <w:t xml:space="preserve"> </w:t>
            </w:r>
            <w:r>
              <w:rPr>
                <w:rFonts w:ascii="Times New Roman" w:hAnsi="Times New Roman" w:eastAsia="Times New Roman" w:cs="Times New Roman"/>
                <w:spacing w:val="-3"/>
                <w:sz w:val="24"/>
                <w:szCs w:val="24"/>
              </w:rPr>
              <w:t>6.77%</w:t>
            </w:r>
            <w:r>
              <w:rPr>
                <w:rFonts w:ascii="Times New Roman" w:hAnsi="Times New Roman" w:eastAsia="Times New Roman" w:cs="Times New Roman"/>
                <w:spacing w:val="-31"/>
                <w:sz w:val="24"/>
                <w:szCs w:val="24"/>
              </w:rPr>
              <w:t xml:space="preserve"> </w:t>
            </w:r>
            <w:r>
              <w:rPr>
                <w:spacing w:val="-3"/>
                <w:sz w:val="24"/>
                <w:szCs w:val="24"/>
              </w:rPr>
              <w:t>，具体内容见下表。</w:t>
            </w:r>
          </w:p>
          <w:p w14:paraId="7320E307">
            <w:pPr>
              <w:pStyle w:val="6"/>
              <w:spacing w:line="228" w:lineRule="auto"/>
              <w:ind w:left="3158"/>
              <w:outlineLvl w:val="1"/>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4-7    </w:t>
            </w:r>
            <w:r>
              <w:rPr>
                <w:b/>
                <w:bCs/>
                <w:spacing w:val="5"/>
                <w:sz w:val="20"/>
                <w:szCs w:val="20"/>
              </w:rPr>
              <w:t>环保投资一览表</w:t>
            </w:r>
          </w:p>
        </w:tc>
      </w:tr>
      <w:tr w14:paraId="26CD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72" w:type="dxa"/>
            <w:vMerge w:val="continue"/>
            <w:tcBorders>
              <w:top w:val="nil"/>
              <w:bottom w:val="nil"/>
            </w:tcBorders>
            <w:vAlign w:val="top"/>
          </w:tcPr>
          <w:p w14:paraId="2D92A588">
            <w:pPr>
              <w:rPr>
                <w:rFonts w:ascii="Arial"/>
                <w:sz w:val="21"/>
              </w:rPr>
            </w:pPr>
          </w:p>
        </w:tc>
        <w:tc>
          <w:tcPr>
            <w:tcW w:w="113" w:type="dxa"/>
            <w:tcBorders>
              <w:top w:val="nil"/>
              <w:bottom w:val="nil"/>
            </w:tcBorders>
            <w:vAlign w:val="top"/>
          </w:tcPr>
          <w:p w14:paraId="23888032">
            <w:pPr>
              <w:rPr>
                <w:rFonts w:ascii="Arial"/>
                <w:sz w:val="21"/>
              </w:rPr>
            </w:pPr>
          </w:p>
        </w:tc>
        <w:tc>
          <w:tcPr>
            <w:tcW w:w="1724" w:type="dxa"/>
            <w:gridSpan w:val="4"/>
            <w:vAlign w:val="top"/>
          </w:tcPr>
          <w:p w14:paraId="6A73231B">
            <w:pPr>
              <w:pStyle w:val="6"/>
              <w:spacing w:before="171" w:line="228" w:lineRule="auto"/>
              <w:ind w:left="666"/>
              <w:rPr>
                <w:sz w:val="20"/>
                <w:szCs w:val="20"/>
              </w:rPr>
            </w:pPr>
            <w:r>
              <w:rPr>
                <w:spacing w:val="3"/>
                <w:sz w:val="20"/>
                <w:szCs w:val="20"/>
              </w:rPr>
              <w:t>项目</w:t>
            </w:r>
          </w:p>
        </w:tc>
        <w:tc>
          <w:tcPr>
            <w:tcW w:w="5430" w:type="dxa"/>
            <w:gridSpan w:val="4"/>
            <w:vAlign w:val="top"/>
          </w:tcPr>
          <w:p w14:paraId="3F15BF4B">
            <w:pPr>
              <w:pStyle w:val="6"/>
              <w:spacing w:before="172" w:line="226" w:lineRule="auto"/>
              <w:ind w:left="2315"/>
              <w:rPr>
                <w:sz w:val="20"/>
                <w:szCs w:val="20"/>
              </w:rPr>
            </w:pPr>
            <w:r>
              <w:rPr>
                <w:spacing w:val="6"/>
                <w:sz w:val="20"/>
                <w:szCs w:val="20"/>
              </w:rPr>
              <w:t>投资内容</w:t>
            </w:r>
          </w:p>
        </w:tc>
        <w:tc>
          <w:tcPr>
            <w:tcW w:w="1155" w:type="dxa"/>
            <w:vAlign w:val="top"/>
          </w:tcPr>
          <w:p w14:paraId="269C8D34">
            <w:pPr>
              <w:pStyle w:val="6"/>
              <w:spacing w:before="35" w:line="226" w:lineRule="auto"/>
              <w:ind w:left="171"/>
              <w:rPr>
                <w:sz w:val="20"/>
                <w:szCs w:val="20"/>
              </w:rPr>
            </w:pPr>
            <w:r>
              <w:rPr>
                <w:spacing w:val="7"/>
                <w:sz w:val="20"/>
                <w:szCs w:val="20"/>
              </w:rPr>
              <w:t>环保投资</w:t>
            </w:r>
          </w:p>
          <w:p w14:paraId="232E0925">
            <w:pPr>
              <w:pStyle w:val="6"/>
              <w:spacing w:before="28" w:line="213" w:lineRule="auto"/>
              <w:ind w:left="181"/>
              <w:rPr>
                <w:sz w:val="20"/>
                <w:szCs w:val="20"/>
              </w:rPr>
            </w:pPr>
            <w:r>
              <w:rPr>
                <w:spacing w:val="2"/>
                <w:sz w:val="20"/>
                <w:szCs w:val="20"/>
              </w:rPr>
              <w:t>（万元）</w:t>
            </w:r>
          </w:p>
        </w:tc>
        <w:tc>
          <w:tcPr>
            <w:tcW w:w="118" w:type="dxa"/>
            <w:tcBorders>
              <w:top w:val="nil"/>
              <w:bottom w:val="nil"/>
            </w:tcBorders>
            <w:vAlign w:val="top"/>
          </w:tcPr>
          <w:p w14:paraId="5E618253">
            <w:pPr>
              <w:rPr>
                <w:rFonts w:ascii="Arial"/>
                <w:sz w:val="21"/>
              </w:rPr>
            </w:pPr>
          </w:p>
        </w:tc>
      </w:tr>
      <w:tr w14:paraId="5A449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372" w:type="dxa"/>
            <w:vMerge w:val="continue"/>
            <w:tcBorders>
              <w:top w:val="nil"/>
              <w:bottom w:val="nil"/>
            </w:tcBorders>
            <w:vAlign w:val="top"/>
          </w:tcPr>
          <w:p w14:paraId="160BF09D">
            <w:pPr>
              <w:rPr>
                <w:rFonts w:ascii="Arial"/>
                <w:sz w:val="21"/>
              </w:rPr>
            </w:pPr>
          </w:p>
        </w:tc>
        <w:tc>
          <w:tcPr>
            <w:tcW w:w="113" w:type="dxa"/>
            <w:tcBorders>
              <w:top w:val="nil"/>
              <w:bottom w:val="nil"/>
            </w:tcBorders>
            <w:vAlign w:val="top"/>
          </w:tcPr>
          <w:p w14:paraId="5737B850">
            <w:pPr>
              <w:rPr>
                <w:rFonts w:ascii="Arial"/>
                <w:sz w:val="21"/>
              </w:rPr>
            </w:pPr>
          </w:p>
        </w:tc>
        <w:tc>
          <w:tcPr>
            <w:tcW w:w="651" w:type="dxa"/>
            <w:vAlign w:val="top"/>
          </w:tcPr>
          <w:p w14:paraId="7B3E38FE">
            <w:pPr>
              <w:pStyle w:val="6"/>
              <w:spacing w:before="89" w:line="227" w:lineRule="auto"/>
              <w:ind w:left="112"/>
              <w:rPr>
                <w:sz w:val="20"/>
                <w:szCs w:val="20"/>
              </w:rPr>
            </w:pPr>
            <w:r>
              <w:rPr>
                <w:spacing w:val="5"/>
                <w:sz w:val="20"/>
                <w:szCs w:val="20"/>
              </w:rPr>
              <w:t>废气</w:t>
            </w:r>
          </w:p>
        </w:tc>
        <w:tc>
          <w:tcPr>
            <w:tcW w:w="1073" w:type="dxa"/>
            <w:gridSpan w:val="3"/>
            <w:vAlign w:val="top"/>
          </w:tcPr>
          <w:p w14:paraId="6C282951">
            <w:pPr>
              <w:pStyle w:val="6"/>
              <w:spacing w:before="89" w:line="227" w:lineRule="auto"/>
              <w:ind w:left="119"/>
              <w:rPr>
                <w:sz w:val="20"/>
                <w:szCs w:val="20"/>
              </w:rPr>
            </w:pPr>
            <w:r>
              <w:rPr>
                <w:spacing w:val="7"/>
                <w:sz w:val="20"/>
                <w:szCs w:val="20"/>
              </w:rPr>
              <w:t>汽车尾气</w:t>
            </w:r>
          </w:p>
        </w:tc>
        <w:tc>
          <w:tcPr>
            <w:tcW w:w="5430" w:type="dxa"/>
            <w:gridSpan w:val="4"/>
            <w:vAlign w:val="top"/>
          </w:tcPr>
          <w:p w14:paraId="52814B4F">
            <w:pPr>
              <w:pStyle w:val="6"/>
              <w:spacing w:before="89" w:line="228" w:lineRule="auto"/>
              <w:ind w:left="529"/>
              <w:rPr>
                <w:sz w:val="20"/>
                <w:szCs w:val="20"/>
              </w:rPr>
            </w:pPr>
            <w:r>
              <w:rPr>
                <w:spacing w:val="8"/>
                <w:sz w:val="20"/>
                <w:szCs w:val="20"/>
              </w:rPr>
              <w:t>车辆限速行驶、厂区道路硬化，增加场区绿化。</w:t>
            </w:r>
          </w:p>
        </w:tc>
        <w:tc>
          <w:tcPr>
            <w:tcW w:w="1155" w:type="dxa"/>
            <w:vAlign w:val="top"/>
          </w:tcPr>
          <w:p w14:paraId="3797B76C">
            <w:pPr>
              <w:spacing w:before="125"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8" w:type="dxa"/>
            <w:tcBorders>
              <w:top w:val="nil"/>
              <w:bottom w:val="nil"/>
            </w:tcBorders>
            <w:vAlign w:val="top"/>
          </w:tcPr>
          <w:p w14:paraId="7C513B57">
            <w:pPr>
              <w:rPr>
                <w:rFonts w:ascii="Arial"/>
                <w:sz w:val="21"/>
              </w:rPr>
            </w:pPr>
          </w:p>
        </w:tc>
      </w:tr>
      <w:tr w14:paraId="75E92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372" w:type="dxa"/>
            <w:vMerge w:val="continue"/>
            <w:tcBorders>
              <w:top w:val="nil"/>
              <w:bottom w:val="nil"/>
            </w:tcBorders>
            <w:vAlign w:val="top"/>
          </w:tcPr>
          <w:p w14:paraId="3EFEB517">
            <w:pPr>
              <w:rPr>
                <w:rFonts w:ascii="Arial"/>
                <w:sz w:val="21"/>
              </w:rPr>
            </w:pPr>
          </w:p>
        </w:tc>
        <w:tc>
          <w:tcPr>
            <w:tcW w:w="113" w:type="dxa"/>
            <w:tcBorders>
              <w:top w:val="nil"/>
              <w:bottom w:val="nil"/>
            </w:tcBorders>
            <w:vAlign w:val="top"/>
          </w:tcPr>
          <w:p w14:paraId="3488C97B">
            <w:pPr>
              <w:rPr>
                <w:rFonts w:ascii="Arial"/>
                <w:sz w:val="21"/>
              </w:rPr>
            </w:pPr>
          </w:p>
        </w:tc>
        <w:tc>
          <w:tcPr>
            <w:tcW w:w="651" w:type="dxa"/>
            <w:vMerge w:val="restart"/>
            <w:tcBorders>
              <w:bottom w:val="nil"/>
            </w:tcBorders>
            <w:vAlign w:val="top"/>
          </w:tcPr>
          <w:p w14:paraId="02EFB05B">
            <w:pPr>
              <w:spacing w:line="325" w:lineRule="auto"/>
              <w:rPr>
                <w:rFonts w:ascii="Arial"/>
                <w:sz w:val="21"/>
              </w:rPr>
            </w:pPr>
          </w:p>
          <w:p w14:paraId="7B3AA480">
            <w:pPr>
              <w:spacing w:line="326" w:lineRule="auto"/>
              <w:rPr>
                <w:rFonts w:ascii="Arial"/>
                <w:sz w:val="21"/>
              </w:rPr>
            </w:pPr>
          </w:p>
          <w:p w14:paraId="1892CE13">
            <w:pPr>
              <w:pStyle w:val="6"/>
              <w:spacing w:before="65" w:line="228" w:lineRule="auto"/>
              <w:ind w:left="112"/>
              <w:rPr>
                <w:sz w:val="20"/>
                <w:szCs w:val="20"/>
              </w:rPr>
            </w:pPr>
            <w:r>
              <w:rPr>
                <w:spacing w:val="5"/>
                <w:sz w:val="20"/>
                <w:szCs w:val="20"/>
              </w:rPr>
              <w:t>废水</w:t>
            </w:r>
          </w:p>
        </w:tc>
        <w:tc>
          <w:tcPr>
            <w:tcW w:w="1073" w:type="dxa"/>
            <w:gridSpan w:val="3"/>
            <w:vAlign w:val="top"/>
          </w:tcPr>
          <w:p w14:paraId="3AB52BE9">
            <w:pPr>
              <w:spacing w:line="241" w:lineRule="auto"/>
              <w:rPr>
                <w:rFonts w:ascii="Arial"/>
                <w:sz w:val="21"/>
              </w:rPr>
            </w:pPr>
          </w:p>
          <w:p w14:paraId="5F6FD7AE">
            <w:pPr>
              <w:pStyle w:val="6"/>
              <w:spacing w:before="65" w:line="228" w:lineRule="auto"/>
              <w:ind w:left="121"/>
              <w:rPr>
                <w:sz w:val="20"/>
                <w:szCs w:val="20"/>
              </w:rPr>
            </w:pPr>
            <w:r>
              <w:rPr>
                <w:spacing w:val="6"/>
                <w:sz w:val="20"/>
                <w:szCs w:val="20"/>
              </w:rPr>
              <w:t>生活污水</w:t>
            </w:r>
          </w:p>
        </w:tc>
        <w:tc>
          <w:tcPr>
            <w:tcW w:w="5430" w:type="dxa"/>
            <w:gridSpan w:val="4"/>
            <w:vAlign w:val="top"/>
          </w:tcPr>
          <w:p w14:paraId="18541BCE">
            <w:pPr>
              <w:pStyle w:val="6"/>
              <w:spacing w:before="34" w:line="228" w:lineRule="auto"/>
              <w:ind w:left="126"/>
              <w:rPr>
                <w:sz w:val="20"/>
                <w:szCs w:val="20"/>
              </w:rPr>
            </w:pPr>
            <w:r>
              <w:rPr>
                <w:sz w:val="20"/>
                <w:szCs w:val="20"/>
              </w:rPr>
              <w:t>生活污水经隔油池、化粪池收集停留一段时间后，满足《污</w:t>
            </w:r>
          </w:p>
          <w:p w14:paraId="7B965DA4">
            <w:pPr>
              <w:pStyle w:val="6"/>
              <w:spacing w:before="26" w:line="228" w:lineRule="auto"/>
              <w:ind w:left="141"/>
              <w:rPr>
                <w:sz w:val="20"/>
                <w:szCs w:val="20"/>
              </w:rPr>
            </w:pPr>
            <w:r>
              <w:rPr>
                <w:spacing w:val="8"/>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）三级标准，排入园区</w:t>
            </w:r>
          </w:p>
          <w:p w14:paraId="10C09B56">
            <w:pPr>
              <w:pStyle w:val="6"/>
              <w:spacing w:before="24" w:line="207" w:lineRule="auto"/>
              <w:ind w:left="2315"/>
              <w:rPr>
                <w:sz w:val="20"/>
                <w:szCs w:val="20"/>
              </w:rPr>
            </w:pPr>
            <w:r>
              <w:rPr>
                <w:spacing w:val="6"/>
                <w:sz w:val="20"/>
                <w:szCs w:val="20"/>
              </w:rPr>
              <w:t>污水管网</w:t>
            </w:r>
          </w:p>
        </w:tc>
        <w:tc>
          <w:tcPr>
            <w:tcW w:w="1155" w:type="dxa"/>
            <w:vAlign w:val="top"/>
          </w:tcPr>
          <w:p w14:paraId="4200DA0C">
            <w:pPr>
              <w:spacing w:line="285" w:lineRule="auto"/>
              <w:rPr>
                <w:rFonts w:ascii="Arial"/>
                <w:sz w:val="21"/>
              </w:rPr>
            </w:pPr>
          </w:p>
          <w:p w14:paraId="1AE8E357">
            <w:pPr>
              <w:spacing w:before="57"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8" w:type="dxa"/>
            <w:tcBorders>
              <w:top w:val="nil"/>
              <w:bottom w:val="nil"/>
            </w:tcBorders>
            <w:vAlign w:val="top"/>
          </w:tcPr>
          <w:p w14:paraId="1483BE50">
            <w:pPr>
              <w:rPr>
                <w:rFonts w:ascii="Arial"/>
                <w:sz w:val="21"/>
              </w:rPr>
            </w:pPr>
          </w:p>
        </w:tc>
      </w:tr>
      <w:tr w14:paraId="57632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372" w:type="dxa"/>
            <w:vMerge w:val="continue"/>
            <w:tcBorders>
              <w:top w:val="nil"/>
            </w:tcBorders>
            <w:vAlign w:val="top"/>
          </w:tcPr>
          <w:p w14:paraId="52735756">
            <w:pPr>
              <w:rPr>
                <w:rFonts w:ascii="Arial"/>
                <w:sz w:val="21"/>
              </w:rPr>
            </w:pPr>
          </w:p>
        </w:tc>
        <w:tc>
          <w:tcPr>
            <w:tcW w:w="113" w:type="dxa"/>
            <w:tcBorders>
              <w:top w:val="nil"/>
            </w:tcBorders>
            <w:vAlign w:val="top"/>
          </w:tcPr>
          <w:p w14:paraId="2EAEFDD0">
            <w:pPr>
              <w:rPr>
                <w:rFonts w:ascii="Arial"/>
                <w:sz w:val="21"/>
              </w:rPr>
            </w:pPr>
          </w:p>
        </w:tc>
        <w:tc>
          <w:tcPr>
            <w:tcW w:w="651" w:type="dxa"/>
            <w:vMerge w:val="continue"/>
            <w:tcBorders>
              <w:top w:val="nil"/>
            </w:tcBorders>
            <w:vAlign w:val="top"/>
          </w:tcPr>
          <w:p w14:paraId="20DE7893">
            <w:pPr>
              <w:rPr>
                <w:rFonts w:ascii="Arial"/>
                <w:sz w:val="21"/>
              </w:rPr>
            </w:pPr>
          </w:p>
        </w:tc>
        <w:tc>
          <w:tcPr>
            <w:tcW w:w="1073" w:type="dxa"/>
            <w:gridSpan w:val="3"/>
            <w:vAlign w:val="top"/>
          </w:tcPr>
          <w:p w14:paraId="244A344A">
            <w:pPr>
              <w:pStyle w:val="6"/>
              <w:spacing w:before="44" w:line="250" w:lineRule="auto"/>
              <w:ind w:left="122" w:right="118" w:firstLine="102"/>
              <w:rPr>
                <w:sz w:val="20"/>
                <w:szCs w:val="20"/>
              </w:rPr>
            </w:pPr>
            <w:r>
              <w:rPr>
                <w:spacing w:val="7"/>
                <w:sz w:val="20"/>
                <w:szCs w:val="20"/>
              </w:rPr>
              <w:t>洗车废</w:t>
            </w:r>
            <w:r>
              <w:rPr>
                <w:sz w:val="20"/>
                <w:szCs w:val="20"/>
              </w:rPr>
              <w:t xml:space="preserve">  </w:t>
            </w:r>
            <w:r>
              <w:rPr>
                <w:spacing w:val="6"/>
                <w:sz w:val="20"/>
                <w:szCs w:val="20"/>
              </w:rPr>
              <w:t>水、地面</w:t>
            </w:r>
          </w:p>
          <w:p w14:paraId="533B52E4">
            <w:pPr>
              <w:pStyle w:val="6"/>
              <w:spacing w:line="226" w:lineRule="auto"/>
              <w:ind w:left="120"/>
              <w:rPr>
                <w:sz w:val="20"/>
                <w:szCs w:val="20"/>
              </w:rPr>
            </w:pPr>
            <w:r>
              <w:rPr>
                <w:spacing w:val="7"/>
                <w:sz w:val="20"/>
                <w:szCs w:val="20"/>
              </w:rPr>
              <w:t>冲洗废水</w:t>
            </w:r>
          </w:p>
        </w:tc>
        <w:tc>
          <w:tcPr>
            <w:tcW w:w="5430" w:type="dxa"/>
            <w:gridSpan w:val="4"/>
            <w:vAlign w:val="top"/>
          </w:tcPr>
          <w:p w14:paraId="60638C5D">
            <w:pPr>
              <w:pStyle w:val="6"/>
              <w:spacing w:before="43" w:line="228" w:lineRule="auto"/>
              <w:ind w:left="154"/>
              <w:rPr>
                <w:sz w:val="20"/>
                <w:szCs w:val="20"/>
              </w:rPr>
            </w:pPr>
            <w:r>
              <w:rPr>
                <w:spacing w:val="8"/>
                <w:sz w:val="20"/>
                <w:szCs w:val="20"/>
              </w:rPr>
              <w:t>洗车废水、地面冲洗废水经沉淀</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6"/>
                <w:sz w:val="20"/>
                <w:szCs w:val="20"/>
              </w:rPr>
              <w:t xml:space="preserve"> </w:t>
            </w:r>
            <w:r>
              <w:rPr>
                <w:spacing w:val="8"/>
                <w:sz w:val="20"/>
                <w:szCs w:val="20"/>
              </w:rPr>
              <w:t>隔油处理后，满足《污</w:t>
            </w:r>
          </w:p>
          <w:p w14:paraId="19099835">
            <w:pPr>
              <w:pStyle w:val="6"/>
              <w:spacing w:before="24" w:line="228" w:lineRule="auto"/>
              <w:ind w:left="141"/>
              <w:rPr>
                <w:sz w:val="20"/>
                <w:szCs w:val="20"/>
              </w:rPr>
            </w:pPr>
            <w:r>
              <w:rPr>
                <w:spacing w:val="8"/>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）三级标准，排入园区</w:t>
            </w:r>
          </w:p>
          <w:p w14:paraId="183ADD12">
            <w:pPr>
              <w:pStyle w:val="6"/>
              <w:spacing w:before="24" w:line="227" w:lineRule="auto"/>
              <w:ind w:left="2315"/>
              <w:rPr>
                <w:sz w:val="20"/>
                <w:szCs w:val="20"/>
              </w:rPr>
            </w:pPr>
            <w:r>
              <w:rPr>
                <w:spacing w:val="6"/>
                <w:sz w:val="20"/>
                <w:szCs w:val="20"/>
              </w:rPr>
              <w:t>污水管网</w:t>
            </w:r>
          </w:p>
        </w:tc>
        <w:tc>
          <w:tcPr>
            <w:tcW w:w="1155" w:type="dxa"/>
            <w:vAlign w:val="top"/>
          </w:tcPr>
          <w:p w14:paraId="202D59D7">
            <w:pPr>
              <w:spacing w:line="291" w:lineRule="auto"/>
              <w:rPr>
                <w:rFonts w:ascii="Arial"/>
                <w:sz w:val="21"/>
              </w:rPr>
            </w:pPr>
          </w:p>
          <w:p w14:paraId="25CCF214">
            <w:pPr>
              <w:spacing w:before="58"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8" w:type="dxa"/>
            <w:tcBorders>
              <w:top w:val="nil"/>
            </w:tcBorders>
            <w:vAlign w:val="top"/>
          </w:tcPr>
          <w:p w14:paraId="498FCAA2">
            <w:pPr>
              <w:rPr>
                <w:rFonts w:ascii="Arial"/>
                <w:sz w:val="21"/>
              </w:rPr>
            </w:pPr>
          </w:p>
        </w:tc>
      </w:tr>
    </w:tbl>
    <w:p w14:paraId="0CDDB356">
      <w:pPr>
        <w:pStyle w:val="2"/>
      </w:pPr>
    </w:p>
    <w:p w14:paraId="4481A172">
      <w:pPr>
        <w:sectPr>
          <w:footerReference r:id="rId80" w:type="default"/>
          <w:pgSz w:w="11906" w:h="16839"/>
          <w:pgMar w:top="400" w:right="1445" w:bottom="1259" w:left="1543" w:header="0" w:footer="1097" w:gutter="0"/>
          <w:cols w:space="720" w:num="1"/>
        </w:sectPr>
      </w:pPr>
    </w:p>
    <w:p w14:paraId="4BE01D33">
      <w:pPr>
        <w:spacing w:before="19"/>
      </w:pPr>
    </w:p>
    <w:p w14:paraId="0115040D">
      <w:pPr>
        <w:spacing w:before="19"/>
      </w:pPr>
    </w:p>
    <w:p w14:paraId="1E08622B">
      <w:pPr>
        <w:spacing w:before="18"/>
      </w:pPr>
    </w:p>
    <w:p w14:paraId="0BD4E82E">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446"/>
        <w:gridCol w:w="194"/>
        <w:gridCol w:w="929"/>
        <w:gridCol w:w="168"/>
        <w:gridCol w:w="3616"/>
        <w:gridCol w:w="1815"/>
        <w:gridCol w:w="1142"/>
        <w:gridCol w:w="118"/>
      </w:tblGrid>
      <w:tr w14:paraId="5CC38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371" w:type="dxa"/>
            <w:vMerge w:val="restart"/>
            <w:tcBorders>
              <w:bottom w:val="nil"/>
            </w:tcBorders>
            <w:vAlign w:val="top"/>
          </w:tcPr>
          <w:p w14:paraId="3AF4FC54">
            <w:pPr>
              <w:rPr>
                <w:rFonts w:ascii="Arial"/>
                <w:sz w:val="21"/>
              </w:rPr>
            </w:pPr>
          </w:p>
        </w:tc>
        <w:tc>
          <w:tcPr>
            <w:tcW w:w="113" w:type="dxa"/>
            <w:tcBorders>
              <w:bottom w:val="nil"/>
            </w:tcBorders>
            <w:vAlign w:val="top"/>
          </w:tcPr>
          <w:p w14:paraId="36459BBC">
            <w:pPr>
              <w:rPr>
                <w:rFonts w:ascii="Arial"/>
                <w:sz w:val="21"/>
              </w:rPr>
            </w:pPr>
          </w:p>
        </w:tc>
        <w:tc>
          <w:tcPr>
            <w:tcW w:w="640" w:type="dxa"/>
            <w:gridSpan w:val="2"/>
            <w:vAlign w:val="top"/>
          </w:tcPr>
          <w:p w14:paraId="3CDFFAF6">
            <w:pPr>
              <w:rPr>
                <w:rFonts w:ascii="Arial"/>
                <w:sz w:val="21"/>
              </w:rPr>
            </w:pPr>
          </w:p>
        </w:tc>
        <w:tc>
          <w:tcPr>
            <w:tcW w:w="1097" w:type="dxa"/>
            <w:gridSpan w:val="2"/>
            <w:vAlign w:val="top"/>
          </w:tcPr>
          <w:p w14:paraId="34F42BDA">
            <w:pPr>
              <w:pStyle w:val="6"/>
              <w:spacing w:before="180" w:line="228" w:lineRule="auto"/>
              <w:ind w:left="136"/>
              <w:rPr>
                <w:sz w:val="20"/>
                <w:szCs w:val="20"/>
              </w:rPr>
            </w:pPr>
            <w:r>
              <w:rPr>
                <w:spacing w:val="6"/>
                <w:sz w:val="20"/>
                <w:szCs w:val="20"/>
              </w:rPr>
              <w:t>消防废水</w:t>
            </w:r>
          </w:p>
        </w:tc>
        <w:tc>
          <w:tcPr>
            <w:tcW w:w="5431" w:type="dxa"/>
            <w:gridSpan w:val="2"/>
            <w:vAlign w:val="top"/>
          </w:tcPr>
          <w:p w14:paraId="3502F751">
            <w:pPr>
              <w:pStyle w:val="6"/>
              <w:spacing w:before="46" w:line="228" w:lineRule="auto"/>
              <w:ind w:left="116"/>
              <w:rPr>
                <w:sz w:val="20"/>
                <w:szCs w:val="20"/>
              </w:rPr>
            </w:pPr>
            <w:r>
              <w:rPr>
                <w:spacing w:val="8"/>
                <w:sz w:val="20"/>
                <w:szCs w:val="20"/>
              </w:rPr>
              <w:t>消防废水产生后收集至事故水池，事故后由罐车定期拉运</w:t>
            </w:r>
          </w:p>
          <w:p w14:paraId="3D4C568B">
            <w:pPr>
              <w:pStyle w:val="6"/>
              <w:spacing w:before="24" w:line="218" w:lineRule="auto"/>
              <w:ind w:left="1463"/>
              <w:rPr>
                <w:sz w:val="20"/>
                <w:szCs w:val="20"/>
              </w:rPr>
            </w:pPr>
            <w:r>
              <w:rPr>
                <w:spacing w:val="9"/>
                <w:sz w:val="20"/>
                <w:szCs w:val="20"/>
              </w:rPr>
              <w:t>至园区工业污水处理厂处理</w:t>
            </w:r>
          </w:p>
        </w:tc>
        <w:tc>
          <w:tcPr>
            <w:tcW w:w="1142" w:type="dxa"/>
            <w:vAlign w:val="top"/>
          </w:tcPr>
          <w:p w14:paraId="02DC4D12">
            <w:pPr>
              <w:spacing w:before="220" w:line="192"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8" w:type="dxa"/>
            <w:tcBorders>
              <w:bottom w:val="nil"/>
            </w:tcBorders>
            <w:vAlign w:val="top"/>
          </w:tcPr>
          <w:p w14:paraId="72DEF7D1">
            <w:pPr>
              <w:rPr>
                <w:rFonts w:ascii="Arial"/>
                <w:sz w:val="21"/>
              </w:rPr>
            </w:pPr>
          </w:p>
        </w:tc>
      </w:tr>
      <w:tr w14:paraId="6C187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71" w:type="dxa"/>
            <w:vMerge w:val="continue"/>
            <w:tcBorders>
              <w:top w:val="nil"/>
              <w:bottom w:val="nil"/>
            </w:tcBorders>
            <w:vAlign w:val="top"/>
          </w:tcPr>
          <w:p w14:paraId="35DC646F">
            <w:pPr>
              <w:rPr>
                <w:rFonts w:ascii="Arial"/>
                <w:sz w:val="21"/>
              </w:rPr>
            </w:pPr>
          </w:p>
        </w:tc>
        <w:tc>
          <w:tcPr>
            <w:tcW w:w="113" w:type="dxa"/>
            <w:tcBorders>
              <w:top w:val="nil"/>
              <w:bottom w:val="nil"/>
            </w:tcBorders>
            <w:vAlign w:val="top"/>
          </w:tcPr>
          <w:p w14:paraId="5D613D73">
            <w:pPr>
              <w:rPr>
                <w:rFonts w:ascii="Arial"/>
                <w:sz w:val="21"/>
              </w:rPr>
            </w:pPr>
          </w:p>
        </w:tc>
        <w:tc>
          <w:tcPr>
            <w:tcW w:w="640" w:type="dxa"/>
            <w:gridSpan w:val="2"/>
            <w:vAlign w:val="top"/>
          </w:tcPr>
          <w:p w14:paraId="13CF0C60">
            <w:pPr>
              <w:pStyle w:val="6"/>
              <w:spacing w:before="303" w:line="228" w:lineRule="auto"/>
              <w:ind w:left="124"/>
              <w:rPr>
                <w:sz w:val="20"/>
                <w:szCs w:val="20"/>
              </w:rPr>
            </w:pPr>
            <w:r>
              <w:rPr>
                <w:spacing w:val="-1"/>
                <w:sz w:val="20"/>
                <w:szCs w:val="20"/>
              </w:rPr>
              <w:t>噪声</w:t>
            </w:r>
          </w:p>
        </w:tc>
        <w:tc>
          <w:tcPr>
            <w:tcW w:w="1097" w:type="dxa"/>
            <w:gridSpan w:val="2"/>
            <w:vAlign w:val="top"/>
          </w:tcPr>
          <w:p w14:paraId="4CACD245">
            <w:pPr>
              <w:pStyle w:val="6"/>
              <w:spacing w:before="31" w:line="228" w:lineRule="auto"/>
              <w:ind w:left="131"/>
              <w:rPr>
                <w:sz w:val="20"/>
                <w:szCs w:val="20"/>
              </w:rPr>
            </w:pPr>
            <w:r>
              <w:rPr>
                <w:spacing w:val="7"/>
                <w:sz w:val="20"/>
                <w:szCs w:val="20"/>
              </w:rPr>
              <w:t>运输车辆</w:t>
            </w:r>
          </w:p>
          <w:p w14:paraId="5AE7C9F1">
            <w:pPr>
              <w:pStyle w:val="6"/>
              <w:spacing w:before="23" w:line="235" w:lineRule="auto"/>
              <w:ind w:left="239" w:right="130" w:hanging="98"/>
              <w:rPr>
                <w:sz w:val="20"/>
                <w:szCs w:val="20"/>
              </w:rPr>
            </w:pPr>
            <w:r>
              <w:rPr>
                <w:spacing w:val="4"/>
                <w:sz w:val="20"/>
                <w:szCs w:val="20"/>
              </w:rPr>
              <w:t>噪声和设</w:t>
            </w:r>
            <w:r>
              <w:rPr>
                <w:spacing w:val="2"/>
                <w:sz w:val="20"/>
                <w:szCs w:val="20"/>
              </w:rPr>
              <w:t xml:space="preserve"> </w:t>
            </w:r>
            <w:r>
              <w:rPr>
                <w:spacing w:val="6"/>
                <w:sz w:val="20"/>
                <w:szCs w:val="20"/>
              </w:rPr>
              <w:t>备噪声</w:t>
            </w:r>
          </w:p>
        </w:tc>
        <w:tc>
          <w:tcPr>
            <w:tcW w:w="5431" w:type="dxa"/>
            <w:gridSpan w:val="2"/>
            <w:vAlign w:val="top"/>
          </w:tcPr>
          <w:p w14:paraId="0BE0D7FC">
            <w:pPr>
              <w:pStyle w:val="6"/>
              <w:spacing w:before="32" w:line="226" w:lineRule="auto"/>
              <w:ind w:left="200"/>
              <w:rPr>
                <w:sz w:val="20"/>
                <w:szCs w:val="20"/>
              </w:rPr>
            </w:pPr>
            <w:r>
              <w:rPr>
                <w:spacing w:val="9"/>
                <w:sz w:val="20"/>
                <w:szCs w:val="20"/>
              </w:rPr>
              <w:t>选用先进的低噪声设备，在高噪声设备周围适当设置屏</w:t>
            </w:r>
          </w:p>
          <w:p w14:paraId="18765350">
            <w:pPr>
              <w:pStyle w:val="6"/>
              <w:spacing w:before="25" w:line="228" w:lineRule="auto"/>
              <w:ind w:left="123"/>
              <w:rPr>
                <w:sz w:val="20"/>
                <w:szCs w:val="20"/>
              </w:rPr>
            </w:pPr>
            <w:r>
              <w:rPr>
                <w:spacing w:val="8"/>
                <w:sz w:val="20"/>
                <w:szCs w:val="20"/>
              </w:rPr>
              <w:t>障、减少噪声影响时间，加强对噪声设备的维</w:t>
            </w:r>
            <w:r>
              <w:rPr>
                <w:spacing w:val="7"/>
                <w:sz w:val="20"/>
                <w:szCs w:val="20"/>
              </w:rPr>
              <w:t>护保养等措</w:t>
            </w:r>
          </w:p>
          <w:p w14:paraId="2CD09A1B">
            <w:pPr>
              <w:pStyle w:val="6"/>
              <w:spacing w:before="24" w:line="219" w:lineRule="auto"/>
              <w:ind w:left="2300"/>
              <w:rPr>
                <w:sz w:val="20"/>
                <w:szCs w:val="20"/>
              </w:rPr>
            </w:pPr>
            <w:r>
              <w:rPr>
                <w:spacing w:val="5"/>
                <w:sz w:val="20"/>
                <w:szCs w:val="20"/>
              </w:rPr>
              <w:t>施降噪。</w:t>
            </w:r>
          </w:p>
        </w:tc>
        <w:tc>
          <w:tcPr>
            <w:tcW w:w="1142" w:type="dxa"/>
            <w:vAlign w:val="top"/>
          </w:tcPr>
          <w:p w14:paraId="5A68E7C7">
            <w:pPr>
              <w:spacing w:line="280" w:lineRule="auto"/>
              <w:rPr>
                <w:rFonts w:ascii="Arial"/>
                <w:sz w:val="21"/>
              </w:rPr>
            </w:pPr>
          </w:p>
          <w:p w14:paraId="44179FE4">
            <w:pPr>
              <w:spacing w:before="5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8" w:type="dxa"/>
            <w:tcBorders>
              <w:top w:val="nil"/>
              <w:bottom w:val="nil"/>
            </w:tcBorders>
            <w:vAlign w:val="top"/>
          </w:tcPr>
          <w:p w14:paraId="5E51F306">
            <w:pPr>
              <w:rPr>
                <w:rFonts w:ascii="Arial"/>
                <w:sz w:val="21"/>
              </w:rPr>
            </w:pPr>
          </w:p>
        </w:tc>
      </w:tr>
      <w:tr w14:paraId="75619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371" w:type="dxa"/>
            <w:vMerge w:val="continue"/>
            <w:tcBorders>
              <w:top w:val="nil"/>
              <w:bottom w:val="nil"/>
            </w:tcBorders>
            <w:vAlign w:val="top"/>
          </w:tcPr>
          <w:p w14:paraId="30E44E3A">
            <w:pPr>
              <w:rPr>
                <w:rFonts w:ascii="Arial"/>
                <w:sz w:val="21"/>
              </w:rPr>
            </w:pPr>
          </w:p>
        </w:tc>
        <w:tc>
          <w:tcPr>
            <w:tcW w:w="113" w:type="dxa"/>
            <w:tcBorders>
              <w:top w:val="nil"/>
              <w:bottom w:val="nil"/>
            </w:tcBorders>
            <w:vAlign w:val="top"/>
          </w:tcPr>
          <w:p w14:paraId="78936FB5">
            <w:pPr>
              <w:rPr>
                <w:rFonts w:ascii="Arial"/>
                <w:sz w:val="21"/>
              </w:rPr>
            </w:pPr>
          </w:p>
        </w:tc>
        <w:tc>
          <w:tcPr>
            <w:tcW w:w="640" w:type="dxa"/>
            <w:gridSpan w:val="2"/>
            <w:vMerge w:val="restart"/>
            <w:tcBorders>
              <w:bottom w:val="nil"/>
            </w:tcBorders>
            <w:textDirection w:val="tbRlV"/>
            <w:vAlign w:val="top"/>
          </w:tcPr>
          <w:p w14:paraId="08C7E7C2">
            <w:pPr>
              <w:pStyle w:val="6"/>
              <w:spacing w:before="214" w:line="217" w:lineRule="auto"/>
              <w:ind w:left="1175"/>
              <w:rPr>
                <w:sz w:val="20"/>
                <w:szCs w:val="20"/>
              </w:rPr>
            </w:pPr>
            <w:r>
              <w:rPr>
                <w:spacing w:val="8"/>
                <w:sz w:val="20"/>
                <w:szCs w:val="20"/>
              </w:rPr>
              <w:t>固</w:t>
            </w:r>
            <w:r>
              <w:rPr>
                <w:spacing w:val="-35"/>
                <w:sz w:val="20"/>
                <w:szCs w:val="20"/>
              </w:rPr>
              <w:t xml:space="preserve"> </w:t>
            </w:r>
            <w:r>
              <w:rPr>
                <w:spacing w:val="8"/>
                <w:sz w:val="20"/>
                <w:szCs w:val="20"/>
              </w:rPr>
              <w:t>废</w:t>
            </w:r>
          </w:p>
        </w:tc>
        <w:tc>
          <w:tcPr>
            <w:tcW w:w="1097" w:type="dxa"/>
            <w:gridSpan w:val="2"/>
            <w:vAlign w:val="top"/>
          </w:tcPr>
          <w:p w14:paraId="4BE621D9">
            <w:pPr>
              <w:pStyle w:val="6"/>
              <w:spacing w:before="76" w:line="228" w:lineRule="auto"/>
              <w:ind w:left="133"/>
              <w:rPr>
                <w:sz w:val="20"/>
                <w:szCs w:val="20"/>
              </w:rPr>
            </w:pPr>
            <w:r>
              <w:rPr>
                <w:spacing w:val="6"/>
                <w:sz w:val="20"/>
                <w:szCs w:val="20"/>
              </w:rPr>
              <w:t>生活垃圾</w:t>
            </w:r>
          </w:p>
        </w:tc>
        <w:tc>
          <w:tcPr>
            <w:tcW w:w="5431" w:type="dxa"/>
            <w:gridSpan w:val="2"/>
            <w:vAlign w:val="top"/>
          </w:tcPr>
          <w:p w14:paraId="7A119AAC">
            <w:pPr>
              <w:pStyle w:val="6"/>
              <w:spacing w:before="76" w:line="228" w:lineRule="auto"/>
              <w:ind w:left="937"/>
              <w:rPr>
                <w:sz w:val="20"/>
                <w:szCs w:val="20"/>
              </w:rPr>
            </w:pPr>
            <w:r>
              <w:rPr>
                <w:spacing w:val="8"/>
                <w:sz w:val="20"/>
                <w:szCs w:val="20"/>
              </w:rPr>
              <w:t>生活垃圾由环卫部门统一收集并处置。</w:t>
            </w:r>
          </w:p>
        </w:tc>
        <w:tc>
          <w:tcPr>
            <w:tcW w:w="1142" w:type="dxa"/>
            <w:vAlign w:val="top"/>
          </w:tcPr>
          <w:p w14:paraId="7660F352">
            <w:pPr>
              <w:spacing w:before="112"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 w:type="dxa"/>
            <w:tcBorders>
              <w:top w:val="nil"/>
              <w:bottom w:val="nil"/>
            </w:tcBorders>
            <w:vAlign w:val="top"/>
          </w:tcPr>
          <w:p w14:paraId="4E2CA60D">
            <w:pPr>
              <w:rPr>
                <w:rFonts w:ascii="Arial"/>
                <w:sz w:val="21"/>
              </w:rPr>
            </w:pPr>
          </w:p>
        </w:tc>
      </w:tr>
      <w:tr w14:paraId="12E0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371" w:type="dxa"/>
            <w:vMerge w:val="continue"/>
            <w:tcBorders>
              <w:top w:val="nil"/>
              <w:bottom w:val="nil"/>
            </w:tcBorders>
            <w:vAlign w:val="top"/>
          </w:tcPr>
          <w:p w14:paraId="43920F00">
            <w:pPr>
              <w:rPr>
                <w:rFonts w:ascii="Arial"/>
                <w:sz w:val="21"/>
              </w:rPr>
            </w:pPr>
          </w:p>
        </w:tc>
        <w:tc>
          <w:tcPr>
            <w:tcW w:w="113" w:type="dxa"/>
            <w:tcBorders>
              <w:top w:val="nil"/>
              <w:bottom w:val="nil"/>
            </w:tcBorders>
            <w:vAlign w:val="top"/>
          </w:tcPr>
          <w:p w14:paraId="62D2EDA5">
            <w:pPr>
              <w:rPr>
                <w:rFonts w:ascii="Arial"/>
                <w:sz w:val="21"/>
              </w:rPr>
            </w:pPr>
          </w:p>
        </w:tc>
        <w:tc>
          <w:tcPr>
            <w:tcW w:w="640" w:type="dxa"/>
            <w:gridSpan w:val="2"/>
            <w:vMerge w:val="continue"/>
            <w:tcBorders>
              <w:top w:val="nil"/>
              <w:bottom w:val="nil"/>
            </w:tcBorders>
            <w:textDirection w:val="tbRlV"/>
            <w:vAlign w:val="top"/>
          </w:tcPr>
          <w:p w14:paraId="2F5DF4A9">
            <w:pPr>
              <w:rPr>
                <w:rFonts w:ascii="Arial"/>
                <w:sz w:val="21"/>
              </w:rPr>
            </w:pPr>
          </w:p>
        </w:tc>
        <w:tc>
          <w:tcPr>
            <w:tcW w:w="1097" w:type="dxa"/>
            <w:gridSpan w:val="2"/>
            <w:vAlign w:val="top"/>
          </w:tcPr>
          <w:p w14:paraId="665EEBB8">
            <w:pPr>
              <w:pStyle w:val="6"/>
              <w:spacing w:before="44" w:line="228" w:lineRule="auto"/>
              <w:ind w:left="133"/>
              <w:rPr>
                <w:sz w:val="20"/>
                <w:szCs w:val="20"/>
              </w:rPr>
            </w:pPr>
            <w:r>
              <w:rPr>
                <w:spacing w:val="6"/>
                <w:sz w:val="20"/>
                <w:szCs w:val="20"/>
              </w:rPr>
              <w:t>车辆废弃</w:t>
            </w:r>
          </w:p>
          <w:p w14:paraId="7FEAA61F">
            <w:pPr>
              <w:pStyle w:val="6"/>
              <w:spacing w:before="27" w:line="212" w:lineRule="auto"/>
              <w:ind w:left="343"/>
              <w:rPr>
                <w:sz w:val="20"/>
                <w:szCs w:val="20"/>
              </w:rPr>
            </w:pPr>
            <w:r>
              <w:rPr>
                <w:spacing w:val="4"/>
                <w:sz w:val="20"/>
                <w:szCs w:val="20"/>
              </w:rPr>
              <w:t>零件</w:t>
            </w:r>
          </w:p>
        </w:tc>
        <w:tc>
          <w:tcPr>
            <w:tcW w:w="5431" w:type="dxa"/>
            <w:gridSpan w:val="2"/>
            <w:vAlign w:val="top"/>
          </w:tcPr>
          <w:p w14:paraId="396DBCED">
            <w:pPr>
              <w:pStyle w:val="6"/>
              <w:spacing w:before="182" w:line="224" w:lineRule="auto"/>
              <w:ind w:left="937"/>
              <w:rPr>
                <w:sz w:val="20"/>
                <w:szCs w:val="20"/>
              </w:rPr>
            </w:pPr>
            <w:r>
              <w:rPr>
                <w:spacing w:val="8"/>
                <w:sz w:val="20"/>
                <w:szCs w:val="20"/>
              </w:rPr>
              <w:t>车辆废弃零件经收集后外售综合利用。</w:t>
            </w:r>
          </w:p>
        </w:tc>
        <w:tc>
          <w:tcPr>
            <w:tcW w:w="1142" w:type="dxa"/>
            <w:vAlign w:val="top"/>
          </w:tcPr>
          <w:p w14:paraId="5E3078FC">
            <w:pPr>
              <w:spacing w:before="218" w:line="195"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8" w:type="dxa"/>
            <w:tcBorders>
              <w:top w:val="nil"/>
              <w:bottom w:val="nil"/>
            </w:tcBorders>
            <w:vAlign w:val="top"/>
          </w:tcPr>
          <w:p w14:paraId="19BF29B6">
            <w:pPr>
              <w:rPr>
                <w:rFonts w:ascii="Arial"/>
                <w:sz w:val="21"/>
              </w:rPr>
            </w:pPr>
          </w:p>
        </w:tc>
      </w:tr>
      <w:tr w14:paraId="60B0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371" w:type="dxa"/>
            <w:vMerge w:val="continue"/>
            <w:tcBorders>
              <w:top w:val="nil"/>
              <w:bottom w:val="nil"/>
            </w:tcBorders>
            <w:vAlign w:val="top"/>
          </w:tcPr>
          <w:p w14:paraId="3E74720B">
            <w:pPr>
              <w:rPr>
                <w:rFonts w:ascii="Arial"/>
                <w:sz w:val="21"/>
              </w:rPr>
            </w:pPr>
          </w:p>
        </w:tc>
        <w:tc>
          <w:tcPr>
            <w:tcW w:w="113" w:type="dxa"/>
            <w:tcBorders>
              <w:top w:val="nil"/>
              <w:bottom w:val="nil"/>
            </w:tcBorders>
            <w:vAlign w:val="top"/>
          </w:tcPr>
          <w:p w14:paraId="546C5427">
            <w:pPr>
              <w:rPr>
                <w:rFonts w:ascii="Arial"/>
                <w:sz w:val="21"/>
              </w:rPr>
            </w:pPr>
          </w:p>
        </w:tc>
        <w:tc>
          <w:tcPr>
            <w:tcW w:w="640" w:type="dxa"/>
            <w:gridSpan w:val="2"/>
            <w:vMerge w:val="continue"/>
            <w:tcBorders>
              <w:top w:val="nil"/>
            </w:tcBorders>
            <w:textDirection w:val="tbRlV"/>
            <w:vAlign w:val="top"/>
          </w:tcPr>
          <w:p w14:paraId="08956CD8">
            <w:pPr>
              <w:rPr>
                <w:rFonts w:ascii="Arial"/>
                <w:sz w:val="21"/>
              </w:rPr>
            </w:pPr>
          </w:p>
        </w:tc>
        <w:tc>
          <w:tcPr>
            <w:tcW w:w="1097" w:type="dxa"/>
            <w:gridSpan w:val="2"/>
            <w:vAlign w:val="top"/>
          </w:tcPr>
          <w:p w14:paraId="6CBDCCA4">
            <w:pPr>
              <w:pStyle w:val="6"/>
              <w:spacing w:before="37" w:line="227" w:lineRule="auto"/>
              <w:ind w:left="131"/>
              <w:rPr>
                <w:sz w:val="20"/>
                <w:szCs w:val="20"/>
              </w:rPr>
            </w:pPr>
            <w:r>
              <w:rPr>
                <w:spacing w:val="5"/>
                <w:sz w:val="20"/>
                <w:szCs w:val="20"/>
              </w:rPr>
              <w:t>废机油、</w:t>
            </w:r>
          </w:p>
          <w:p w14:paraId="55C49B99">
            <w:pPr>
              <w:pStyle w:val="6"/>
              <w:spacing w:before="25" w:line="226" w:lineRule="auto"/>
              <w:ind w:left="131"/>
              <w:rPr>
                <w:sz w:val="20"/>
                <w:szCs w:val="20"/>
              </w:rPr>
            </w:pPr>
            <w:r>
              <w:rPr>
                <w:spacing w:val="5"/>
                <w:sz w:val="20"/>
                <w:szCs w:val="20"/>
              </w:rPr>
              <w:t>废手套、</w:t>
            </w:r>
          </w:p>
          <w:p w14:paraId="18676D38">
            <w:pPr>
              <w:pStyle w:val="6"/>
              <w:spacing w:before="25" w:line="228" w:lineRule="auto"/>
              <w:ind w:left="131"/>
              <w:rPr>
                <w:sz w:val="20"/>
                <w:szCs w:val="20"/>
              </w:rPr>
            </w:pPr>
            <w:r>
              <w:rPr>
                <w:spacing w:val="5"/>
                <w:sz w:val="20"/>
                <w:szCs w:val="20"/>
              </w:rPr>
              <w:t>废油桶、</w:t>
            </w:r>
          </w:p>
          <w:p w14:paraId="2886EAF6">
            <w:pPr>
              <w:pStyle w:val="6"/>
              <w:spacing w:before="26" w:line="252" w:lineRule="auto"/>
              <w:ind w:left="112" w:right="38" w:firstLine="19"/>
              <w:jc w:val="both"/>
              <w:rPr>
                <w:sz w:val="20"/>
                <w:szCs w:val="20"/>
              </w:rPr>
            </w:pPr>
            <w:r>
              <w:rPr>
                <w:spacing w:val="7"/>
                <w:sz w:val="20"/>
                <w:szCs w:val="20"/>
              </w:rPr>
              <w:t>含油废抹</w:t>
            </w:r>
            <w:r>
              <w:rPr>
                <w:sz w:val="20"/>
                <w:szCs w:val="20"/>
              </w:rPr>
              <w:t xml:space="preserve">  </w:t>
            </w:r>
            <w:r>
              <w:rPr>
                <w:spacing w:val="-12"/>
                <w:sz w:val="20"/>
                <w:szCs w:val="20"/>
              </w:rPr>
              <w:t>布、污泥、</w:t>
            </w:r>
            <w:r>
              <w:rPr>
                <w:sz w:val="20"/>
                <w:szCs w:val="20"/>
              </w:rPr>
              <w:t xml:space="preserve"> </w:t>
            </w:r>
            <w:r>
              <w:rPr>
                <w:spacing w:val="12"/>
                <w:sz w:val="20"/>
                <w:szCs w:val="20"/>
              </w:rPr>
              <w:t>沉渣和浮</w:t>
            </w:r>
          </w:p>
          <w:p w14:paraId="2DF3AD15">
            <w:pPr>
              <w:pStyle w:val="6"/>
              <w:spacing w:before="1" w:line="214" w:lineRule="auto"/>
              <w:ind w:left="448"/>
              <w:rPr>
                <w:sz w:val="20"/>
                <w:szCs w:val="20"/>
              </w:rPr>
            </w:pPr>
            <w:r>
              <w:rPr>
                <w:sz w:val="20"/>
                <w:szCs w:val="20"/>
              </w:rPr>
              <w:t>渣</w:t>
            </w:r>
          </w:p>
        </w:tc>
        <w:tc>
          <w:tcPr>
            <w:tcW w:w="5431" w:type="dxa"/>
            <w:gridSpan w:val="2"/>
            <w:vAlign w:val="top"/>
          </w:tcPr>
          <w:p w14:paraId="3AB516F1">
            <w:pPr>
              <w:spacing w:line="324" w:lineRule="auto"/>
              <w:rPr>
                <w:rFonts w:ascii="Arial"/>
                <w:sz w:val="21"/>
              </w:rPr>
            </w:pPr>
          </w:p>
          <w:p w14:paraId="7DC3AD98">
            <w:pPr>
              <w:spacing w:line="324" w:lineRule="auto"/>
              <w:rPr>
                <w:rFonts w:ascii="Arial"/>
                <w:sz w:val="21"/>
              </w:rPr>
            </w:pPr>
          </w:p>
          <w:p w14:paraId="093CD1E0">
            <w:pPr>
              <w:pStyle w:val="6"/>
              <w:spacing w:before="65" w:line="226" w:lineRule="auto"/>
              <w:ind w:left="114"/>
              <w:rPr>
                <w:sz w:val="20"/>
                <w:szCs w:val="20"/>
              </w:rPr>
            </w:pPr>
            <w:r>
              <w:rPr>
                <w:spacing w:val="8"/>
                <w:sz w:val="20"/>
                <w:szCs w:val="20"/>
              </w:rPr>
              <w:t>经专门的收集桶收集后放置在危废暂存间中暂存，按危险</w:t>
            </w:r>
          </w:p>
          <w:p w14:paraId="165240C5">
            <w:pPr>
              <w:pStyle w:val="6"/>
              <w:spacing w:before="26" w:line="226" w:lineRule="auto"/>
              <w:ind w:left="514"/>
              <w:rPr>
                <w:sz w:val="20"/>
                <w:szCs w:val="20"/>
              </w:rPr>
            </w:pPr>
            <w:r>
              <w:rPr>
                <w:spacing w:val="9"/>
                <w:sz w:val="20"/>
                <w:szCs w:val="20"/>
              </w:rPr>
              <w:t>废物管理有关规定送至有资质的单位进行处理。</w:t>
            </w:r>
          </w:p>
        </w:tc>
        <w:tc>
          <w:tcPr>
            <w:tcW w:w="1142" w:type="dxa"/>
            <w:vAlign w:val="top"/>
          </w:tcPr>
          <w:p w14:paraId="24EA44EA">
            <w:pPr>
              <w:spacing w:line="275" w:lineRule="auto"/>
              <w:rPr>
                <w:rFonts w:ascii="Arial"/>
                <w:sz w:val="21"/>
              </w:rPr>
            </w:pPr>
          </w:p>
          <w:p w14:paraId="263B5637">
            <w:pPr>
              <w:spacing w:line="276" w:lineRule="auto"/>
              <w:rPr>
                <w:rFonts w:ascii="Arial"/>
                <w:sz w:val="21"/>
              </w:rPr>
            </w:pPr>
          </w:p>
          <w:p w14:paraId="2F8109F5">
            <w:pPr>
              <w:spacing w:line="276" w:lineRule="auto"/>
              <w:rPr>
                <w:rFonts w:ascii="Arial"/>
                <w:sz w:val="21"/>
              </w:rPr>
            </w:pPr>
          </w:p>
          <w:p w14:paraId="47441077">
            <w:pPr>
              <w:spacing w:before="57"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8" w:type="dxa"/>
            <w:tcBorders>
              <w:top w:val="nil"/>
              <w:bottom w:val="nil"/>
            </w:tcBorders>
            <w:vAlign w:val="top"/>
          </w:tcPr>
          <w:p w14:paraId="399C44CF">
            <w:pPr>
              <w:rPr>
                <w:rFonts w:ascii="Arial"/>
                <w:sz w:val="21"/>
              </w:rPr>
            </w:pPr>
          </w:p>
        </w:tc>
      </w:tr>
      <w:tr w14:paraId="001D3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371" w:type="dxa"/>
            <w:vMerge w:val="continue"/>
            <w:tcBorders>
              <w:top w:val="nil"/>
              <w:bottom w:val="nil"/>
            </w:tcBorders>
            <w:vAlign w:val="top"/>
          </w:tcPr>
          <w:p w14:paraId="73249ABA">
            <w:pPr>
              <w:rPr>
                <w:rFonts w:ascii="Arial"/>
                <w:sz w:val="21"/>
              </w:rPr>
            </w:pPr>
          </w:p>
        </w:tc>
        <w:tc>
          <w:tcPr>
            <w:tcW w:w="113" w:type="dxa"/>
            <w:tcBorders>
              <w:top w:val="nil"/>
              <w:bottom w:val="nil"/>
            </w:tcBorders>
            <w:vAlign w:val="top"/>
          </w:tcPr>
          <w:p w14:paraId="19ABE293">
            <w:pPr>
              <w:rPr>
                <w:rFonts w:ascii="Arial"/>
                <w:sz w:val="21"/>
              </w:rPr>
            </w:pPr>
          </w:p>
        </w:tc>
        <w:tc>
          <w:tcPr>
            <w:tcW w:w="640" w:type="dxa"/>
            <w:gridSpan w:val="2"/>
            <w:vAlign w:val="top"/>
          </w:tcPr>
          <w:p w14:paraId="23ACAA86">
            <w:pPr>
              <w:spacing w:line="262" w:lineRule="auto"/>
              <w:rPr>
                <w:rFonts w:ascii="Arial"/>
                <w:sz w:val="21"/>
              </w:rPr>
            </w:pPr>
          </w:p>
          <w:p w14:paraId="63652084">
            <w:pPr>
              <w:spacing w:line="263" w:lineRule="auto"/>
              <w:rPr>
                <w:rFonts w:ascii="Arial"/>
                <w:sz w:val="21"/>
              </w:rPr>
            </w:pPr>
          </w:p>
          <w:p w14:paraId="5CBEB5AE">
            <w:pPr>
              <w:spacing w:line="263" w:lineRule="auto"/>
              <w:rPr>
                <w:rFonts w:ascii="Arial"/>
                <w:sz w:val="21"/>
              </w:rPr>
            </w:pPr>
          </w:p>
          <w:p w14:paraId="457F218A">
            <w:pPr>
              <w:spacing w:line="263" w:lineRule="auto"/>
              <w:rPr>
                <w:rFonts w:ascii="Arial"/>
                <w:sz w:val="21"/>
              </w:rPr>
            </w:pPr>
          </w:p>
          <w:p w14:paraId="2D0A5456">
            <w:pPr>
              <w:pStyle w:val="6"/>
              <w:spacing w:before="65" w:line="228" w:lineRule="auto"/>
              <w:ind w:left="127"/>
              <w:rPr>
                <w:sz w:val="20"/>
                <w:szCs w:val="20"/>
              </w:rPr>
            </w:pPr>
            <w:r>
              <w:rPr>
                <w:spacing w:val="-2"/>
                <w:sz w:val="20"/>
                <w:szCs w:val="20"/>
              </w:rPr>
              <w:t>防渗</w:t>
            </w:r>
          </w:p>
        </w:tc>
        <w:tc>
          <w:tcPr>
            <w:tcW w:w="1097" w:type="dxa"/>
            <w:gridSpan w:val="2"/>
            <w:vAlign w:val="top"/>
          </w:tcPr>
          <w:p w14:paraId="50C8219F">
            <w:pPr>
              <w:spacing w:line="305" w:lineRule="auto"/>
              <w:rPr>
                <w:rFonts w:ascii="Arial"/>
                <w:sz w:val="21"/>
              </w:rPr>
            </w:pPr>
          </w:p>
          <w:p w14:paraId="3075A5BB">
            <w:pPr>
              <w:spacing w:line="305" w:lineRule="auto"/>
              <w:rPr>
                <w:rFonts w:ascii="Arial"/>
                <w:sz w:val="21"/>
              </w:rPr>
            </w:pPr>
          </w:p>
          <w:p w14:paraId="09CFD50B">
            <w:pPr>
              <w:spacing w:line="305" w:lineRule="auto"/>
              <w:rPr>
                <w:rFonts w:ascii="Arial"/>
                <w:sz w:val="21"/>
              </w:rPr>
            </w:pPr>
          </w:p>
          <w:p w14:paraId="27A7EEE4">
            <w:pPr>
              <w:pStyle w:val="6"/>
              <w:spacing w:before="65" w:line="228" w:lineRule="auto"/>
              <w:ind w:left="131"/>
              <w:rPr>
                <w:sz w:val="20"/>
                <w:szCs w:val="20"/>
              </w:rPr>
            </w:pPr>
            <w:r>
              <w:rPr>
                <w:spacing w:val="7"/>
                <w:sz w:val="20"/>
                <w:szCs w:val="20"/>
              </w:rPr>
              <w:t>场区分区</w:t>
            </w:r>
          </w:p>
          <w:p w14:paraId="3BAE992A">
            <w:pPr>
              <w:pStyle w:val="6"/>
              <w:spacing w:before="24" w:line="228" w:lineRule="auto"/>
              <w:ind w:left="356"/>
              <w:rPr>
                <w:sz w:val="20"/>
                <w:szCs w:val="20"/>
              </w:rPr>
            </w:pPr>
            <w:r>
              <w:rPr>
                <w:spacing w:val="-2"/>
                <w:sz w:val="20"/>
                <w:szCs w:val="20"/>
              </w:rPr>
              <w:t>防渗</w:t>
            </w:r>
          </w:p>
        </w:tc>
        <w:tc>
          <w:tcPr>
            <w:tcW w:w="5431" w:type="dxa"/>
            <w:gridSpan w:val="2"/>
            <w:vAlign w:val="top"/>
          </w:tcPr>
          <w:p w14:paraId="38A3B1E2">
            <w:pPr>
              <w:pStyle w:val="6"/>
              <w:spacing w:before="33" w:line="227" w:lineRule="auto"/>
              <w:ind w:left="111"/>
              <w:rPr>
                <w:sz w:val="20"/>
                <w:szCs w:val="20"/>
              </w:rPr>
            </w:pPr>
            <w:r>
              <w:rPr>
                <w:spacing w:val="8"/>
                <w:sz w:val="20"/>
                <w:szCs w:val="20"/>
              </w:rPr>
              <w:t>对场区采取分区防渗。停车区、候检区、维修车间、洗车</w:t>
            </w:r>
          </w:p>
          <w:p w14:paraId="37E92584">
            <w:pPr>
              <w:pStyle w:val="6"/>
              <w:spacing w:before="24" w:line="228" w:lineRule="auto"/>
              <w:ind w:left="114"/>
              <w:rPr>
                <w:sz w:val="20"/>
                <w:szCs w:val="20"/>
              </w:rPr>
            </w:pPr>
            <w:r>
              <w:rPr>
                <w:spacing w:val="8"/>
                <w:sz w:val="20"/>
                <w:szCs w:val="20"/>
              </w:rPr>
              <w:t>车间、污水处理间、危废暂存间、事故应急池、初期雨水</w:t>
            </w:r>
          </w:p>
          <w:p w14:paraId="3F8EF91A">
            <w:pPr>
              <w:pStyle w:val="6"/>
              <w:spacing w:before="26" w:line="228" w:lineRule="auto"/>
              <w:ind w:left="201"/>
              <w:rPr>
                <w:sz w:val="20"/>
                <w:szCs w:val="20"/>
              </w:rPr>
            </w:pPr>
            <w:r>
              <w:rPr>
                <w:spacing w:val="9"/>
                <w:sz w:val="20"/>
                <w:szCs w:val="20"/>
              </w:rPr>
              <w:t>池以及场区道路均按照《危险废物贮存污染控制标准》</w:t>
            </w:r>
          </w:p>
          <w:p w14:paraId="6725E812">
            <w:pPr>
              <w:pStyle w:val="6"/>
              <w:spacing w:before="24" w:line="228" w:lineRule="auto"/>
              <w:ind w:left="122"/>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18597-2023</w:t>
            </w:r>
            <w:r>
              <w:rPr>
                <w:spacing w:val="5"/>
                <w:sz w:val="20"/>
                <w:szCs w:val="20"/>
              </w:rPr>
              <w:t>）、《化工园区危险品运输车辆停车场建</w:t>
            </w:r>
          </w:p>
          <w:p w14:paraId="540B908E">
            <w:pPr>
              <w:pStyle w:val="6"/>
              <w:spacing w:before="27" w:line="228" w:lineRule="auto"/>
              <w:ind w:left="115"/>
              <w:rPr>
                <w:sz w:val="20"/>
                <w:szCs w:val="20"/>
              </w:rPr>
            </w:pPr>
            <w:r>
              <w:rPr>
                <w:spacing w:val="8"/>
                <w:sz w:val="20"/>
                <w:szCs w:val="20"/>
              </w:rPr>
              <w:t>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CPCIF</w:t>
            </w:r>
            <w:r>
              <w:rPr>
                <w:rFonts w:ascii="Times New Roman" w:hAnsi="Times New Roman" w:eastAsia="Times New Roman" w:cs="Times New Roman"/>
                <w:spacing w:val="8"/>
                <w:sz w:val="20"/>
                <w:szCs w:val="20"/>
              </w:rPr>
              <w:t>0050-2020</w:t>
            </w:r>
            <w:r>
              <w:rPr>
                <w:spacing w:val="8"/>
                <w:sz w:val="20"/>
                <w:szCs w:val="20"/>
              </w:rPr>
              <w:t>）相关要求进行重点防渗，</w:t>
            </w:r>
          </w:p>
          <w:p w14:paraId="2932C940">
            <w:pPr>
              <w:pStyle w:val="6"/>
              <w:spacing w:before="24" w:line="225" w:lineRule="auto"/>
              <w:ind w:left="131"/>
              <w:rPr>
                <w:sz w:val="20"/>
                <w:szCs w:val="20"/>
              </w:rPr>
            </w:pPr>
            <w:r>
              <w:rPr>
                <w:spacing w:val="9"/>
                <w:sz w:val="20"/>
                <w:szCs w:val="20"/>
              </w:rPr>
              <w:t>地面采用至少</w:t>
            </w:r>
            <w:r>
              <w:rPr>
                <w:spacing w:val="-30"/>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6"/>
                <w:w w:val="101"/>
                <w:sz w:val="20"/>
                <w:szCs w:val="20"/>
              </w:rPr>
              <w:t xml:space="preserve"> </w:t>
            </w:r>
            <w:r>
              <w:rPr>
                <w:spacing w:val="9"/>
                <w:sz w:val="20"/>
                <w:szCs w:val="20"/>
              </w:rPr>
              <w:t>厚</w:t>
            </w:r>
            <w:r>
              <w:rPr>
                <w:spacing w:val="-42"/>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9"/>
                <w:sz w:val="20"/>
                <w:szCs w:val="20"/>
              </w:rPr>
              <w:t xml:space="preserve"> </w:t>
            </w:r>
            <w:r>
              <w:rPr>
                <w:spacing w:val="9"/>
                <w:sz w:val="20"/>
                <w:szCs w:val="20"/>
              </w:rPr>
              <w:t>或其他人工材料进行防渗处</w:t>
            </w:r>
          </w:p>
          <w:p w14:paraId="170A7760">
            <w:pPr>
              <w:pStyle w:val="6"/>
              <w:spacing w:before="29" w:line="228" w:lineRule="auto"/>
              <w:ind w:left="115"/>
              <w:rPr>
                <w:sz w:val="20"/>
                <w:szCs w:val="20"/>
              </w:rPr>
            </w:pPr>
            <w:r>
              <w:rPr>
                <w:spacing w:val="4"/>
                <w:sz w:val="20"/>
                <w:szCs w:val="20"/>
              </w:rPr>
              <w:t>理，渗透系数不大于</w:t>
            </w:r>
            <w:r>
              <w:rPr>
                <w:spacing w:val="-18"/>
                <w:sz w:val="20"/>
                <w:szCs w:val="20"/>
              </w:rPr>
              <w:t xml:space="preserve"> </w:t>
            </w:r>
            <w:r>
              <w:rPr>
                <w:rFonts w:ascii="Times New Roman" w:hAnsi="Times New Roman" w:eastAsia="Times New Roman" w:cs="Times New Roman"/>
                <w:spacing w:val="4"/>
                <w:sz w:val="20"/>
                <w:szCs w:val="20"/>
              </w:rPr>
              <w:t>1.0</w:t>
            </w:r>
            <w:r>
              <w:rPr>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。消防水池、消防水泵</w:t>
            </w:r>
          </w:p>
          <w:p w14:paraId="35CFC39C">
            <w:pPr>
              <w:pStyle w:val="6"/>
              <w:spacing w:before="25" w:line="227" w:lineRule="auto"/>
              <w:ind w:left="113"/>
              <w:rPr>
                <w:sz w:val="20"/>
                <w:szCs w:val="20"/>
              </w:rPr>
            </w:pPr>
            <w:r>
              <w:rPr>
                <w:spacing w:val="8"/>
                <w:sz w:val="20"/>
                <w:szCs w:val="20"/>
              </w:rPr>
              <w:t>房、综合管理用房和餐厅为一般防渗区，没有特别的防渗</w:t>
            </w:r>
          </w:p>
          <w:p w14:paraId="50B89A30">
            <w:pPr>
              <w:pStyle w:val="6"/>
              <w:spacing w:before="27" w:line="215" w:lineRule="auto"/>
              <w:ind w:left="1253"/>
              <w:rPr>
                <w:sz w:val="20"/>
                <w:szCs w:val="20"/>
              </w:rPr>
            </w:pPr>
            <w:r>
              <w:rPr>
                <w:spacing w:val="8"/>
                <w:sz w:val="20"/>
                <w:szCs w:val="20"/>
              </w:rPr>
              <w:t>要求，但应采用水泥硬化地面。</w:t>
            </w:r>
          </w:p>
        </w:tc>
        <w:tc>
          <w:tcPr>
            <w:tcW w:w="1142" w:type="dxa"/>
            <w:vAlign w:val="top"/>
          </w:tcPr>
          <w:p w14:paraId="12EC114D">
            <w:pPr>
              <w:spacing w:line="273" w:lineRule="auto"/>
              <w:rPr>
                <w:rFonts w:ascii="Arial"/>
                <w:sz w:val="21"/>
              </w:rPr>
            </w:pPr>
          </w:p>
          <w:p w14:paraId="7F4F2E88">
            <w:pPr>
              <w:spacing w:line="273" w:lineRule="auto"/>
              <w:rPr>
                <w:rFonts w:ascii="Arial"/>
                <w:sz w:val="21"/>
              </w:rPr>
            </w:pPr>
          </w:p>
          <w:p w14:paraId="07A86A97">
            <w:pPr>
              <w:spacing w:line="274" w:lineRule="auto"/>
              <w:rPr>
                <w:rFonts w:ascii="Arial"/>
                <w:sz w:val="21"/>
              </w:rPr>
            </w:pPr>
          </w:p>
          <w:p w14:paraId="52B300F0">
            <w:pPr>
              <w:spacing w:line="274" w:lineRule="auto"/>
              <w:rPr>
                <w:rFonts w:ascii="Arial"/>
                <w:sz w:val="21"/>
              </w:rPr>
            </w:pPr>
          </w:p>
          <w:p w14:paraId="47BDBF34">
            <w:pPr>
              <w:spacing w:before="5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18" w:type="dxa"/>
            <w:tcBorders>
              <w:top w:val="nil"/>
              <w:bottom w:val="nil"/>
            </w:tcBorders>
            <w:vAlign w:val="top"/>
          </w:tcPr>
          <w:p w14:paraId="27DD9E36">
            <w:pPr>
              <w:rPr>
                <w:rFonts w:ascii="Arial"/>
                <w:sz w:val="21"/>
              </w:rPr>
            </w:pPr>
          </w:p>
        </w:tc>
      </w:tr>
      <w:tr w14:paraId="31A5B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71" w:type="dxa"/>
            <w:vMerge w:val="continue"/>
            <w:tcBorders>
              <w:top w:val="nil"/>
              <w:bottom w:val="nil"/>
            </w:tcBorders>
            <w:vAlign w:val="top"/>
          </w:tcPr>
          <w:p w14:paraId="19FD5D72">
            <w:pPr>
              <w:rPr>
                <w:rFonts w:ascii="Arial"/>
                <w:sz w:val="21"/>
              </w:rPr>
            </w:pPr>
          </w:p>
        </w:tc>
        <w:tc>
          <w:tcPr>
            <w:tcW w:w="113" w:type="dxa"/>
            <w:tcBorders>
              <w:top w:val="nil"/>
              <w:bottom w:val="nil"/>
            </w:tcBorders>
            <w:vAlign w:val="top"/>
          </w:tcPr>
          <w:p w14:paraId="30A2CBDC">
            <w:pPr>
              <w:rPr>
                <w:rFonts w:ascii="Arial"/>
                <w:sz w:val="21"/>
              </w:rPr>
            </w:pPr>
          </w:p>
        </w:tc>
        <w:tc>
          <w:tcPr>
            <w:tcW w:w="7168" w:type="dxa"/>
            <w:gridSpan w:val="6"/>
            <w:vAlign w:val="top"/>
          </w:tcPr>
          <w:p w14:paraId="153084FD">
            <w:pPr>
              <w:pStyle w:val="6"/>
              <w:spacing w:before="33" w:line="216" w:lineRule="auto"/>
              <w:ind w:left="3381"/>
              <w:rPr>
                <w:sz w:val="20"/>
                <w:szCs w:val="20"/>
              </w:rPr>
            </w:pPr>
            <w:r>
              <w:rPr>
                <w:spacing w:val="4"/>
                <w:sz w:val="20"/>
                <w:szCs w:val="20"/>
              </w:rPr>
              <w:t>合计</w:t>
            </w:r>
          </w:p>
        </w:tc>
        <w:tc>
          <w:tcPr>
            <w:tcW w:w="1142" w:type="dxa"/>
            <w:vAlign w:val="top"/>
          </w:tcPr>
          <w:p w14:paraId="5814E56A">
            <w:pPr>
              <w:spacing w:before="69"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160</w:t>
            </w:r>
          </w:p>
        </w:tc>
        <w:tc>
          <w:tcPr>
            <w:tcW w:w="118" w:type="dxa"/>
            <w:tcBorders>
              <w:top w:val="nil"/>
              <w:bottom w:val="nil"/>
            </w:tcBorders>
            <w:vAlign w:val="top"/>
          </w:tcPr>
          <w:p w14:paraId="193CB104">
            <w:pPr>
              <w:rPr>
                <w:rFonts w:ascii="Arial"/>
                <w:sz w:val="21"/>
              </w:rPr>
            </w:pPr>
          </w:p>
        </w:tc>
      </w:tr>
      <w:tr w14:paraId="4B7E3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6" w:hRule="atLeast"/>
        </w:trPr>
        <w:tc>
          <w:tcPr>
            <w:tcW w:w="371" w:type="dxa"/>
            <w:vMerge w:val="continue"/>
            <w:tcBorders>
              <w:top w:val="nil"/>
              <w:bottom w:val="nil"/>
            </w:tcBorders>
            <w:vAlign w:val="top"/>
          </w:tcPr>
          <w:p w14:paraId="12D5D8EA">
            <w:pPr>
              <w:rPr>
                <w:rFonts w:ascii="Arial"/>
                <w:sz w:val="21"/>
              </w:rPr>
            </w:pPr>
          </w:p>
        </w:tc>
        <w:tc>
          <w:tcPr>
            <w:tcW w:w="8541" w:type="dxa"/>
            <w:gridSpan w:val="9"/>
            <w:vAlign w:val="top"/>
          </w:tcPr>
          <w:p w14:paraId="4EDAC88C">
            <w:pPr>
              <w:pStyle w:val="6"/>
              <w:spacing w:before="195" w:line="219" w:lineRule="auto"/>
              <w:ind w:left="119"/>
              <w:outlineLvl w:val="1"/>
              <w:rPr>
                <w:sz w:val="24"/>
                <w:szCs w:val="24"/>
              </w:rPr>
            </w:pPr>
            <w:r>
              <w:rPr>
                <w:rFonts w:ascii="Times New Roman" w:hAnsi="Times New Roman" w:eastAsia="Times New Roman" w:cs="Times New Roman"/>
                <w:b/>
                <w:bCs/>
                <w:spacing w:val="-6"/>
                <w:sz w:val="24"/>
                <w:szCs w:val="24"/>
              </w:rPr>
              <w:t>11</w:t>
            </w:r>
            <w:r>
              <w:rPr>
                <w:b/>
                <w:bCs/>
                <w:spacing w:val="-6"/>
                <w:sz w:val="24"/>
                <w:szCs w:val="24"/>
              </w:rPr>
              <w:t>、“三同时</w:t>
            </w:r>
            <w:r>
              <w:rPr>
                <w:spacing w:val="-77"/>
                <w:sz w:val="24"/>
                <w:szCs w:val="24"/>
              </w:rPr>
              <w:t xml:space="preserve"> </w:t>
            </w:r>
            <w:r>
              <w:rPr>
                <w:b/>
                <w:bCs/>
                <w:spacing w:val="-6"/>
                <w:sz w:val="24"/>
                <w:szCs w:val="24"/>
              </w:rPr>
              <w:t>”竣工环境保护验收</w:t>
            </w:r>
          </w:p>
          <w:p w14:paraId="0C8D83BA">
            <w:pPr>
              <w:pStyle w:val="6"/>
              <w:spacing w:before="181" w:line="358" w:lineRule="auto"/>
              <w:ind w:left="112" w:right="71" w:firstLine="482"/>
              <w:jc w:val="both"/>
              <w:rPr>
                <w:sz w:val="24"/>
                <w:szCs w:val="24"/>
              </w:rPr>
            </w:pPr>
            <w:r>
              <w:rPr>
                <w:spacing w:val="-3"/>
                <w:sz w:val="24"/>
                <w:szCs w:val="24"/>
              </w:rPr>
              <w:t>按照国家建设项目竣工验收相关规定，项目竣工后，应由建设单位组织自主</w:t>
            </w:r>
            <w:r>
              <w:rPr>
                <w:spacing w:val="12"/>
                <w:sz w:val="24"/>
                <w:szCs w:val="24"/>
              </w:rPr>
              <w:t xml:space="preserve"> </w:t>
            </w:r>
            <w:r>
              <w:rPr>
                <w:spacing w:val="-2"/>
                <w:sz w:val="24"/>
                <w:szCs w:val="24"/>
              </w:rPr>
              <w:t>验收，上报审批环境影响报告的环保部门，由环</w:t>
            </w:r>
            <w:r>
              <w:rPr>
                <w:spacing w:val="-3"/>
                <w:sz w:val="24"/>
                <w:szCs w:val="24"/>
              </w:rPr>
              <w:t>保部门对项目采取的各项环保设</w:t>
            </w:r>
            <w:r>
              <w:rPr>
                <w:sz w:val="24"/>
                <w:szCs w:val="24"/>
              </w:rPr>
              <w:t xml:space="preserve"> </w:t>
            </w:r>
            <w:r>
              <w:rPr>
                <w:spacing w:val="-2"/>
                <w:sz w:val="24"/>
                <w:szCs w:val="24"/>
              </w:rPr>
              <w:t>施和措施的落实情况进行监督。苯项目“三同时</w:t>
            </w:r>
            <w:r>
              <w:rPr>
                <w:spacing w:val="-88"/>
                <w:sz w:val="24"/>
                <w:szCs w:val="24"/>
              </w:rPr>
              <w:t xml:space="preserve"> </w:t>
            </w:r>
            <w:r>
              <w:rPr>
                <w:spacing w:val="-2"/>
                <w:sz w:val="24"/>
                <w:szCs w:val="24"/>
              </w:rPr>
              <w:t>”竣</w:t>
            </w:r>
            <w:r>
              <w:rPr>
                <w:spacing w:val="-3"/>
                <w:sz w:val="24"/>
                <w:szCs w:val="24"/>
              </w:rPr>
              <w:t>工环境保护验收详见下表。</w:t>
            </w:r>
          </w:p>
          <w:p w14:paraId="710BF968">
            <w:pPr>
              <w:pStyle w:val="6"/>
              <w:spacing w:line="227" w:lineRule="auto"/>
              <w:ind w:left="2316"/>
              <w:outlineLvl w:val="1"/>
              <w:rPr>
                <w:sz w:val="20"/>
                <w:szCs w:val="20"/>
              </w:rPr>
            </w:pPr>
            <w:r>
              <w:rPr>
                <w:b/>
                <w:bCs/>
                <w:spacing w:val="6"/>
                <w:sz w:val="20"/>
                <w:szCs w:val="20"/>
              </w:rPr>
              <w:t>表</w:t>
            </w:r>
            <w:r>
              <w:rPr>
                <w:spacing w:val="-41"/>
                <w:sz w:val="20"/>
                <w:szCs w:val="20"/>
              </w:rPr>
              <w:t xml:space="preserve"> </w:t>
            </w:r>
            <w:r>
              <w:rPr>
                <w:rFonts w:ascii="Times New Roman" w:hAnsi="Times New Roman" w:eastAsia="Times New Roman" w:cs="Times New Roman"/>
                <w:b/>
                <w:bCs/>
                <w:spacing w:val="6"/>
                <w:sz w:val="20"/>
                <w:szCs w:val="20"/>
              </w:rPr>
              <w:t>4-8    “</w:t>
            </w:r>
            <w:r>
              <w:rPr>
                <w:b/>
                <w:bCs/>
                <w:spacing w:val="6"/>
                <w:sz w:val="20"/>
                <w:szCs w:val="20"/>
              </w:rPr>
              <w:t>三同时</w:t>
            </w:r>
            <w:r>
              <w:rPr>
                <w:rFonts w:ascii="Times New Roman" w:hAnsi="Times New Roman" w:eastAsia="Times New Roman" w:cs="Times New Roman"/>
                <w:b/>
                <w:bCs/>
                <w:spacing w:val="6"/>
                <w:sz w:val="20"/>
                <w:szCs w:val="20"/>
              </w:rPr>
              <w:t>”</w:t>
            </w:r>
            <w:r>
              <w:rPr>
                <w:b/>
                <w:bCs/>
                <w:spacing w:val="6"/>
                <w:sz w:val="20"/>
                <w:szCs w:val="20"/>
              </w:rPr>
              <w:t>竣工环境保护验收一览表</w:t>
            </w:r>
          </w:p>
        </w:tc>
      </w:tr>
      <w:tr w14:paraId="71660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71" w:type="dxa"/>
            <w:vMerge w:val="continue"/>
            <w:tcBorders>
              <w:top w:val="nil"/>
              <w:bottom w:val="nil"/>
            </w:tcBorders>
            <w:vAlign w:val="top"/>
          </w:tcPr>
          <w:p w14:paraId="6E2B8DD4">
            <w:pPr>
              <w:rPr>
                <w:rFonts w:ascii="Arial"/>
                <w:sz w:val="21"/>
              </w:rPr>
            </w:pPr>
          </w:p>
        </w:tc>
        <w:tc>
          <w:tcPr>
            <w:tcW w:w="113" w:type="dxa"/>
            <w:tcBorders>
              <w:top w:val="nil"/>
              <w:bottom w:val="nil"/>
            </w:tcBorders>
            <w:vAlign w:val="top"/>
          </w:tcPr>
          <w:p w14:paraId="13D4B9A4">
            <w:pPr>
              <w:rPr>
                <w:rFonts w:ascii="Arial"/>
                <w:sz w:val="21"/>
              </w:rPr>
            </w:pPr>
          </w:p>
        </w:tc>
        <w:tc>
          <w:tcPr>
            <w:tcW w:w="1569" w:type="dxa"/>
            <w:gridSpan w:val="3"/>
            <w:vAlign w:val="top"/>
          </w:tcPr>
          <w:p w14:paraId="2585319B">
            <w:pPr>
              <w:pStyle w:val="6"/>
              <w:spacing w:before="36" w:line="214" w:lineRule="auto"/>
              <w:ind w:left="367"/>
              <w:rPr>
                <w:sz w:val="20"/>
                <w:szCs w:val="20"/>
              </w:rPr>
            </w:pPr>
            <w:r>
              <w:rPr>
                <w:spacing w:val="7"/>
                <w:sz w:val="20"/>
                <w:szCs w:val="20"/>
              </w:rPr>
              <w:t>验收项目</w:t>
            </w:r>
          </w:p>
        </w:tc>
        <w:tc>
          <w:tcPr>
            <w:tcW w:w="3784" w:type="dxa"/>
            <w:gridSpan w:val="2"/>
            <w:vAlign w:val="top"/>
          </w:tcPr>
          <w:p w14:paraId="2F7939B7">
            <w:pPr>
              <w:pStyle w:val="6"/>
              <w:spacing w:before="36" w:line="214" w:lineRule="auto"/>
              <w:ind w:left="1477"/>
              <w:rPr>
                <w:sz w:val="20"/>
                <w:szCs w:val="20"/>
              </w:rPr>
            </w:pPr>
            <w:r>
              <w:rPr>
                <w:spacing w:val="7"/>
                <w:sz w:val="20"/>
                <w:szCs w:val="20"/>
              </w:rPr>
              <w:t>验收内容</w:t>
            </w:r>
          </w:p>
        </w:tc>
        <w:tc>
          <w:tcPr>
            <w:tcW w:w="2957" w:type="dxa"/>
            <w:gridSpan w:val="2"/>
            <w:vAlign w:val="top"/>
          </w:tcPr>
          <w:p w14:paraId="54D832B7">
            <w:pPr>
              <w:pStyle w:val="6"/>
              <w:spacing w:before="36" w:line="214" w:lineRule="auto"/>
              <w:ind w:left="1065"/>
              <w:rPr>
                <w:sz w:val="20"/>
                <w:szCs w:val="20"/>
              </w:rPr>
            </w:pPr>
            <w:r>
              <w:rPr>
                <w:spacing w:val="7"/>
                <w:sz w:val="20"/>
                <w:szCs w:val="20"/>
              </w:rPr>
              <w:t>验收标准</w:t>
            </w:r>
          </w:p>
        </w:tc>
        <w:tc>
          <w:tcPr>
            <w:tcW w:w="118" w:type="dxa"/>
            <w:tcBorders>
              <w:top w:val="nil"/>
              <w:bottom w:val="nil"/>
            </w:tcBorders>
            <w:vAlign w:val="top"/>
          </w:tcPr>
          <w:p w14:paraId="6007D240">
            <w:pPr>
              <w:rPr>
                <w:rFonts w:ascii="Arial"/>
                <w:sz w:val="21"/>
              </w:rPr>
            </w:pPr>
          </w:p>
        </w:tc>
      </w:tr>
      <w:tr w14:paraId="5F038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71" w:type="dxa"/>
            <w:vMerge w:val="continue"/>
            <w:tcBorders>
              <w:top w:val="nil"/>
              <w:bottom w:val="nil"/>
            </w:tcBorders>
            <w:vAlign w:val="top"/>
          </w:tcPr>
          <w:p w14:paraId="63F91E04">
            <w:pPr>
              <w:rPr>
                <w:rFonts w:ascii="Arial"/>
                <w:sz w:val="21"/>
              </w:rPr>
            </w:pPr>
          </w:p>
        </w:tc>
        <w:tc>
          <w:tcPr>
            <w:tcW w:w="113" w:type="dxa"/>
            <w:tcBorders>
              <w:top w:val="nil"/>
              <w:bottom w:val="nil"/>
            </w:tcBorders>
            <w:vAlign w:val="top"/>
          </w:tcPr>
          <w:p w14:paraId="5AFF2642">
            <w:pPr>
              <w:rPr>
                <w:rFonts w:ascii="Arial"/>
                <w:sz w:val="21"/>
              </w:rPr>
            </w:pPr>
          </w:p>
        </w:tc>
        <w:tc>
          <w:tcPr>
            <w:tcW w:w="446" w:type="dxa"/>
            <w:textDirection w:val="tbRlV"/>
            <w:vAlign w:val="top"/>
          </w:tcPr>
          <w:p w14:paraId="34C2220D">
            <w:pPr>
              <w:pStyle w:val="6"/>
              <w:spacing w:before="118" w:line="216" w:lineRule="auto"/>
              <w:ind w:left="34"/>
              <w:rPr>
                <w:sz w:val="20"/>
                <w:szCs w:val="20"/>
              </w:rPr>
            </w:pPr>
            <w:r>
              <w:rPr>
                <w:spacing w:val="8"/>
                <w:sz w:val="20"/>
                <w:szCs w:val="20"/>
              </w:rPr>
              <w:t>废</w:t>
            </w:r>
            <w:r>
              <w:rPr>
                <w:spacing w:val="-35"/>
                <w:sz w:val="20"/>
                <w:szCs w:val="20"/>
              </w:rPr>
              <w:t xml:space="preserve"> </w:t>
            </w:r>
            <w:r>
              <w:rPr>
                <w:spacing w:val="8"/>
                <w:sz w:val="20"/>
                <w:szCs w:val="20"/>
              </w:rPr>
              <w:t>气</w:t>
            </w:r>
          </w:p>
        </w:tc>
        <w:tc>
          <w:tcPr>
            <w:tcW w:w="1123" w:type="dxa"/>
            <w:gridSpan w:val="2"/>
            <w:vAlign w:val="top"/>
          </w:tcPr>
          <w:p w14:paraId="6370FCE3">
            <w:pPr>
              <w:pStyle w:val="6"/>
              <w:spacing w:before="171" w:line="227" w:lineRule="auto"/>
              <w:ind w:left="145"/>
              <w:rPr>
                <w:sz w:val="20"/>
                <w:szCs w:val="20"/>
              </w:rPr>
            </w:pPr>
            <w:r>
              <w:rPr>
                <w:spacing w:val="7"/>
                <w:sz w:val="20"/>
                <w:szCs w:val="20"/>
              </w:rPr>
              <w:t>汽车尾气</w:t>
            </w:r>
          </w:p>
        </w:tc>
        <w:tc>
          <w:tcPr>
            <w:tcW w:w="3784" w:type="dxa"/>
            <w:gridSpan w:val="2"/>
            <w:vAlign w:val="top"/>
          </w:tcPr>
          <w:p w14:paraId="1DDB0427">
            <w:pPr>
              <w:pStyle w:val="6"/>
              <w:spacing w:before="34" w:line="228" w:lineRule="auto"/>
              <w:ind w:left="114"/>
              <w:rPr>
                <w:sz w:val="20"/>
                <w:szCs w:val="20"/>
              </w:rPr>
            </w:pPr>
            <w:r>
              <w:rPr>
                <w:spacing w:val="9"/>
                <w:sz w:val="20"/>
                <w:szCs w:val="20"/>
              </w:rPr>
              <w:t>车辆限速行驶、厂区道路硬化，增加场</w:t>
            </w:r>
          </w:p>
          <w:p w14:paraId="54B00D42">
            <w:pPr>
              <w:pStyle w:val="6"/>
              <w:spacing w:before="27" w:line="213" w:lineRule="auto"/>
              <w:ind w:left="1493"/>
              <w:rPr>
                <w:sz w:val="20"/>
                <w:szCs w:val="20"/>
              </w:rPr>
            </w:pPr>
            <w:r>
              <w:rPr>
                <w:spacing w:val="1"/>
                <w:sz w:val="20"/>
                <w:szCs w:val="20"/>
              </w:rPr>
              <w:t>区绿化。</w:t>
            </w:r>
          </w:p>
        </w:tc>
        <w:tc>
          <w:tcPr>
            <w:tcW w:w="2957" w:type="dxa"/>
            <w:gridSpan w:val="2"/>
            <w:vAlign w:val="top"/>
          </w:tcPr>
          <w:p w14:paraId="3C54E9ED">
            <w:pPr>
              <w:pStyle w:val="6"/>
              <w:spacing w:before="34" w:line="228" w:lineRule="auto"/>
              <w:ind w:left="440"/>
              <w:rPr>
                <w:sz w:val="20"/>
                <w:szCs w:val="20"/>
              </w:rPr>
            </w:pPr>
            <w:r>
              <w:rPr>
                <w:spacing w:val="7"/>
                <w:sz w:val="20"/>
                <w:szCs w:val="20"/>
              </w:rPr>
              <w:t>《污水综合排放标准》</w:t>
            </w:r>
          </w:p>
          <w:p w14:paraId="01A6AAEB">
            <w:pPr>
              <w:pStyle w:val="6"/>
              <w:spacing w:before="27" w:line="213"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71339952">
            <w:pPr>
              <w:rPr>
                <w:rFonts w:ascii="Arial"/>
                <w:sz w:val="21"/>
              </w:rPr>
            </w:pPr>
          </w:p>
        </w:tc>
      </w:tr>
      <w:tr w14:paraId="76F49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371" w:type="dxa"/>
            <w:vMerge w:val="continue"/>
            <w:tcBorders>
              <w:top w:val="nil"/>
              <w:bottom w:val="nil"/>
            </w:tcBorders>
            <w:vAlign w:val="top"/>
          </w:tcPr>
          <w:p w14:paraId="060929BE">
            <w:pPr>
              <w:rPr>
                <w:rFonts w:ascii="Arial"/>
                <w:sz w:val="21"/>
              </w:rPr>
            </w:pPr>
          </w:p>
        </w:tc>
        <w:tc>
          <w:tcPr>
            <w:tcW w:w="113" w:type="dxa"/>
            <w:tcBorders>
              <w:top w:val="nil"/>
              <w:bottom w:val="nil"/>
            </w:tcBorders>
            <w:vAlign w:val="top"/>
          </w:tcPr>
          <w:p w14:paraId="39F8092B">
            <w:pPr>
              <w:rPr>
                <w:rFonts w:ascii="Arial"/>
                <w:sz w:val="21"/>
              </w:rPr>
            </w:pPr>
          </w:p>
        </w:tc>
        <w:tc>
          <w:tcPr>
            <w:tcW w:w="446" w:type="dxa"/>
            <w:vMerge w:val="restart"/>
            <w:tcBorders>
              <w:bottom w:val="nil"/>
            </w:tcBorders>
            <w:textDirection w:val="tbRlV"/>
            <w:vAlign w:val="top"/>
          </w:tcPr>
          <w:p w14:paraId="1B6F050A">
            <w:pPr>
              <w:pStyle w:val="6"/>
              <w:spacing w:before="118" w:line="216" w:lineRule="auto"/>
              <w:ind w:left="1270"/>
              <w:rPr>
                <w:sz w:val="20"/>
                <w:szCs w:val="20"/>
              </w:rPr>
            </w:pPr>
            <w:r>
              <w:rPr>
                <w:spacing w:val="8"/>
                <w:sz w:val="20"/>
                <w:szCs w:val="20"/>
              </w:rPr>
              <w:t>废</w:t>
            </w:r>
            <w:r>
              <w:rPr>
                <w:spacing w:val="-35"/>
                <w:sz w:val="20"/>
                <w:szCs w:val="20"/>
              </w:rPr>
              <w:t xml:space="preserve"> </w:t>
            </w:r>
            <w:r>
              <w:rPr>
                <w:spacing w:val="8"/>
                <w:sz w:val="20"/>
                <w:szCs w:val="20"/>
              </w:rPr>
              <w:t>水</w:t>
            </w:r>
          </w:p>
        </w:tc>
        <w:tc>
          <w:tcPr>
            <w:tcW w:w="1123" w:type="dxa"/>
            <w:gridSpan w:val="2"/>
            <w:vAlign w:val="top"/>
          </w:tcPr>
          <w:p w14:paraId="155B830E">
            <w:pPr>
              <w:spacing w:line="377" w:lineRule="auto"/>
              <w:rPr>
                <w:rFonts w:ascii="Arial"/>
                <w:sz w:val="21"/>
              </w:rPr>
            </w:pPr>
          </w:p>
          <w:p w14:paraId="6969DD1D">
            <w:pPr>
              <w:pStyle w:val="6"/>
              <w:spacing w:before="65" w:line="228" w:lineRule="auto"/>
              <w:ind w:left="147"/>
              <w:rPr>
                <w:sz w:val="20"/>
                <w:szCs w:val="20"/>
              </w:rPr>
            </w:pPr>
            <w:r>
              <w:rPr>
                <w:spacing w:val="6"/>
                <w:sz w:val="20"/>
                <w:szCs w:val="20"/>
              </w:rPr>
              <w:t>生活污水</w:t>
            </w:r>
          </w:p>
        </w:tc>
        <w:tc>
          <w:tcPr>
            <w:tcW w:w="3784" w:type="dxa"/>
            <w:gridSpan w:val="2"/>
            <w:vAlign w:val="top"/>
          </w:tcPr>
          <w:p w14:paraId="64B700B2">
            <w:pPr>
              <w:pStyle w:val="6"/>
              <w:spacing w:before="36" w:line="228" w:lineRule="auto"/>
              <w:ind w:left="114"/>
              <w:rPr>
                <w:sz w:val="20"/>
                <w:szCs w:val="20"/>
              </w:rPr>
            </w:pPr>
            <w:r>
              <w:rPr>
                <w:spacing w:val="9"/>
                <w:sz w:val="20"/>
                <w:szCs w:val="20"/>
              </w:rPr>
              <w:t>生活污水经隔油池、化粪池收集停留一</w:t>
            </w:r>
          </w:p>
          <w:p w14:paraId="4B904B3B">
            <w:pPr>
              <w:pStyle w:val="6"/>
              <w:spacing w:before="24" w:line="228" w:lineRule="auto"/>
              <w:ind w:left="113"/>
              <w:rPr>
                <w:sz w:val="20"/>
                <w:szCs w:val="20"/>
              </w:rPr>
            </w:pPr>
            <w:r>
              <w:rPr>
                <w:spacing w:val="8"/>
                <w:sz w:val="20"/>
                <w:szCs w:val="20"/>
              </w:rPr>
              <w:t>段时间后，满足《污水综合排放标准》</w:t>
            </w:r>
          </w:p>
          <w:p w14:paraId="02486C2C">
            <w:pPr>
              <w:pStyle w:val="6"/>
              <w:spacing w:before="24" w:line="228" w:lineRule="auto"/>
              <w:ind w:left="151"/>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）三级标准，排入园区</w:t>
            </w:r>
          </w:p>
          <w:p w14:paraId="4A16D1EB">
            <w:pPr>
              <w:pStyle w:val="6"/>
              <w:spacing w:before="25" w:line="205" w:lineRule="auto"/>
              <w:ind w:left="1479"/>
              <w:rPr>
                <w:sz w:val="20"/>
                <w:szCs w:val="20"/>
              </w:rPr>
            </w:pPr>
            <w:r>
              <w:rPr>
                <w:spacing w:val="6"/>
                <w:sz w:val="20"/>
                <w:szCs w:val="20"/>
              </w:rPr>
              <w:t>污水管网</w:t>
            </w:r>
          </w:p>
        </w:tc>
        <w:tc>
          <w:tcPr>
            <w:tcW w:w="2957" w:type="dxa"/>
            <w:gridSpan w:val="2"/>
            <w:vAlign w:val="top"/>
          </w:tcPr>
          <w:p w14:paraId="3F300C3C">
            <w:pPr>
              <w:spacing w:line="241" w:lineRule="auto"/>
              <w:rPr>
                <w:rFonts w:ascii="Arial"/>
                <w:sz w:val="21"/>
              </w:rPr>
            </w:pPr>
          </w:p>
          <w:p w14:paraId="140B62F1">
            <w:pPr>
              <w:pStyle w:val="6"/>
              <w:spacing w:before="65" w:line="228" w:lineRule="auto"/>
              <w:ind w:left="440"/>
              <w:rPr>
                <w:sz w:val="20"/>
                <w:szCs w:val="20"/>
              </w:rPr>
            </w:pPr>
            <w:r>
              <w:rPr>
                <w:spacing w:val="7"/>
                <w:sz w:val="20"/>
                <w:szCs w:val="20"/>
              </w:rPr>
              <w:t>《污水综合排放标准》</w:t>
            </w:r>
          </w:p>
          <w:p w14:paraId="22328508">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4C1FCC4D">
            <w:pPr>
              <w:rPr>
                <w:rFonts w:ascii="Arial"/>
                <w:sz w:val="21"/>
              </w:rPr>
            </w:pPr>
          </w:p>
        </w:tc>
      </w:tr>
      <w:tr w14:paraId="6D00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371" w:type="dxa"/>
            <w:vMerge w:val="continue"/>
            <w:tcBorders>
              <w:top w:val="nil"/>
              <w:bottom w:val="nil"/>
            </w:tcBorders>
            <w:vAlign w:val="top"/>
          </w:tcPr>
          <w:p w14:paraId="67143583">
            <w:pPr>
              <w:rPr>
                <w:rFonts w:ascii="Arial"/>
                <w:sz w:val="21"/>
              </w:rPr>
            </w:pPr>
          </w:p>
        </w:tc>
        <w:tc>
          <w:tcPr>
            <w:tcW w:w="113" w:type="dxa"/>
            <w:tcBorders>
              <w:top w:val="nil"/>
              <w:bottom w:val="nil"/>
            </w:tcBorders>
            <w:vAlign w:val="top"/>
          </w:tcPr>
          <w:p w14:paraId="629204FC">
            <w:pPr>
              <w:rPr>
                <w:rFonts w:ascii="Arial"/>
                <w:sz w:val="21"/>
              </w:rPr>
            </w:pPr>
          </w:p>
        </w:tc>
        <w:tc>
          <w:tcPr>
            <w:tcW w:w="446" w:type="dxa"/>
            <w:vMerge w:val="continue"/>
            <w:tcBorders>
              <w:top w:val="nil"/>
              <w:bottom w:val="nil"/>
            </w:tcBorders>
            <w:textDirection w:val="tbRlV"/>
            <w:vAlign w:val="top"/>
          </w:tcPr>
          <w:p w14:paraId="6F47458D">
            <w:pPr>
              <w:rPr>
                <w:rFonts w:ascii="Arial"/>
                <w:sz w:val="21"/>
              </w:rPr>
            </w:pPr>
          </w:p>
        </w:tc>
        <w:tc>
          <w:tcPr>
            <w:tcW w:w="1123" w:type="dxa"/>
            <w:gridSpan w:val="2"/>
            <w:vAlign w:val="top"/>
          </w:tcPr>
          <w:p w14:paraId="7D40AD31">
            <w:pPr>
              <w:pStyle w:val="6"/>
              <w:spacing w:before="181" w:line="250" w:lineRule="auto"/>
              <w:ind w:left="148" w:right="142" w:firstLine="102"/>
              <w:rPr>
                <w:sz w:val="20"/>
                <w:szCs w:val="20"/>
              </w:rPr>
            </w:pPr>
            <w:r>
              <w:rPr>
                <w:spacing w:val="7"/>
                <w:sz w:val="20"/>
                <w:szCs w:val="20"/>
              </w:rPr>
              <w:t>洗车废</w:t>
            </w:r>
            <w:r>
              <w:rPr>
                <w:sz w:val="20"/>
                <w:szCs w:val="20"/>
              </w:rPr>
              <w:t xml:space="preserve">  </w:t>
            </w:r>
            <w:r>
              <w:rPr>
                <w:spacing w:val="6"/>
                <w:sz w:val="20"/>
                <w:szCs w:val="20"/>
              </w:rPr>
              <w:t>水、地面</w:t>
            </w:r>
          </w:p>
          <w:p w14:paraId="36575456">
            <w:pPr>
              <w:pStyle w:val="6"/>
              <w:spacing w:line="227" w:lineRule="auto"/>
              <w:ind w:left="146"/>
              <w:rPr>
                <w:sz w:val="20"/>
                <w:szCs w:val="20"/>
              </w:rPr>
            </w:pPr>
            <w:r>
              <w:rPr>
                <w:spacing w:val="7"/>
                <w:sz w:val="20"/>
                <w:szCs w:val="20"/>
              </w:rPr>
              <w:t>冲洗废水</w:t>
            </w:r>
          </w:p>
        </w:tc>
        <w:tc>
          <w:tcPr>
            <w:tcW w:w="3784" w:type="dxa"/>
            <w:gridSpan w:val="2"/>
            <w:vAlign w:val="top"/>
          </w:tcPr>
          <w:p w14:paraId="7B59A48F">
            <w:pPr>
              <w:pStyle w:val="6"/>
              <w:spacing w:before="46" w:line="228" w:lineRule="auto"/>
              <w:ind w:left="157"/>
              <w:rPr>
                <w:sz w:val="20"/>
                <w:szCs w:val="20"/>
              </w:rPr>
            </w:pPr>
            <w:r>
              <w:rPr>
                <w:spacing w:val="7"/>
                <w:sz w:val="20"/>
                <w:szCs w:val="20"/>
              </w:rPr>
              <w:t>洗车废水、地面冲洗废水经沉淀</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5"/>
                <w:sz w:val="20"/>
                <w:szCs w:val="20"/>
              </w:rPr>
              <w:t xml:space="preserve"> </w:t>
            </w:r>
            <w:r>
              <w:rPr>
                <w:spacing w:val="7"/>
                <w:sz w:val="20"/>
                <w:szCs w:val="20"/>
              </w:rPr>
              <w:t>隔油</w:t>
            </w:r>
          </w:p>
          <w:p w14:paraId="65BE7189">
            <w:pPr>
              <w:pStyle w:val="6"/>
              <w:spacing w:before="24" w:line="228" w:lineRule="auto"/>
              <w:ind w:left="222"/>
              <w:rPr>
                <w:sz w:val="20"/>
                <w:szCs w:val="20"/>
              </w:rPr>
            </w:pPr>
            <w:r>
              <w:rPr>
                <w:spacing w:val="8"/>
                <w:sz w:val="20"/>
                <w:szCs w:val="20"/>
              </w:rPr>
              <w:t>处理后，满足《污水综合排放标准》</w:t>
            </w:r>
          </w:p>
          <w:p w14:paraId="4081EB79">
            <w:pPr>
              <w:pStyle w:val="6"/>
              <w:spacing w:before="24" w:line="228" w:lineRule="auto"/>
              <w:ind w:left="151"/>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）三级标准，排入园区</w:t>
            </w:r>
          </w:p>
          <w:p w14:paraId="3A64C81D">
            <w:pPr>
              <w:pStyle w:val="6"/>
              <w:spacing w:before="26" w:line="210" w:lineRule="auto"/>
              <w:ind w:left="1479"/>
              <w:rPr>
                <w:sz w:val="20"/>
                <w:szCs w:val="20"/>
              </w:rPr>
            </w:pPr>
            <w:r>
              <w:rPr>
                <w:spacing w:val="6"/>
                <w:sz w:val="20"/>
                <w:szCs w:val="20"/>
              </w:rPr>
              <w:t>污水管网</w:t>
            </w:r>
          </w:p>
        </w:tc>
        <w:tc>
          <w:tcPr>
            <w:tcW w:w="2957" w:type="dxa"/>
            <w:gridSpan w:val="2"/>
            <w:vAlign w:val="top"/>
          </w:tcPr>
          <w:p w14:paraId="617C195D">
            <w:pPr>
              <w:spacing w:line="250" w:lineRule="auto"/>
              <w:rPr>
                <w:rFonts w:ascii="Arial"/>
                <w:sz w:val="21"/>
              </w:rPr>
            </w:pPr>
          </w:p>
          <w:p w14:paraId="321C6AB2">
            <w:pPr>
              <w:pStyle w:val="6"/>
              <w:spacing w:before="65" w:line="228" w:lineRule="auto"/>
              <w:ind w:left="440"/>
              <w:rPr>
                <w:sz w:val="20"/>
                <w:szCs w:val="20"/>
              </w:rPr>
            </w:pPr>
            <w:r>
              <w:rPr>
                <w:spacing w:val="7"/>
                <w:sz w:val="20"/>
                <w:szCs w:val="20"/>
              </w:rPr>
              <w:t>《污水综合排放标准》</w:t>
            </w:r>
          </w:p>
          <w:p w14:paraId="2679D8D0">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top w:val="nil"/>
              <w:bottom w:val="nil"/>
            </w:tcBorders>
            <w:vAlign w:val="top"/>
          </w:tcPr>
          <w:p w14:paraId="73CDC251">
            <w:pPr>
              <w:rPr>
                <w:rFonts w:ascii="Arial"/>
                <w:sz w:val="21"/>
              </w:rPr>
            </w:pPr>
          </w:p>
        </w:tc>
      </w:tr>
      <w:tr w14:paraId="5BAA8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371" w:type="dxa"/>
            <w:vMerge w:val="continue"/>
            <w:tcBorders>
              <w:top w:val="nil"/>
            </w:tcBorders>
            <w:vAlign w:val="top"/>
          </w:tcPr>
          <w:p w14:paraId="3E544DB5">
            <w:pPr>
              <w:rPr>
                <w:rFonts w:ascii="Arial"/>
                <w:sz w:val="21"/>
              </w:rPr>
            </w:pPr>
          </w:p>
        </w:tc>
        <w:tc>
          <w:tcPr>
            <w:tcW w:w="113" w:type="dxa"/>
            <w:tcBorders>
              <w:top w:val="nil"/>
            </w:tcBorders>
            <w:vAlign w:val="top"/>
          </w:tcPr>
          <w:p w14:paraId="4EE27E1E">
            <w:pPr>
              <w:rPr>
                <w:rFonts w:ascii="Arial"/>
                <w:sz w:val="21"/>
              </w:rPr>
            </w:pPr>
          </w:p>
        </w:tc>
        <w:tc>
          <w:tcPr>
            <w:tcW w:w="446" w:type="dxa"/>
            <w:vMerge w:val="continue"/>
            <w:tcBorders>
              <w:top w:val="nil"/>
            </w:tcBorders>
            <w:textDirection w:val="tbRlV"/>
            <w:vAlign w:val="top"/>
          </w:tcPr>
          <w:p w14:paraId="7ABE34A6">
            <w:pPr>
              <w:rPr>
                <w:rFonts w:ascii="Arial"/>
                <w:sz w:val="21"/>
              </w:rPr>
            </w:pPr>
          </w:p>
        </w:tc>
        <w:tc>
          <w:tcPr>
            <w:tcW w:w="1123" w:type="dxa"/>
            <w:gridSpan w:val="2"/>
            <w:vAlign w:val="top"/>
          </w:tcPr>
          <w:p w14:paraId="5E31525A">
            <w:pPr>
              <w:spacing w:line="244" w:lineRule="auto"/>
              <w:rPr>
                <w:rFonts w:ascii="Arial"/>
                <w:sz w:val="21"/>
              </w:rPr>
            </w:pPr>
          </w:p>
          <w:p w14:paraId="79F15AD3">
            <w:pPr>
              <w:pStyle w:val="6"/>
              <w:spacing w:before="65" w:line="228" w:lineRule="auto"/>
              <w:ind w:left="150"/>
              <w:rPr>
                <w:sz w:val="20"/>
                <w:szCs w:val="20"/>
              </w:rPr>
            </w:pPr>
            <w:r>
              <w:rPr>
                <w:spacing w:val="6"/>
                <w:sz w:val="20"/>
                <w:szCs w:val="20"/>
              </w:rPr>
              <w:t>消防废水</w:t>
            </w:r>
          </w:p>
        </w:tc>
        <w:tc>
          <w:tcPr>
            <w:tcW w:w="3784" w:type="dxa"/>
            <w:gridSpan w:val="2"/>
            <w:vAlign w:val="top"/>
          </w:tcPr>
          <w:p w14:paraId="3821F776">
            <w:pPr>
              <w:pStyle w:val="6"/>
              <w:spacing w:before="40" w:line="228" w:lineRule="auto"/>
              <w:ind w:left="116"/>
              <w:rPr>
                <w:sz w:val="20"/>
                <w:szCs w:val="20"/>
              </w:rPr>
            </w:pPr>
            <w:r>
              <w:rPr>
                <w:spacing w:val="9"/>
                <w:sz w:val="20"/>
                <w:szCs w:val="20"/>
              </w:rPr>
              <w:t>消防废水产生后收集至事故水池，事故</w:t>
            </w:r>
          </w:p>
          <w:p w14:paraId="63C17A0C">
            <w:pPr>
              <w:pStyle w:val="6"/>
              <w:spacing w:before="24" w:line="228" w:lineRule="auto"/>
              <w:ind w:left="114"/>
              <w:rPr>
                <w:sz w:val="20"/>
                <w:szCs w:val="20"/>
              </w:rPr>
            </w:pPr>
            <w:r>
              <w:rPr>
                <w:spacing w:val="9"/>
                <w:sz w:val="20"/>
                <w:szCs w:val="20"/>
              </w:rPr>
              <w:t>后由罐车定期拉运至园区污水处理厂处</w:t>
            </w:r>
          </w:p>
          <w:p w14:paraId="684B4CA9">
            <w:pPr>
              <w:pStyle w:val="6"/>
              <w:spacing w:before="26" w:line="224" w:lineRule="auto"/>
              <w:ind w:left="1795"/>
              <w:rPr>
                <w:sz w:val="20"/>
                <w:szCs w:val="20"/>
              </w:rPr>
            </w:pPr>
            <w:r>
              <w:rPr>
                <w:sz w:val="20"/>
                <w:szCs w:val="20"/>
              </w:rPr>
              <w:t>理</w:t>
            </w:r>
          </w:p>
        </w:tc>
        <w:tc>
          <w:tcPr>
            <w:tcW w:w="2957" w:type="dxa"/>
            <w:gridSpan w:val="2"/>
            <w:vAlign w:val="top"/>
          </w:tcPr>
          <w:p w14:paraId="0146250F">
            <w:pPr>
              <w:pStyle w:val="6"/>
              <w:spacing w:before="40" w:line="228" w:lineRule="auto"/>
              <w:ind w:left="123"/>
              <w:rPr>
                <w:sz w:val="20"/>
                <w:szCs w:val="20"/>
              </w:rPr>
            </w:pPr>
            <w:r>
              <w:rPr>
                <w:spacing w:val="9"/>
                <w:sz w:val="20"/>
                <w:szCs w:val="20"/>
              </w:rPr>
              <w:t>厂界满足《工业企业厂界环境</w:t>
            </w:r>
          </w:p>
          <w:p w14:paraId="7DEE3DD5">
            <w:pPr>
              <w:pStyle w:val="6"/>
              <w:spacing w:before="24" w:line="228" w:lineRule="auto"/>
              <w:ind w:left="761"/>
              <w:rPr>
                <w:sz w:val="20"/>
                <w:szCs w:val="20"/>
              </w:rPr>
            </w:pPr>
            <w:r>
              <w:rPr>
                <w:spacing w:val="5"/>
                <w:sz w:val="20"/>
                <w:szCs w:val="20"/>
              </w:rPr>
              <w:t>噪声排放标准》</w:t>
            </w:r>
          </w:p>
          <w:p w14:paraId="65BAAB2D">
            <w:pPr>
              <w:pStyle w:val="6"/>
              <w:spacing w:before="26" w:line="224" w:lineRule="auto"/>
              <w:ind w:right="9"/>
              <w:jc w:val="right"/>
              <w:rPr>
                <w:sz w:val="20"/>
                <w:szCs w:val="20"/>
              </w:rPr>
            </w:pPr>
            <w:r>
              <w:rPr>
                <w:spacing w:val="1"/>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12348-2008</w:t>
            </w:r>
            <w:r>
              <w:rPr>
                <w:spacing w:val="1"/>
                <w:sz w:val="20"/>
                <w:szCs w:val="20"/>
              </w:rPr>
              <w:t>）</w:t>
            </w:r>
            <w:r>
              <w:rPr>
                <w:rFonts w:ascii="Times New Roman" w:hAnsi="Times New Roman" w:eastAsia="Times New Roman" w:cs="Times New Roman"/>
                <w:spacing w:val="1"/>
                <w:sz w:val="20"/>
                <w:szCs w:val="20"/>
              </w:rPr>
              <w:t xml:space="preserve">3 </w:t>
            </w:r>
            <w:r>
              <w:rPr>
                <w:spacing w:val="1"/>
                <w:sz w:val="20"/>
                <w:szCs w:val="20"/>
              </w:rPr>
              <w:t>类区标准。</w:t>
            </w:r>
          </w:p>
        </w:tc>
        <w:tc>
          <w:tcPr>
            <w:tcW w:w="118" w:type="dxa"/>
            <w:tcBorders>
              <w:top w:val="nil"/>
            </w:tcBorders>
            <w:vAlign w:val="top"/>
          </w:tcPr>
          <w:p w14:paraId="1B7247A0">
            <w:pPr>
              <w:rPr>
                <w:rFonts w:ascii="Arial"/>
                <w:sz w:val="21"/>
              </w:rPr>
            </w:pPr>
          </w:p>
        </w:tc>
      </w:tr>
    </w:tbl>
    <w:p w14:paraId="34DD06A2">
      <w:pPr>
        <w:pStyle w:val="2"/>
      </w:pPr>
    </w:p>
    <w:p w14:paraId="589A2E1A">
      <w:pPr>
        <w:sectPr>
          <w:footerReference r:id="rId81" w:type="default"/>
          <w:pgSz w:w="11906" w:h="16839"/>
          <w:pgMar w:top="400" w:right="1445" w:bottom="1257" w:left="1543" w:header="0" w:footer="1097" w:gutter="0"/>
          <w:cols w:space="720" w:num="1"/>
        </w:sectPr>
      </w:pPr>
    </w:p>
    <w:p w14:paraId="6310FEE1">
      <w:pPr>
        <w:spacing w:before="19"/>
      </w:pPr>
    </w:p>
    <w:p w14:paraId="76203F59">
      <w:pPr>
        <w:spacing w:before="19"/>
      </w:pPr>
    </w:p>
    <w:p w14:paraId="2840278A">
      <w:pPr>
        <w:spacing w:before="18"/>
      </w:pPr>
    </w:p>
    <w:p w14:paraId="35354876">
      <w:pPr>
        <w:spacing w:before="18"/>
      </w:pPr>
    </w:p>
    <w:tbl>
      <w:tblPr>
        <w:tblStyle w:val="5"/>
        <w:tblW w:w="89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113"/>
        <w:gridCol w:w="446"/>
        <w:gridCol w:w="1123"/>
        <w:gridCol w:w="3784"/>
        <w:gridCol w:w="2957"/>
        <w:gridCol w:w="118"/>
      </w:tblGrid>
      <w:tr w14:paraId="65706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371" w:type="dxa"/>
            <w:vMerge w:val="restart"/>
            <w:tcBorders>
              <w:bottom w:val="nil"/>
            </w:tcBorders>
            <w:vAlign w:val="top"/>
          </w:tcPr>
          <w:p w14:paraId="24BBAF8F">
            <w:pPr>
              <w:rPr>
                <w:rFonts w:ascii="Arial"/>
                <w:sz w:val="21"/>
              </w:rPr>
            </w:pPr>
          </w:p>
        </w:tc>
        <w:tc>
          <w:tcPr>
            <w:tcW w:w="113" w:type="dxa"/>
            <w:tcBorders>
              <w:bottom w:val="nil"/>
            </w:tcBorders>
            <w:vAlign w:val="top"/>
          </w:tcPr>
          <w:p w14:paraId="59220FDB">
            <w:pPr>
              <w:rPr>
                <w:rFonts w:ascii="Arial"/>
                <w:sz w:val="21"/>
              </w:rPr>
            </w:pPr>
          </w:p>
        </w:tc>
        <w:tc>
          <w:tcPr>
            <w:tcW w:w="446" w:type="dxa"/>
            <w:textDirection w:val="tbRlV"/>
            <w:vAlign w:val="top"/>
          </w:tcPr>
          <w:p w14:paraId="6CC1FF48">
            <w:pPr>
              <w:pStyle w:val="6"/>
              <w:spacing w:before="118" w:line="213" w:lineRule="auto"/>
              <w:ind w:left="318"/>
              <w:rPr>
                <w:sz w:val="20"/>
                <w:szCs w:val="20"/>
              </w:rPr>
            </w:pPr>
            <w:r>
              <w:rPr>
                <w:spacing w:val="8"/>
                <w:sz w:val="20"/>
                <w:szCs w:val="20"/>
              </w:rPr>
              <w:t>噪</w:t>
            </w:r>
            <w:r>
              <w:rPr>
                <w:spacing w:val="-38"/>
                <w:sz w:val="20"/>
                <w:szCs w:val="20"/>
              </w:rPr>
              <w:t xml:space="preserve"> </w:t>
            </w:r>
            <w:r>
              <w:rPr>
                <w:spacing w:val="8"/>
                <w:sz w:val="20"/>
                <w:szCs w:val="20"/>
              </w:rPr>
              <w:t>声</w:t>
            </w:r>
          </w:p>
        </w:tc>
        <w:tc>
          <w:tcPr>
            <w:tcW w:w="1123" w:type="dxa"/>
            <w:vAlign w:val="top"/>
          </w:tcPr>
          <w:p w14:paraId="51CDF2E7">
            <w:pPr>
              <w:pStyle w:val="6"/>
              <w:spacing w:before="180" w:line="228" w:lineRule="auto"/>
              <w:ind w:left="145"/>
              <w:rPr>
                <w:sz w:val="20"/>
                <w:szCs w:val="20"/>
              </w:rPr>
            </w:pPr>
            <w:r>
              <w:rPr>
                <w:spacing w:val="7"/>
                <w:sz w:val="20"/>
                <w:szCs w:val="20"/>
              </w:rPr>
              <w:t>运输车辆</w:t>
            </w:r>
          </w:p>
          <w:p w14:paraId="212A5F04">
            <w:pPr>
              <w:pStyle w:val="6"/>
              <w:spacing w:before="25" w:line="254" w:lineRule="auto"/>
              <w:ind w:left="253" w:right="142" w:hanging="98"/>
              <w:rPr>
                <w:sz w:val="20"/>
                <w:szCs w:val="20"/>
              </w:rPr>
            </w:pPr>
            <w:r>
              <w:rPr>
                <w:spacing w:val="4"/>
                <w:sz w:val="20"/>
                <w:szCs w:val="20"/>
              </w:rPr>
              <w:t>噪声和设</w:t>
            </w:r>
            <w:r>
              <w:rPr>
                <w:spacing w:val="2"/>
                <w:sz w:val="20"/>
                <w:szCs w:val="20"/>
              </w:rPr>
              <w:t xml:space="preserve"> </w:t>
            </w:r>
            <w:r>
              <w:rPr>
                <w:spacing w:val="6"/>
                <w:sz w:val="20"/>
                <w:szCs w:val="20"/>
              </w:rPr>
              <w:t>备噪声</w:t>
            </w:r>
          </w:p>
        </w:tc>
        <w:tc>
          <w:tcPr>
            <w:tcW w:w="3784" w:type="dxa"/>
            <w:vAlign w:val="top"/>
          </w:tcPr>
          <w:p w14:paraId="762D4E41">
            <w:pPr>
              <w:pStyle w:val="6"/>
              <w:spacing w:before="47" w:line="226" w:lineRule="auto"/>
              <w:ind w:left="111"/>
              <w:rPr>
                <w:sz w:val="20"/>
                <w:szCs w:val="20"/>
              </w:rPr>
            </w:pPr>
            <w:r>
              <w:rPr>
                <w:spacing w:val="9"/>
                <w:sz w:val="20"/>
                <w:szCs w:val="20"/>
              </w:rPr>
              <w:t>选用先进的低噪声设备，在高噪声设备</w:t>
            </w:r>
          </w:p>
          <w:p w14:paraId="2FE8521F">
            <w:pPr>
              <w:pStyle w:val="6"/>
              <w:spacing w:before="25" w:line="228" w:lineRule="auto"/>
              <w:ind w:right="11"/>
              <w:jc w:val="right"/>
              <w:rPr>
                <w:sz w:val="20"/>
                <w:szCs w:val="20"/>
              </w:rPr>
            </w:pPr>
            <w:r>
              <w:rPr>
                <w:spacing w:val="3"/>
                <w:sz w:val="20"/>
                <w:szCs w:val="20"/>
              </w:rPr>
              <w:t>周围适当设置屏障、减少噪声影响时间，</w:t>
            </w:r>
          </w:p>
          <w:p w14:paraId="775D018D">
            <w:pPr>
              <w:pStyle w:val="6"/>
              <w:spacing w:before="24" w:line="228" w:lineRule="auto"/>
              <w:ind w:left="218"/>
              <w:rPr>
                <w:sz w:val="20"/>
                <w:szCs w:val="20"/>
              </w:rPr>
            </w:pPr>
            <w:r>
              <w:rPr>
                <w:spacing w:val="9"/>
                <w:sz w:val="20"/>
                <w:szCs w:val="20"/>
              </w:rPr>
              <w:t>加强对噪声设备的维护保养等措施降</w:t>
            </w:r>
          </w:p>
          <w:p w14:paraId="468FB3B3">
            <w:pPr>
              <w:pStyle w:val="6"/>
              <w:spacing w:before="27" w:line="217" w:lineRule="auto"/>
              <w:ind w:left="1696"/>
              <w:rPr>
                <w:sz w:val="20"/>
                <w:szCs w:val="20"/>
              </w:rPr>
            </w:pPr>
            <w:r>
              <w:rPr>
                <w:spacing w:val="-5"/>
                <w:sz w:val="20"/>
                <w:szCs w:val="20"/>
              </w:rPr>
              <w:t>噪。</w:t>
            </w:r>
          </w:p>
        </w:tc>
        <w:tc>
          <w:tcPr>
            <w:tcW w:w="2957" w:type="dxa"/>
            <w:vAlign w:val="top"/>
          </w:tcPr>
          <w:p w14:paraId="3374CB35">
            <w:pPr>
              <w:spacing w:line="251" w:lineRule="auto"/>
              <w:rPr>
                <w:rFonts w:ascii="Arial"/>
                <w:sz w:val="21"/>
              </w:rPr>
            </w:pPr>
          </w:p>
          <w:p w14:paraId="05065332">
            <w:pPr>
              <w:pStyle w:val="6"/>
              <w:spacing w:before="65" w:line="228" w:lineRule="auto"/>
              <w:ind w:left="440"/>
              <w:rPr>
                <w:sz w:val="20"/>
                <w:szCs w:val="20"/>
              </w:rPr>
            </w:pPr>
            <w:r>
              <w:rPr>
                <w:spacing w:val="7"/>
                <w:sz w:val="20"/>
                <w:szCs w:val="20"/>
              </w:rPr>
              <w:t>《污水综合排放标准》</w:t>
            </w:r>
          </w:p>
          <w:p w14:paraId="2DD259A1">
            <w:pPr>
              <w:pStyle w:val="6"/>
              <w:spacing w:before="24" w:line="228" w:lineRule="auto"/>
              <w:ind w:left="265"/>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c>
          <w:tcPr>
            <w:tcW w:w="118" w:type="dxa"/>
            <w:tcBorders>
              <w:bottom w:val="nil"/>
            </w:tcBorders>
            <w:vAlign w:val="top"/>
          </w:tcPr>
          <w:p w14:paraId="7D65017F">
            <w:pPr>
              <w:rPr>
                <w:rFonts w:ascii="Arial"/>
                <w:sz w:val="21"/>
              </w:rPr>
            </w:pPr>
          </w:p>
        </w:tc>
      </w:tr>
      <w:tr w14:paraId="41793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371" w:type="dxa"/>
            <w:vMerge w:val="continue"/>
            <w:tcBorders>
              <w:top w:val="nil"/>
              <w:bottom w:val="nil"/>
            </w:tcBorders>
            <w:vAlign w:val="top"/>
          </w:tcPr>
          <w:p w14:paraId="5F567230">
            <w:pPr>
              <w:rPr>
                <w:rFonts w:ascii="Arial"/>
                <w:sz w:val="21"/>
              </w:rPr>
            </w:pPr>
          </w:p>
        </w:tc>
        <w:tc>
          <w:tcPr>
            <w:tcW w:w="113" w:type="dxa"/>
            <w:tcBorders>
              <w:top w:val="nil"/>
              <w:bottom w:val="nil"/>
            </w:tcBorders>
            <w:vAlign w:val="top"/>
          </w:tcPr>
          <w:p w14:paraId="0DE1D213">
            <w:pPr>
              <w:rPr>
                <w:rFonts w:ascii="Arial"/>
                <w:sz w:val="21"/>
              </w:rPr>
            </w:pPr>
          </w:p>
        </w:tc>
        <w:tc>
          <w:tcPr>
            <w:tcW w:w="446" w:type="dxa"/>
            <w:vMerge w:val="restart"/>
            <w:tcBorders>
              <w:bottom w:val="nil"/>
            </w:tcBorders>
            <w:textDirection w:val="tbRlV"/>
            <w:vAlign w:val="top"/>
          </w:tcPr>
          <w:p w14:paraId="1ADF6A0E">
            <w:pPr>
              <w:pStyle w:val="6"/>
              <w:spacing w:before="118" w:line="217" w:lineRule="auto"/>
              <w:ind w:left="1177"/>
              <w:rPr>
                <w:sz w:val="20"/>
                <w:szCs w:val="20"/>
              </w:rPr>
            </w:pPr>
            <w:r>
              <w:rPr>
                <w:spacing w:val="8"/>
                <w:sz w:val="20"/>
                <w:szCs w:val="20"/>
              </w:rPr>
              <w:t>固</w:t>
            </w:r>
            <w:r>
              <w:rPr>
                <w:spacing w:val="-38"/>
                <w:sz w:val="20"/>
                <w:szCs w:val="20"/>
              </w:rPr>
              <w:t xml:space="preserve"> </w:t>
            </w:r>
            <w:r>
              <w:rPr>
                <w:spacing w:val="8"/>
                <w:sz w:val="20"/>
                <w:szCs w:val="20"/>
              </w:rPr>
              <w:t>废</w:t>
            </w:r>
          </w:p>
        </w:tc>
        <w:tc>
          <w:tcPr>
            <w:tcW w:w="1123" w:type="dxa"/>
            <w:vAlign w:val="top"/>
          </w:tcPr>
          <w:p w14:paraId="51D3AE86">
            <w:pPr>
              <w:pStyle w:val="6"/>
              <w:spacing w:before="79" w:line="228" w:lineRule="auto"/>
              <w:ind w:left="147"/>
              <w:rPr>
                <w:sz w:val="20"/>
                <w:szCs w:val="20"/>
              </w:rPr>
            </w:pPr>
            <w:r>
              <w:rPr>
                <w:spacing w:val="6"/>
                <w:sz w:val="20"/>
                <w:szCs w:val="20"/>
              </w:rPr>
              <w:t>生活垃圾</w:t>
            </w:r>
          </w:p>
        </w:tc>
        <w:tc>
          <w:tcPr>
            <w:tcW w:w="3784" w:type="dxa"/>
            <w:vAlign w:val="top"/>
          </w:tcPr>
          <w:p w14:paraId="55A72F42">
            <w:pPr>
              <w:pStyle w:val="6"/>
              <w:spacing w:before="78" w:line="228" w:lineRule="auto"/>
              <w:ind w:left="114"/>
              <w:rPr>
                <w:sz w:val="20"/>
                <w:szCs w:val="20"/>
              </w:rPr>
            </w:pPr>
            <w:r>
              <w:rPr>
                <w:spacing w:val="8"/>
                <w:sz w:val="20"/>
                <w:szCs w:val="20"/>
              </w:rPr>
              <w:t>生活垃圾由环卫部门统一收集并处置。</w:t>
            </w:r>
          </w:p>
        </w:tc>
        <w:tc>
          <w:tcPr>
            <w:tcW w:w="2957" w:type="dxa"/>
            <w:vMerge w:val="restart"/>
            <w:tcBorders>
              <w:bottom w:val="nil"/>
            </w:tcBorders>
            <w:vAlign w:val="top"/>
          </w:tcPr>
          <w:p w14:paraId="59014BE4">
            <w:pPr>
              <w:spacing w:line="247" w:lineRule="auto"/>
              <w:rPr>
                <w:rFonts w:ascii="Arial"/>
                <w:sz w:val="21"/>
              </w:rPr>
            </w:pPr>
          </w:p>
          <w:p w14:paraId="58562CF5">
            <w:pPr>
              <w:spacing w:line="248" w:lineRule="auto"/>
              <w:rPr>
                <w:rFonts w:ascii="Arial"/>
                <w:sz w:val="21"/>
              </w:rPr>
            </w:pPr>
          </w:p>
          <w:p w14:paraId="4169BC79">
            <w:pPr>
              <w:spacing w:line="248" w:lineRule="auto"/>
              <w:rPr>
                <w:rFonts w:ascii="Arial"/>
                <w:sz w:val="21"/>
              </w:rPr>
            </w:pPr>
          </w:p>
          <w:p w14:paraId="43CE1B08">
            <w:pPr>
              <w:spacing w:line="248" w:lineRule="auto"/>
              <w:rPr>
                <w:rFonts w:ascii="Arial"/>
                <w:sz w:val="21"/>
              </w:rPr>
            </w:pPr>
          </w:p>
          <w:p w14:paraId="677F813A">
            <w:pPr>
              <w:spacing w:line="248" w:lineRule="auto"/>
              <w:rPr>
                <w:rFonts w:ascii="Arial"/>
                <w:sz w:val="21"/>
              </w:rPr>
            </w:pPr>
          </w:p>
          <w:p w14:paraId="7F9CFB6F">
            <w:pPr>
              <w:pStyle w:val="6"/>
              <w:spacing w:before="65" w:line="227" w:lineRule="auto"/>
              <w:ind w:left="435"/>
              <w:rPr>
                <w:sz w:val="20"/>
                <w:szCs w:val="20"/>
              </w:rPr>
            </w:pPr>
            <w:r>
              <w:rPr>
                <w:spacing w:val="9"/>
                <w:sz w:val="20"/>
                <w:szCs w:val="20"/>
              </w:rPr>
              <w:t>合理处置，不随意丢弃</w:t>
            </w:r>
          </w:p>
        </w:tc>
        <w:tc>
          <w:tcPr>
            <w:tcW w:w="118" w:type="dxa"/>
            <w:tcBorders>
              <w:top w:val="nil"/>
              <w:bottom w:val="nil"/>
            </w:tcBorders>
            <w:vAlign w:val="top"/>
          </w:tcPr>
          <w:p w14:paraId="2AEDC858">
            <w:pPr>
              <w:rPr>
                <w:rFonts w:ascii="Arial"/>
                <w:sz w:val="21"/>
              </w:rPr>
            </w:pPr>
          </w:p>
        </w:tc>
      </w:tr>
      <w:tr w14:paraId="58D67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71" w:type="dxa"/>
            <w:vMerge w:val="continue"/>
            <w:tcBorders>
              <w:top w:val="nil"/>
              <w:bottom w:val="nil"/>
            </w:tcBorders>
            <w:vAlign w:val="top"/>
          </w:tcPr>
          <w:p w14:paraId="62DFA851">
            <w:pPr>
              <w:rPr>
                <w:rFonts w:ascii="Arial"/>
                <w:sz w:val="21"/>
              </w:rPr>
            </w:pPr>
          </w:p>
        </w:tc>
        <w:tc>
          <w:tcPr>
            <w:tcW w:w="113" w:type="dxa"/>
            <w:tcBorders>
              <w:top w:val="nil"/>
              <w:bottom w:val="nil"/>
            </w:tcBorders>
            <w:vAlign w:val="top"/>
          </w:tcPr>
          <w:p w14:paraId="1CD27FF6">
            <w:pPr>
              <w:rPr>
                <w:rFonts w:ascii="Arial"/>
                <w:sz w:val="21"/>
              </w:rPr>
            </w:pPr>
          </w:p>
        </w:tc>
        <w:tc>
          <w:tcPr>
            <w:tcW w:w="446" w:type="dxa"/>
            <w:vMerge w:val="continue"/>
            <w:tcBorders>
              <w:top w:val="nil"/>
              <w:bottom w:val="nil"/>
            </w:tcBorders>
            <w:textDirection w:val="tbRlV"/>
            <w:vAlign w:val="top"/>
          </w:tcPr>
          <w:p w14:paraId="1DA9D3BE">
            <w:pPr>
              <w:rPr>
                <w:rFonts w:ascii="Arial"/>
                <w:sz w:val="21"/>
              </w:rPr>
            </w:pPr>
          </w:p>
        </w:tc>
        <w:tc>
          <w:tcPr>
            <w:tcW w:w="1123" w:type="dxa"/>
            <w:vAlign w:val="top"/>
          </w:tcPr>
          <w:p w14:paraId="2F08D603">
            <w:pPr>
              <w:pStyle w:val="6"/>
              <w:spacing w:before="45" w:line="228" w:lineRule="auto"/>
              <w:ind w:left="147"/>
              <w:rPr>
                <w:sz w:val="20"/>
                <w:szCs w:val="20"/>
              </w:rPr>
            </w:pPr>
            <w:r>
              <w:rPr>
                <w:spacing w:val="6"/>
                <w:sz w:val="20"/>
                <w:szCs w:val="20"/>
              </w:rPr>
              <w:t>车辆废弃</w:t>
            </w:r>
          </w:p>
          <w:p w14:paraId="0AFD5873">
            <w:pPr>
              <w:pStyle w:val="6"/>
              <w:spacing w:before="25" w:line="191" w:lineRule="auto"/>
              <w:ind w:left="355"/>
              <w:rPr>
                <w:sz w:val="20"/>
                <w:szCs w:val="20"/>
              </w:rPr>
            </w:pPr>
            <w:r>
              <w:rPr>
                <w:spacing w:val="4"/>
                <w:sz w:val="20"/>
                <w:szCs w:val="20"/>
              </w:rPr>
              <w:t>零件</w:t>
            </w:r>
          </w:p>
        </w:tc>
        <w:tc>
          <w:tcPr>
            <w:tcW w:w="3784" w:type="dxa"/>
            <w:vAlign w:val="top"/>
          </w:tcPr>
          <w:p w14:paraId="53A24C2B">
            <w:pPr>
              <w:pStyle w:val="6"/>
              <w:spacing w:before="179" w:line="224" w:lineRule="auto"/>
              <w:ind w:left="114"/>
              <w:rPr>
                <w:sz w:val="20"/>
                <w:szCs w:val="20"/>
              </w:rPr>
            </w:pPr>
            <w:r>
              <w:rPr>
                <w:spacing w:val="8"/>
                <w:sz w:val="20"/>
                <w:szCs w:val="20"/>
              </w:rPr>
              <w:t>车辆废弃零件经收集后外售综合利用。</w:t>
            </w:r>
          </w:p>
        </w:tc>
        <w:tc>
          <w:tcPr>
            <w:tcW w:w="2957" w:type="dxa"/>
            <w:vMerge w:val="continue"/>
            <w:tcBorders>
              <w:top w:val="nil"/>
              <w:bottom w:val="nil"/>
            </w:tcBorders>
            <w:vAlign w:val="top"/>
          </w:tcPr>
          <w:p w14:paraId="764344D0">
            <w:pPr>
              <w:rPr>
                <w:rFonts w:ascii="Arial"/>
                <w:sz w:val="21"/>
              </w:rPr>
            </w:pPr>
          </w:p>
        </w:tc>
        <w:tc>
          <w:tcPr>
            <w:tcW w:w="118" w:type="dxa"/>
            <w:tcBorders>
              <w:top w:val="nil"/>
              <w:bottom w:val="nil"/>
            </w:tcBorders>
            <w:vAlign w:val="top"/>
          </w:tcPr>
          <w:p w14:paraId="69C67F65">
            <w:pPr>
              <w:rPr>
                <w:rFonts w:ascii="Arial"/>
                <w:sz w:val="21"/>
              </w:rPr>
            </w:pPr>
          </w:p>
        </w:tc>
      </w:tr>
      <w:tr w14:paraId="4AE1D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371" w:type="dxa"/>
            <w:vMerge w:val="continue"/>
            <w:tcBorders>
              <w:top w:val="nil"/>
              <w:bottom w:val="nil"/>
            </w:tcBorders>
            <w:vAlign w:val="top"/>
          </w:tcPr>
          <w:p w14:paraId="03991DB1">
            <w:pPr>
              <w:rPr>
                <w:rFonts w:ascii="Arial"/>
                <w:sz w:val="21"/>
              </w:rPr>
            </w:pPr>
          </w:p>
        </w:tc>
        <w:tc>
          <w:tcPr>
            <w:tcW w:w="113" w:type="dxa"/>
            <w:tcBorders>
              <w:top w:val="nil"/>
              <w:bottom w:val="nil"/>
            </w:tcBorders>
            <w:vAlign w:val="top"/>
          </w:tcPr>
          <w:p w14:paraId="2CDDA24E">
            <w:pPr>
              <w:rPr>
                <w:rFonts w:ascii="Arial"/>
                <w:sz w:val="21"/>
              </w:rPr>
            </w:pPr>
          </w:p>
        </w:tc>
        <w:tc>
          <w:tcPr>
            <w:tcW w:w="446" w:type="dxa"/>
            <w:vMerge w:val="continue"/>
            <w:tcBorders>
              <w:top w:val="nil"/>
            </w:tcBorders>
            <w:textDirection w:val="tbRlV"/>
            <w:vAlign w:val="top"/>
          </w:tcPr>
          <w:p w14:paraId="35C288D4">
            <w:pPr>
              <w:rPr>
                <w:rFonts w:ascii="Arial"/>
                <w:sz w:val="21"/>
              </w:rPr>
            </w:pPr>
          </w:p>
        </w:tc>
        <w:tc>
          <w:tcPr>
            <w:tcW w:w="1123" w:type="dxa"/>
            <w:vAlign w:val="top"/>
          </w:tcPr>
          <w:p w14:paraId="0A77BCB6">
            <w:pPr>
              <w:pStyle w:val="6"/>
              <w:spacing w:before="60" w:line="227" w:lineRule="auto"/>
              <w:ind w:left="145"/>
              <w:rPr>
                <w:sz w:val="20"/>
                <w:szCs w:val="20"/>
              </w:rPr>
            </w:pPr>
            <w:r>
              <w:rPr>
                <w:spacing w:val="5"/>
                <w:sz w:val="20"/>
                <w:szCs w:val="20"/>
              </w:rPr>
              <w:t>废机油、</w:t>
            </w:r>
          </w:p>
          <w:p w14:paraId="2892DC4F">
            <w:pPr>
              <w:pStyle w:val="6"/>
              <w:spacing w:before="27" w:line="226" w:lineRule="auto"/>
              <w:ind w:left="145"/>
              <w:rPr>
                <w:sz w:val="20"/>
                <w:szCs w:val="20"/>
              </w:rPr>
            </w:pPr>
            <w:r>
              <w:rPr>
                <w:spacing w:val="5"/>
                <w:sz w:val="20"/>
                <w:szCs w:val="20"/>
              </w:rPr>
              <w:t>废手套、</w:t>
            </w:r>
          </w:p>
          <w:p w14:paraId="757F34A8">
            <w:pPr>
              <w:pStyle w:val="6"/>
              <w:spacing w:before="25" w:line="228" w:lineRule="auto"/>
              <w:ind w:left="145"/>
              <w:rPr>
                <w:sz w:val="20"/>
                <w:szCs w:val="20"/>
              </w:rPr>
            </w:pPr>
            <w:r>
              <w:rPr>
                <w:spacing w:val="5"/>
                <w:sz w:val="20"/>
                <w:szCs w:val="20"/>
              </w:rPr>
              <w:t>废油桶、</w:t>
            </w:r>
          </w:p>
          <w:p w14:paraId="5F17AC96">
            <w:pPr>
              <w:pStyle w:val="6"/>
              <w:spacing w:before="27" w:line="251" w:lineRule="auto"/>
              <w:ind w:left="112" w:right="38" w:firstLine="33"/>
              <w:jc w:val="both"/>
              <w:rPr>
                <w:sz w:val="20"/>
                <w:szCs w:val="20"/>
              </w:rPr>
            </w:pPr>
            <w:r>
              <w:rPr>
                <w:spacing w:val="7"/>
                <w:sz w:val="20"/>
                <w:szCs w:val="20"/>
              </w:rPr>
              <w:t>含油废抹</w:t>
            </w:r>
            <w:r>
              <w:rPr>
                <w:sz w:val="20"/>
                <w:szCs w:val="20"/>
              </w:rPr>
              <w:t xml:space="preserve">  </w:t>
            </w:r>
            <w:r>
              <w:rPr>
                <w:spacing w:val="-7"/>
                <w:sz w:val="20"/>
                <w:szCs w:val="20"/>
              </w:rPr>
              <w:t>布、污泥、</w:t>
            </w:r>
            <w:r>
              <w:rPr>
                <w:spacing w:val="1"/>
                <w:sz w:val="20"/>
                <w:szCs w:val="20"/>
              </w:rPr>
              <w:t xml:space="preserve"> </w:t>
            </w:r>
            <w:r>
              <w:rPr>
                <w:spacing w:val="15"/>
                <w:sz w:val="20"/>
                <w:szCs w:val="20"/>
              </w:rPr>
              <w:t>沉渣和浮</w:t>
            </w:r>
          </w:p>
          <w:p w14:paraId="6F16E753">
            <w:pPr>
              <w:pStyle w:val="6"/>
              <w:spacing w:before="1" w:line="215" w:lineRule="auto"/>
              <w:ind w:left="460"/>
              <w:rPr>
                <w:sz w:val="20"/>
                <w:szCs w:val="20"/>
              </w:rPr>
            </w:pPr>
            <w:r>
              <w:rPr>
                <w:sz w:val="20"/>
                <w:szCs w:val="20"/>
              </w:rPr>
              <w:t>渣</w:t>
            </w:r>
          </w:p>
        </w:tc>
        <w:tc>
          <w:tcPr>
            <w:tcW w:w="3784" w:type="dxa"/>
            <w:vAlign w:val="top"/>
          </w:tcPr>
          <w:p w14:paraId="55332357">
            <w:pPr>
              <w:spacing w:line="268" w:lineRule="auto"/>
              <w:rPr>
                <w:rFonts w:ascii="Arial"/>
                <w:sz w:val="21"/>
              </w:rPr>
            </w:pPr>
          </w:p>
          <w:p w14:paraId="64F79741">
            <w:pPr>
              <w:spacing w:line="269" w:lineRule="auto"/>
              <w:rPr>
                <w:rFonts w:ascii="Arial"/>
                <w:sz w:val="21"/>
              </w:rPr>
            </w:pPr>
          </w:p>
          <w:p w14:paraId="41275F47">
            <w:pPr>
              <w:pStyle w:val="6"/>
              <w:spacing w:before="65" w:line="226" w:lineRule="auto"/>
              <w:ind w:left="114"/>
              <w:rPr>
                <w:sz w:val="20"/>
                <w:szCs w:val="20"/>
              </w:rPr>
            </w:pPr>
            <w:r>
              <w:rPr>
                <w:spacing w:val="9"/>
                <w:sz w:val="20"/>
                <w:szCs w:val="20"/>
              </w:rPr>
              <w:t>经专门的收集桶收集后放置在危废暂存</w:t>
            </w:r>
          </w:p>
          <w:p w14:paraId="1B26069C">
            <w:pPr>
              <w:pStyle w:val="6"/>
              <w:spacing w:before="25" w:line="228" w:lineRule="auto"/>
              <w:ind w:left="128"/>
              <w:rPr>
                <w:sz w:val="20"/>
                <w:szCs w:val="20"/>
              </w:rPr>
            </w:pPr>
            <w:r>
              <w:rPr>
                <w:spacing w:val="8"/>
                <w:sz w:val="20"/>
                <w:szCs w:val="20"/>
              </w:rPr>
              <w:t>间中暂存，按危险废物管理有关规定送</w:t>
            </w:r>
          </w:p>
          <w:p w14:paraId="0B1D9B44">
            <w:pPr>
              <w:pStyle w:val="6"/>
              <w:spacing w:before="27" w:line="226" w:lineRule="auto"/>
              <w:ind w:left="639"/>
              <w:rPr>
                <w:sz w:val="20"/>
                <w:szCs w:val="20"/>
              </w:rPr>
            </w:pPr>
            <w:r>
              <w:rPr>
                <w:spacing w:val="8"/>
                <w:sz w:val="20"/>
                <w:szCs w:val="20"/>
              </w:rPr>
              <w:t>至有资质的单位进行处理。</w:t>
            </w:r>
          </w:p>
        </w:tc>
        <w:tc>
          <w:tcPr>
            <w:tcW w:w="2957" w:type="dxa"/>
            <w:vMerge w:val="continue"/>
            <w:tcBorders>
              <w:top w:val="nil"/>
            </w:tcBorders>
            <w:vAlign w:val="top"/>
          </w:tcPr>
          <w:p w14:paraId="30CA8577">
            <w:pPr>
              <w:rPr>
                <w:rFonts w:ascii="Arial"/>
                <w:sz w:val="21"/>
              </w:rPr>
            </w:pPr>
          </w:p>
        </w:tc>
        <w:tc>
          <w:tcPr>
            <w:tcW w:w="118" w:type="dxa"/>
            <w:tcBorders>
              <w:top w:val="nil"/>
              <w:bottom w:val="nil"/>
            </w:tcBorders>
            <w:vAlign w:val="top"/>
          </w:tcPr>
          <w:p w14:paraId="6235576D">
            <w:pPr>
              <w:rPr>
                <w:rFonts w:ascii="Arial"/>
                <w:sz w:val="21"/>
              </w:rPr>
            </w:pPr>
          </w:p>
        </w:tc>
      </w:tr>
      <w:tr w14:paraId="27C83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371" w:type="dxa"/>
            <w:vMerge w:val="continue"/>
            <w:tcBorders>
              <w:top w:val="nil"/>
              <w:bottom w:val="nil"/>
            </w:tcBorders>
            <w:vAlign w:val="top"/>
          </w:tcPr>
          <w:p w14:paraId="07A6DE4E">
            <w:pPr>
              <w:rPr>
                <w:rFonts w:ascii="Arial"/>
                <w:sz w:val="21"/>
              </w:rPr>
            </w:pPr>
          </w:p>
        </w:tc>
        <w:tc>
          <w:tcPr>
            <w:tcW w:w="113" w:type="dxa"/>
            <w:tcBorders>
              <w:top w:val="nil"/>
              <w:bottom w:val="nil"/>
            </w:tcBorders>
            <w:vAlign w:val="top"/>
          </w:tcPr>
          <w:p w14:paraId="6E8DC7C4">
            <w:pPr>
              <w:rPr>
                <w:rFonts w:ascii="Arial"/>
                <w:sz w:val="21"/>
              </w:rPr>
            </w:pPr>
          </w:p>
        </w:tc>
        <w:tc>
          <w:tcPr>
            <w:tcW w:w="446" w:type="dxa"/>
            <w:textDirection w:val="tbRlV"/>
            <w:vAlign w:val="top"/>
          </w:tcPr>
          <w:p w14:paraId="7C7CD8BA">
            <w:pPr>
              <w:pStyle w:val="6"/>
              <w:spacing w:before="118" w:line="216" w:lineRule="auto"/>
              <w:ind w:left="713"/>
              <w:rPr>
                <w:sz w:val="20"/>
                <w:szCs w:val="20"/>
              </w:rPr>
            </w:pPr>
            <w:r>
              <w:rPr>
                <w:spacing w:val="8"/>
                <w:sz w:val="20"/>
                <w:szCs w:val="20"/>
              </w:rPr>
              <w:t>防</w:t>
            </w:r>
            <w:r>
              <w:rPr>
                <w:spacing w:val="-37"/>
                <w:sz w:val="20"/>
                <w:szCs w:val="20"/>
              </w:rPr>
              <w:t xml:space="preserve"> </w:t>
            </w:r>
            <w:r>
              <w:rPr>
                <w:spacing w:val="8"/>
                <w:sz w:val="20"/>
                <w:szCs w:val="20"/>
              </w:rPr>
              <w:t>渗</w:t>
            </w:r>
          </w:p>
        </w:tc>
        <w:tc>
          <w:tcPr>
            <w:tcW w:w="1123" w:type="dxa"/>
            <w:vAlign w:val="top"/>
          </w:tcPr>
          <w:p w14:paraId="3692A3FA">
            <w:pPr>
              <w:spacing w:line="260" w:lineRule="auto"/>
              <w:rPr>
                <w:rFonts w:ascii="Arial"/>
                <w:sz w:val="21"/>
              </w:rPr>
            </w:pPr>
          </w:p>
          <w:p w14:paraId="0F648C84">
            <w:pPr>
              <w:spacing w:line="260" w:lineRule="auto"/>
              <w:rPr>
                <w:rFonts w:ascii="Arial"/>
                <w:sz w:val="21"/>
              </w:rPr>
            </w:pPr>
          </w:p>
          <w:p w14:paraId="2A743748">
            <w:pPr>
              <w:spacing w:line="261" w:lineRule="auto"/>
              <w:rPr>
                <w:rFonts w:ascii="Arial"/>
                <w:sz w:val="21"/>
              </w:rPr>
            </w:pPr>
          </w:p>
          <w:p w14:paraId="2CF6ADFC">
            <w:pPr>
              <w:pStyle w:val="6"/>
              <w:spacing w:before="65" w:line="228" w:lineRule="auto"/>
              <w:ind w:left="145"/>
              <w:rPr>
                <w:sz w:val="20"/>
                <w:szCs w:val="20"/>
              </w:rPr>
            </w:pPr>
            <w:r>
              <w:rPr>
                <w:spacing w:val="7"/>
                <w:sz w:val="20"/>
                <w:szCs w:val="20"/>
              </w:rPr>
              <w:t>场区防渗</w:t>
            </w:r>
          </w:p>
        </w:tc>
        <w:tc>
          <w:tcPr>
            <w:tcW w:w="6741" w:type="dxa"/>
            <w:gridSpan w:val="2"/>
            <w:vAlign w:val="top"/>
          </w:tcPr>
          <w:p w14:paraId="452638BA">
            <w:pPr>
              <w:pStyle w:val="6"/>
              <w:spacing w:before="34" w:line="227" w:lineRule="auto"/>
              <w:ind w:left="121"/>
              <w:rPr>
                <w:sz w:val="20"/>
                <w:szCs w:val="20"/>
              </w:rPr>
            </w:pPr>
            <w:r>
              <w:rPr>
                <w:spacing w:val="10"/>
                <w:sz w:val="20"/>
                <w:szCs w:val="20"/>
              </w:rPr>
              <w:t>对场区采取分区防渗。停车区、候检区、维修车</w:t>
            </w:r>
            <w:r>
              <w:rPr>
                <w:spacing w:val="9"/>
                <w:sz w:val="20"/>
                <w:szCs w:val="20"/>
              </w:rPr>
              <w:t>间、洗车车间、污水处</w:t>
            </w:r>
          </w:p>
          <w:p w14:paraId="594647E7">
            <w:pPr>
              <w:pStyle w:val="6"/>
              <w:spacing w:before="24" w:line="228" w:lineRule="auto"/>
              <w:ind w:left="124"/>
              <w:rPr>
                <w:sz w:val="20"/>
                <w:szCs w:val="20"/>
              </w:rPr>
            </w:pPr>
            <w:r>
              <w:rPr>
                <w:spacing w:val="9"/>
                <w:sz w:val="20"/>
                <w:szCs w:val="20"/>
              </w:rPr>
              <w:t>理间、危废暂存间、事故应急池、初期雨水池以及场区道路均按照《危</w:t>
            </w:r>
          </w:p>
          <w:p w14:paraId="1359DB00">
            <w:pPr>
              <w:pStyle w:val="6"/>
              <w:spacing w:before="24" w:line="228" w:lineRule="auto"/>
              <w:ind w:left="124"/>
              <w:rPr>
                <w:sz w:val="20"/>
                <w:szCs w:val="20"/>
              </w:rPr>
            </w:pPr>
            <w:r>
              <w:rPr>
                <w:spacing w:val="7"/>
                <w:sz w:val="20"/>
                <w:szCs w:val="20"/>
              </w:rPr>
              <w:t>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18597-2023</w:t>
            </w:r>
            <w:r>
              <w:rPr>
                <w:spacing w:val="7"/>
                <w:sz w:val="20"/>
                <w:szCs w:val="20"/>
              </w:rPr>
              <w:t>）、《化工园区危险品运输</w:t>
            </w:r>
          </w:p>
          <w:p w14:paraId="608368A5">
            <w:pPr>
              <w:pStyle w:val="6"/>
              <w:spacing w:before="26" w:line="228" w:lineRule="auto"/>
              <w:ind w:left="123"/>
              <w:rPr>
                <w:sz w:val="20"/>
                <w:szCs w:val="20"/>
              </w:rPr>
            </w:pPr>
            <w:r>
              <w:rPr>
                <w:spacing w:val="8"/>
                <w:sz w:val="20"/>
                <w:szCs w:val="20"/>
              </w:rPr>
              <w:t>车辆停车场建设标准》（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CPCIF</w:t>
            </w:r>
            <w:r>
              <w:rPr>
                <w:rFonts w:ascii="Times New Roman" w:hAnsi="Times New Roman" w:eastAsia="Times New Roman" w:cs="Times New Roman"/>
                <w:spacing w:val="8"/>
                <w:sz w:val="20"/>
                <w:szCs w:val="20"/>
              </w:rPr>
              <w:t>0050-2020</w:t>
            </w:r>
            <w:r>
              <w:rPr>
                <w:spacing w:val="8"/>
                <w:sz w:val="20"/>
                <w:szCs w:val="20"/>
              </w:rPr>
              <w:t>）相关要求进行重点防渗，</w:t>
            </w:r>
          </w:p>
          <w:p w14:paraId="1FE38C52">
            <w:pPr>
              <w:pStyle w:val="6"/>
              <w:spacing w:before="25" w:line="225" w:lineRule="auto"/>
              <w:ind w:left="155"/>
              <w:rPr>
                <w:sz w:val="20"/>
                <w:szCs w:val="20"/>
              </w:rPr>
            </w:pPr>
            <w:r>
              <w:rPr>
                <w:spacing w:val="9"/>
                <w:sz w:val="20"/>
                <w:szCs w:val="20"/>
              </w:rPr>
              <w:t>地面采用至少</w:t>
            </w:r>
            <w:r>
              <w:rPr>
                <w:spacing w:val="-29"/>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9"/>
                <w:sz w:val="20"/>
                <w:szCs w:val="20"/>
              </w:rPr>
              <w:t>厚</w:t>
            </w:r>
            <w:r>
              <w:rPr>
                <w:spacing w:val="-44"/>
                <w:sz w:val="20"/>
                <w:szCs w:val="20"/>
              </w:rPr>
              <w:t xml:space="preserve"> </w:t>
            </w:r>
            <w:r>
              <w:rPr>
                <w:rFonts w:ascii="Times New Roman" w:hAnsi="Times New Roman" w:eastAsia="Times New Roman" w:cs="Times New Roman"/>
                <w:sz w:val="20"/>
                <w:szCs w:val="20"/>
              </w:rPr>
              <w:t>HDPE</w:t>
            </w:r>
            <w:r>
              <w:rPr>
                <w:rFonts w:ascii="Times New Roman" w:hAnsi="Times New Roman" w:eastAsia="Times New Roman" w:cs="Times New Roman"/>
                <w:spacing w:val="16"/>
                <w:sz w:val="20"/>
                <w:szCs w:val="20"/>
              </w:rPr>
              <w:t xml:space="preserve"> </w:t>
            </w:r>
            <w:r>
              <w:rPr>
                <w:spacing w:val="9"/>
                <w:sz w:val="20"/>
                <w:szCs w:val="20"/>
              </w:rPr>
              <w:t>或其他人工材料进行防渗处理，渗透系数</w:t>
            </w:r>
          </w:p>
          <w:p w14:paraId="020327CB">
            <w:pPr>
              <w:pStyle w:val="6"/>
              <w:spacing w:before="29" w:line="227" w:lineRule="auto"/>
              <w:ind w:left="115"/>
              <w:rPr>
                <w:sz w:val="20"/>
                <w:szCs w:val="20"/>
              </w:rPr>
            </w:pPr>
            <w:r>
              <w:rPr>
                <w:spacing w:val="6"/>
                <w:sz w:val="20"/>
                <w:szCs w:val="20"/>
              </w:rPr>
              <w:t>不大于</w:t>
            </w:r>
            <w:r>
              <w:rPr>
                <w:spacing w:val="-23"/>
                <w:sz w:val="20"/>
                <w:szCs w:val="20"/>
              </w:rPr>
              <w:t xml:space="preserve"> </w:t>
            </w:r>
            <w:r>
              <w:rPr>
                <w:rFonts w:ascii="Times New Roman" w:hAnsi="Times New Roman" w:eastAsia="Times New Roman" w:cs="Times New Roman"/>
                <w:spacing w:val="6"/>
                <w:sz w:val="20"/>
                <w:szCs w:val="20"/>
              </w:rPr>
              <w:t>1.0</w:t>
            </w:r>
            <w:r>
              <w:rPr>
                <w:spacing w:val="6"/>
                <w:sz w:val="20"/>
                <w:szCs w:val="20"/>
              </w:rPr>
              <w:t>×</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6"/>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/s</w:t>
            </w:r>
            <w:r>
              <w:rPr>
                <w:rFonts w:ascii="Times New Roman" w:hAnsi="Times New Roman" w:eastAsia="Times New Roman" w:cs="Times New Roman"/>
                <w:spacing w:val="-21"/>
                <w:sz w:val="20"/>
                <w:szCs w:val="20"/>
              </w:rPr>
              <w:t xml:space="preserve"> </w:t>
            </w:r>
            <w:r>
              <w:rPr>
                <w:spacing w:val="6"/>
                <w:sz w:val="20"/>
                <w:szCs w:val="20"/>
              </w:rPr>
              <w:t>。消防水池、消防水泵房、综合</w:t>
            </w:r>
            <w:r>
              <w:rPr>
                <w:spacing w:val="5"/>
                <w:sz w:val="20"/>
                <w:szCs w:val="20"/>
              </w:rPr>
              <w:t>管理用房和餐厅为</w:t>
            </w:r>
          </w:p>
          <w:p w14:paraId="1795A5D1">
            <w:pPr>
              <w:pStyle w:val="6"/>
              <w:spacing w:before="26" w:line="216" w:lineRule="auto"/>
              <w:ind w:left="545"/>
              <w:rPr>
                <w:sz w:val="20"/>
                <w:szCs w:val="20"/>
              </w:rPr>
            </w:pPr>
            <w:r>
              <w:rPr>
                <w:spacing w:val="9"/>
                <w:sz w:val="20"/>
                <w:szCs w:val="20"/>
              </w:rPr>
              <w:t>一般防渗区，没有特别的防渗要求，但应采用水泥硬化地面。</w:t>
            </w:r>
          </w:p>
        </w:tc>
        <w:tc>
          <w:tcPr>
            <w:tcW w:w="118" w:type="dxa"/>
            <w:tcBorders>
              <w:top w:val="nil"/>
              <w:bottom w:val="nil"/>
            </w:tcBorders>
            <w:vAlign w:val="top"/>
          </w:tcPr>
          <w:p w14:paraId="424CBEB2">
            <w:pPr>
              <w:rPr>
                <w:rFonts w:ascii="Arial"/>
                <w:sz w:val="21"/>
              </w:rPr>
            </w:pPr>
          </w:p>
        </w:tc>
      </w:tr>
      <w:tr w14:paraId="2AE07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4" w:hRule="atLeast"/>
        </w:trPr>
        <w:tc>
          <w:tcPr>
            <w:tcW w:w="371" w:type="dxa"/>
            <w:vMerge w:val="continue"/>
            <w:tcBorders>
              <w:top w:val="nil"/>
            </w:tcBorders>
            <w:vAlign w:val="top"/>
          </w:tcPr>
          <w:p w14:paraId="69BF1177">
            <w:pPr>
              <w:rPr>
                <w:rFonts w:ascii="Arial"/>
                <w:sz w:val="21"/>
              </w:rPr>
            </w:pPr>
          </w:p>
        </w:tc>
        <w:tc>
          <w:tcPr>
            <w:tcW w:w="8541" w:type="dxa"/>
            <w:gridSpan w:val="6"/>
            <w:vAlign w:val="top"/>
          </w:tcPr>
          <w:p w14:paraId="30EE9362">
            <w:pPr>
              <w:rPr>
                <w:rFonts w:ascii="Arial"/>
                <w:sz w:val="21"/>
              </w:rPr>
            </w:pPr>
          </w:p>
        </w:tc>
      </w:tr>
    </w:tbl>
    <w:p w14:paraId="5F26AE41">
      <w:pPr>
        <w:pStyle w:val="2"/>
      </w:pPr>
    </w:p>
    <w:p w14:paraId="123F0B79">
      <w:pPr>
        <w:sectPr>
          <w:footerReference r:id="rId82" w:type="default"/>
          <w:pgSz w:w="11906" w:h="16839"/>
          <w:pgMar w:top="400" w:right="1445" w:bottom="1259" w:left="1543" w:header="0" w:footer="1097" w:gutter="0"/>
          <w:cols w:space="720" w:num="1"/>
        </w:sectPr>
      </w:pPr>
    </w:p>
    <w:p w14:paraId="2ABF5B67">
      <w:pPr>
        <w:pStyle w:val="2"/>
        <w:spacing w:line="245" w:lineRule="auto"/>
      </w:pPr>
    </w:p>
    <w:p w14:paraId="63DC83CA">
      <w:pPr>
        <w:pStyle w:val="2"/>
        <w:spacing w:line="245" w:lineRule="auto"/>
      </w:pPr>
    </w:p>
    <w:p w14:paraId="4F2A2746">
      <w:pPr>
        <w:pStyle w:val="2"/>
        <w:spacing w:line="246" w:lineRule="auto"/>
      </w:pPr>
    </w:p>
    <w:p w14:paraId="1E3B6E64">
      <w:pPr>
        <w:pStyle w:val="2"/>
        <w:spacing w:line="246" w:lineRule="auto"/>
      </w:pPr>
    </w:p>
    <w:p w14:paraId="47618C34">
      <w:pPr>
        <w:spacing w:before="101" w:line="226" w:lineRule="auto"/>
        <w:ind w:left="2046"/>
        <w:outlineLvl w:val="0"/>
        <w:rPr>
          <w:rFonts w:ascii="黑体" w:hAnsi="黑体" w:eastAsia="黑体" w:cs="黑体"/>
          <w:sz w:val="31"/>
          <w:szCs w:val="31"/>
        </w:rPr>
      </w:pPr>
      <w:r>
        <w:rPr>
          <w:rFonts w:ascii="黑体" w:hAnsi="黑体" w:eastAsia="黑体" w:cs="黑体"/>
          <w:spacing w:val="8"/>
          <w:sz w:val="31"/>
          <w:szCs w:val="31"/>
        </w:rPr>
        <w:t>五、环境保护措施监督检查清单</w:t>
      </w:r>
    </w:p>
    <w:p w14:paraId="2C3E8C5E">
      <w:pPr>
        <w:spacing w:line="194"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516"/>
        <w:gridCol w:w="907"/>
        <w:gridCol w:w="976"/>
        <w:gridCol w:w="2912"/>
        <w:gridCol w:w="2649"/>
      </w:tblGrid>
      <w:tr w14:paraId="5D6E3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1082" w:type="dxa"/>
            <w:gridSpan w:val="2"/>
            <w:tcBorders>
              <w:tl2br w:val="single" w:color="000000" w:sz="4" w:space="0"/>
            </w:tcBorders>
            <w:vAlign w:val="top"/>
          </w:tcPr>
          <w:p w14:paraId="747B9BC6">
            <w:pPr>
              <w:pStyle w:val="6"/>
              <w:spacing w:before="35" w:line="220" w:lineRule="auto"/>
              <w:ind w:left="565"/>
            </w:pPr>
            <w:r>
              <w:rPr>
                <w:spacing w:val="-17"/>
              </w:rPr>
              <w:t>内容</w:t>
            </w:r>
          </w:p>
          <w:p w14:paraId="12ED69E5">
            <w:pPr>
              <w:spacing w:line="281" w:lineRule="auto"/>
              <w:rPr>
                <w:rFonts w:ascii="Arial"/>
                <w:sz w:val="21"/>
              </w:rPr>
            </w:pPr>
          </w:p>
          <w:p w14:paraId="4429FAB4">
            <w:pPr>
              <w:spacing w:line="281" w:lineRule="auto"/>
              <w:rPr>
                <w:rFonts w:ascii="Arial"/>
                <w:sz w:val="21"/>
              </w:rPr>
            </w:pPr>
          </w:p>
          <w:p w14:paraId="301C0F12">
            <w:pPr>
              <w:pStyle w:val="6"/>
              <w:spacing w:before="72" w:line="220" w:lineRule="auto"/>
              <w:ind w:left="117"/>
            </w:pPr>
            <w:r>
              <w:rPr>
                <w:spacing w:val="-4"/>
              </w:rPr>
              <w:t>要素</w:t>
            </w:r>
          </w:p>
        </w:tc>
        <w:tc>
          <w:tcPr>
            <w:tcW w:w="907" w:type="dxa"/>
            <w:vAlign w:val="top"/>
          </w:tcPr>
          <w:p w14:paraId="35830C7A">
            <w:pPr>
              <w:pStyle w:val="6"/>
              <w:spacing w:before="34" w:line="222" w:lineRule="auto"/>
              <w:ind w:left="126"/>
            </w:pPr>
            <w:r>
              <w:rPr>
                <w:spacing w:val="-3"/>
              </w:rPr>
              <w:t>排放口</w:t>
            </w:r>
          </w:p>
          <w:p w14:paraId="0D4F4075">
            <w:pPr>
              <w:pStyle w:val="6"/>
              <w:spacing w:before="21" w:line="220" w:lineRule="auto"/>
              <w:ind w:left="243"/>
            </w:pPr>
            <w:r>
              <w:rPr>
                <w:spacing w:val="-7"/>
              </w:rPr>
              <w:t>（编</w:t>
            </w:r>
          </w:p>
          <w:p w14:paraId="2FCA53B1">
            <w:pPr>
              <w:pStyle w:val="6"/>
              <w:spacing w:before="22" w:line="222" w:lineRule="auto"/>
              <w:ind w:left="131"/>
            </w:pPr>
            <w:r>
              <w:rPr>
                <w:spacing w:val="-2"/>
              </w:rPr>
              <w:t>号、名</w:t>
            </w:r>
          </w:p>
          <w:p w14:paraId="0B3CEF94">
            <w:pPr>
              <w:pStyle w:val="6"/>
              <w:spacing w:before="22" w:line="222" w:lineRule="auto"/>
              <w:ind w:left="111"/>
            </w:pPr>
            <w:r>
              <w:rPr>
                <w:spacing w:val="-10"/>
              </w:rPr>
              <w:t>称）</w:t>
            </w:r>
            <w:r>
              <w:rPr>
                <w:rFonts w:ascii="Times New Roman" w:hAnsi="Times New Roman" w:eastAsia="Times New Roman" w:cs="Times New Roman"/>
                <w:spacing w:val="-10"/>
              </w:rPr>
              <w:t>/</w:t>
            </w:r>
            <w:r>
              <w:rPr>
                <w:spacing w:val="-10"/>
              </w:rPr>
              <w:t>污</w:t>
            </w:r>
          </w:p>
          <w:p w14:paraId="16D3B07A">
            <w:pPr>
              <w:pStyle w:val="6"/>
              <w:spacing w:before="20" w:line="208" w:lineRule="auto"/>
              <w:ind w:left="240"/>
            </w:pPr>
            <w:r>
              <w:rPr>
                <w:spacing w:val="-6"/>
              </w:rPr>
              <w:t>染源</w:t>
            </w:r>
          </w:p>
        </w:tc>
        <w:tc>
          <w:tcPr>
            <w:tcW w:w="976" w:type="dxa"/>
            <w:vAlign w:val="top"/>
          </w:tcPr>
          <w:p w14:paraId="2179C18F">
            <w:pPr>
              <w:spacing w:line="387" w:lineRule="auto"/>
              <w:rPr>
                <w:rFonts w:ascii="Arial"/>
                <w:sz w:val="21"/>
              </w:rPr>
            </w:pPr>
          </w:p>
          <w:p w14:paraId="07509378">
            <w:pPr>
              <w:pStyle w:val="6"/>
              <w:spacing w:before="72" w:line="242" w:lineRule="auto"/>
              <w:ind w:left="276" w:right="156" w:hanging="112"/>
            </w:pPr>
            <w:r>
              <w:rPr>
                <w:spacing w:val="-4"/>
              </w:rPr>
              <w:t>污染物</w:t>
            </w:r>
            <w:r>
              <w:t xml:space="preserve"> </w:t>
            </w:r>
            <w:r>
              <w:rPr>
                <w:spacing w:val="-6"/>
              </w:rPr>
              <w:t>项目</w:t>
            </w:r>
          </w:p>
        </w:tc>
        <w:tc>
          <w:tcPr>
            <w:tcW w:w="2912" w:type="dxa"/>
            <w:vAlign w:val="top"/>
          </w:tcPr>
          <w:p w14:paraId="4F3DAD1D">
            <w:pPr>
              <w:spacing w:line="265" w:lineRule="auto"/>
              <w:rPr>
                <w:rFonts w:ascii="Arial"/>
                <w:sz w:val="21"/>
              </w:rPr>
            </w:pPr>
          </w:p>
          <w:p w14:paraId="6E3BC6E3">
            <w:pPr>
              <w:spacing w:line="266" w:lineRule="auto"/>
              <w:rPr>
                <w:rFonts w:ascii="Arial"/>
                <w:sz w:val="21"/>
              </w:rPr>
            </w:pPr>
          </w:p>
          <w:p w14:paraId="269687DD">
            <w:pPr>
              <w:pStyle w:val="6"/>
              <w:spacing w:before="71" w:line="221" w:lineRule="auto"/>
              <w:ind w:left="801"/>
            </w:pPr>
            <w:r>
              <w:rPr>
                <w:spacing w:val="-2"/>
              </w:rPr>
              <w:t>环境保护措施</w:t>
            </w:r>
          </w:p>
        </w:tc>
        <w:tc>
          <w:tcPr>
            <w:tcW w:w="2649" w:type="dxa"/>
            <w:vAlign w:val="top"/>
          </w:tcPr>
          <w:p w14:paraId="18574A46">
            <w:pPr>
              <w:spacing w:line="265" w:lineRule="auto"/>
              <w:rPr>
                <w:rFonts w:ascii="Arial"/>
                <w:sz w:val="21"/>
              </w:rPr>
            </w:pPr>
          </w:p>
          <w:p w14:paraId="3DE9DF6E">
            <w:pPr>
              <w:spacing w:line="266" w:lineRule="auto"/>
              <w:rPr>
                <w:rFonts w:ascii="Arial"/>
                <w:sz w:val="21"/>
              </w:rPr>
            </w:pPr>
          </w:p>
          <w:p w14:paraId="09D9309E">
            <w:pPr>
              <w:pStyle w:val="6"/>
              <w:spacing w:before="72" w:line="220" w:lineRule="auto"/>
              <w:ind w:left="889"/>
            </w:pPr>
            <w:r>
              <w:rPr>
                <w:spacing w:val="-2"/>
              </w:rPr>
              <w:t>执行标准</w:t>
            </w:r>
          </w:p>
        </w:tc>
      </w:tr>
      <w:tr w14:paraId="432E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2" w:hRule="atLeast"/>
        </w:trPr>
        <w:tc>
          <w:tcPr>
            <w:tcW w:w="566" w:type="dxa"/>
            <w:vMerge w:val="restart"/>
            <w:tcBorders>
              <w:bottom w:val="nil"/>
            </w:tcBorders>
            <w:textDirection w:val="tbRlV"/>
            <w:vAlign w:val="top"/>
          </w:tcPr>
          <w:p w14:paraId="3C1417F7">
            <w:pPr>
              <w:pStyle w:val="6"/>
              <w:spacing w:before="169" w:line="208" w:lineRule="auto"/>
              <w:ind w:left="2324"/>
            </w:pPr>
            <w:r>
              <w:rPr>
                <w:spacing w:val="48"/>
              </w:rPr>
              <w:t>大气环境</w:t>
            </w:r>
          </w:p>
        </w:tc>
        <w:tc>
          <w:tcPr>
            <w:tcW w:w="516" w:type="dxa"/>
            <w:vMerge w:val="restart"/>
            <w:tcBorders>
              <w:bottom w:val="nil"/>
            </w:tcBorders>
            <w:textDirection w:val="tbRlV"/>
            <w:vAlign w:val="top"/>
          </w:tcPr>
          <w:p w14:paraId="5CE10990">
            <w:pPr>
              <w:pStyle w:val="6"/>
              <w:spacing w:before="145" w:line="210" w:lineRule="auto"/>
              <w:ind w:left="1748"/>
            </w:pPr>
            <w:r>
              <w:rPr>
                <w:spacing w:val="43"/>
              </w:rPr>
              <w:t>施工期</w:t>
            </w:r>
          </w:p>
        </w:tc>
        <w:tc>
          <w:tcPr>
            <w:tcW w:w="907" w:type="dxa"/>
            <w:vAlign w:val="top"/>
          </w:tcPr>
          <w:p w14:paraId="7EBB2888">
            <w:pPr>
              <w:spacing w:line="270" w:lineRule="auto"/>
              <w:rPr>
                <w:rFonts w:ascii="Arial"/>
                <w:sz w:val="21"/>
              </w:rPr>
            </w:pPr>
          </w:p>
          <w:p w14:paraId="76C354A9">
            <w:pPr>
              <w:spacing w:line="270" w:lineRule="auto"/>
              <w:rPr>
                <w:rFonts w:ascii="Arial"/>
                <w:sz w:val="21"/>
              </w:rPr>
            </w:pPr>
          </w:p>
          <w:p w14:paraId="5CCA4EF5">
            <w:pPr>
              <w:spacing w:line="270" w:lineRule="auto"/>
              <w:rPr>
                <w:rFonts w:ascii="Arial"/>
                <w:sz w:val="21"/>
              </w:rPr>
            </w:pPr>
          </w:p>
          <w:p w14:paraId="4926855F">
            <w:pPr>
              <w:pStyle w:val="6"/>
              <w:spacing w:before="72" w:line="221" w:lineRule="auto"/>
              <w:ind w:left="125"/>
            </w:pPr>
            <w:r>
              <w:rPr>
                <w:spacing w:val="-2"/>
              </w:rPr>
              <w:t>施工作</w:t>
            </w:r>
          </w:p>
          <w:p w14:paraId="6CB8D636">
            <w:pPr>
              <w:pStyle w:val="6"/>
              <w:spacing w:before="21" w:line="230" w:lineRule="auto"/>
              <w:ind w:left="125"/>
            </w:pPr>
            <w:r>
              <w:t>业、运</w:t>
            </w:r>
          </w:p>
          <w:p w14:paraId="610A4213">
            <w:pPr>
              <w:pStyle w:val="6"/>
              <w:spacing w:before="12" w:line="220" w:lineRule="auto"/>
              <w:ind w:left="125"/>
            </w:pPr>
            <w:r>
              <w:rPr>
                <w:spacing w:val="-2"/>
              </w:rPr>
              <w:t>输车辆</w:t>
            </w:r>
          </w:p>
        </w:tc>
        <w:tc>
          <w:tcPr>
            <w:tcW w:w="976" w:type="dxa"/>
            <w:vAlign w:val="top"/>
          </w:tcPr>
          <w:p w14:paraId="2B8FF801">
            <w:pPr>
              <w:spacing w:line="273" w:lineRule="auto"/>
              <w:rPr>
                <w:rFonts w:ascii="Arial"/>
                <w:sz w:val="21"/>
              </w:rPr>
            </w:pPr>
          </w:p>
          <w:p w14:paraId="66E3CBBD">
            <w:pPr>
              <w:spacing w:line="273" w:lineRule="auto"/>
              <w:rPr>
                <w:rFonts w:ascii="Arial"/>
                <w:sz w:val="21"/>
              </w:rPr>
            </w:pPr>
          </w:p>
          <w:p w14:paraId="1BE3C74F">
            <w:pPr>
              <w:spacing w:line="274" w:lineRule="auto"/>
              <w:rPr>
                <w:rFonts w:ascii="Arial"/>
                <w:sz w:val="21"/>
              </w:rPr>
            </w:pPr>
          </w:p>
          <w:p w14:paraId="1D744636">
            <w:pPr>
              <w:spacing w:line="274" w:lineRule="auto"/>
              <w:rPr>
                <w:rFonts w:ascii="Arial"/>
                <w:sz w:val="21"/>
              </w:rPr>
            </w:pPr>
          </w:p>
          <w:p w14:paraId="7B4B0F9D">
            <w:pPr>
              <w:pStyle w:val="6"/>
              <w:spacing w:before="72" w:line="222" w:lineRule="auto"/>
              <w:ind w:left="272"/>
            </w:pPr>
            <w:r>
              <w:rPr>
                <w:spacing w:val="-3"/>
              </w:rPr>
              <w:t>扬尘</w:t>
            </w:r>
          </w:p>
        </w:tc>
        <w:tc>
          <w:tcPr>
            <w:tcW w:w="2912" w:type="dxa"/>
            <w:vAlign w:val="top"/>
          </w:tcPr>
          <w:p w14:paraId="318B0E5C">
            <w:pPr>
              <w:pStyle w:val="6"/>
              <w:spacing w:before="32" w:line="218" w:lineRule="auto"/>
              <w:jc w:val="right"/>
            </w:pPr>
            <w:r>
              <w:rPr>
                <w:spacing w:val="-6"/>
              </w:rPr>
              <w:t>施工单位应贯彻“清洁生产”</w:t>
            </w:r>
          </w:p>
          <w:p w14:paraId="28786A05">
            <w:pPr>
              <w:pStyle w:val="6"/>
              <w:spacing w:before="25" w:line="220" w:lineRule="auto"/>
              <w:ind w:left="159"/>
            </w:pPr>
            <w:r>
              <w:rPr>
                <w:spacing w:val="-3"/>
              </w:rPr>
              <w:t>的要求，严格监管建筑施工</w:t>
            </w:r>
          </w:p>
          <w:p w14:paraId="0D8A8A77">
            <w:pPr>
              <w:pStyle w:val="6"/>
              <w:spacing w:before="23" w:line="220" w:lineRule="auto"/>
              <w:jc w:val="right"/>
            </w:pPr>
            <w:r>
              <w:rPr>
                <w:spacing w:val="-26"/>
              </w:rPr>
              <w:t>扬尘，做到“六个百分之百</w:t>
            </w:r>
            <w:r>
              <w:rPr>
                <w:spacing w:val="-77"/>
              </w:rPr>
              <w:t xml:space="preserve"> </w:t>
            </w:r>
            <w:r>
              <w:rPr>
                <w:spacing w:val="-26"/>
              </w:rPr>
              <w:t>”，</w:t>
            </w:r>
          </w:p>
          <w:p w14:paraId="6AF2F71C">
            <w:pPr>
              <w:pStyle w:val="6"/>
              <w:spacing w:before="21" w:line="218" w:lineRule="auto"/>
              <w:ind w:left="256"/>
            </w:pPr>
            <w:r>
              <w:rPr>
                <w:spacing w:val="-2"/>
              </w:rPr>
              <w:t>具体要求为施工工地周边</w:t>
            </w:r>
          </w:p>
          <w:p w14:paraId="524BC7EF">
            <w:pPr>
              <w:pStyle w:val="6"/>
              <w:spacing w:before="28" w:line="220" w:lineRule="auto"/>
              <w:ind w:left="168"/>
              <w:rPr>
                <w:rFonts w:ascii="Times New Roman" w:hAnsi="Times New Roman" w:eastAsia="Times New Roman" w:cs="Times New Roman"/>
              </w:rPr>
            </w:pPr>
            <w:r>
              <w:rPr>
                <w:rFonts w:ascii="Times New Roman" w:hAnsi="Times New Roman" w:eastAsia="Times New Roman" w:cs="Times New Roman"/>
                <w:spacing w:val="-4"/>
              </w:rPr>
              <w:t>100%</w:t>
            </w:r>
            <w:r>
              <w:rPr>
                <w:spacing w:val="-4"/>
              </w:rPr>
              <w:t>围挡、出入车辆</w:t>
            </w:r>
            <w:r>
              <w:rPr>
                <w:spacing w:val="-21"/>
              </w:rPr>
              <w:t xml:space="preserve"> </w:t>
            </w:r>
            <w:r>
              <w:rPr>
                <w:rFonts w:ascii="Times New Roman" w:hAnsi="Times New Roman" w:eastAsia="Times New Roman" w:cs="Times New Roman"/>
                <w:spacing w:val="-4"/>
              </w:rPr>
              <w:t>100%</w:t>
            </w:r>
          </w:p>
          <w:p w14:paraId="6ED6579C">
            <w:pPr>
              <w:pStyle w:val="6"/>
              <w:spacing w:before="21" w:line="221" w:lineRule="auto"/>
              <w:ind w:left="113"/>
            </w:pPr>
            <w:r>
              <w:rPr>
                <w:spacing w:val="-8"/>
              </w:rPr>
              <w:t>冲洗、拆迁工地</w:t>
            </w:r>
            <w:r>
              <w:rPr>
                <w:spacing w:val="-23"/>
              </w:rPr>
              <w:t xml:space="preserve"> </w:t>
            </w:r>
            <w:r>
              <w:rPr>
                <w:rFonts w:ascii="Times New Roman" w:hAnsi="Times New Roman" w:eastAsia="Times New Roman" w:cs="Times New Roman"/>
                <w:spacing w:val="-8"/>
              </w:rPr>
              <w:t>100%</w:t>
            </w:r>
            <w:r>
              <w:rPr>
                <w:spacing w:val="-8"/>
              </w:rPr>
              <w:t>湿法作</w:t>
            </w:r>
          </w:p>
          <w:p w14:paraId="5445128D">
            <w:pPr>
              <w:pStyle w:val="6"/>
              <w:spacing w:before="22" w:line="220" w:lineRule="auto"/>
              <w:ind w:left="186"/>
            </w:pPr>
            <w:r>
              <w:rPr>
                <w:spacing w:val="-3"/>
              </w:rPr>
              <w:t>业、渣土车辆</w:t>
            </w:r>
            <w:r>
              <w:rPr>
                <w:spacing w:val="-23"/>
              </w:rPr>
              <w:t xml:space="preserve"> </w:t>
            </w:r>
            <w:r>
              <w:rPr>
                <w:rFonts w:ascii="Times New Roman" w:hAnsi="Times New Roman" w:eastAsia="Times New Roman" w:cs="Times New Roman"/>
                <w:spacing w:val="-3"/>
              </w:rPr>
              <w:t>100%</w:t>
            </w:r>
            <w:r>
              <w:rPr>
                <w:spacing w:val="-3"/>
              </w:rPr>
              <w:t>密闭运</w:t>
            </w:r>
          </w:p>
          <w:p w14:paraId="29D49DC3">
            <w:pPr>
              <w:pStyle w:val="6"/>
              <w:spacing w:before="24" w:line="220" w:lineRule="auto"/>
              <w:ind w:left="186"/>
            </w:pPr>
            <w:r>
              <w:rPr>
                <w:spacing w:val="-3"/>
              </w:rPr>
              <w:t>输、施工现场地面</w:t>
            </w:r>
            <w:r>
              <w:rPr>
                <w:spacing w:val="-21"/>
              </w:rPr>
              <w:t xml:space="preserve"> </w:t>
            </w:r>
            <w:r>
              <w:rPr>
                <w:rFonts w:ascii="Times New Roman" w:hAnsi="Times New Roman" w:eastAsia="Times New Roman" w:cs="Times New Roman"/>
                <w:spacing w:val="-3"/>
              </w:rPr>
              <w:t>100%</w:t>
            </w:r>
            <w:r>
              <w:rPr>
                <w:spacing w:val="-3"/>
              </w:rPr>
              <w:t>硬</w:t>
            </w:r>
          </w:p>
          <w:p w14:paraId="1405E54B">
            <w:pPr>
              <w:pStyle w:val="6"/>
              <w:spacing w:before="23" w:line="207" w:lineRule="auto"/>
              <w:ind w:left="298"/>
            </w:pPr>
            <w:r>
              <w:rPr>
                <w:spacing w:val="-3"/>
              </w:rPr>
              <w:t>化、物料堆放</w:t>
            </w:r>
            <w:r>
              <w:rPr>
                <w:spacing w:val="-28"/>
              </w:rPr>
              <w:t xml:space="preserve"> </w:t>
            </w:r>
            <w:r>
              <w:rPr>
                <w:rFonts w:ascii="Times New Roman" w:hAnsi="Times New Roman" w:eastAsia="Times New Roman" w:cs="Times New Roman"/>
                <w:spacing w:val="-3"/>
              </w:rPr>
              <w:t>100%</w:t>
            </w:r>
            <w:r>
              <w:rPr>
                <w:spacing w:val="-3"/>
              </w:rPr>
              <w:t>覆盖</w:t>
            </w:r>
          </w:p>
        </w:tc>
        <w:tc>
          <w:tcPr>
            <w:tcW w:w="2649" w:type="dxa"/>
            <w:vMerge w:val="restart"/>
            <w:tcBorders>
              <w:bottom w:val="nil"/>
            </w:tcBorders>
            <w:vAlign w:val="top"/>
          </w:tcPr>
          <w:p w14:paraId="06962D58">
            <w:pPr>
              <w:spacing w:line="277" w:lineRule="auto"/>
              <w:rPr>
                <w:rFonts w:ascii="Arial"/>
                <w:sz w:val="21"/>
              </w:rPr>
            </w:pPr>
          </w:p>
          <w:p w14:paraId="7CA0AFB2">
            <w:pPr>
              <w:spacing w:line="278" w:lineRule="auto"/>
              <w:rPr>
                <w:rFonts w:ascii="Arial"/>
                <w:sz w:val="21"/>
              </w:rPr>
            </w:pPr>
          </w:p>
          <w:p w14:paraId="12DF94DF">
            <w:pPr>
              <w:spacing w:line="278" w:lineRule="auto"/>
              <w:rPr>
                <w:rFonts w:ascii="Arial"/>
                <w:sz w:val="21"/>
              </w:rPr>
            </w:pPr>
          </w:p>
          <w:p w14:paraId="09D315C5">
            <w:pPr>
              <w:spacing w:line="278" w:lineRule="auto"/>
              <w:rPr>
                <w:rFonts w:ascii="Arial"/>
                <w:sz w:val="21"/>
              </w:rPr>
            </w:pPr>
          </w:p>
          <w:p w14:paraId="3DD28EED">
            <w:pPr>
              <w:spacing w:line="278" w:lineRule="auto"/>
              <w:rPr>
                <w:rFonts w:ascii="Arial"/>
                <w:sz w:val="21"/>
              </w:rPr>
            </w:pPr>
          </w:p>
          <w:p w14:paraId="18FF5A47">
            <w:pPr>
              <w:spacing w:line="278" w:lineRule="auto"/>
              <w:rPr>
                <w:rFonts w:ascii="Arial"/>
                <w:sz w:val="21"/>
              </w:rPr>
            </w:pPr>
          </w:p>
          <w:p w14:paraId="2BEE89FA">
            <w:pPr>
              <w:pStyle w:val="6"/>
              <w:spacing w:before="72" w:line="219" w:lineRule="auto"/>
              <w:ind w:left="120"/>
            </w:pPr>
            <w:r>
              <w:rPr>
                <w:spacing w:val="-1"/>
              </w:rPr>
              <w:t>《大气污染物综合排放标</w:t>
            </w:r>
          </w:p>
          <w:p w14:paraId="2A7C4232">
            <w:pPr>
              <w:pStyle w:val="6"/>
              <w:spacing w:before="23" w:line="221" w:lineRule="auto"/>
              <w:ind w:left="116"/>
            </w:pPr>
            <w:r>
              <w:rPr>
                <w:spacing w:val="-3"/>
              </w:rPr>
              <w:t>准》（</w:t>
            </w:r>
            <w:r>
              <w:rPr>
                <w:rFonts w:ascii="Times New Roman" w:hAnsi="Times New Roman" w:eastAsia="Times New Roman" w:cs="Times New Roman"/>
                <w:spacing w:val="-3"/>
              </w:rPr>
              <w:t>GB16297-1996</w:t>
            </w:r>
            <w:r>
              <w:rPr>
                <w:spacing w:val="-3"/>
              </w:rPr>
              <w:t>）无</w:t>
            </w:r>
          </w:p>
          <w:p w14:paraId="02FE4871">
            <w:pPr>
              <w:pStyle w:val="6"/>
              <w:spacing w:before="22" w:line="220" w:lineRule="auto"/>
              <w:ind w:left="232"/>
            </w:pPr>
            <w:r>
              <w:rPr>
                <w:spacing w:val="-2"/>
              </w:rPr>
              <w:t>组织排放监控浓度限值</w:t>
            </w:r>
          </w:p>
        </w:tc>
      </w:tr>
      <w:tr w14:paraId="3A690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566" w:type="dxa"/>
            <w:vMerge w:val="continue"/>
            <w:tcBorders>
              <w:top w:val="nil"/>
              <w:bottom w:val="nil"/>
            </w:tcBorders>
            <w:textDirection w:val="tbRlV"/>
            <w:vAlign w:val="top"/>
          </w:tcPr>
          <w:p w14:paraId="4F95B9D7">
            <w:pPr>
              <w:rPr>
                <w:rFonts w:ascii="Arial"/>
                <w:sz w:val="21"/>
              </w:rPr>
            </w:pPr>
          </w:p>
        </w:tc>
        <w:tc>
          <w:tcPr>
            <w:tcW w:w="516" w:type="dxa"/>
            <w:vMerge w:val="continue"/>
            <w:tcBorders>
              <w:top w:val="nil"/>
            </w:tcBorders>
            <w:textDirection w:val="tbRlV"/>
            <w:vAlign w:val="top"/>
          </w:tcPr>
          <w:p w14:paraId="42AE0DDA">
            <w:pPr>
              <w:rPr>
                <w:rFonts w:ascii="Arial"/>
                <w:sz w:val="21"/>
              </w:rPr>
            </w:pPr>
          </w:p>
        </w:tc>
        <w:tc>
          <w:tcPr>
            <w:tcW w:w="907" w:type="dxa"/>
            <w:vAlign w:val="top"/>
          </w:tcPr>
          <w:p w14:paraId="07D84E98">
            <w:pPr>
              <w:spacing w:line="243" w:lineRule="auto"/>
              <w:rPr>
                <w:rFonts w:ascii="Arial"/>
                <w:sz w:val="21"/>
              </w:rPr>
            </w:pPr>
          </w:p>
          <w:p w14:paraId="7419258B">
            <w:pPr>
              <w:pStyle w:val="6"/>
              <w:spacing w:before="71" w:line="219" w:lineRule="auto"/>
              <w:ind w:left="127"/>
            </w:pPr>
            <w:r>
              <w:rPr>
                <w:spacing w:val="-3"/>
              </w:rPr>
              <w:t>燃油机</w:t>
            </w:r>
          </w:p>
          <w:p w14:paraId="36337388">
            <w:pPr>
              <w:pStyle w:val="6"/>
              <w:spacing w:before="25" w:line="220" w:lineRule="auto"/>
              <w:ind w:left="125"/>
            </w:pPr>
            <w:r>
              <w:rPr>
                <w:spacing w:val="-2"/>
              </w:rPr>
              <w:t>械设备</w:t>
            </w:r>
          </w:p>
          <w:p w14:paraId="79813299">
            <w:pPr>
              <w:pStyle w:val="6"/>
              <w:spacing w:before="22"/>
              <w:ind w:left="238" w:right="124" w:hanging="113"/>
            </w:pPr>
            <w:r>
              <w:rPr>
                <w:spacing w:val="-3"/>
              </w:rPr>
              <w:t>及运输</w:t>
            </w:r>
            <w:r>
              <w:t xml:space="preserve"> </w:t>
            </w:r>
            <w:r>
              <w:rPr>
                <w:spacing w:val="-5"/>
              </w:rPr>
              <w:t>车辆</w:t>
            </w:r>
          </w:p>
        </w:tc>
        <w:tc>
          <w:tcPr>
            <w:tcW w:w="976" w:type="dxa"/>
            <w:vAlign w:val="top"/>
          </w:tcPr>
          <w:p w14:paraId="053081AF">
            <w:pPr>
              <w:spacing w:line="263" w:lineRule="auto"/>
              <w:rPr>
                <w:rFonts w:ascii="Arial"/>
                <w:sz w:val="21"/>
              </w:rPr>
            </w:pPr>
          </w:p>
          <w:p w14:paraId="0FA3E9D8">
            <w:pPr>
              <w:spacing w:line="264" w:lineRule="auto"/>
              <w:rPr>
                <w:rFonts w:ascii="Arial"/>
                <w:sz w:val="21"/>
              </w:rPr>
            </w:pPr>
          </w:p>
          <w:p w14:paraId="3C4C8FC3">
            <w:pPr>
              <w:pStyle w:val="6"/>
              <w:spacing w:before="72" w:line="219" w:lineRule="auto"/>
              <w:ind w:left="161"/>
            </w:pPr>
            <w:r>
              <w:rPr>
                <w:spacing w:val="-2"/>
              </w:rPr>
              <w:t>机械废</w:t>
            </w:r>
          </w:p>
          <w:p w14:paraId="5A3FAEC7">
            <w:pPr>
              <w:pStyle w:val="6"/>
              <w:spacing w:before="24" w:line="219" w:lineRule="auto"/>
              <w:ind w:left="384"/>
            </w:pPr>
            <w:r>
              <w:t>气</w:t>
            </w:r>
          </w:p>
        </w:tc>
        <w:tc>
          <w:tcPr>
            <w:tcW w:w="2912" w:type="dxa"/>
            <w:vAlign w:val="top"/>
          </w:tcPr>
          <w:p w14:paraId="77D71EF7">
            <w:pPr>
              <w:pStyle w:val="6"/>
              <w:spacing w:before="33" w:line="219" w:lineRule="auto"/>
              <w:ind w:left="251"/>
            </w:pPr>
            <w:r>
              <w:rPr>
                <w:spacing w:val="-1"/>
              </w:rPr>
              <w:t>采用排放达标的设备和车</w:t>
            </w:r>
          </w:p>
          <w:p w14:paraId="41925505">
            <w:pPr>
              <w:pStyle w:val="6"/>
              <w:spacing w:before="24" w:line="219" w:lineRule="auto"/>
              <w:ind w:left="140"/>
            </w:pPr>
            <w:r>
              <w:rPr>
                <w:spacing w:val="-1"/>
              </w:rPr>
              <w:t>辆，加强对机械设备和车辆</w:t>
            </w:r>
          </w:p>
          <w:p w14:paraId="562B115C">
            <w:pPr>
              <w:pStyle w:val="6"/>
              <w:spacing w:before="21" w:line="220" w:lineRule="auto"/>
              <w:ind w:left="159"/>
            </w:pPr>
            <w:r>
              <w:rPr>
                <w:spacing w:val="-3"/>
              </w:rPr>
              <w:t>的维护保养，使之处于良好</w:t>
            </w:r>
          </w:p>
          <w:p w14:paraId="2AC98A43">
            <w:pPr>
              <w:pStyle w:val="6"/>
              <w:spacing w:before="23" w:line="220" w:lineRule="auto"/>
              <w:ind w:left="159"/>
            </w:pPr>
            <w:r>
              <w:rPr>
                <w:spacing w:val="-3"/>
              </w:rPr>
              <w:t>的运行状态，使用合格的油</w:t>
            </w:r>
          </w:p>
          <w:p w14:paraId="1282C9DD">
            <w:pPr>
              <w:pStyle w:val="6"/>
              <w:spacing w:before="24" w:line="220" w:lineRule="auto"/>
              <w:ind w:left="159"/>
            </w:pPr>
            <w:r>
              <w:rPr>
                <w:spacing w:val="-3"/>
              </w:rPr>
              <w:t>品，尽量减少设备和车辆空</w:t>
            </w:r>
          </w:p>
          <w:p w14:paraId="14308159">
            <w:pPr>
              <w:pStyle w:val="6"/>
              <w:spacing w:before="23" w:line="207" w:lineRule="auto"/>
              <w:ind w:left="1133"/>
            </w:pPr>
            <w:r>
              <w:rPr>
                <w:spacing w:val="-3"/>
              </w:rPr>
              <w:t>转空驶</w:t>
            </w:r>
          </w:p>
        </w:tc>
        <w:tc>
          <w:tcPr>
            <w:tcW w:w="2649" w:type="dxa"/>
            <w:vMerge w:val="continue"/>
            <w:tcBorders>
              <w:top w:val="nil"/>
            </w:tcBorders>
            <w:vAlign w:val="top"/>
          </w:tcPr>
          <w:p w14:paraId="52891AFF">
            <w:pPr>
              <w:rPr>
                <w:rFonts w:ascii="Arial"/>
                <w:sz w:val="21"/>
              </w:rPr>
            </w:pPr>
          </w:p>
        </w:tc>
      </w:tr>
      <w:tr w14:paraId="18FA2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566" w:type="dxa"/>
            <w:vMerge w:val="continue"/>
            <w:tcBorders>
              <w:top w:val="nil"/>
            </w:tcBorders>
            <w:textDirection w:val="tbRlV"/>
            <w:vAlign w:val="top"/>
          </w:tcPr>
          <w:p w14:paraId="4059B85D">
            <w:pPr>
              <w:rPr>
                <w:rFonts w:ascii="Arial"/>
                <w:sz w:val="21"/>
              </w:rPr>
            </w:pPr>
          </w:p>
        </w:tc>
        <w:tc>
          <w:tcPr>
            <w:tcW w:w="516" w:type="dxa"/>
            <w:textDirection w:val="tbRlV"/>
            <w:vAlign w:val="top"/>
          </w:tcPr>
          <w:p w14:paraId="12F41FC5">
            <w:pPr>
              <w:pStyle w:val="6"/>
              <w:spacing w:before="146" w:line="209" w:lineRule="auto"/>
              <w:ind w:left="318"/>
            </w:pPr>
            <w:r>
              <w:rPr>
                <w:spacing w:val="43"/>
              </w:rPr>
              <w:t>运营期</w:t>
            </w:r>
          </w:p>
        </w:tc>
        <w:tc>
          <w:tcPr>
            <w:tcW w:w="907" w:type="dxa"/>
            <w:vAlign w:val="top"/>
          </w:tcPr>
          <w:p w14:paraId="2FF57F49">
            <w:pPr>
              <w:spacing w:line="385" w:lineRule="auto"/>
              <w:rPr>
                <w:rFonts w:ascii="Arial"/>
                <w:sz w:val="21"/>
              </w:rPr>
            </w:pPr>
          </w:p>
          <w:p w14:paraId="5B3EA594">
            <w:pPr>
              <w:pStyle w:val="6"/>
              <w:spacing w:before="72" w:line="242" w:lineRule="auto"/>
              <w:ind w:left="345" w:right="124" w:hanging="219"/>
            </w:pPr>
            <w:r>
              <w:rPr>
                <w:spacing w:val="-3"/>
              </w:rPr>
              <w:t>运输车</w:t>
            </w:r>
            <w:r>
              <w:t xml:space="preserve"> 辆</w:t>
            </w:r>
          </w:p>
        </w:tc>
        <w:tc>
          <w:tcPr>
            <w:tcW w:w="976" w:type="dxa"/>
            <w:vAlign w:val="top"/>
          </w:tcPr>
          <w:p w14:paraId="76906A80">
            <w:pPr>
              <w:pStyle w:val="6"/>
              <w:spacing w:before="33" w:line="220" w:lineRule="auto"/>
              <w:ind w:left="162"/>
            </w:pPr>
            <w:r>
              <w:rPr>
                <w:spacing w:val="-3"/>
              </w:rPr>
              <w:t>汽车尾</w:t>
            </w:r>
          </w:p>
          <w:p w14:paraId="4AA41BF5">
            <w:pPr>
              <w:pStyle w:val="6"/>
              <w:spacing w:before="23" w:line="219" w:lineRule="auto"/>
              <w:ind w:left="163"/>
            </w:pPr>
            <w:r>
              <w:rPr>
                <w:spacing w:val="-1"/>
              </w:rPr>
              <w:t>气、重</w:t>
            </w:r>
          </w:p>
          <w:p w14:paraId="7BBA7399">
            <w:pPr>
              <w:pStyle w:val="6"/>
              <w:spacing w:before="24" w:line="219" w:lineRule="auto"/>
              <w:ind w:left="163"/>
            </w:pPr>
            <w:r>
              <w:rPr>
                <w:spacing w:val="-3"/>
              </w:rPr>
              <w:t>载槽罐</w:t>
            </w:r>
          </w:p>
          <w:p w14:paraId="33785708">
            <w:pPr>
              <w:pStyle w:val="6"/>
              <w:spacing w:before="24" w:line="219" w:lineRule="auto"/>
              <w:ind w:left="164"/>
            </w:pPr>
            <w:r>
              <w:rPr>
                <w:spacing w:val="-3"/>
              </w:rPr>
              <w:t>车顶呼</w:t>
            </w:r>
          </w:p>
          <w:p w14:paraId="16801CA8">
            <w:pPr>
              <w:pStyle w:val="6"/>
              <w:spacing w:before="24" w:line="206" w:lineRule="auto"/>
              <w:ind w:left="171"/>
            </w:pPr>
            <w:r>
              <w:rPr>
                <w:spacing w:val="-6"/>
              </w:rPr>
              <w:t>吸废气</w:t>
            </w:r>
          </w:p>
        </w:tc>
        <w:tc>
          <w:tcPr>
            <w:tcW w:w="2912" w:type="dxa"/>
            <w:vAlign w:val="top"/>
          </w:tcPr>
          <w:p w14:paraId="4C8E9C6B">
            <w:pPr>
              <w:spacing w:line="386" w:lineRule="auto"/>
              <w:rPr>
                <w:rFonts w:ascii="Arial"/>
                <w:sz w:val="21"/>
              </w:rPr>
            </w:pPr>
          </w:p>
          <w:p w14:paraId="001FF3F6">
            <w:pPr>
              <w:pStyle w:val="6"/>
              <w:spacing w:before="72" w:line="242" w:lineRule="auto"/>
              <w:ind w:left="583" w:right="133" w:hanging="440"/>
            </w:pPr>
            <w:r>
              <w:rPr>
                <w:spacing w:val="-1"/>
              </w:rPr>
              <w:t>车辆限速行驶、厂区道路硬</w:t>
            </w:r>
            <w:r>
              <w:t xml:space="preserve"> </w:t>
            </w:r>
            <w:r>
              <w:rPr>
                <w:spacing w:val="-1"/>
              </w:rPr>
              <w:t>化，增加场区绿化</w:t>
            </w:r>
          </w:p>
        </w:tc>
        <w:tc>
          <w:tcPr>
            <w:tcW w:w="2649" w:type="dxa"/>
            <w:vAlign w:val="top"/>
          </w:tcPr>
          <w:p w14:paraId="438337DE">
            <w:pPr>
              <w:spacing w:line="246" w:lineRule="auto"/>
              <w:rPr>
                <w:rFonts w:ascii="Arial"/>
                <w:sz w:val="21"/>
              </w:rPr>
            </w:pPr>
          </w:p>
          <w:p w14:paraId="53A30F44">
            <w:pPr>
              <w:pStyle w:val="6"/>
              <w:spacing w:before="71" w:line="219" w:lineRule="auto"/>
              <w:ind w:left="120"/>
            </w:pPr>
            <w:r>
              <w:rPr>
                <w:spacing w:val="-1"/>
              </w:rPr>
              <w:t>《大气污染物综合排放标</w:t>
            </w:r>
          </w:p>
          <w:p w14:paraId="5D3C692F">
            <w:pPr>
              <w:pStyle w:val="6"/>
              <w:spacing w:before="23" w:line="221" w:lineRule="auto"/>
              <w:ind w:left="116"/>
            </w:pPr>
            <w:r>
              <w:rPr>
                <w:spacing w:val="-3"/>
              </w:rPr>
              <w:t>准》（</w:t>
            </w:r>
            <w:r>
              <w:rPr>
                <w:rFonts w:ascii="Times New Roman" w:hAnsi="Times New Roman" w:eastAsia="Times New Roman" w:cs="Times New Roman"/>
                <w:spacing w:val="-3"/>
              </w:rPr>
              <w:t>GB16297-1996</w:t>
            </w:r>
            <w:r>
              <w:rPr>
                <w:spacing w:val="-3"/>
              </w:rPr>
              <w:t>）无</w:t>
            </w:r>
          </w:p>
          <w:p w14:paraId="4BDBC6A2">
            <w:pPr>
              <w:pStyle w:val="6"/>
              <w:spacing w:before="22" w:line="220" w:lineRule="auto"/>
              <w:ind w:left="232"/>
            </w:pPr>
            <w:r>
              <w:rPr>
                <w:spacing w:val="-2"/>
              </w:rPr>
              <w:t>组织排放监控浓度限值</w:t>
            </w:r>
          </w:p>
        </w:tc>
      </w:tr>
      <w:tr w14:paraId="2DAD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566" w:type="dxa"/>
            <w:textDirection w:val="tbRlV"/>
            <w:vAlign w:val="top"/>
          </w:tcPr>
          <w:p w14:paraId="2D95CBBE">
            <w:pPr>
              <w:pStyle w:val="6"/>
              <w:spacing w:before="170" w:line="209" w:lineRule="auto"/>
              <w:ind w:left="34"/>
            </w:pPr>
            <w:r>
              <w:rPr>
                <w:spacing w:val="52"/>
              </w:rPr>
              <w:t>地表水环境</w:t>
            </w:r>
          </w:p>
        </w:tc>
        <w:tc>
          <w:tcPr>
            <w:tcW w:w="516" w:type="dxa"/>
            <w:vAlign w:val="top"/>
          </w:tcPr>
          <w:p w14:paraId="3A6617AC">
            <w:pPr>
              <w:spacing w:line="285" w:lineRule="auto"/>
              <w:rPr>
                <w:rFonts w:ascii="Arial"/>
                <w:sz w:val="21"/>
              </w:rPr>
            </w:pPr>
          </w:p>
          <w:p w14:paraId="2F95C9B3">
            <w:pPr>
              <w:spacing w:line="285" w:lineRule="auto"/>
              <w:rPr>
                <w:rFonts w:ascii="Arial"/>
                <w:sz w:val="21"/>
              </w:rPr>
            </w:pPr>
          </w:p>
          <w:p w14:paraId="4396B7DD">
            <w:pPr>
              <w:spacing w:before="63" w:line="193"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07" w:type="dxa"/>
            <w:vAlign w:val="top"/>
          </w:tcPr>
          <w:p w14:paraId="113722BB">
            <w:pPr>
              <w:spacing w:line="285" w:lineRule="auto"/>
              <w:rPr>
                <w:rFonts w:ascii="Arial"/>
                <w:sz w:val="21"/>
              </w:rPr>
            </w:pPr>
          </w:p>
          <w:p w14:paraId="597DC38B">
            <w:pPr>
              <w:spacing w:line="285" w:lineRule="auto"/>
              <w:rPr>
                <w:rFonts w:ascii="Arial"/>
                <w:sz w:val="21"/>
              </w:rPr>
            </w:pPr>
          </w:p>
          <w:p w14:paraId="4030ABFD">
            <w:pPr>
              <w:spacing w:before="63" w:line="193"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5CCC9354">
            <w:pPr>
              <w:spacing w:line="285" w:lineRule="auto"/>
              <w:rPr>
                <w:rFonts w:ascii="Arial"/>
                <w:sz w:val="21"/>
              </w:rPr>
            </w:pPr>
          </w:p>
          <w:p w14:paraId="7FD660A9">
            <w:pPr>
              <w:spacing w:line="285" w:lineRule="auto"/>
              <w:rPr>
                <w:rFonts w:ascii="Arial"/>
                <w:sz w:val="21"/>
              </w:rPr>
            </w:pPr>
          </w:p>
          <w:p w14:paraId="728670BA">
            <w:pPr>
              <w:spacing w:before="63" w:line="193" w:lineRule="auto"/>
              <w:ind w:left="4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912" w:type="dxa"/>
            <w:vAlign w:val="top"/>
          </w:tcPr>
          <w:p w14:paraId="40892B60">
            <w:pPr>
              <w:spacing w:line="285" w:lineRule="auto"/>
              <w:rPr>
                <w:rFonts w:ascii="Arial"/>
                <w:sz w:val="21"/>
              </w:rPr>
            </w:pPr>
          </w:p>
          <w:p w14:paraId="382F1A2D">
            <w:pPr>
              <w:spacing w:line="285" w:lineRule="auto"/>
              <w:rPr>
                <w:rFonts w:ascii="Arial"/>
                <w:sz w:val="21"/>
              </w:rPr>
            </w:pPr>
          </w:p>
          <w:p w14:paraId="42B1F1B4">
            <w:pPr>
              <w:spacing w:before="63" w:line="193" w:lineRule="auto"/>
              <w:ind w:left="14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49" w:type="dxa"/>
            <w:vAlign w:val="top"/>
          </w:tcPr>
          <w:p w14:paraId="6EFD8BE7">
            <w:pPr>
              <w:spacing w:line="285" w:lineRule="auto"/>
              <w:rPr>
                <w:rFonts w:ascii="Arial"/>
                <w:sz w:val="21"/>
              </w:rPr>
            </w:pPr>
          </w:p>
          <w:p w14:paraId="707194F6">
            <w:pPr>
              <w:spacing w:line="285" w:lineRule="auto"/>
              <w:rPr>
                <w:rFonts w:ascii="Arial"/>
                <w:sz w:val="21"/>
              </w:rPr>
            </w:pPr>
          </w:p>
          <w:p w14:paraId="24321290">
            <w:pPr>
              <w:spacing w:before="63" w:line="193" w:lineRule="auto"/>
              <w:ind w:left="12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14:paraId="2316C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566" w:type="dxa"/>
            <w:vMerge w:val="restart"/>
            <w:tcBorders>
              <w:bottom w:val="nil"/>
            </w:tcBorders>
            <w:textDirection w:val="tbRlV"/>
            <w:vAlign w:val="top"/>
          </w:tcPr>
          <w:p w14:paraId="448F1879">
            <w:pPr>
              <w:pStyle w:val="6"/>
              <w:spacing w:before="170" w:line="209" w:lineRule="auto"/>
              <w:ind w:left="1322"/>
            </w:pPr>
            <w:r>
              <w:rPr>
                <w:spacing w:val="43"/>
              </w:rPr>
              <w:t>声环境</w:t>
            </w:r>
          </w:p>
        </w:tc>
        <w:tc>
          <w:tcPr>
            <w:tcW w:w="516" w:type="dxa"/>
            <w:textDirection w:val="tbRlV"/>
            <w:vAlign w:val="top"/>
          </w:tcPr>
          <w:p w14:paraId="5FD62258">
            <w:pPr>
              <w:pStyle w:val="6"/>
              <w:spacing w:before="145" w:line="210" w:lineRule="auto"/>
              <w:ind w:left="749"/>
            </w:pPr>
            <w:r>
              <w:rPr>
                <w:spacing w:val="43"/>
              </w:rPr>
              <w:t>施工期</w:t>
            </w:r>
          </w:p>
        </w:tc>
        <w:tc>
          <w:tcPr>
            <w:tcW w:w="907" w:type="dxa"/>
            <w:vAlign w:val="top"/>
          </w:tcPr>
          <w:p w14:paraId="49648CDD">
            <w:pPr>
              <w:spacing w:line="336" w:lineRule="auto"/>
              <w:rPr>
                <w:rFonts w:ascii="Arial"/>
                <w:sz w:val="21"/>
              </w:rPr>
            </w:pPr>
          </w:p>
          <w:p w14:paraId="6FBE97C4">
            <w:pPr>
              <w:spacing w:line="337" w:lineRule="auto"/>
              <w:rPr>
                <w:rFonts w:ascii="Arial"/>
                <w:sz w:val="21"/>
              </w:rPr>
            </w:pPr>
          </w:p>
          <w:p w14:paraId="17069A6D">
            <w:pPr>
              <w:pStyle w:val="6"/>
              <w:spacing w:before="72" w:line="220" w:lineRule="auto"/>
              <w:ind w:left="129"/>
            </w:pPr>
            <w:r>
              <w:rPr>
                <w:spacing w:val="-4"/>
              </w:rPr>
              <w:t>各种车</w:t>
            </w:r>
          </w:p>
          <w:p w14:paraId="58A4AE21">
            <w:pPr>
              <w:pStyle w:val="6"/>
              <w:spacing w:before="21" w:line="220" w:lineRule="auto"/>
              <w:ind w:left="125"/>
            </w:pPr>
            <w:r>
              <w:rPr>
                <w:spacing w:val="-2"/>
              </w:rPr>
              <w:t>辆和施</w:t>
            </w:r>
          </w:p>
          <w:p w14:paraId="3D7A0991">
            <w:pPr>
              <w:pStyle w:val="6"/>
              <w:spacing w:before="23" w:line="219" w:lineRule="auto"/>
              <w:ind w:left="129"/>
            </w:pPr>
            <w:r>
              <w:rPr>
                <w:spacing w:val="-4"/>
              </w:rPr>
              <w:t>工机械</w:t>
            </w:r>
          </w:p>
        </w:tc>
        <w:tc>
          <w:tcPr>
            <w:tcW w:w="976" w:type="dxa"/>
            <w:vAlign w:val="top"/>
          </w:tcPr>
          <w:p w14:paraId="0BD85C02">
            <w:pPr>
              <w:spacing w:line="318" w:lineRule="auto"/>
              <w:rPr>
                <w:rFonts w:ascii="Arial"/>
                <w:sz w:val="21"/>
              </w:rPr>
            </w:pPr>
          </w:p>
          <w:p w14:paraId="66C66BA4">
            <w:pPr>
              <w:spacing w:line="318" w:lineRule="auto"/>
              <w:rPr>
                <w:rFonts w:ascii="Arial"/>
                <w:sz w:val="21"/>
              </w:rPr>
            </w:pPr>
          </w:p>
          <w:p w14:paraId="73936CC0">
            <w:pPr>
              <w:spacing w:line="318" w:lineRule="auto"/>
              <w:rPr>
                <w:rFonts w:ascii="Arial"/>
                <w:sz w:val="21"/>
              </w:rPr>
            </w:pPr>
          </w:p>
          <w:p w14:paraId="2840DACF">
            <w:pPr>
              <w:pStyle w:val="6"/>
              <w:spacing w:before="72" w:line="221" w:lineRule="auto"/>
              <w:ind w:left="283"/>
            </w:pPr>
            <w:r>
              <w:rPr>
                <w:spacing w:val="-9"/>
              </w:rPr>
              <w:t>噪声</w:t>
            </w:r>
          </w:p>
        </w:tc>
        <w:tc>
          <w:tcPr>
            <w:tcW w:w="2912" w:type="dxa"/>
            <w:vAlign w:val="top"/>
          </w:tcPr>
          <w:p w14:paraId="53A09CC8">
            <w:pPr>
              <w:pStyle w:val="6"/>
              <w:spacing w:before="31"/>
              <w:ind w:left="141" w:right="131" w:firstLine="111"/>
            </w:pPr>
            <w:r>
              <w:rPr>
                <w:spacing w:val="-1"/>
              </w:rPr>
              <w:t>尽量选用先进的低噪声设</w:t>
            </w:r>
            <w:r>
              <w:rPr>
                <w:spacing w:val="1"/>
              </w:rPr>
              <w:t xml:space="preserve">  </w:t>
            </w:r>
            <w:r>
              <w:rPr>
                <w:spacing w:val="-1"/>
              </w:rPr>
              <w:t>备，在高噪声设备周围适当</w:t>
            </w:r>
            <w:r>
              <w:rPr>
                <w:spacing w:val="4"/>
              </w:rPr>
              <w:t xml:space="preserve"> </w:t>
            </w:r>
            <w:r>
              <w:rPr>
                <w:spacing w:val="-1"/>
              </w:rPr>
              <w:t>设置屏障以减轻噪声对周围</w:t>
            </w:r>
            <w:r>
              <w:rPr>
                <w:spacing w:val="2"/>
              </w:rPr>
              <w:t xml:space="preserve"> </w:t>
            </w:r>
            <w:r>
              <w:rPr>
                <w:spacing w:val="-1"/>
              </w:rPr>
              <w:t>环境的影响；减少施工噪声</w:t>
            </w:r>
            <w:r>
              <w:rPr>
                <w:spacing w:val="2"/>
              </w:rPr>
              <w:t xml:space="preserve"> </w:t>
            </w:r>
            <w:r>
              <w:rPr>
                <w:spacing w:val="-1"/>
              </w:rPr>
              <w:t>影响时间，避免夜间施工；</w:t>
            </w:r>
          </w:p>
          <w:p w14:paraId="44595573">
            <w:pPr>
              <w:pStyle w:val="6"/>
              <w:spacing w:before="2" w:line="227" w:lineRule="auto"/>
              <w:ind w:left="142" w:right="131" w:firstLine="109"/>
            </w:pPr>
            <w:r>
              <w:rPr>
                <w:spacing w:val="-1"/>
              </w:rPr>
              <w:t>加强对施工机械的维护保</w:t>
            </w:r>
            <w:r>
              <w:rPr>
                <w:spacing w:val="1"/>
              </w:rPr>
              <w:t xml:space="preserve">  </w:t>
            </w:r>
            <w:r>
              <w:rPr>
                <w:spacing w:val="-1"/>
              </w:rPr>
              <w:t>养，避免由于设备性能差而</w:t>
            </w:r>
            <w:r>
              <w:rPr>
                <w:spacing w:val="4"/>
              </w:rPr>
              <w:t xml:space="preserve"> </w:t>
            </w:r>
            <w:r>
              <w:rPr>
                <w:spacing w:val="-1"/>
              </w:rPr>
              <w:t>增强机械噪声的现象发生。</w:t>
            </w:r>
          </w:p>
        </w:tc>
        <w:tc>
          <w:tcPr>
            <w:tcW w:w="2649" w:type="dxa"/>
            <w:vAlign w:val="top"/>
          </w:tcPr>
          <w:p w14:paraId="04187919">
            <w:pPr>
              <w:spacing w:line="336" w:lineRule="auto"/>
              <w:rPr>
                <w:rFonts w:ascii="Arial"/>
                <w:sz w:val="21"/>
              </w:rPr>
            </w:pPr>
          </w:p>
          <w:p w14:paraId="5F035345">
            <w:pPr>
              <w:spacing w:line="337" w:lineRule="auto"/>
              <w:rPr>
                <w:rFonts w:ascii="Arial"/>
                <w:sz w:val="21"/>
              </w:rPr>
            </w:pPr>
          </w:p>
          <w:p w14:paraId="59151659">
            <w:pPr>
              <w:pStyle w:val="6"/>
              <w:spacing w:before="71" w:line="221" w:lineRule="auto"/>
              <w:ind w:left="120"/>
            </w:pPr>
            <w:r>
              <w:rPr>
                <w:spacing w:val="-1"/>
              </w:rPr>
              <w:t>《建筑施工场界环境噪声</w:t>
            </w:r>
          </w:p>
          <w:p w14:paraId="1C404831">
            <w:pPr>
              <w:pStyle w:val="6"/>
              <w:spacing w:before="19" w:line="221" w:lineRule="auto"/>
              <w:ind w:left="131"/>
            </w:pPr>
            <w:r>
              <w:rPr>
                <w:spacing w:val="6"/>
              </w:rPr>
              <w:t>排放标准》（</w:t>
            </w:r>
            <w:r>
              <w:rPr>
                <w:rFonts w:ascii="Times New Roman" w:hAnsi="Times New Roman" w:eastAsia="Times New Roman" w:cs="Times New Roman"/>
              </w:rPr>
              <w:t>GB</w:t>
            </w:r>
            <w:r>
              <w:rPr>
                <w:rFonts w:ascii="Times New Roman" w:hAnsi="Times New Roman" w:eastAsia="Times New Roman" w:cs="Times New Roman"/>
                <w:spacing w:val="6"/>
              </w:rPr>
              <w:t>12523</w:t>
            </w:r>
            <w:r>
              <w:rPr>
                <w:spacing w:val="6"/>
              </w:rPr>
              <w:t>-</w:t>
            </w:r>
          </w:p>
          <w:p w14:paraId="29668B50">
            <w:pPr>
              <w:pStyle w:val="6"/>
              <w:spacing w:before="22" w:line="232" w:lineRule="auto"/>
              <w:ind w:left="1001"/>
            </w:pPr>
            <w:r>
              <w:rPr>
                <w:rFonts w:ascii="Times New Roman" w:hAnsi="Times New Roman" w:eastAsia="Times New Roman" w:cs="Times New Roman"/>
                <w:spacing w:val="-3"/>
              </w:rPr>
              <w:t>2011</w:t>
            </w:r>
            <w:r>
              <w:rPr>
                <w:spacing w:val="-3"/>
              </w:rPr>
              <w:t>）</w:t>
            </w:r>
          </w:p>
        </w:tc>
      </w:tr>
      <w:tr w14:paraId="1D3A5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566" w:type="dxa"/>
            <w:vMerge w:val="continue"/>
            <w:tcBorders>
              <w:top w:val="nil"/>
            </w:tcBorders>
            <w:textDirection w:val="tbRlV"/>
            <w:vAlign w:val="top"/>
          </w:tcPr>
          <w:p w14:paraId="6BF728F3">
            <w:pPr>
              <w:rPr>
                <w:rFonts w:ascii="Arial"/>
                <w:sz w:val="21"/>
              </w:rPr>
            </w:pPr>
          </w:p>
        </w:tc>
        <w:tc>
          <w:tcPr>
            <w:tcW w:w="516" w:type="dxa"/>
            <w:textDirection w:val="tbRlV"/>
            <w:vAlign w:val="top"/>
          </w:tcPr>
          <w:p w14:paraId="239742F3">
            <w:pPr>
              <w:pStyle w:val="6"/>
              <w:spacing w:before="146" w:line="209" w:lineRule="auto"/>
              <w:ind w:left="178"/>
            </w:pPr>
            <w:r>
              <w:rPr>
                <w:spacing w:val="43"/>
              </w:rPr>
              <w:t>运营期</w:t>
            </w:r>
          </w:p>
        </w:tc>
        <w:tc>
          <w:tcPr>
            <w:tcW w:w="907" w:type="dxa"/>
            <w:vAlign w:val="top"/>
          </w:tcPr>
          <w:p w14:paraId="5D13E281">
            <w:pPr>
              <w:pStyle w:val="6"/>
              <w:spacing w:before="179" w:line="220" w:lineRule="auto"/>
              <w:ind w:left="128"/>
            </w:pPr>
            <w:r>
              <w:rPr>
                <w:spacing w:val="-3"/>
              </w:rPr>
              <w:t>车辆运</w:t>
            </w:r>
          </w:p>
          <w:p w14:paraId="68F066FA">
            <w:pPr>
              <w:pStyle w:val="6"/>
              <w:spacing w:before="23" w:line="220" w:lineRule="auto"/>
              <w:ind w:left="125"/>
            </w:pPr>
            <w:r>
              <w:rPr>
                <w:spacing w:val="-2"/>
              </w:rPr>
              <w:t>输和设</w:t>
            </w:r>
          </w:p>
          <w:p w14:paraId="60BDC552">
            <w:pPr>
              <w:pStyle w:val="6"/>
              <w:spacing w:before="23" w:line="221" w:lineRule="auto"/>
              <w:ind w:left="129"/>
            </w:pPr>
            <w:r>
              <w:rPr>
                <w:spacing w:val="-4"/>
              </w:rPr>
              <w:t>备噪声</w:t>
            </w:r>
          </w:p>
        </w:tc>
        <w:tc>
          <w:tcPr>
            <w:tcW w:w="976" w:type="dxa"/>
            <w:vAlign w:val="top"/>
          </w:tcPr>
          <w:p w14:paraId="4B0635D8">
            <w:pPr>
              <w:spacing w:line="390" w:lineRule="auto"/>
              <w:rPr>
                <w:rFonts w:ascii="Arial"/>
                <w:sz w:val="21"/>
              </w:rPr>
            </w:pPr>
          </w:p>
          <w:p w14:paraId="24DEAA72">
            <w:pPr>
              <w:pStyle w:val="6"/>
              <w:spacing w:before="72" w:line="221" w:lineRule="auto"/>
              <w:ind w:left="283"/>
            </w:pPr>
            <w:r>
              <w:rPr>
                <w:spacing w:val="-9"/>
              </w:rPr>
              <w:t>噪声</w:t>
            </w:r>
          </w:p>
        </w:tc>
        <w:tc>
          <w:tcPr>
            <w:tcW w:w="2912" w:type="dxa"/>
            <w:vAlign w:val="top"/>
          </w:tcPr>
          <w:p w14:paraId="21B0A099">
            <w:pPr>
              <w:pStyle w:val="6"/>
              <w:spacing w:before="37" w:line="220" w:lineRule="auto"/>
              <w:ind w:left="141"/>
            </w:pPr>
            <w:r>
              <w:rPr>
                <w:spacing w:val="-1"/>
              </w:rPr>
              <w:t>加强维护管理，严禁超速、</w:t>
            </w:r>
          </w:p>
          <w:p w14:paraId="636EB0EF">
            <w:pPr>
              <w:pStyle w:val="6"/>
              <w:spacing w:before="23" w:line="218" w:lineRule="auto"/>
              <w:ind w:left="140"/>
            </w:pPr>
            <w:r>
              <w:rPr>
                <w:spacing w:val="-1"/>
              </w:rPr>
              <w:t>超负荷运行，使其处于良好</w:t>
            </w:r>
          </w:p>
          <w:p w14:paraId="1BED9B22">
            <w:pPr>
              <w:pStyle w:val="6"/>
              <w:spacing w:before="23" w:line="221" w:lineRule="auto"/>
              <w:ind w:left="141"/>
            </w:pPr>
            <w:r>
              <w:rPr>
                <w:spacing w:val="-1"/>
              </w:rPr>
              <w:t>运行工况，减小噪声的影响</w:t>
            </w:r>
          </w:p>
          <w:p w14:paraId="4020DB76">
            <w:pPr>
              <w:pStyle w:val="6"/>
              <w:spacing w:before="22" w:line="206" w:lineRule="auto"/>
              <w:ind w:left="917"/>
            </w:pPr>
            <w:r>
              <w:rPr>
                <w:spacing w:val="-3"/>
              </w:rPr>
              <w:t>范围和程度</w:t>
            </w:r>
          </w:p>
        </w:tc>
        <w:tc>
          <w:tcPr>
            <w:tcW w:w="2649" w:type="dxa"/>
            <w:vAlign w:val="top"/>
          </w:tcPr>
          <w:p w14:paraId="5F6A7190">
            <w:pPr>
              <w:pStyle w:val="6"/>
              <w:spacing w:before="178" w:line="221" w:lineRule="auto"/>
              <w:ind w:left="120"/>
            </w:pPr>
            <w:r>
              <w:rPr>
                <w:spacing w:val="-1"/>
              </w:rPr>
              <w:t>《工业企业厂界环境噪声</w:t>
            </w:r>
          </w:p>
          <w:p w14:paraId="34FE388D">
            <w:pPr>
              <w:pStyle w:val="6"/>
              <w:spacing w:before="21" w:line="242" w:lineRule="auto"/>
              <w:ind w:left="551" w:right="233" w:hanging="310"/>
            </w:pPr>
            <w:r>
              <w:rPr>
                <w:spacing w:val="-1"/>
              </w:rPr>
              <w:t>排放标准》（</w:t>
            </w:r>
            <w:r>
              <w:rPr>
                <w:rFonts w:ascii="Times New Roman" w:hAnsi="Times New Roman" w:eastAsia="Times New Roman" w:cs="Times New Roman"/>
                <w:spacing w:val="-1"/>
              </w:rPr>
              <w:t>GB12348</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-2008</w:t>
            </w:r>
            <w:r>
              <w:rPr>
                <w:spacing w:val="-1"/>
              </w:rPr>
              <w:t>）</w:t>
            </w:r>
            <w:r>
              <w:rPr>
                <w:rFonts w:ascii="Times New Roman" w:hAnsi="Times New Roman" w:eastAsia="Times New Roman" w:cs="Times New Roman"/>
                <w:spacing w:val="-1"/>
              </w:rPr>
              <w:t xml:space="preserve">3 </w:t>
            </w:r>
            <w:r>
              <w:rPr>
                <w:spacing w:val="-1"/>
              </w:rPr>
              <w:t>类标准</w:t>
            </w:r>
          </w:p>
        </w:tc>
      </w:tr>
      <w:tr w14:paraId="6880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566" w:type="dxa"/>
            <w:textDirection w:val="tbRlV"/>
            <w:vAlign w:val="top"/>
          </w:tcPr>
          <w:p w14:paraId="6A1C0712">
            <w:pPr>
              <w:pStyle w:val="6"/>
              <w:spacing w:before="169" w:line="202" w:lineRule="auto"/>
              <w:ind w:left="34"/>
            </w:pPr>
            <w:r>
              <w:rPr>
                <w:spacing w:val="49"/>
                <w:position w:val="1"/>
              </w:rPr>
              <w:t>电</w:t>
            </w:r>
            <w:r>
              <w:rPr>
                <w:spacing w:val="49"/>
              </w:rPr>
              <w:t>磁辐射</w:t>
            </w:r>
          </w:p>
        </w:tc>
        <w:tc>
          <w:tcPr>
            <w:tcW w:w="516" w:type="dxa"/>
            <w:vAlign w:val="top"/>
          </w:tcPr>
          <w:p w14:paraId="0C3A0A80">
            <w:pPr>
              <w:spacing w:line="430" w:lineRule="auto"/>
              <w:rPr>
                <w:rFonts w:ascii="Arial"/>
                <w:sz w:val="21"/>
              </w:rPr>
            </w:pPr>
          </w:p>
          <w:p w14:paraId="294A37BC">
            <w:pPr>
              <w:spacing w:before="63" w:line="193"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07" w:type="dxa"/>
            <w:vAlign w:val="top"/>
          </w:tcPr>
          <w:p w14:paraId="76236AA0">
            <w:pPr>
              <w:spacing w:line="430" w:lineRule="auto"/>
              <w:rPr>
                <w:rFonts w:ascii="Arial"/>
                <w:sz w:val="21"/>
              </w:rPr>
            </w:pPr>
          </w:p>
          <w:p w14:paraId="49804B45">
            <w:pPr>
              <w:spacing w:before="63" w:line="193"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6" w:type="dxa"/>
            <w:vAlign w:val="top"/>
          </w:tcPr>
          <w:p w14:paraId="3AF5FD6F">
            <w:pPr>
              <w:spacing w:line="430" w:lineRule="auto"/>
              <w:rPr>
                <w:rFonts w:ascii="Arial"/>
                <w:sz w:val="21"/>
              </w:rPr>
            </w:pPr>
          </w:p>
          <w:p w14:paraId="11746DCC">
            <w:pPr>
              <w:spacing w:before="63" w:line="193" w:lineRule="auto"/>
              <w:ind w:left="454"/>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912" w:type="dxa"/>
            <w:vAlign w:val="top"/>
          </w:tcPr>
          <w:p w14:paraId="4D275D3D">
            <w:pPr>
              <w:spacing w:line="430" w:lineRule="auto"/>
              <w:rPr>
                <w:rFonts w:ascii="Arial"/>
                <w:sz w:val="21"/>
              </w:rPr>
            </w:pPr>
          </w:p>
          <w:p w14:paraId="50167D81">
            <w:pPr>
              <w:spacing w:before="63" w:line="193" w:lineRule="auto"/>
              <w:ind w:left="142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649" w:type="dxa"/>
            <w:vAlign w:val="top"/>
          </w:tcPr>
          <w:p w14:paraId="292930A1">
            <w:pPr>
              <w:spacing w:line="430" w:lineRule="auto"/>
              <w:rPr>
                <w:rFonts w:ascii="Arial"/>
                <w:sz w:val="21"/>
              </w:rPr>
            </w:pPr>
          </w:p>
          <w:p w14:paraId="29BF480A">
            <w:pPr>
              <w:spacing w:before="63" w:line="193" w:lineRule="auto"/>
              <w:ind w:left="1291"/>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bl>
    <w:p w14:paraId="52DB8611">
      <w:pPr>
        <w:pStyle w:val="2"/>
      </w:pPr>
    </w:p>
    <w:p w14:paraId="047D6C26">
      <w:pPr>
        <w:sectPr>
          <w:footerReference r:id="rId83" w:type="default"/>
          <w:pgSz w:w="11906" w:h="16839"/>
          <w:pgMar w:top="400" w:right="1687" w:bottom="1257" w:left="1687" w:header="0" w:footer="1097" w:gutter="0"/>
          <w:cols w:space="720" w:num="1"/>
        </w:sectPr>
      </w:pPr>
    </w:p>
    <w:p w14:paraId="22CAB6AE">
      <w:pPr>
        <w:spacing w:before="19"/>
      </w:pPr>
    </w:p>
    <w:p w14:paraId="05D4F70E">
      <w:pPr>
        <w:spacing w:before="19"/>
      </w:pPr>
    </w:p>
    <w:p w14:paraId="10174AFE">
      <w:pPr>
        <w:spacing w:before="18"/>
      </w:pPr>
    </w:p>
    <w:p w14:paraId="6810B462">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516"/>
        <w:gridCol w:w="907"/>
        <w:gridCol w:w="976"/>
        <w:gridCol w:w="2912"/>
        <w:gridCol w:w="2649"/>
      </w:tblGrid>
      <w:tr w14:paraId="2F832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6" w:hRule="atLeast"/>
        </w:trPr>
        <w:tc>
          <w:tcPr>
            <w:tcW w:w="566" w:type="dxa"/>
            <w:vMerge w:val="restart"/>
            <w:tcBorders>
              <w:bottom w:val="nil"/>
            </w:tcBorders>
            <w:textDirection w:val="tbRlV"/>
            <w:vAlign w:val="top"/>
          </w:tcPr>
          <w:p w14:paraId="4304D075">
            <w:pPr>
              <w:pStyle w:val="6"/>
              <w:spacing w:before="169" w:line="210" w:lineRule="auto"/>
              <w:ind w:left="2923"/>
            </w:pPr>
            <w:r>
              <w:rPr>
                <w:spacing w:val="48"/>
              </w:rPr>
              <w:t>固体废物</w:t>
            </w:r>
          </w:p>
        </w:tc>
        <w:tc>
          <w:tcPr>
            <w:tcW w:w="516" w:type="dxa"/>
            <w:vMerge w:val="restart"/>
            <w:tcBorders>
              <w:bottom w:val="nil"/>
            </w:tcBorders>
            <w:textDirection w:val="tbRlV"/>
            <w:vAlign w:val="top"/>
          </w:tcPr>
          <w:p w14:paraId="357AF212">
            <w:pPr>
              <w:pStyle w:val="6"/>
              <w:spacing w:before="145" w:line="210" w:lineRule="auto"/>
              <w:ind w:left="898"/>
            </w:pPr>
            <w:r>
              <w:rPr>
                <w:spacing w:val="43"/>
              </w:rPr>
              <w:t>施工期</w:t>
            </w:r>
          </w:p>
        </w:tc>
        <w:tc>
          <w:tcPr>
            <w:tcW w:w="907" w:type="dxa"/>
            <w:vAlign w:val="top"/>
          </w:tcPr>
          <w:p w14:paraId="3AB7F870">
            <w:pPr>
              <w:spacing w:line="389" w:lineRule="auto"/>
              <w:rPr>
                <w:rFonts w:ascii="Arial"/>
                <w:sz w:val="21"/>
              </w:rPr>
            </w:pPr>
          </w:p>
          <w:p w14:paraId="7BAD389F">
            <w:pPr>
              <w:pStyle w:val="6"/>
              <w:spacing w:before="72" w:line="221" w:lineRule="auto"/>
              <w:ind w:left="125"/>
            </w:pPr>
            <w:r>
              <w:rPr>
                <w:spacing w:val="-2"/>
              </w:rPr>
              <w:t>施工作</w:t>
            </w:r>
          </w:p>
          <w:p w14:paraId="17BD3598">
            <w:pPr>
              <w:pStyle w:val="6"/>
              <w:spacing w:before="22" w:line="232" w:lineRule="auto"/>
              <w:ind w:left="346"/>
            </w:pPr>
            <w:r>
              <w:t>业</w:t>
            </w:r>
          </w:p>
        </w:tc>
        <w:tc>
          <w:tcPr>
            <w:tcW w:w="976" w:type="dxa"/>
            <w:vAlign w:val="top"/>
          </w:tcPr>
          <w:p w14:paraId="34FD2C45">
            <w:pPr>
              <w:spacing w:line="249" w:lineRule="auto"/>
              <w:rPr>
                <w:rFonts w:ascii="Arial"/>
                <w:sz w:val="21"/>
              </w:rPr>
            </w:pPr>
          </w:p>
          <w:p w14:paraId="01912176">
            <w:pPr>
              <w:pStyle w:val="6"/>
              <w:spacing w:before="71" w:line="220" w:lineRule="auto"/>
              <w:ind w:left="166"/>
            </w:pPr>
            <w:r>
              <w:rPr>
                <w:spacing w:val="-4"/>
              </w:rPr>
              <w:t>弃土、</w:t>
            </w:r>
          </w:p>
          <w:p w14:paraId="5AE012CC">
            <w:pPr>
              <w:pStyle w:val="6"/>
              <w:spacing w:before="23"/>
              <w:ind w:left="384" w:right="156" w:hanging="219"/>
            </w:pPr>
            <w:r>
              <w:rPr>
                <w:spacing w:val="-4"/>
              </w:rPr>
              <w:t>建筑垃</w:t>
            </w:r>
            <w:r>
              <w:t xml:space="preserve"> 圾</w:t>
            </w:r>
          </w:p>
        </w:tc>
        <w:tc>
          <w:tcPr>
            <w:tcW w:w="2912" w:type="dxa"/>
            <w:vAlign w:val="top"/>
          </w:tcPr>
          <w:p w14:paraId="42BA0645">
            <w:pPr>
              <w:pStyle w:val="6"/>
              <w:spacing w:before="36" w:line="220" w:lineRule="auto"/>
              <w:ind w:left="145"/>
            </w:pPr>
            <w:r>
              <w:rPr>
                <w:spacing w:val="-1"/>
              </w:rPr>
              <w:t>弃土、建筑垃圾能回收利用</w:t>
            </w:r>
          </w:p>
          <w:p w14:paraId="7A97AFCF">
            <w:pPr>
              <w:pStyle w:val="6"/>
              <w:spacing w:before="23" w:line="220" w:lineRule="auto"/>
              <w:ind w:left="148"/>
            </w:pPr>
            <w:r>
              <w:rPr>
                <w:spacing w:val="-2"/>
              </w:rPr>
              <w:t>予以回收利用，不能回收的</w:t>
            </w:r>
          </w:p>
          <w:p w14:paraId="04AEE964">
            <w:pPr>
              <w:pStyle w:val="6"/>
              <w:spacing w:before="22" w:line="219" w:lineRule="auto"/>
              <w:ind w:left="142"/>
            </w:pPr>
            <w:r>
              <w:rPr>
                <w:spacing w:val="-1"/>
              </w:rPr>
              <w:t>要集中收集转运至建筑垃圾</w:t>
            </w:r>
          </w:p>
          <w:p w14:paraId="4AD12F6B">
            <w:pPr>
              <w:pStyle w:val="6"/>
              <w:spacing w:before="22" w:line="217" w:lineRule="auto"/>
              <w:ind w:left="143"/>
            </w:pPr>
            <w:r>
              <w:rPr>
                <w:spacing w:val="-1"/>
              </w:rPr>
              <w:t>填埋场作消纳处理，不得随</w:t>
            </w:r>
          </w:p>
          <w:p w14:paraId="552A0BAA">
            <w:pPr>
              <w:pStyle w:val="6"/>
              <w:spacing w:before="30" w:line="207" w:lineRule="auto"/>
              <w:ind w:left="1028"/>
            </w:pPr>
            <w:r>
              <w:rPr>
                <w:spacing w:val="-4"/>
              </w:rPr>
              <w:t>意堆放。</w:t>
            </w:r>
          </w:p>
        </w:tc>
        <w:tc>
          <w:tcPr>
            <w:tcW w:w="2649" w:type="dxa"/>
            <w:vAlign w:val="top"/>
          </w:tcPr>
          <w:p w14:paraId="64CF253B">
            <w:pPr>
              <w:spacing w:line="266" w:lineRule="auto"/>
              <w:rPr>
                <w:rFonts w:ascii="Arial"/>
                <w:sz w:val="21"/>
              </w:rPr>
            </w:pPr>
          </w:p>
          <w:p w14:paraId="1FFE4FB3">
            <w:pPr>
              <w:spacing w:line="266" w:lineRule="auto"/>
              <w:rPr>
                <w:rFonts w:ascii="Arial"/>
                <w:sz w:val="21"/>
              </w:rPr>
            </w:pPr>
          </w:p>
          <w:p w14:paraId="32969F13">
            <w:pPr>
              <w:pStyle w:val="6"/>
              <w:spacing w:before="72" w:line="224" w:lineRule="auto"/>
              <w:ind w:left="890"/>
            </w:pPr>
            <w:r>
              <w:rPr>
                <w:spacing w:val="-3"/>
              </w:rPr>
              <w:t>合理处置</w:t>
            </w:r>
          </w:p>
        </w:tc>
      </w:tr>
      <w:tr w14:paraId="3CB48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566" w:type="dxa"/>
            <w:vMerge w:val="continue"/>
            <w:tcBorders>
              <w:top w:val="nil"/>
              <w:bottom w:val="nil"/>
            </w:tcBorders>
            <w:textDirection w:val="tbRlV"/>
            <w:vAlign w:val="top"/>
          </w:tcPr>
          <w:p w14:paraId="7727AC35">
            <w:pPr>
              <w:rPr>
                <w:rFonts w:ascii="Arial"/>
                <w:sz w:val="21"/>
              </w:rPr>
            </w:pPr>
          </w:p>
        </w:tc>
        <w:tc>
          <w:tcPr>
            <w:tcW w:w="516" w:type="dxa"/>
            <w:vMerge w:val="continue"/>
            <w:tcBorders>
              <w:top w:val="nil"/>
            </w:tcBorders>
            <w:textDirection w:val="tbRlV"/>
            <w:vAlign w:val="top"/>
          </w:tcPr>
          <w:p w14:paraId="79235D9C">
            <w:pPr>
              <w:rPr>
                <w:rFonts w:ascii="Arial"/>
                <w:sz w:val="21"/>
              </w:rPr>
            </w:pPr>
          </w:p>
        </w:tc>
        <w:tc>
          <w:tcPr>
            <w:tcW w:w="907" w:type="dxa"/>
            <w:vAlign w:val="top"/>
          </w:tcPr>
          <w:p w14:paraId="023B5093">
            <w:pPr>
              <w:spacing w:line="243" w:lineRule="auto"/>
              <w:rPr>
                <w:rFonts w:ascii="Arial"/>
                <w:sz w:val="21"/>
              </w:rPr>
            </w:pPr>
          </w:p>
          <w:p w14:paraId="5A4D640C">
            <w:pPr>
              <w:pStyle w:val="6"/>
              <w:spacing w:before="71" w:line="223" w:lineRule="auto"/>
              <w:ind w:left="125"/>
            </w:pPr>
            <w:r>
              <w:rPr>
                <w:spacing w:val="-2"/>
              </w:rPr>
              <w:t>施工人</w:t>
            </w:r>
          </w:p>
          <w:p w14:paraId="5E505521">
            <w:pPr>
              <w:pStyle w:val="6"/>
              <w:spacing w:before="19" w:line="222" w:lineRule="auto"/>
              <w:ind w:left="355"/>
            </w:pPr>
            <w:r>
              <w:t>员</w:t>
            </w:r>
          </w:p>
        </w:tc>
        <w:tc>
          <w:tcPr>
            <w:tcW w:w="976" w:type="dxa"/>
            <w:vAlign w:val="top"/>
          </w:tcPr>
          <w:p w14:paraId="760B4BA8">
            <w:pPr>
              <w:spacing w:line="243" w:lineRule="auto"/>
              <w:rPr>
                <w:rFonts w:ascii="Arial"/>
                <w:sz w:val="21"/>
              </w:rPr>
            </w:pPr>
          </w:p>
          <w:p w14:paraId="485D2045">
            <w:pPr>
              <w:pStyle w:val="6"/>
              <w:spacing w:before="71" w:line="242" w:lineRule="auto"/>
              <w:ind w:left="383" w:right="156" w:hanging="219"/>
            </w:pPr>
            <w:r>
              <w:rPr>
                <w:spacing w:val="-4"/>
              </w:rPr>
              <w:t>生活垃</w:t>
            </w:r>
            <w:r>
              <w:t xml:space="preserve"> 圾</w:t>
            </w:r>
          </w:p>
        </w:tc>
        <w:tc>
          <w:tcPr>
            <w:tcW w:w="2912" w:type="dxa"/>
            <w:vAlign w:val="top"/>
          </w:tcPr>
          <w:p w14:paraId="67D9C3E6">
            <w:pPr>
              <w:pStyle w:val="6"/>
              <w:spacing w:before="33" w:line="220" w:lineRule="auto"/>
              <w:ind w:left="140"/>
            </w:pPr>
            <w:r>
              <w:rPr>
                <w:spacing w:val="-1"/>
              </w:rPr>
              <w:t>施工人员在此生活期间产生</w:t>
            </w:r>
          </w:p>
          <w:p w14:paraId="36CD2DFA">
            <w:pPr>
              <w:pStyle w:val="6"/>
              <w:spacing w:before="21" w:line="220" w:lineRule="auto"/>
              <w:ind w:left="270"/>
            </w:pPr>
            <w:r>
              <w:rPr>
                <w:spacing w:val="-3"/>
              </w:rPr>
              <w:t>的生活垃圾要集中定点收</w:t>
            </w:r>
          </w:p>
          <w:p w14:paraId="3A233B39">
            <w:pPr>
              <w:pStyle w:val="6"/>
              <w:spacing w:before="23" w:line="220" w:lineRule="auto"/>
              <w:ind w:left="141"/>
            </w:pPr>
            <w:r>
              <w:rPr>
                <w:spacing w:val="-1"/>
              </w:rPr>
              <w:t>集，定期由环卫部门清运，</w:t>
            </w:r>
          </w:p>
          <w:p w14:paraId="449FBD1A">
            <w:pPr>
              <w:pStyle w:val="6"/>
              <w:spacing w:before="22" w:line="208" w:lineRule="auto"/>
              <w:ind w:left="366"/>
            </w:pPr>
            <w:r>
              <w:rPr>
                <w:spacing w:val="-2"/>
              </w:rPr>
              <w:t>不得任意堆放和丢弃。</w:t>
            </w:r>
          </w:p>
        </w:tc>
        <w:tc>
          <w:tcPr>
            <w:tcW w:w="2649" w:type="dxa"/>
            <w:vAlign w:val="top"/>
          </w:tcPr>
          <w:p w14:paraId="6BA860A0">
            <w:pPr>
              <w:spacing w:line="383" w:lineRule="auto"/>
              <w:rPr>
                <w:rFonts w:ascii="Arial"/>
                <w:sz w:val="21"/>
              </w:rPr>
            </w:pPr>
          </w:p>
          <w:p w14:paraId="749A3AAE">
            <w:pPr>
              <w:pStyle w:val="6"/>
              <w:spacing w:before="72" w:line="224" w:lineRule="auto"/>
              <w:ind w:left="890"/>
            </w:pPr>
            <w:r>
              <w:rPr>
                <w:spacing w:val="-3"/>
              </w:rPr>
              <w:t>合理处置</w:t>
            </w:r>
          </w:p>
        </w:tc>
      </w:tr>
      <w:tr w14:paraId="68836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66" w:type="dxa"/>
            <w:vMerge w:val="continue"/>
            <w:tcBorders>
              <w:top w:val="nil"/>
              <w:bottom w:val="nil"/>
            </w:tcBorders>
            <w:textDirection w:val="tbRlV"/>
            <w:vAlign w:val="top"/>
          </w:tcPr>
          <w:p w14:paraId="178A21D2">
            <w:pPr>
              <w:rPr>
                <w:rFonts w:ascii="Arial"/>
                <w:sz w:val="21"/>
              </w:rPr>
            </w:pPr>
          </w:p>
        </w:tc>
        <w:tc>
          <w:tcPr>
            <w:tcW w:w="516" w:type="dxa"/>
            <w:vMerge w:val="restart"/>
            <w:tcBorders>
              <w:bottom w:val="nil"/>
            </w:tcBorders>
            <w:textDirection w:val="tbRlV"/>
            <w:vAlign w:val="top"/>
          </w:tcPr>
          <w:p w14:paraId="54429BB1">
            <w:pPr>
              <w:pStyle w:val="6"/>
              <w:spacing w:before="146" w:line="209" w:lineRule="auto"/>
              <w:ind w:left="1767"/>
            </w:pPr>
            <w:r>
              <w:rPr>
                <w:spacing w:val="43"/>
              </w:rPr>
              <w:t>运营期</w:t>
            </w:r>
          </w:p>
        </w:tc>
        <w:tc>
          <w:tcPr>
            <w:tcW w:w="907" w:type="dxa"/>
            <w:vAlign w:val="top"/>
          </w:tcPr>
          <w:p w14:paraId="27226B18">
            <w:pPr>
              <w:pStyle w:val="6"/>
              <w:spacing w:before="188" w:line="242" w:lineRule="auto"/>
              <w:ind w:left="350" w:right="124" w:hanging="215"/>
            </w:pPr>
            <w:r>
              <w:rPr>
                <w:spacing w:val="-6"/>
              </w:rPr>
              <w:t>员工生</w:t>
            </w:r>
            <w:r>
              <w:t xml:space="preserve"> 活</w:t>
            </w:r>
          </w:p>
        </w:tc>
        <w:tc>
          <w:tcPr>
            <w:tcW w:w="976" w:type="dxa"/>
            <w:vAlign w:val="top"/>
          </w:tcPr>
          <w:p w14:paraId="697F7431">
            <w:pPr>
              <w:pStyle w:val="6"/>
              <w:spacing w:before="188" w:line="242" w:lineRule="auto"/>
              <w:ind w:left="383" w:right="156" w:hanging="219"/>
            </w:pPr>
            <w:r>
              <w:rPr>
                <w:spacing w:val="-4"/>
              </w:rPr>
              <w:t>生活垃</w:t>
            </w:r>
            <w:r>
              <w:t xml:space="preserve"> 圾</w:t>
            </w:r>
          </w:p>
        </w:tc>
        <w:tc>
          <w:tcPr>
            <w:tcW w:w="2912" w:type="dxa"/>
            <w:vAlign w:val="top"/>
          </w:tcPr>
          <w:p w14:paraId="6E6C99E4">
            <w:pPr>
              <w:pStyle w:val="6"/>
              <w:spacing w:before="188" w:line="220" w:lineRule="auto"/>
              <w:ind w:left="143"/>
            </w:pPr>
            <w:r>
              <w:rPr>
                <w:spacing w:val="-1"/>
              </w:rPr>
              <w:t>生活垃圾由环卫部门统一收</w:t>
            </w:r>
          </w:p>
          <w:p w14:paraId="437C689B">
            <w:pPr>
              <w:pStyle w:val="6"/>
              <w:spacing w:before="23" w:line="220" w:lineRule="auto"/>
              <w:ind w:left="912"/>
            </w:pPr>
            <w:r>
              <w:rPr>
                <w:spacing w:val="-2"/>
              </w:rPr>
              <w:t>集并处置。</w:t>
            </w:r>
          </w:p>
        </w:tc>
        <w:tc>
          <w:tcPr>
            <w:tcW w:w="2649" w:type="dxa"/>
            <w:vMerge w:val="restart"/>
            <w:tcBorders>
              <w:bottom w:val="nil"/>
            </w:tcBorders>
            <w:vAlign w:val="top"/>
          </w:tcPr>
          <w:p w14:paraId="36EC8E5B">
            <w:pPr>
              <w:spacing w:line="246" w:lineRule="auto"/>
              <w:rPr>
                <w:rFonts w:ascii="Arial"/>
                <w:sz w:val="21"/>
              </w:rPr>
            </w:pPr>
          </w:p>
          <w:p w14:paraId="0A48156B">
            <w:pPr>
              <w:spacing w:line="246" w:lineRule="auto"/>
              <w:rPr>
                <w:rFonts w:ascii="Arial"/>
                <w:sz w:val="21"/>
              </w:rPr>
            </w:pPr>
          </w:p>
          <w:p w14:paraId="70841BE3">
            <w:pPr>
              <w:spacing w:line="246" w:lineRule="auto"/>
              <w:rPr>
                <w:rFonts w:ascii="Arial"/>
                <w:sz w:val="21"/>
              </w:rPr>
            </w:pPr>
          </w:p>
          <w:p w14:paraId="0F89CF1F">
            <w:pPr>
              <w:spacing w:line="246" w:lineRule="auto"/>
              <w:rPr>
                <w:rFonts w:ascii="Arial"/>
                <w:sz w:val="21"/>
              </w:rPr>
            </w:pPr>
          </w:p>
          <w:p w14:paraId="0DB2F73A">
            <w:pPr>
              <w:spacing w:line="246" w:lineRule="auto"/>
              <w:rPr>
                <w:rFonts w:ascii="Arial"/>
                <w:sz w:val="21"/>
              </w:rPr>
            </w:pPr>
          </w:p>
          <w:p w14:paraId="5DE8B848">
            <w:pPr>
              <w:spacing w:line="246" w:lineRule="auto"/>
              <w:rPr>
                <w:rFonts w:ascii="Arial"/>
                <w:sz w:val="21"/>
              </w:rPr>
            </w:pPr>
          </w:p>
          <w:p w14:paraId="67F69963">
            <w:pPr>
              <w:spacing w:line="246" w:lineRule="auto"/>
              <w:rPr>
                <w:rFonts w:ascii="Arial"/>
                <w:sz w:val="21"/>
              </w:rPr>
            </w:pPr>
          </w:p>
          <w:p w14:paraId="0DE555AD">
            <w:pPr>
              <w:spacing w:line="247" w:lineRule="auto"/>
              <w:rPr>
                <w:rFonts w:ascii="Arial"/>
                <w:sz w:val="21"/>
              </w:rPr>
            </w:pPr>
          </w:p>
          <w:p w14:paraId="14339E92">
            <w:pPr>
              <w:pStyle w:val="6"/>
              <w:spacing w:before="72" w:line="224" w:lineRule="auto"/>
              <w:ind w:left="890"/>
            </w:pPr>
            <w:r>
              <w:rPr>
                <w:spacing w:val="-3"/>
              </w:rPr>
              <w:t>合理处置</w:t>
            </w:r>
          </w:p>
        </w:tc>
      </w:tr>
      <w:tr w14:paraId="5B933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66" w:type="dxa"/>
            <w:vMerge w:val="continue"/>
            <w:tcBorders>
              <w:top w:val="nil"/>
              <w:bottom w:val="nil"/>
            </w:tcBorders>
            <w:textDirection w:val="tbRlV"/>
            <w:vAlign w:val="top"/>
          </w:tcPr>
          <w:p w14:paraId="335AD702">
            <w:pPr>
              <w:rPr>
                <w:rFonts w:ascii="Arial"/>
                <w:sz w:val="21"/>
              </w:rPr>
            </w:pPr>
          </w:p>
        </w:tc>
        <w:tc>
          <w:tcPr>
            <w:tcW w:w="516" w:type="dxa"/>
            <w:vMerge w:val="continue"/>
            <w:tcBorders>
              <w:top w:val="nil"/>
              <w:bottom w:val="nil"/>
            </w:tcBorders>
            <w:textDirection w:val="tbRlV"/>
            <w:vAlign w:val="top"/>
          </w:tcPr>
          <w:p w14:paraId="4D9C4472">
            <w:pPr>
              <w:rPr>
                <w:rFonts w:ascii="Arial"/>
                <w:sz w:val="21"/>
              </w:rPr>
            </w:pPr>
          </w:p>
        </w:tc>
        <w:tc>
          <w:tcPr>
            <w:tcW w:w="907" w:type="dxa"/>
            <w:vMerge w:val="restart"/>
            <w:tcBorders>
              <w:bottom w:val="nil"/>
            </w:tcBorders>
            <w:vAlign w:val="top"/>
          </w:tcPr>
          <w:p w14:paraId="7EACDC52">
            <w:pPr>
              <w:spacing w:line="248" w:lineRule="auto"/>
              <w:rPr>
                <w:rFonts w:ascii="Arial"/>
                <w:sz w:val="21"/>
              </w:rPr>
            </w:pPr>
          </w:p>
          <w:p w14:paraId="294F9145">
            <w:pPr>
              <w:spacing w:line="248" w:lineRule="auto"/>
              <w:rPr>
                <w:rFonts w:ascii="Arial"/>
                <w:sz w:val="21"/>
              </w:rPr>
            </w:pPr>
          </w:p>
          <w:p w14:paraId="50EDB426">
            <w:pPr>
              <w:spacing w:line="248" w:lineRule="auto"/>
              <w:rPr>
                <w:rFonts w:ascii="Arial"/>
                <w:sz w:val="21"/>
              </w:rPr>
            </w:pPr>
          </w:p>
          <w:p w14:paraId="4B6A0472">
            <w:pPr>
              <w:spacing w:line="248" w:lineRule="auto"/>
              <w:rPr>
                <w:rFonts w:ascii="Arial"/>
                <w:sz w:val="21"/>
              </w:rPr>
            </w:pPr>
          </w:p>
          <w:p w14:paraId="6BDB00C1">
            <w:pPr>
              <w:spacing w:line="249" w:lineRule="auto"/>
              <w:rPr>
                <w:rFonts w:ascii="Arial"/>
                <w:sz w:val="21"/>
              </w:rPr>
            </w:pPr>
          </w:p>
          <w:p w14:paraId="060E81C6">
            <w:pPr>
              <w:pStyle w:val="6"/>
              <w:spacing w:before="71" w:line="220" w:lineRule="auto"/>
              <w:ind w:left="128"/>
            </w:pPr>
            <w:r>
              <w:rPr>
                <w:spacing w:val="-3"/>
              </w:rPr>
              <w:t>车辆维</w:t>
            </w:r>
          </w:p>
          <w:p w14:paraId="04D32440">
            <w:pPr>
              <w:pStyle w:val="6"/>
              <w:spacing w:before="23" w:line="220" w:lineRule="auto"/>
              <w:ind w:left="126"/>
            </w:pPr>
            <w:r>
              <w:t>修、洗</w:t>
            </w:r>
          </w:p>
          <w:p w14:paraId="553D8248">
            <w:pPr>
              <w:pStyle w:val="6"/>
              <w:spacing w:before="23" w:line="220" w:lineRule="auto"/>
              <w:ind w:left="348"/>
            </w:pPr>
            <w:r>
              <w:t>车</w:t>
            </w:r>
          </w:p>
        </w:tc>
        <w:tc>
          <w:tcPr>
            <w:tcW w:w="976" w:type="dxa"/>
            <w:vAlign w:val="top"/>
          </w:tcPr>
          <w:p w14:paraId="2B584CC0">
            <w:pPr>
              <w:pStyle w:val="6"/>
              <w:spacing w:before="34" w:line="220" w:lineRule="auto"/>
              <w:ind w:left="164"/>
            </w:pPr>
            <w:r>
              <w:rPr>
                <w:spacing w:val="-3"/>
              </w:rPr>
              <w:t>车辆废</w:t>
            </w:r>
          </w:p>
          <w:p w14:paraId="5A9B61EC">
            <w:pPr>
              <w:pStyle w:val="6"/>
              <w:spacing w:before="20" w:line="208" w:lineRule="auto"/>
              <w:ind w:left="166"/>
            </w:pPr>
            <w:r>
              <w:rPr>
                <w:spacing w:val="-4"/>
              </w:rPr>
              <w:t>弃零件</w:t>
            </w:r>
          </w:p>
        </w:tc>
        <w:tc>
          <w:tcPr>
            <w:tcW w:w="2912" w:type="dxa"/>
            <w:vAlign w:val="top"/>
          </w:tcPr>
          <w:p w14:paraId="7D9547D0">
            <w:pPr>
              <w:pStyle w:val="6"/>
              <w:spacing w:before="33" w:line="217" w:lineRule="auto"/>
              <w:ind w:left="143"/>
            </w:pPr>
            <w:r>
              <w:rPr>
                <w:spacing w:val="-1"/>
              </w:rPr>
              <w:t>车辆废弃零件经收集后外售</w:t>
            </w:r>
          </w:p>
          <w:p w14:paraId="1E85610C">
            <w:pPr>
              <w:pStyle w:val="6"/>
              <w:spacing w:before="25" w:line="208" w:lineRule="auto"/>
              <w:ind w:left="914"/>
            </w:pPr>
            <w:r>
              <w:rPr>
                <w:spacing w:val="-3"/>
              </w:rPr>
              <w:t>综合利用。</w:t>
            </w:r>
          </w:p>
        </w:tc>
        <w:tc>
          <w:tcPr>
            <w:tcW w:w="2649" w:type="dxa"/>
            <w:vMerge w:val="continue"/>
            <w:tcBorders>
              <w:top w:val="nil"/>
              <w:bottom w:val="nil"/>
            </w:tcBorders>
            <w:vAlign w:val="top"/>
          </w:tcPr>
          <w:p w14:paraId="2159FBA3">
            <w:pPr>
              <w:rPr>
                <w:rFonts w:ascii="Arial"/>
                <w:sz w:val="21"/>
              </w:rPr>
            </w:pPr>
          </w:p>
        </w:tc>
      </w:tr>
      <w:tr w14:paraId="29C1E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8" w:hRule="atLeast"/>
        </w:trPr>
        <w:tc>
          <w:tcPr>
            <w:tcW w:w="566" w:type="dxa"/>
            <w:vMerge w:val="continue"/>
            <w:tcBorders>
              <w:top w:val="nil"/>
            </w:tcBorders>
            <w:textDirection w:val="tbRlV"/>
            <w:vAlign w:val="top"/>
          </w:tcPr>
          <w:p w14:paraId="611BFCF6">
            <w:pPr>
              <w:rPr>
                <w:rFonts w:ascii="Arial"/>
                <w:sz w:val="21"/>
              </w:rPr>
            </w:pPr>
          </w:p>
        </w:tc>
        <w:tc>
          <w:tcPr>
            <w:tcW w:w="516" w:type="dxa"/>
            <w:vMerge w:val="continue"/>
            <w:tcBorders>
              <w:top w:val="nil"/>
            </w:tcBorders>
            <w:textDirection w:val="tbRlV"/>
            <w:vAlign w:val="top"/>
          </w:tcPr>
          <w:p w14:paraId="0F8EB3A8">
            <w:pPr>
              <w:rPr>
                <w:rFonts w:ascii="Arial"/>
                <w:sz w:val="21"/>
              </w:rPr>
            </w:pPr>
          </w:p>
        </w:tc>
        <w:tc>
          <w:tcPr>
            <w:tcW w:w="907" w:type="dxa"/>
            <w:vMerge w:val="continue"/>
            <w:tcBorders>
              <w:top w:val="nil"/>
            </w:tcBorders>
            <w:vAlign w:val="top"/>
          </w:tcPr>
          <w:p w14:paraId="09EA6F33">
            <w:pPr>
              <w:rPr>
                <w:rFonts w:ascii="Arial"/>
                <w:sz w:val="21"/>
              </w:rPr>
            </w:pPr>
          </w:p>
        </w:tc>
        <w:tc>
          <w:tcPr>
            <w:tcW w:w="976" w:type="dxa"/>
            <w:vAlign w:val="top"/>
          </w:tcPr>
          <w:p w14:paraId="79E92AD3">
            <w:pPr>
              <w:pStyle w:val="6"/>
              <w:spacing w:before="33" w:line="239" w:lineRule="auto"/>
              <w:ind w:left="166" w:right="156" w:firstLine="105"/>
            </w:pPr>
            <w:r>
              <w:rPr>
                <w:spacing w:val="-3"/>
              </w:rPr>
              <w:t>废机</w:t>
            </w:r>
            <w:r>
              <w:t xml:space="preserve">  </w:t>
            </w:r>
            <w:r>
              <w:rPr>
                <w:spacing w:val="-4"/>
              </w:rPr>
              <w:t>油、废</w:t>
            </w:r>
          </w:p>
          <w:p w14:paraId="64F34D7C">
            <w:pPr>
              <w:pStyle w:val="6"/>
              <w:spacing w:before="2" w:line="239" w:lineRule="auto"/>
              <w:ind w:left="163" w:right="156" w:hanging="1"/>
            </w:pPr>
            <w:r>
              <w:rPr>
                <w:spacing w:val="-3"/>
              </w:rPr>
              <w:t>手套、</w:t>
            </w:r>
            <w:r>
              <w:t xml:space="preserve"> </w:t>
            </w:r>
            <w:r>
              <w:rPr>
                <w:spacing w:val="50"/>
              </w:rPr>
              <w:t>废油</w:t>
            </w:r>
            <w:r>
              <w:t xml:space="preserve">  </w:t>
            </w:r>
            <w:r>
              <w:rPr>
                <w:spacing w:val="-4"/>
              </w:rPr>
              <w:t>桶、含</w:t>
            </w:r>
          </w:p>
          <w:p w14:paraId="1F146932">
            <w:pPr>
              <w:pStyle w:val="6"/>
              <w:spacing w:before="1" w:line="220" w:lineRule="auto"/>
              <w:ind w:left="166"/>
            </w:pPr>
            <w:r>
              <w:rPr>
                <w:spacing w:val="-4"/>
              </w:rPr>
              <w:t>油废抹</w:t>
            </w:r>
          </w:p>
          <w:p w14:paraId="7AD2526E">
            <w:pPr>
              <w:pStyle w:val="6"/>
              <w:spacing w:before="22" w:line="219" w:lineRule="auto"/>
              <w:ind w:left="162"/>
            </w:pPr>
            <w:r>
              <w:t>布、污</w:t>
            </w:r>
          </w:p>
          <w:p w14:paraId="4B84CB77">
            <w:pPr>
              <w:pStyle w:val="6"/>
              <w:spacing w:before="23" w:line="222" w:lineRule="auto"/>
              <w:ind w:left="164"/>
            </w:pPr>
            <w:r>
              <w:rPr>
                <w:spacing w:val="-1"/>
              </w:rPr>
              <w:t>泥、浮</w:t>
            </w:r>
          </w:p>
          <w:p w14:paraId="3AD22795">
            <w:pPr>
              <w:pStyle w:val="6"/>
              <w:spacing w:before="21" w:line="223" w:lineRule="auto"/>
              <w:ind w:left="272" w:right="156" w:hanging="110"/>
            </w:pPr>
            <w:r>
              <w:rPr>
                <w:spacing w:val="-3"/>
              </w:rPr>
              <w:t>渣和沉</w:t>
            </w:r>
            <w:r>
              <w:t xml:space="preserve"> </w:t>
            </w:r>
            <w:r>
              <w:rPr>
                <w:spacing w:val="-4"/>
              </w:rPr>
              <w:t>渣等</w:t>
            </w:r>
          </w:p>
        </w:tc>
        <w:tc>
          <w:tcPr>
            <w:tcW w:w="2912" w:type="dxa"/>
            <w:vAlign w:val="top"/>
          </w:tcPr>
          <w:p w14:paraId="728242BE">
            <w:pPr>
              <w:spacing w:line="270" w:lineRule="auto"/>
              <w:rPr>
                <w:rFonts w:ascii="Arial"/>
                <w:sz w:val="21"/>
              </w:rPr>
            </w:pPr>
          </w:p>
          <w:p w14:paraId="77793558">
            <w:pPr>
              <w:spacing w:line="271" w:lineRule="auto"/>
              <w:rPr>
                <w:rFonts w:ascii="Arial"/>
                <w:sz w:val="21"/>
              </w:rPr>
            </w:pPr>
          </w:p>
          <w:p w14:paraId="47369FFA">
            <w:pPr>
              <w:spacing w:line="271" w:lineRule="auto"/>
              <w:rPr>
                <w:rFonts w:ascii="Arial"/>
                <w:sz w:val="21"/>
              </w:rPr>
            </w:pPr>
          </w:p>
          <w:p w14:paraId="2930F6CD">
            <w:pPr>
              <w:pStyle w:val="6"/>
              <w:spacing w:before="71" w:line="219" w:lineRule="auto"/>
              <w:ind w:left="143"/>
            </w:pPr>
            <w:r>
              <w:rPr>
                <w:spacing w:val="-1"/>
              </w:rPr>
              <w:t>经专门的收集桶收集后放置</w:t>
            </w:r>
          </w:p>
          <w:p w14:paraId="5F11336D">
            <w:pPr>
              <w:pStyle w:val="6"/>
              <w:spacing w:before="25" w:line="220" w:lineRule="auto"/>
              <w:ind w:left="140"/>
            </w:pPr>
            <w:r>
              <w:rPr>
                <w:spacing w:val="-1"/>
              </w:rPr>
              <w:t>在危废暂存间中暂存，按危</w:t>
            </w:r>
          </w:p>
          <w:p w14:paraId="0CE6FD54">
            <w:pPr>
              <w:pStyle w:val="6"/>
              <w:spacing w:before="21" w:line="220" w:lineRule="auto"/>
              <w:ind w:left="153"/>
            </w:pPr>
            <w:r>
              <w:rPr>
                <w:spacing w:val="-2"/>
              </w:rPr>
              <w:t>险废物管理有关规定送至有</w:t>
            </w:r>
          </w:p>
          <w:p w14:paraId="63BC8E8F">
            <w:pPr>
              <w:pStyle w:val="6"/>
              <w:spacing w:before="22" w:line="219" w:lineRule="auto"/>
              <w:ind w:left="372"/>
            </w:pPr>
            <w:r>
              <w:rPr>
                <w:spacing w:val="-2"/>
              </w:rPr>
              <w:t>资质的单位进行处理。</w:t>
            </w:r>
          </w:p>
        </w:tc>
        <w:tc>
          <w:tcPr>
            <w:tcW w:w="2649" w:type="dxa"/>
            <w:vMerge w:val="continue"/>
            <w:tcBorders>
              <w:top w:val="nil"/>
            </w:tcBorders>
            <w:vAlign w:val="top"/>
          </w:tcPr>
          <w:p w14:paraId="42B1AFCC">
            <w:pPr>
              <w:rPr>
                <w:rFonts w:ascii="Arial"/>
                <w:sz w:val="21"/>
              </w:rPr>
            </w:pPr>
          </w:p>
        </w:tc>
      </w:tr>
      <w:tr w14:paraId="215A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8" w:hRule="atLeast"/>
        </w:trPr>
        <w:tc>
          <w:tcPr>
            <w:tcW w:w="1082" w:type="dxa"/>
            <w:gridSpan w:val="2"/>
            <w:vAlign w:val="top"/>
          </w:tcPr>
          <w:p w14:paraId="0E475930">
            <w:pPr>
              <w:spacing w:line="261" w:lineRule="auto"/>
              <w:rPr>
                <w:rFonts w:ascii="Arial"/>
                <w:sz w:val="21"/>
              </w:rPr>
            </w:pPr>
          </w:p>
          <w:p w14:paraId="7649DDAC">
            <w:pPr>
              <w:spacing w:line="261" w:lineRule="auto"/>
              <w:rPr>
                <w:rFonts w:ascii="Arial"/>
                <w:sz w:val="21"/>
              </w:rPr>
            </w:pPr>
          </w:p>
          <w:p w14:paraId="7CAF6CD6">
            <w:pPr>
              <w:spacing w:line="261" w:lineRule="auto"/>
              <w:rPr>
                <w:rFonts w:ascii="Arial"/>
                <w:sz w:val="21"/>
              </w:rPr>
            </w:pPr>
          </w:p>
          <w:p w14:paraId="7F9E5F66">
            <w:pPr>
              <w:spacing w:line="261" w:lineRule="auto"/>
              <w:rPr>
                <w:rFonts w:ascii="Arial"/>
                <w:sz w:val="21"/>
              </w:rPr>
            </w:pPr>
          </w:p>
          <w:p w14:paraId="4EF4E45F">
            <w:pPr>
              <w:spacing w:line="261" w:lineRule="auto"/>
              <w:rPr>
                <w:rFonts w:ascii="Arial"/>
                <w:sz w:val="21"/>
              </w:rPr>
            </w:pPr>
          </w:p>
          <w:p w14:paraId="67AD730F">
            <w:pPr>
              <w:spacing w:line="261" w:lineRule="auto"/>
              <w:rPr>
                <w:rFonts w:ascii="Arial"/>
                <w:sz w:val="21"/>
              </w:rPr>
            </w:pPr>
          </w:p>
          <w:p w14:paraId="42391AEF">
            <w:pPr>
              <w:spacing w:line="261" w:lineRule="auto"/>
              <w:rPr>
                <w:rFonts w:ascii="Arial"/>
                <w:sz w:val="21"/>
              </w:rPr>
            </w:pPr>
          </w:p>
          <w:p w14:paraId="7E53849C">
            <w:pPr>
              <w:spacing w:line="261" w:lineRule="auto"/>
              <w:rPr>
                <w:rFonts w:ascii="Arial"/>
                <w:sz w:val="21"/>
              </w:rPr>
            </w:pPr>
          </w:p>
          <w:p w14:paraId="1ECF3AD7">
            <w:pPr>
              <w:spacing w:line="261" w:lineRule="auto"/>
              <w:rPr>
                <w:rFonts w:ascii="Arial"/>
                <w:sz w:val="21"/>
              </w:rPr>
            </w:pPr>
          </w:p>
          <w:p w14:paraId="486CC4C0">
            <w:pPr>
              <w:spacing w:line="262" w:lineRule="auto"/>
              <w:rPr>
                <w:rFonts w:ascii="Arial"/>
                <w:sz w:val="21"/>
              </w:rPr>
            </w:pPr>
          </w:p>
          <w:p w14:paraId="34BF800B">
            <w:pPr>
              <w:spacing w:line="262" w:lineRule="auto"/>
              <w:rPr>
                <w:rFonts w:ascii="Arial"/>
                <w:sz w:val="21"/>
              </w:rPr>
            </w:pPr>
          </w:p>
          <w:p w14:paraId="3237FC98">
            <w:pPr>
              <w:pStyle w:val="6"/>
              <w:spacing w:before="71" w:line="222" w:lineRule="auto"/>
              <w:ind w:left="218"/>
            </w:pPr>
            <w:r>
              <w:rPr>
                <w:spacing w:val="-3"/>
              </w:rPr>
              <w:t>土壤及</w:t>
            </w:r>
          </w:p>
          <w:p w14:paraId="341618B5">
            <w:pPr>
              <w:pStyle w:val="6"/>
              <w:spacing w:before="21" w:line="220" w:lineRule="auto"/>
              <w:ind w:left="217"/>
            </w:pPr>
            <w:r>
              <w:rPr>
                <w:spacing w:val="-3"/>
              </w:rPr>
              <w:t>地下水</w:t>
            </w:r>
          </w:p>
          <w:p w14:paraId="03F85BFD">
            <w:pPr>
              <w:pStyle w:val="6"/>
              <w:spacing w:before="23" w:line="221" w:lineRule="auto"/>
              <w:ind w:left="218"/>
            </w:pPr>
            <w:r>
              <w:rPr>
                <w:spacing w:val="-3"/>
              </w:rPr>
              <w:t>污染防</w:t>
            </w:r>
          </w:p>
          <w:p w14:paraId="7BFDA5FB">
            <w:pPr>
              <w:pStyle w:val="6"/>
              <w:spacing w:before="22" w:line="221" w:lineRule="auto"/>
              <w:ind w:left="222"/>
            </w:pPr>
            <w:r>
              <w:rPr>
                <w:spacing w:val="-5"/>
              </w:rPr>
              <w:t>治措施</w:t>
            </w:r>
          </w:p>
        </w:tc>
        <w:tc>
          <w:tcPr>
            <w:tcW w:w="7444" w:type="dxa"/>
            <w:gridSpan w:val="4"/>
            <w:vAlign w:val="top"/>
          </w:tcPr>
          <w:p w14:paraId="0F3A1AE4">
            <w:pPr>
              <w:pStyle w:val="6"/>
              <w:spacing w:before="190" w:line="359" w:lineRule="auto"/>
              <w:ind w:left="112" w:firstLine="435"/>
              <w:jc w:val="both"/>
            </w:pPr>
            <w:r>
              <w:rPr>
                <w:spacing w:val="-2"/>
              </w:rPr>
              <w:t>在土壤及地下水污染防治方面，本项目坚持以“注</w:t>
            </w:r>
            <w:r>
              <w:rPr>
                <w:spacing w:val="-3"/>
              </w:rPr>
              <w:t>重源头控制、强化监</w:t>
            </w:r>
            <w:r>
              <w:t xml:space="preserve">  </w:t>
            </w:r>
            <w:r>
              <w:rPr>
                <w:spacing w:val="1"/>
              </w:rPr>
              <w:t>测手段、污水集中处理、完善应急响应系统建设</w:t>
            </w:r>
            <w:r>
              <w:rPr>
                <w:spacing w:val="-78"/>
              </w:rPr>
              <w:t xml:space="preserve"> </w:t>
            </w:r>
            <w:r>
              <w:rPr>
                <w:spacing w:val="1"/>
              </w:rPr>
              <w:t>”为原则，以“主动控制”</w:t>
            </w:r>
            <w:r>
              <w:t xml:space="preserve"> </w:t>
            </w:r>
            <w:r>
              <w:rPr>
                <w:spacing w:val="-2"/>
              </w:rPr>
              <w:t>为宗旨，避免废水泄漏事故及防渗措施失效事故的发</w:t>
            </w:r>
            <w:r>
              <w:rPr>
                <w:spacing w:val="-3"/>
              </w:rPr>
              <w:t>生。若发生事故，则采</w:t>
            </w:r>
            <w:r>
              <w:t xml:space="preserve">  </w:t>
            </w:r>
            <w:r>
              <w:rPr>
                <w:spacing w:val="-2"/>
              </w:rPr>
              <w:t>取应急响应处理办法，尽最快速度处理，严防污染物</w:t>
            </w:r>
            <w:r>
              <w:rPr>
                <w:spacing w:val="-3"/>
              </w:rPr>
              <w:t>进入土壤与地下水，造</w:t>
            </w:r>
            <w:r>
              <w:t xml:space="preserve">  </w:t>
            </w:r>
            <w:r>
              <w:rPr>
                <w:spacing w:val="-3"/>
              </w:rPr>
              <w:t>成不良影响。</w:t>
            </w:r>
          </w:p>
          <w:p w14:paraId="092B9830">
            <w:pPr>
              <w:pStyle w:val="6"/>
              <w:spacing w:before="1" w:line="359" w:lineRule="auto"/>
              <w:ind w:left="112" w:right="106" w:firstLine="440"/>
            </w:pPr>
            <w:r>
              <w:rPr>
                <w:spacing w:val="-1"/>
              </w:rPr>
              <w:t>本项目运营期产生的废水主要有生活污水、洗车</w:t>
            </w:r>
            <w:r>
              <w:rPr>
                <w:spacing w:val="-2"/>
              </w:rPr>
              <w:t>废水、地面冲洗水和消</w:t>
            </w:r>
            <w:r>
              <w:t xml:space="preserve"> </w:t>
            </w:r>
            <w:r>
              <w:rPr>
                <w:spacing w:val="-3"/>
              </w:rPr>
              <w:t>防废水。生活污水中的主要污染物为</w:t>
            </w:r>
            <w:r>
              <w:rPr>
                <w:spacing w:val="-38"/>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4"/>
                <w:szCs w:val="14"/>
              </w:rPr>
              <w:t>5</w:t>
            </w:r>
            <w:r>
              <w:rPr>
                <w:rFonts w:ascii="Times New Roman" w:hAnsi="Times New Roman" w:eastAsia="Times New Roman" w:cs="Times New Roman"/>
                <w:spacing w:val="-9"/>
                <w:position w:val="-1"/>
                <w:sz w:val="14"/>
                <w:szCs w:val="14"/>
              </w:rPr>
              <w:t xml:space="preserve"> </w:t>
            </w:r>
            <w:r>
              <w:rPr>
                <w:spacing w:val="-3"/>
              </w:rPr>
              <w:t>、</w:t>
            </w:r>
            <w:r>
              <w:rPr>
                <w:rFonts w:ascii="Times New Roman" w:hAnsi="Times New Roman" w:eastAsia="Times New Roman" w:cs="Times New Roman"/>
                <w:spacing w:val="-3"/>
              </w:rPr>
              <w:t>SS</w:t>
            </w:r>
            <w:r>
              <w:rPr>
                <w:rFonts w:ascii="Times New Roman" w:hAnsi="Times New Roman" w:eastAsia="Times New Roman" w:cs="Times New Roman"/>
                <w:spacing w:val="-32"/>
              </w:rPr>
              <w:t xml:space="preserve"> </w:t>
            </w:r>
            <w:r>
              <w:rPr>
                <w:spacing w:val="-3"/>
              </w:rPr>
              <w:t>、氨氮，洗车废水、</w:t>
            </w:r>
            <w:r>
              <w:t xml:space="preserve"> </w:t>
            </w:r>
            <w:r>
              <w:rPr>
                <w:spacing w:val="-1"/>
              </w:rPr>
              <w:t>地面冲洗废水中的主要污染物为主要污染物为悬浮物、石</w:t>
            </w:r>
            <w:r>
              <w:rPr>
                <w:spacing w:val="-2"/>
              </w:rPr>
              <w:t>油类等。生活污水</w:t>
            </w:r>
            <w:r>
              <w:t xml:space="preserve"> </w:t>
            </w:r>
            <w:r>
              <w:rPr>
                <w:spacing w:val="-1"/>
              </w:rPr>
              <w:t>经隔油池、化粪池收集停留一段时间后，排入园区污水管</w:t>
            </w:r>
            <w:r>
              <w:rPr>
                <w:spacing w:val="-2"/>
              </w:rPr>
              <w:t>网；洗车废水、地</w:t>
            </w:r>
            <w:r>
              <w:t xml:space="preserve"> </w:t>
            </w:r>
            <w:r>
              <w:rPr>
                <w:spacing w:val="1"/>
              </w:rPr>
              <w:t>面冲洗水经沉淀</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隔油处理后，排入园区污水管网；消防废水产生后，收集</w:t>
            </w:r>
            <w:r>
              <w:t xml:space="preserve"> </w:t>
            </w:r>
            <w:r>
              <w:rPr>
                <w:spacing w:val="-1"/>
              </w:rPr>
              <w:t>至事故应急池，由罐车定期拉运至棋西项目区污水处理厂处理。</w:t>
            </w:r>
          </w:p>
          <w:p w14:paraId="7D778DFB">
            <w:pPr>
              <w:pStyle w:val="6"/>
              <w:spacing w:before="3" w:line="352" w:lineRule="auto"/>
              <w:ind w:left="112" w:right="106" w:firstLine="440"/>
              <w:jc w:val="both"/>
            </w:pPr>
            <w:r>
              <w:rPr>
                <w:spacing w:val="-1"/>
              </w:rPr>
              <w:t>厂区设置分区防渗。停车区、候检区、维修</w:t>
            </w:r>
            <w:r>
              <w:rPr>
                <w:spacing w:val="-2"/>
              </w:rPr>
              <w:t>车间、洗车车间、污水处理</w:t>
            </w:r>
            <w:r>
              <w:t xml:space="preserve"> </w:t>
            </w:r>
            <w:r>
              <w:rPr>
                <w:spacing w:val="-1"/>
              </w:rPr>
              <w:t>间、危废暂存间、事故应急池、初期雨水池以及场区道</w:t>
            </w:r>
            <w:r>
              <w:rPr>
                <w:spacing w:val="-2"/>
              </w:rPr>
              <w:t>路均按照《危险废物</w:t>
            </w:r>
            <w:r>
              <w:t xml:space="preserve"> </w:t>
            </w:r>
            <w:r>
              <w:rPr>
                <w:spacing w:val="-2"/>
              </w:rPr>
              <w:t>贮存污染控制标准》（</w:t>
            </w:r>
            <w:r>
              <w:rPr>
                <w:rFonts w:ascii="Times New Roman" w:hAnsi="Times New Roman" w:eastAsia="Times New Roman" w:cs="Times New Roman"/>
                <w:spacing w:val="-2"/>
              </w:rPr>
              <w:t>GB18597-2023</w:t>
            </w:r>
            <w:r>
              <w:rPr>
                <w:spacing w:val="-2"/>
              </w:rPr>
              <w:t>）、《化</w:t>
            </w:r>
            <w:r>
              <w:rPr>
                <w:spacing w:val="-3"/>
              </w:rPr>
              <w:t>工园区危险品运输车辆停车场</w:t>
            </w:r>
            <w:r>
              <w:t xml:space="preserve"> </w:t>
            </w:r>
            <w:r>
              <w:rPr>
                <w:spacing w:val="-8"/>
              </w:rPr>
              <w:t>建设标准》（</w:t>
            </w:r>
            <w:r>
              <w:rPr>
                <w:rFonts w:ascii="Times New Roman" w:hAnsi="Times New Roman" w:eastAsia="Times New Roman" w:cs="Times New Roman"/>
                <w:spacing w:val="-8"/>
              </w:rPr>
              <w:t>T/CPCIF0050-2020</w:t>
            </w:r>
            <w:r>
              <w:rPr>
                <w:spacing w:val="-8"/>
              </w:rPr>
              <w:t>）相关要求进行重点防渗，地面采用至少</w:t>
            </w:r>
            <w:r>
              <w:rPr>
                <w:spacing w:val="-42"/>
              </w:rPr>
              <w:t xml:space="preserve"> </w:t>
            </w:r>
            <w:r>
              <w:rPr>
                <w:rFonts w:ascii="Times New Roman" w:hAnsi="Times New Roman" w:eastAsia="Times New Roman" w:cs="Times New Roman"/>
                <w:spacing w:val="-8"/>
              </w:rPr>
              <w:t>2mm</w:t>
            </w:r>
            <w:r>
              <w:rPr>
                <w:rFonts w:ascii="Times New Roman" w:hAnsi="Times New Roman" w:eastAsia="Times New Roman" w:cs="Times New Roman"/>
              </w:rPr>
              <w:t xml:space="preserve"> </w:t>
            </w:r>
            <w:r>
              <w:rPr>
                <w:spacing w:val="1"/>
              </w:rPr>
              <w:t>厚</w:t>
            </w:r>
            <w:r>
              <w:rPr>
                <w:spacing w:val="-41"/>
              </w:rPr>
              <w:t xml:space="preserve"> </w:t>
            </w:r>
            <w:r>
              <w:rPr>
                <w:rFonts w:ascii="Times New Roman" w:hAnsi="Times New Roman" w:eastAsia="Times New Roman" w:cs="Times New Roman"/>
              </w:rPr>
              <w:t>HDPE</w:t>
            </w:r>
            <w:r>
              <w:rPr>
                <w:rFonts w:ascii="Times New Roman" w:hAnsi="Times New Roman" w:eastAsia="Times New Roman" w:cs="Times New Roman"/>
                <w:spacing w:val="16"/>
                <w:w w:val="101"/>
              </w:rPr>
              <w:t xml:space="preserve"> </w:t>
            </w:r>
            <w:r>
              <w:rPr>
                <w:spacing w:val="1"/>
              </w:rPr>
              <w:t>或其他人工材料进行防渗处理，渗透系数不大于</w:t>
            </w:r>
            <w:r>
              <w:rPr>
                <w:spacing w:val="-24"/>
              </w:rPr>
              <w:t xml:space="preserve"> </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7"/>
                <w:sz w:val="14"/>
                <w:szCs w:val="14"/>
              </w:rPr>
              <w:t>-10</w:t>
            </w:r>
            <w:r>
              <w:rPr>
                <w:rFonts w:ascii="Times New Roman" w:hAnsi="Times New Roman" w:eastAsia="Times New Roman" w:cs="Times New Roman"/>
              </w:rPr>
              <w:t>cm</w:t>
            </w:r>
            <w:r>
              <w:rPr>
                <w:rFonts w:ascii="Times New Roman" w:hAnsi="Times New Roman" w:eastAsia="Times New Roman" w:cs="Times New Roman"/>
                <w:spacing w:val="1"/>
              </w:rPr>
              <w:t>/s</w:t>
            </w:r>
            <w:r>
              <w:rPr>
                <w:spacing w:val="1"/>
              </w:rPr>
              <w:t>。</w:t>
            </w:r>
          </w:p>
        </w:tc>
      </w:tr>
    </w:tbl>
    <w:p w14:paraId="4500AEDC">
      <w:pPr>
        <w:pStyle w:val="2"/>
        <w:spacing w:line="181" w:lineRule="exact"/>
        <w:rPr>
          <w:sz w:val="15"/>
        </w:rPr>
      </w:pPr>
    </w:p>
    <w:p w14:paraId="0BCCD884">
      <w:pPr>
        <w:spacing w:line="181" w:lineRule="exact"/>
        <w:rPr>
          <w:sz w:val="15"/>
          <w:szCs w:val="15"/>
        </w:rPr>
        <w:sectPr>
          <w:footerReference r:id="rId84" w:type="default"/>
          <w:pgSz w:w="11906" w:h="16839"/>
          <w:pgMar w:top="400" w:right="1687" w:bottom="1259" w:left="1687" w:header="0" w:footer="1097" w:gutter="0"/>
          <w:cols w:space="720" w:num="1"/>
        </w:sectPr>
      </w:pPr>
    </w:p>
    <w:p w14:paraId="4DF2BF7D">
      <w:pPr>
        <w:spacing w:before="19"/>
      </w:pPr>
    </w:p>
    <w:p w14:paraId="6895FF8E">
      <w:pPr>
        <w:spacing w:before="19"/>
      </w:pPr>
    </w:p>
    <w:p w14:paraId="47FFBFFA">
      <w:pPr>
        <w:spacing w:before="18"/>
      </w:pPr>
    </w:p>
    <w:p w14:paraId="6A1E0BF1">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7444"/>
      </w:tblGrid>
      <w:tr w14:paraId="07E75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1082" w:type="dxa"/>
            <w:vAlign w:val="top"/>
          </w:tcPr>
          <w:p w14:paraId="173EA53C">
            <w:pPr>
              <w:rPr>
                <w:rFonts w:ascii="Arial"/>
                <w:sz w:val="21"/>
              </w:rPr>
            </w:pPr>
          </w:p>
        </w:tc>
        <w:tc>
          <w:tcPr>
            <w:tcW w:w="7444" w:type="dxa"/>
            <w:vAlign w:val="top"/>
          </w:tcPr>
          <w:p w14:paraId="2FB05041">
            <w:pPr>
              <w:pStyle w:val="6"/>
              <w:spacing w:before="35" w:line="349" w:lineRule="auto"/>
              <w:ind w:left="112" w:right="45" w:firstLine="3"/>
              <w:jc w:val="both"/>
            </w:pPr>
            <w:r>
              <w:rPr>
                <w:spacing w:val="-2"/>
              </w:rPr>
              <w:t>消防水池、消防水泵房、综合管理用房和餐厅为一般防渗区，没有特别的防</w:t>
            </w:r>
            <w:r>
              <w:rPr>
                <w:spacing w:val="18"/>
              </w:rPr>
              <w:t xml:space="preserve"> </w:t>
            </w:r>
            <w:r>
              <w:rPr>
                <w:spacing w:val="-6"/>
              </w:rPr>
              <w:t>渗要求，但应采用水泥硬化地面。参照指定的防渗等级和防渗方法设置防渗，</w:t>
            </w:r>
            <w:r>
              <w:rPr>
                <w:spacing w:val="3"/>
              </w:rPr>
              <w:t xml:space="preserve"> </w:t>
            </w:r>
            <w:r>
              <w:t>一般不会有污染物泄漏至含水层，不会对地下</w:t>
            </w:r>
            <w:r>
              <w:rPr>
                <w:spacing w:val="-1"/>
              </w:rPr>
              <w:t>水及土壤环境造成污染。</w:t>
            </w:r>
          </w:p>
        </w:tc>
      </w:tr>
      <w:tr w14:paraId="4B7FD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1082" w:type="dxa"/>
            <w:vAlign w:val="top"/>
          </w:tcPr>
          <w:p w14:paraId="772B1673">
            <w:pPr>
              <w:spacing w:line="359" w:lineRule="auto"/>
              <w:rPr>
                <w:rFonts w:ascii="Arial"/>
                <w:sz w:val="21"/>
              </w:rPr>
            </w:pPr>
          </w:p>
          <w:p w14:paraId="0E4CC91E">
            <w:pPr>
              <w:spacing w:line="360" w:lineRule="auto"/>
              <w:rPr>
                <w:rFonts w:ascii="Arial"/>
                <w:sz w:val="21"/>
              </w:rPr>
            </w:pPr>
          </w:p>
          <w:p w14:paraId="648D6C13">
            <w:pPr>
              <w:pStyle w:val="6"/>
              <w:spacing w:before="71" w:line="221" w:lineRule="auto"/>
              <w:ind w:left="218"/>
            </w:pPr>
            <w:r>
              <w:rPr>
                <w:spacing w:val="-3"/>
              </w:rPr>
              <w:t>生态保</w:t>
            </w:r>
          </w:p>
          <w:p w14:paraId="4046D78F">
            <w:pPr>
              <w:pStyle w:val="6"/>
              <w:spacing w:before="22" w:line="221" w:lineRule="auto"/>
              <w:ind w:left="218"/>
            </w:pPr>
            <w:r>
              <w:rPr>
                <w:spacing w:val="-3"/>
              </w:rPr>
              <w:t>护措施</w:t>
            </w:r>
          </w:p>
        </w:tc>
        <w:tc>
          <w:tcPr>
            <w:tcW w:w="7444" w:type="dxa"/>
            <w:vAlign w:val="top"/>
          </w:tcPr>
          <w:p w14:paraId="22E8B7AE">
            <w:pPr>
              <w:spacing w:line="287" w:lineRule="auto"/>
              <w:rPr>
                <w:rFonts w:ascii="Arial"/>
                <w:sz w:val="21"/>
              </w:rPr>
            </w:pPr>
          </w:p>
          <w:p w14:paraId="0FBB1E2E">
            <w:pPr>
              <w:spacing w:line="287" w:lineRule="auto"/>
              <w:rPr>
                <w:rFonts w:ascii="Arial"/>
                <w:sz w:val="21"/>
              </w:rPr>
            </w:pPr>
          </w:p>
          <w:p w14:paraId="7CC40BAA">
            <w:pPr>
              <w:spacing w:line="288" w:lineRule="auto"/>
              <w:rPr>
                <w:rFonts w:ascii="Arial"/>
                <w:sz w:val="21"/>
              </w:rPr>
            </w:pPr>
          </w:p>
          <w:p w14:paraId="3250DDE1">
            <w:pPr>
              <w:pStyle w:val="6"/>
              <w:spacing w:before="71" w:line="221" w:lineRule="auto"/>
              <w:ind w:left="3617"/>
            </w:pPr>
            <w:r>
              <w:t>无</w:t>
            </w:r>
          </w:p>
        </w:tc>
      </w:tr>
      <w:tr w14:paraId="4B497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2" w:hRule="atLeast"/>
        </w:trPr>
        <w:tc>
          <w:tcPr>
            <w:tcW w:w="1082" w:type="dxa"/>
            <w:vAlign w:val="top"/>
          </w:tcPr>
          <w:p w14:paraId="72E64AF5">
            <w:pPr>
              <w:spacing w:line="246" w:lineRule="auto"/>
              <w:rPr>
                <w:rFonts w:ascii="Arial"/>
                <w:sz w:val="21"/>
              </w:rPr>
            </w:pPr>
          </w:p>
          <w:p w14:paraId="59E5E35D">
            <w:pPr>
              <w:spacing w:line="246" w:lineRule="auto"/>
              <w:rPr>
                <w:rFonts w:ascii="Arial"/>
                <w:sz w:val="21"/>
              </w:rPr>
            </w:pPr>
          </w:p>
          <w:p w14:paraId="7646BDD9">
            <w:pPr>
              <w:spacing w:line="246" w:lineRule="auto"/>
              <w:rPr>
                <w:rFonts w:ascii="Arial"/>
                <w:sz w:val="21"/>
              </w:rPr>
            </w:pPr>
          </w:p>
          <w:p w14:paraId="6E84B95D">
            <w:pPr>
              <w:spacing w:line="246" w:lineRule="auto"/>
              <w:rPr>
                <w:rFonts w:ascii="Arial"/>
                <w:sz w:val="21"/>
              </w:rPr>
            </w:pPr>
          </w:p>
          <w:p w14:paraId="08B83297">
            <w:pPr>
              <w:spacing w:line="246" w:lineRule="auto"/>
              <w:rPr>
                <w:rFonts w:ascii="Arial"/>
                <w:sz w:val="21"/>
              </w:rPr>
            </w:pPr>
          </w:p>
          <w:p w14:paraId="68936D52">
            <w:pPr>
              <w:spacing w:line="247" w:lineRule="auto"/>
              <w:rPr>
                <w:rFonts w:ascii="Arial"/>
                <w:sz w:val="21"/>
              </w:rPr>
            </w:pPr>
          </w:p>
          <w:p w14:paraId="033580A0">
            <w:pPr>
              <w:spacing w:line="247" w:lineRule="auto"/>
              <w:rPr>
                <w:rFonts w:ascii="Arial"/>
                <w:sz w:val="21"/>
              </w:rPr>
            </w:pPr>
          </w:p>
          <w:p w14:paraId="3C0FDB7B">
            <w:pPr>
              <w:spacing w:line="247" w:lineRule="auto"/>
              <w:rPr>
                <w:rFonts w:ascii="Arial"/>
                <w:sz w:val="21"/>
              </w:rPr>
            </w:pPr>
          </w:p>
          <w:p w14:paraId="4C0FF438">
            <w:pPr>
              <w:spacing w:line="247" w:lineRule="auto"/>
              <w:rPr>
                <w:rFonts w:ascii="Arial"/>
                <w:sz w:val="21"/>
              </w:rPr>
            </w:pPr>
          </w:p>
          <w:p w14:paraId="5FF87425">
            <w:pPr>
              <w:spacing w:line="247" w:lineRule="auto"/>
              <w:rPr>
                <w:rFonts w:ascii="Arial"/>
                <w:sz w:val="21"/>
              </w:rPr>
            </w:pPr>
          </w:p>
          <w:p w14:paraId="7229C420">
            <w:pPr>
              <w:spacing w:line="247" w:lineRule="auto"/>
              <w:rPr>
                <w:rFonts w:ascii="Arial"/>
                <w:sz w:val="21"/>
              </w:rPr>
            </w:pPr>
          </w:p>
          <w:p w14:paraId="2EAE22DE">
            <w:pPr>
              <w:spacing w:line="247" w:lineRule="auto"/>
              <w:rPr>
                <w:rFonts w:ascii="Arial"/>
                <w:sz w:val="21"/>
              </w:rPr>
            </w:pPr>
          </w:p>
          <w:p w14:paraId="3CCC8051">
            <w:pPr>
              <w:pStyle w:val="6"/>
              <w:spacing w:before="72" w:line="221" w:lineRule="auto"/>
              <w:ind w:left="217"/>
            </w:pPr>
            <w:r>
              <w:rPr>
                <w:spacing w:val="-3"/>
              </w:rPr>
              <w:t>环境风</w:t>
            </w:r>
          </w:p>
          <w:p w14:paraId="76B2094E">
            <w:pPr>
              <w:pStyle w:val="6"/>
              <w:spacing w:before="22" w:line="242" w:lineRule="auto"/>
              <w:ind w:left="327" w:right="208" w:hanging="98"/>
            </w:pPr>
            <w:r>
              <w:rPr>
                <w:spacing w:val="-7"/>
              </w:rPr>
              <w:t>险防范</w:t>
            </w:r>
            <w:r>
              <w:t xml:space="preserve"> </w:t>
            </w:r>
            <w:r>
              <w:rPr>
                <w:spacing w:val="-4"/>
              </w:rPr>
              <w:t>措施</w:t>
            </w:r>
          </w:p>
        </w:tc>
        <w:tc>
          <w:tcPr>
            <w:tcW w:w="7444" w:type="dxa"/>
            <w:vAlign w:val="top"/>
          </w:tcPr>
          <w:p w14:paraId="148E537E">
            <w:pPr>
              <w:spacing w:line="251" w:lineRule="auto"/>
              <w:rPr>
                <w:rFonts w:ascii="Arial"/>
                <w:sz w:val="21"/>
              </w:rPr>
            </w:pPr>
          </w:p>
          <w:p w14:paraId="2FFD958E">
            <w:pPr>
              <w:spacing w:line="251" w:lineRule="auto"/>
              <w:rPr>
                <w:rFonts w:ascii="Arial"/>
                <w:sz w:val="21"/>
              </w:rPr>
            </w:pPr>
          </w:p>
          <w:p w14:paraId="467D8AFF">
            <w:pPr>
              <w:spacing w:line="252" w:lineRule="auto"/>
              <w:rPr>
                <w:rFonts w:ascii="Arial"/>
                <w:sz w:val="21"/>
              </w:rPr>
            </w:pPr>
          </w:p>
          <w:p w14:paraId="1E98B182">
            <w:pPr>
              <w:spacing w:line="252" w:lineRule="auto"/>
              <w:rPr>
                <w:rFonts w:ascii="Arial"/>
                <w:sz w:val="21"/>
              </w:rPr>
            </w:pPr>
          </w:p>
          <w:p w14:paraId="569CBEA5">
            <w:pPr>
              <w:spacing w:line="252" w:lineRule="auto"/>
              <w:rPr>
                <w:rFonts w:ascii="Arial"/>
                <w:sz w:val="21"/>
              </w:rPr>
            </w:pPr>
          </w:p>
          <w:p w14:paraId="06EDC53B">
            <w:pPr>
              <w:spacing w:line="252" w:lineRule="auto"/>
              <w:rPr>
                <w:rFonts w:ascii="Arial"/>
                <w:sz w:val="21"/>
              </w:rPr>
            </w:pPr>
          </w:p>
          <w:p w14:paraId="7907B895">
            <w:pPr>
              <w:spacing w:line="252" w:lineRule="auto"/>
              <w:rPr>
                <w:rFonts w:ascii="Arial"/>
                <w:sz w:val="21"/>
              </w:rPr>
            </w:pPr>
          </w:p>
          <w:p w14:paraId="1F5C6CB9">
            <w:pPr>
              <w:pStyle w:val="6"/>
              <w:spacing w:before="72" w:line="220" w:lineRule="auto"/>
              <w:ind w:left="557"/>
            </w:pPr>
            <w:r>
              <w:rPr>
                <w:spacing w:val="-1"/>
              </w:rPr>
              <w:t>（</w:t>
            </w:r>
            <w:r>
              <w:rPr>
                <w:rFonts w:ascii="Times New Roman" w:hAnsi="Times New Roman" w:eastAsia="Times New Roman" w:cs="Times New Roman"/>
                <w:spacing w:val="-1"/>
              </w:rPr>
              <w:t>1</w:t>
            </w:r>
            <w:r>
              <w:rPr>
                <w:spacing w:val="-1"/>
              </w:rPr>
              <w:t>）强化风险意识、加强安全管理，严格按操作规程操作。</w:t>
            </w:r>
          </w:p>
          <w:p w14:paraId="5DF5229A">
            <w:pPr>
              <w:pStyle w:val="6"/>
              <w:spacing w:before="166" w:line="312" w:lineRule="auto"/>
              <w:ind w:left="112" w:right="106" w:firstLine="444"/>
            </w:pPr>
            <w:r>
              <w:rPr>
                <w:spacing w:val="2"/>
              </w:rPr>
              <w:t>（</w:t>
            </w:r>
            <w:r>
              <w:rPr>
                <w:rFonts w:ascii="Times New Roman" w:hAnsi="Times New Roman" w:eastAsia="Times New Roman" w:cs="Times New Roman"/>
                <w:spacing w:val="2"/>
              </w:rPr>
              <w:t>2</w:t>
            </w:r>
            <w:r>
              <w:rPr>
                <w:spacing w:val="2"/>
              </w:rPr>
              <w:t>）严格执行《建筑设计防火规范》等相关要求，按有关安全规定配</w:t>
            </w:r>
            <w:r>
              <w:rPr>
                <w:spacing w:val="1"/>
              </w:rPr>
              <w:t xml:space="preserve"> </w:t>
            </w:r>
            <w:r>
              <w:rPr>
                <w:spacing w:val="-1"/>
              </w:rPr>
              <w:t>备适用、有效和足够的消防器材，以便能再起火之初迅</w:t>
            </w:r>
            <w:r>
              <w:rPr>
                <w:spacing w:val="-2"/>
              </w:rPr>
              <w:t>速扑灭。制定突发环</w:t>
            </w:r>
            <w:r>
              <w:t xml:space="preserve"> </w:t>
            </w:r>
            <w:r>
              <w:rPr>
                <w:spacing w:val="-1"/>
              </w:rPr>
              <w:t>境事件应急预案，建立巡查制度。</w:t>
            </w:r>
          </w:p>
          <w:p w14:paraId="020B6F66">
            <w:pPr>
              <w:pStyle w:val="6"/>
              <w:spacing w:before="165" w:line="313" w:lineRule="auto"/>
              <w:ind w:left="112" w:right="106" w:firstLine="444"/>
            </w:pPr>
            <w:r>
              <w:rPr>
                <w:spacing w:val="2"/>
              </w:rPr>
              <w:t>（</w:t>
            </w:r>
            <w:r>
              <w:rPr>
                <w:rFonts w:ascii="Times New Roman" w:hAnsi="Times New Roman" w:eastAsia="Times New Roman" w:cs="Times New Roman"/>
                <w:spacing w:val="2"/>
              </w:rPr>
              <w:t>3</w:t>
            </w:r>
            <w:r>
              <w:rPr>
                <w:spacing w:val="2"/>
              </w:rPr>
              <w:t>）停车场道路实行人、货流分开，划出专用车辆行驶路线、限速标</w:t>
            </w:r>
            <w:r>
              <w:rPr>
                <w:spacing w:val="1"/>
              </w:rPr>
              <w:t xml:space="preserve"> </w:t>
            </w:r>
            <w:r>
              <w:rPr>
                <w:spacing w:val="-1"/>
              </w:rPr>
              <w:t>志等并严格执行，配套建设应急救援设施、救援通道、</w:t>
            </w:r>
            <w:r>
              <w:rPr>
                <w:spacing w:val="-2"/>
              </w:rPr>
              <w:t>应急疏散避难所等防</w:t>
            </w:r>
            <w:r>
              <w:t xml:space="preserve"> </w:t>
            </w:r>
            <w:r>
              <w:rPr>
                <w:spacing w:val="-1"/>
              </w:rPr>
              <w:t>护设施，避免风险事故的发生。</w:t>
            </w:r>
          </w:p>
          <w:p w14:paraId="2AE75882">
            <w:pPr>
              <w:pStyle w:val="6"/>
              <w:spacing w:before="166" w:line="219" w:lineRule="auto"/>
              <w:ind w:left="557"/>
            </w:pPr>
            <w:r>
              <w:rPr>
                <w:spacing w:val="-2"/>
              </w:rPr>
              <w:t>（</w:t>
            </w:r>
            <w:r>
              <w:rPr>
                <w:rFonts w:ascii="Times New Roman" w:hAnsi="Times New Roman" w:eastAsia="Times New Roman" w:cs="Times New Roman"/>
                <w:spacing w:val="-2"/>
              </w:rPr>
              <w:t>4</w:t>
            </w:r>
            <w:r>
              <w:rPr>
                <w:spacing w:val="-2"/>
              </w:rPr>
              <w:t>）加强对危险废物的管理，采取“三防</w:t>
            </w:r>
            <w:r>
              <w:rPr>
                <w:spacing w:val="-78"/>
              </w:rPr>
              <w:t xml:space="preserve"> </w:t>
            </w:r>
            <w:r>
              <w:rPr>
                <w:spacing w:val="-2"/>
              </w:rPr>
              <w:t>”措施。</w:t>
            </w:r>
          </w:p>
        </w:tc>
      </w:tr>
      <w:tr w14:paraId="25D26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0" w:hRule="atLeast"/>
        </w:trPr>
        <w:tc>
          <w:tcPr>
            <w:tcW w:w="1082" w:type="dxa"/>
            <w:vAlign w:val="top"/>
          </w:tcPr>
          <w:p w14:paraId="5E8692BF">
            <w:pPr>
              <w:spacing w:line="247" w:lineRule="auto"/>
              <w:rPr>
                <w:rFonts w:ascii="Arial"/>
                <w:sz w:val="21"/>
              </w:rPr>
            </w:pPr>
          </w:p>
          <w:p w14:paraId="535F6812">
            <w:pPr>
              <w:spacing w:line="247" w:lineRule="auto"/>
              <w:rPr>
                <w:rFonts w:ascii="Arial"/>
                <w:sz w:val="21"/>
              </w:rPr>
            </w:pPr>
          </w:p>
          <w:p w14:paraId="6F3AFB29">
            <w:pPr>
              <w:spacing w:line="248" w:lineRule="auto"/>
              <w:rPr>
                <w:rFonts w:ascii="Arial"/>
                <w:sz w:val="21"/>
              </w:rPr>
            </w:pPr>
          </w:p>
          <w:p w14:paraId="6A54B962">
            <w:pPr>
              <w:spacing w:line="248" w:lineRule="auto"/>
              <w:rPr>
                <w:rFonts w:ascii="Arial"/>
                <w:sz w:val="21"/>
              </w:rPr>
            </w:pPr>
          </w:p>
          <w:p w14:paraId="734616E4">
            <w:pPr>
              <w:spacing w:line="248" w:lineRule="auto"/>
              <w:rPr>
                <w:rFonts w:ascii="Arial"/>
                <w:sz w:val="21"/>
              </w:rPr>
            </w:pPr>
          </w:p>
          <w:p w14:paraId="7ACE14F2">
            <w:pPr>
              <w:pStyle w:val="6"/>
              <w:spacing w:before="71" w:line="221" w:lineRule="auto"/>
              <w:ind w:left="218"/>
            </w:pPr>
            <w:r>
              <w:rPr>
                <w:spacing w:val="-3"/>
              </w:rPr>
              <w:t>其他环</w:t>
            </w:r>
          </w:p>
          <w:p w14:paraId="4BE8F18C">
            <w:pPr>
              <w:pStyle w:val="6"/>
              <w:spacing w:before="23" w:line="242" w:lineRule="auto"/>
              <w:ind w:left="328" w:right="208" w:hanging="110"/>
            </w:pPr>
            <w:r>
              <w:rPr>
                <w:spacing w:val="-4"/>
              </w:rPr>
              <w:t>境管理</w:t>
            </w:r>
            <w:r>
              <w:rPr>
                <w:spacing w:val="1"/>
              </w:rPr>
              <w:t xml:space="preserve"> </w:t>
            </w:r>
            <w:r>
              <w:rPr>
                <w:spacing w:val="-4"/>
              </w:rPr>
              <w:t>要求</w:t>
            </w:r>
          </w:p>
        </w:tc>
        <w:tc>
          <w:tcPr>
            <w:tcW w:w="7444" w:type="dxa"/>
            <w:vAlign w:val="top"/>
          </w:tcPr>
          <w:p w14:paraId="74F505CD">
            <w:pPr>
              <w:spacing w:line="300" w:lineRule="auto"/>
              <w:rPr>
                <w:rFonts w:ascii="Arial"/>
                <w:sz w:val="21"/>
              </w:rPr>
            </w:pPr>
          </w:p>
          <w:p w14:paraId="5AECA6EC">
            <w:pPr>
              <w:spacing w:line="301" w:lineRule="auto"/>
              <w:rPr>
                <w:rFonts w:ascii="Arial"/>
                <w:sz w:val="21"/>
              </w:rPr>
            </w:pPr>
          </w:p>
          <w:p w14:paraId="47FE3BE8">
            <w:pPr>
              <w:pStyle w:val="6"/>
              <w:spacing w:before="72" w:line="220" w:lineRule="auto"/>
              <w:ind w:left="557"/>
            </w:pPr>
            <w:r>
              <w:rPr>
                <w:spacing w:val="-1"/>
              </w:rPr>
              <w:t>（</w:t>
            </w:r>
            <w:r>
              <w:rPr>
                <w:rFonts w:ascii="Times New Roman" w:hAnsi="Times New Roman" w:eastAsia="Times New Roman" w:cs="Times New Roman"/>
                <w:spacing w:val="-1"/>
              </w:rPr>
              <w:t>1</w:t>
            </w:r>
            <w:r>
              <w:rPr>
                <w:spacing w:val="-1"/>
              </w:rPr>
              <w:t>）建立日常环境管理制度和环境管理工作计划。</w:t>
            </w:r>
          </w:p>
          <w:p w14:paraId="61C83F09">
            <w:pPr>
              <w:pStyle w:val="6"/>
              <w:spacing w:before="165" w:line="289" w:lineRule="auto"/>
              <w:ind w:left="115" w:right="106" w:firstLine="442"/>
            </w:pPr>
            <w:r>
              <w:rPr>
                <w:spacing w:val="2"/>
              </w:rPr>
              <w:t>（</w:t>
            </w:r>
            <w:r>
              <w:rPr>
                <w:rFonts w:ascii="Times New Roman" w:hAnsi="Times New Roman" w:eastAsia="Times New Roman" w:cs="Times New Roman"/>
                <w:spacing w:val="2"/>
              </w:rPr>
              <w:t>2</w:t>
            </w:r>
            <w:r>
              <w:rPr>
                <w:spacing w:val="2"/>
              </w:rPr>
              <w:t>）加强环保设施运行管理维护，建立环保设施运行台账，确保环保</w:t>
            </w:r>
            <w:r>
              <w:rPr>
                <w:spacing w:val="1"/>
              </w:rPr>
              <w:t xml:space="preserve"> </w:t>
            </w:r>
            <w:r>
              <w:rPr>
                <w:spacing w:val="-1"/>
              </w:rPr>
              <w:t>设施正常运行及污染物稳定达标排放。</w:t>
            </w:r>
          </w:p>
          <w:p w14:paraId="4A7D9055">
            <w:pPr>
              <w:pStyle w:val="6"/>
              <w:spacing w:before="165" w:line="220" w:lineRule="auto"/>
              <w:ind w:left="557"/>
            </w:pPr>
            <w:r>
              <w:rPr>
                <w:spacing w:val="-2"/>
              </w:rPr>
              <w:t>（</w:t>
            </w:r>
            <w:r>
              <w:rPr>
                <w:rFonts w:ascii="Times New Roman" w:hAnsi="Times New Roman" w:eastAsia="Times New Roman" w:cs="Times New Roman"/>
                <w:spacing w:val="-2"/>
              </w:rPr>
              <w:t>3</w:t>
            </w:r>
            <w:r>
              <w:rPr>
                <w:spacing w:val="-2"/>
              </w:rPr>
              <w:t>）落实“三同时</w:t>
            </w:r>
            <w:r>
              <w:rPr>
                <w:spacing w:val="-80"/>
              </w:rPr>
              <w:t xml:space="preserve"> </w:t>
            </w:r>
            <w:r>
              <w:rPr>
                <w:spacing w:val="-2"/>
              </w:rPr>
              <w:t>”制度，完成项目竣工验收。</w:t>
            </w:r>
          </w:p>
          <w:p w14:paraId="42437C07">
            <w:pPr>
              <w:pStyle w:val="6"/>
              <w:spacing w:before="167" w:line="220" w:lineRule="auto"/>
              <w:ind w:left="557"/>
            </w:pPr>
            <w:r>
              <w:rPr>
                <w:spacing w:val="-1"/>
              </w:rPr>
              <w:t>（</w:t>
            </w:r>
            <w:r>
              <w:rPr>
                <w:rFonts w:ascii="Times New Roman" w:hAnsi="Times New Roman" w:eastAsia="Times New Roman" w:cs="Times New Roman"/>
                <w:spacing w:val="-1"/>
              </w:rPr>
              <w:t>4</w:t>
            </w:r>
            <w:r>
              <w:rPr>
                <w:spacing w:val="-1"/>
              </w:rPr>
              <w:t>）编制突发环境风险事故应急预案并按相关要求落实。</w:t>
            </w:r>
          </w:p>
        </w:tc>
      </w:tr>
    </w:tbl>
    <w:p w14:paraId="487FA70F">
      <w:pPr>
        <w:pStyle w:val="2"/>
      </w:pPr>
    </w:p>
    <w:p w14:paraId="6ACBE32B">
      <w:pPr>
        <w:sectPr>
          <w:footerReference r:id="rId85" w:type="default"/>
          <w:pgSz w:w="11906" w:h="16839"/>
          <w:pgMar w:top="400" w:right="1687" w:bottom="1259" w:left="1687" w:header="0" w:footer="1097" w:gutter="0"/>
          <w:cols w:space="720" w:num="1"/>
        </w:sectPr>
      </w:pPr>
    </w:p>
    <w:p w14:paraId="11FD68AC">
      <w:pPr>
        <w:pStyle w:val="2"/>
        <w:spacing w:line="245" w:lineRule="auto"/>
      </w:pPr>
    </w:p>
    <w:p w14:paraId="3464C403">
      <w:pPr>
        <w:pStyle w:val="2"/>
        <w:spacing w:line="245" w:lineRule="auto"/>
      </w:pPr>
    </w:p>
    <w:p w14:paraId="1425E892">
      <w:pPr>
        <w:pStyle w:val="2"/>
        <w:spacing w:line="246" w:lineRule="auto"/>
      </w:pPr>
    </w:p>
    <w:p w14:paraId="77F59A36">
      <w:pPr>
        <w:pStyle w:val="2"/>
        <w:spacing w:line="246" w:lineRule="auto"/>
      </w:pPr>
    </w:p>
    <w:p w14:paraId="3A2D1050">
      <w:pPr>
        <w:spacing w:before="101" w:line="231" w:lineRule="auto"/>
        <w:ind w:left="3696"/>
        <w:outlineLvl w:val="0"/>
        <w:rPr>
          <w:rFonts w:ascii="黑体" w:hAnsi="黑体" w:eastAsia="黑体" w:cs="黑体"/>
          <w:sz w:val="31"/>
          <w:szCs w:val="31"/>
        </w:rPr>
      </w:pPr>
      <w:r>
        <w:rPr>
          <w:rFonts w:ascii="黑体" w:hAnsi="黑体" w:eastAsia="黑体" w:cs="黑体"/>
          <w:spacing w:val="4"/>
          <w:sz w:val="31"/>
          <w:szCs w:val="31"/>
        </w:rPr>
        <w:t>六、结论</w:t>
      </w:r>
    </w:p>
    <w:p w14:paraId="3033B5D0">
      <w:pPr>
        <w:spacing w:line="185" w:lineRule="exact"/>
      </w:pPr>
    </w:p>
    <w:tbl>
      <w:tblPr>
        <w:tblStyle w:val="5"/>
        <w:tblW w:w="862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25"/>
      </w:tblGrid>
      <w:tr w14:paraId="1C6C6E2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22" w:hRule="atLeast"/>
        </w:trPr>
        <w:tc>
          <w:tcPr>
            <w:tcW w:w="8625" w:type="dxa"/>
            <w:vAlign w:val="top"/>
          </w:tcPr>
          <w:p w14:paraId="740D4444">
            <w:pPr>
              <w:pStyle w:val="6"/>
              <w:spacing w:before="196" w:line="359" w:lineRule="auto"/>
              <w:ind w:left="120" w:right="107" w:firstLine="478"/>
              <w:rPr>
                <w:sz w:val="24"/>
                <w:szCs w:val="24"/>
              </w:rPr>
            </w:pPr>
            <w:r>
              <w:rPr>
                <w:sz w:val="24"/>
                <w:szCs w:val="24"/>
              </w:rPr>
              <w:t>本项目为鄂托克经济开发区棋盘井产业园危险化学品车辆专</w:t>
            </w:r>
            <w:r>
              <w:rPr>
                <w:spacing w:val="-1"/>
                <w:sz w:val="24"/>
                <w:szCs w:val="24"/>
              </w:rPr>
              <w:t>用停车场建设项</w:t>
            </w:r>
            <w:r>
              <w:rPr>
                <w:sz w:val="24"/>
                <w:szCs w:val="24"/>
              </w:rPr>
              <w:t xml:space="preserve"> 目，建设内容为危险化学品车辆专用停车场以及辅助设施，</w:t>
            </w:r>
            <w:r>
              <w:rPr>
                <w:spacing w:val="-1"/>
                <w:sz w:val="24"/>
                <w:szCs w:val="24"/>
              </w:rPr>
              <w:t>主要构筑物有综合管</w:t>
            </w:r>
            <w:r>
              <w:rPr>
                <w:sz w:val="24"/>
                <w:szCs w:val="24"/>
              </w:rPr>
              <w:t xml:space="preserve"> 理用房、餐厅、污水处理间、危废暂存间、消防水泵房、汽</w:t>
            </w:r>
            <w:r>
              <w:rPr>
                <w:spacing w:val="-1"/>
                <w:sz w:val="24"/>
                <w:szCs w:val="24"/>
              </w:rPr>
              <w:t>车维修间、洗车间、</w:t>
            </w:r>
            <w:r>
              <w:rPr>
                <w:sz w:val="24"/>
                <w:szCs w:val="24"/>
              </w:rPr>
              <w:t xml:space="preserve"> </w:t>
            </w:r>
            <w:r>
              <w:rPr>
                <w:spacing w:val="-1"/>
                <w:sz w:val="24"/>
                <w:szCs w:val="24"/>
              </w:rPr>
              <w:t>门卫（</w:t>
            </w:r>
            <w:r>
              <w:rPr>
                <w:rFonts w:ascii="Times New Roman" w:hAnsi="Times New Roman" w:eastAsia="Times New Roman" w:cs="Times New Roman"/>
                <w:spacing w:val="-1"/>
                <w:sz w:val="24"/>
                <w:szCs w:val="24"/>
              </w:rPr>
              <w:t xml:space="preserve">2 </w:t>
            </w:r>
            <w:r>
              <w:rPr>
                <w:spacing w:val="-1"/>
                <w:sz w:val="24"/>
                <w:szCs w:val="24"/>
              </w:rPr>
              <w:t>座</w:t>
            </w:r>
            <w:r>
              <w:rPr>
                <w:spacing w:val="6"/>
                <w:sz w:val="24"/>
                <w:szCs w:val="24"/>
              </w:rPr>
              <w:t>），</w:t>
            </w:r>
            <w:r>
              <w:rPr>
                <w:spacing w:val="-1"/>
                <w:sz w:val="24"/>
                <w:szCs w:val="24"/>
              </w:rPr>
              <w:t>配套消防水池、初期雨水池、事故应急池等。</w:t>
            </w:r>
          </w:p>
          <w:p w14:paraId="6019027E">
            <w:pPr>
              <w:pStyle w:val="6"/>
              <w:spacing w:before="3" w:line="359" w:lineRule="auto"/>
              <w:ind w:left="115" w:right="107" w:firstLine="482"/>
              <w:jc w:val="both"/>
              <w:rPr>
                <w:sz w:val="24"/>
                <w:szCs w:val="24"/>
              </w:rPr>
            </w:pPr>
            <w:r>
              <w:rPr>
                <w:sz w:val="24"/>
                <w:szCs w:val="24"/>
              </w:rPr>
              <w:t>本项目位于鄂托克经济开发区棋盘井产业园棋西项目区，具</w:t>
            </w:r>
            <w:r>
              <w:rPr>
                <w:spacing w:val="-1"/>
                <w:sz w:val="24"/>
                <w:szCs w:val="24"/>
              </w:rPr>
              <w:t>体位置为棋盘井</w:t>
            </w:r>
            <w:r>
              <w:rPr>
                <w:sz w:val="24"/>
                <w:szCs w:val="24"/>
              </w:rPr>
              <w:t xml:space="preserve"> </w:t>
            </w:r>
            <w:r>
              <w:rPr>
                <w:spacing w:val="-2"/>
                <w:sz w:val="24"/>
                <w:szCs w:val="24"/>
              </w:rPr>
              <w:t>镇二号路东，工业街南，金海路西，南环路北，</w:t>
            </w:r>
            <w:r>
              <w:rPr>
                <w:spacing w:val="-58"/>
                <w:sz w:val="24"/>
                <w:szCs w:val="24"/>
              </w:rPr>
              <w:t xml:space="preserve"> </w:t>
            </w:r>
            <w:r>
              <w:rPr>
                <w:spacing w:val="-2"/>
                <w:sz w:val="24"/>
                <w:szCs w:val="24"/>
              </w:rPr>
              <w:t>占地面积</w:t>
            </w:r>
            <w:r>
              <w:rPr>
                <w:spacing w:val="-47"/>
                <w:sz w:val="24"/>
                <w:szCs w:val="24"/>
              </w:rPr>
              <w:t xml:space="preserve"> </w:t>
            </w:r>
            <w:r>
              <w:rPr>
                <w:rFonts w:ascii="Times New Roman" w:hAnsi="Times New Roman" w:eastAsia="Times New Roman" w:cs="Times New Roman"/>
                <w:spacing w:val="-2"/>
                <w:sz w:val="24"/>
                <w:szCs w:val="24"/>
              </w:rPr>
              <w:t>35000m</w:t>
            </w:r>
            <w:r>
              <w:rPr>
                <w:rFonts w:ascii="Times New Roman" w:hAnsi="Times New Roman" w:eastAsia="Times New Roman" w:cs="Times New Roman"/>
                <w:spacing w:val="-2"/>
                <w:position w:val="8"/>
                <w:sz w:val="15"/>
                <w:szCs w:val="15"/>
              </w:rPr>
              <w:t xml:space="preserve">2 </w:t>
            </w:r>
            <w:r>
              <w:rPr>
                <w:spacing w:val="-2"/>
                <w:sz w:val="24"/>
                <w:szCs w:val="24"/>
              </w:rPr>
              <w:t>。项目符合国</w:t>
            </w:r>
            <w:r>
              <w:rPr>
                <w:sz w:val="24"/>
                <w:szCs w:val="24"/>
              </w:rPr>
              <w:t xml:space="preserve"> </w:t>
            </w:r>
            <w:r>
              <w:rPr>
                <w:spacing w:val="-1"/>
                <w:sz w:val="24"/>
                <w:szCs w:val="24"/>
              </w:rPr>
              <w:t>家产业政策，符合区域“三线一单</w:t>
            </w:r>
            <w:r>
              <w:rPr>
                <w:spacing w:val="-86"/>
                <w:sz w:val="24"/>
                <w:szCs w:val="24"/>
              </w:rPr>
              <w:t xml:space="preserve"> </w:t>
            </w:r>
            <w:r>
              <w:rPr>
                <w:spacing w:val="-1"/>
                <w:sz w:val="24"/>
                <w:szCs w:val="24"/>
              </w:rPr>
              <w:t>”管控要求，符合相关环境保护规划，</w:t>
            </w:r>
            <w:r>
              <w:rPr>
                <w:spacing w:val="-2"/>
                <w:sz w:val="24"/>
                <w:szCs w:val="24"/>
              </w:rPr>
              <w:t>区域环</w:t>
            </w:r>
            <w:r>
              <w:rPr>
                <w:sz w:val="24"/>
                <w:szCs w:val="24"/>
              </w:rPr>
              <w:t xml:space="preserve"> 境质量现状较好，可满足相应的环境功能区划要求，项目建设在采取有</w:t>
            </w:r>
            <w:r>
              <w:rPr>
                <w:spacing w:val="-1"/>
                <w:sz w:val="24"/>
                <w:szCs w:val="24"/>
              </w:rPr>
              <w:t>效的环境</w:t>
            </w:r>
            <w:r>
              <w:rPr>
                <w:sz w:val="24"/>
                <w:szCs w:val="24"/>
              </w:rPr>
              <w:t xml:space="preserve"> 保护措施情况下，废气、废水、噪声可实现达标排放，固体废物可以实</w:t>
            </w:r>
            <w:r>
              <w:rPr>
                <w:spacing w:val="-1"/>
                <w:sz w:val="24"/>
                <w:szCs w:val="24"/>
              </w:rPr>
              <w:t>现合理处</w:t>
            </w:r>
            <w:r>
              <w:rPr>
                <w:sz w:val="24"/>
                <w:szCs w:val="24"/>
              </w:rPr>
              <w:t xml:space="preserve"> </w:t>
            </w:r>
            <w:r>
              <w:rPr>
                <w:spacing w:val="-1"/>
                <w:sz w:val="24"/>
                <w:szCs w:val="24"/>
              </w:rPr>
              <w:t>置，从环境影响角度分析，本项目是可行的。</w:t>
            </w:r>
          </w:p>
        </w:tc>
      </w:tr>
    </w:tbl>
    <w:p w14:paraId="7E97DA0D">
      <w:pPr>
        <w:pStyle w:val="2"/>
      </w:pPr>
    </w:p>
    <w:p w14:paraId="286FC2E3">
      <w:pPr>
        <w:sectPr>
          <w:footerReference r:id="rId86" w:type="default"/>
          <w:pgSz w:w="11906" w:h="16839"/>
          <w:pgMar w:top="400" w:right="1588" w:bottom="1259" w:left="1687" w:header="0" w:footer="1097" w:gutter="0"/>
          <w:cols w:space="720" w:num="1"/>
        </w:sectPr>
      </w:pPr>
    </w:p>
    <w:p w14:paraId="4D8DA672">
      <w:pPr>
        <w:pStyle w:val="2"/>
        <w:spacing w:line="268" w:lineRule="auto"/>
      </w:pPr>
    </w:p>
    <w:p w14:paraId="0E29EBF2">
      <w:pPr>
        <w:pStyle w:val="2"/>
        <w:spacing w:line="268" w:lineRule="auto"/>
      </w:pPr>
    </w:p>
    <w:p w14:paraId="1530BEA5">
      <w:pPr>
        <w:pStyle w:val="2"/>
        <w:spacing w:line="268" w:lineRule="auto"/>
      </w:pPr>
    </w:p>
    <w:p w14:paraId="0FC116A8">
      <w:pPr>
        <w:pStyle w:val="2"/>
        <w:spacing w:line="268" w:lineRule="auto"/>
      </w:pPr>
    </w:p>
    <w:p w14:paraId="2C3B2C96">
      <w:pPr>
        <w:pStyle w:val="2"/>
        <w:spacing w:line="269" w:lineRule="auto"/>
      </w:pPr>
    </w:p>
    <w:p w14:paraId="29168659">
      <w:pPr>
        <w:spacing w:before="91" w:line="222" w:lineRule="auto"/>
        <w:ind w:left="5208"/>
        <w:outlineLvl w:val="0"/>
        <w:rPr>
          <w:rFonts w:ascii="黑体" w:hAnsi="黑体" w:eastAsia="黑体" w:cs="黑体"/>
          <w:sz w:val="28"/>
          <w:szCs w:val="28"/>
        </w:rPr>
      </w:pPr>
      <w:r>
        <w:rPr>
          <w:rFonts w:ascii="黑体" w:hAnsi="黑体" w:eastAsia="黑体" w:cs="黑体"/>
          <w:spacing w:val="-1"/>
          <w:sz w:val="28"/>
          <w:szCs w:val="28"/>
        </w:rPr>
        <w:t>建设项目污染物排放量汇总表</w:t>
      </w:r>
    </w:p>
    <w:p w14:paraId="1FF9AAA2">
      <w:pPr>
        <w:spacing w:line="167" w:lineRule="exact"/>
      </w:pPr>
    </w:p>
    <w:tbl>
      <w:tblPr>
        <w:tblStyle w:val="5"/>
        <w:tblW w:w="140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766"/>
        <w:gridCol w:w="1693"/>
        <w:gridCol w:w="1263"/>
        <w:gridCol w:w="1693"/>
        <w:gridCol w:w="1550"/>
        <w:gridCol w:w="1755"/>
        <w:gridCol w:w="1954"/>
        <w:gridCol w:w="1130"/>
      </w:tblGrid>
      <w:tr w14:paraId="24475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1206" w:type="dxa"/>
            <w:tcBorders>
              <w:top w:val="single" w:color="000000" w:sz="6" w:space="0"/>
              <w:left w:val="single" w:color="000000" w:sz="6" w:space="0"/>
              <w:tl2br w:val="single" w:color="000000" w:sz="4" w:space="0"/>
            </w:tcBorders>
            <w:vAlign w:val="top"/>
          </w:tcPr>
          <w:p w14:paraId="70A801D8">
            <w:pPr>
              <w:spacing w:line="250" w:lineRule="auto"/>
              <w:rPr>
                <w:rFonts w:ascii="Arial"/>
                <w:sz w:val="21"/>
              </w:rPr>
            </w:pPr>
          </w:p>
          <w:p w14:paraId="01002918">
            <w:pPr>
              <w:pStyle w:val="6"/>
              <w:spacing w:before="65" w:line="354" w:lineRule="auto"/>
              <w:ind w:left="33" w:right="33" w:firstLine="723"/>
              <w:rPr>
                <w:sz w:val="20"/>
                <w:szCs w:val="20"/>
              </w:rPr>
            </w:pPr>
            <w:r>
              <w:rPr>
                <w:spacing w:val="3"/>
                <w:sz w:val="20"/>
                <w:szCs w:val="20"/>
              </w:rPr>
              <w:t>项目</w:t>
            </w:r>
            <w:r>
              <w:rPr>
                <w:sz w:val="20"/>
                <w:szCs w:val="20"/>
              </w:rPr>
              <w:t xml:space="preserve"> </w:t>
            </w:r>
            <w:r>
              <w:rPr>
                <w:spacing w:val="3"/>
                <w:sz w:val="20"/>
                <w:szCs w:val="20"/>
              </w:rPr>
              <w:t>分类</w:t>
            </w:r>
          </w:p>
        </w:tc>
        <w:tc>
          <w:tcPr>
            <w:tcW w:w="1766" w:type="dxa"/>
            <w:tcBorders>
              <w:top w:val="single" w:color="000000" w:sz="6" w:space="0"/>
            </w:tcBorders>
            <w:vAlign w:val="top"/>
          </w:tcPr>
          <w:p w14:paraId="6CA0CD3A">
            <w:pPr>
              <w:spacing w:line="442" w:lineRule="auto"/>
              <w:rPr>
                <w:rFonts w:ascii="Arial"/>
                <w:sz w:val="21"/>
              </w:rPr>
            </w:pPr>
          </w:p>
          <w:p w14:paraId="3841F3F1">
            <w:pPr>
              <w:pStyle w:val="6"/>
              <w:spacing w:before="65" w:line="228" w:lineRule="auto"/>
              <w:ind w:left="360"/>
              <w:rPr>
                <w:sz w:val="20"/>
                <w:szCs w:val="20"/>
              </w:rPr>
            </w:pPr>
            <w:r>
              <w:rPr>
                <w:spacing w:val="7"/>
                <w:sz w:val="20"/>
                <w:szCs w:val="20"/>
              </w:rPr>
              <w:t>污染物名称</w:t>
            </w:r>
          </w:p>
        </w:tc>
        <w:tc>
          <w:tcPr>
            <w:tcW w:w="1693" w:type="dxa"/>
            <w:tcBorders>
              <w:top w:val="single" w:color="000000" w:sz="6" w:space="0"/>
            </w:tcBorders>
            <w:vAlign w:val="top"/>
          </w:tcPr>
          <w:p w14:paraId="31E4D7E4">
            <w:pPr>
              <w:pStyle w:val="6"/>
              <w:spacing w:before="128" w:line="228" w:lineRule="auto"/>
              <w:ind w:left="430"/>
              <w:rPr>
                <w:sz w:val="20"/>
                <w:szCs w:val="20"/>
              </w:rPr>
            </w:pPr>
            <w:r>
              <w:rPr>
                <w:spacing w:val="6"/>
                <w:sz w:val="20"/>
                <w:szCs w:val="20"/>
              </w:rPr>
              <w:t>现有工程</w:t>
            </w:r>
          </w:p>
          <w:p w14:paraId="6072F170">
            <w:pPr>
              <w:pStyle w:val="6"/>
              <w:spacing w:before="134" w:line="228" w:lineRule="auto"/>
              <w:ind w:left="30"/>
              <w:rPr>
                <w:sz w:val="20"/>
                <w:szCs w:val="20"/>
              </w:rPr>
            </w:pPr>
            <w:r>
              <w:rPr>
                <w:spacing w:val="3"/>
                <w:sz w:val="20"/>
                <w:szCs w:val="20"/>
              </w:rPr>
              <w:t>排放量（固体废物</w:t>
            </w:r>
          </w:p>
          <w:p w14:paraId="36F4EA17">
            <w:pPr>
              <w:pStyle w:val="6"/>
              <w:spacing w:before="132" w:line="225" w:lineRule="auto"/>
              <w:ind w:left="322"/>
              <w:rPr>
                <w:sz w:val="20"/>
                <w:szCs w:val="20"/>
              </w:rPr>
            </w:pPr>
            <w:r>
              <w:rPr>
                <w:spacing w:val="8"/>
                <w:sz w:val="20"/>
                <w:szCs w:val="20"/>
              </w:rPr>
              <w:t>产生量）①</w:t>
            </w:r>
          </w:p>
        </w:tc>
        <w:tc>
          <w:tcPr>
            <w:tcW w:w="1263" w:type="dxa"/>
            <w:tcBorders>
              <w:top w:val="single" w:color="000000" w:sz="6" w:space="0"/>
            </w:tcBorders>
            <w:vAlign w:val="top"/>
          </w:tcPr>
          <w:p w14:paraId="2C35C4B4">
            <w:pPr>
              <w:pStyle w:val="6"/>
              <w:spacing w:before="128" w:line="351" w:lineRule="auto"/>
              <w:ind w:left="111" w:right="106" w:firstLine="106"/>
              <w:rPr>
                <w:sz w:val="20"/>
                <w:szCs w:val="20"/>
              </w:rPr>
            </w:pPr>
            <w:r>
              <w:rPr>
                <w:spacing w:val="6"/>
                <w:sz w:val="20"/>
                <w:szCs w:val="20"/>
              </w:rPr>
              <w:t>现有工程</w:t>
            </w:r>
            <w:r>
              <w:rPr>
                <w:spacing w:val="1"/>
                <w:sz w:val="20"/>
                <w:szCs w:val="20"/>
              </w:rPr>
              <w:t xml:space="preserve">  </w:t>
            </w:r>
            <w:r>
              <w:rPr>
                <w:spacing w:val="7"/>
                <w:sz w:val="20"/>
                <w:szCs w:val="20"/>
              </w:rPr>
              <w:t>许可排放量</w:t>
            </w:r>
          </w:p>
          <w:p w14:paraId="2E26B3AA">
            <w:pPr>
              <w:pStyle w:val="6"/>
              <w:spacing w:line="225" w:lineRule="auto"/>
              <w:ind w:left="529"/>
              <w:rPr>
                <w:sz w:val="20"/>
                <w:szCs w:val="20"/>
              </w:rPr>
            </w:pPr>
            <w:r>
              <w:rPr>
                <w:spacing w:val="2"/>
                <w:sz w:val="20"/>
                <w:szCs w:val="20"/>
              </w:rPr>
              <w:t>②</w:t>
            </w:r>
          </w:p>
        </w:tc>
        <w:tc>
          <w:tcPr>
            <w:tcW w:w="1693" w:type="dxa"/>
            <w:tcBorders>
              <w:top w:val="single" w:color="000000" w:sz="6" w:space="0"/>
            </w:tcBorders>
            <w:vAlign w:val="top"/>
          </w:tcPr>
          <w:p w14:paraId="1A24A314">
            <w:pPr>
              <w:pStyle w:val="6"/>
              <w:spacing w:before="128" w:line="228" w:lineRule="auto"/>
              <w:ind w:left="430"/>
              <w:rPr>
                <w:sz w:val="20"/>
                <w:szCs w:val="20"/>
              </w:rPr>
            </w:pPr>
            <w:r>
              <w:rPr>
                <w:spacing w:val="7"/>
                <w:sz w:val="20"/>
                <w:szCs w:val="20"/>
              </w:rPr>
              <w:t>在建工程</w:t>
            </w:r>
          </w:p>
          <w:p w14:paraId="30AB12EE">
            <w:pPr>
              <w:pStyle w:val="6"/>
              <w:spacing w:before="134" w:line="228" w:lineRule="auto"/>
              <w:ind w:left="33"/>
              <w:rPr>
                <w:sz w:val="20"/>
                <w:szCs w:val="20"/>
              </w:rPr>
            </w:pPr>
            <w:r>
              <w:rPr>
                <w:spacing w:val="3"/>
                <w:sz w:val="20"/>
                <w:szCs w:val="20"/>
              </w:rPr>
              <w:t>排放量（固体废物</w:t>
            </w:r>
          </w:p>
          <w:p w14:paraId="3FB2FF96">
            <w:pPr>
              <w:pStyle w:val="6"/>
              <w:spacing w:before="132" w:line="225" w:lineRule="auto"/>
              <w:ind w:left="326"/>
              <w:rPr>
                <w:sz w:val="20"/>
                <w:szCs w:val="20"/>
              </w:rPr>
            </w:pPr>
            <w:r>
              <w:rPr>
                <w:spacing w:val="8"/>
                <w:sz w:val="20"/>
                <w:szCs w:val="20"/>
              </w:rPr>
              <w:t>产生量）③</w:t>
            </w:r>
          </w:p>
        </w:tc>
        <w:tc>
          <w:tcPr>
            <w:tcW w:w="1550" w:type="dxa"/>
            <w:tcBorders>
              <w:top w:val="single" w:color="000000" w:sz="6" w:space="0"/>
            </w:tcBorders>
            <w:vAlign w:val="top"/>
          </w:tcPr>
          <w:p w14:paraId="4E908BB3">
            <w:pPr>
              <w:pStyle w:val="6"/>
              <w:spacing w:before="127" w:line="227" w:lineRule="auto"/>
              <w:ind w:left="467"/>
              <w:rPr>
                <w:sz w:val="20"/>
                <w:szCs w:val="20"/>
              </w:rPr>
            </w:pPr>
            <w:r>
              <w:rPr>
                <w:spacing w:val="6"/>
                <w:sz w:val="20"/>
                <w:szCs w:val="20"/>
              </w:rPr>
              <w:t>本项目</w:t>
            </w:r>
          </w:p>
          <w:p w14:paraId="21F3FA8B">
            <w:pPr>
              <w:pStyle w:val="6"/>
              <w:spacing w:before="136" w:line="228" w:lineRule="auto"/>
              <w:ind w:left="46"/>
              <w:rPr>
                <w:sz w:val="20"/>
                <w:szCs w:val="20"/>
              </w:rPr>
            </w:pPr>
            <w:r>
              <w:rPr>
                <w:spacing w:val="8"/>
                <w:sz w:val="20"/>
                <w:szCs w:val="20"/>
              </w:rPr>
              <w:t>排放量（固体废</w:t>
            </w:r>
          </w:p>
          <w:p w14:paraId="1F3BD38C">
            <w:pPr>
              <w:pStyle w:val="6"/>
              <w:spacing w:before="132" w:line="225" w:lineRule="auto"/>
              <w:ind w:left="152"/>
              <w:rPr>
                <w:sz w:val="20"/>
                <w:szCs w:val="20"/>
              </w:rPr>
            </w:pPr>
            <w:r>
              <w:rPr>
                <w:spacing w:val="8"/>
                <w:sz w:val="20"/>
                <w:szCs w:val="20"/>
              </w:rPr>
              <w:t>物产生量）④</w:t>
            </w:r>
          </w:p>
        </w:tc>
        <w:tc>
          <w:tcPr>
            <w:tcW w:w="1755" w:type="dxa"/>
            <w:tcBorders>
              <w:top w:val="single" w:color="000000" w:sz="6" w:space="0"/>
            </w:tcBorders>
            <w:vAlign w:val="top"/>
          </w:tcPr>
          <w:p w14:paraId="11C4953E">
            <w:pPr>
              <w:pStyle w:val="6"/>
              <w:spacing w:before="127" w:line="228" w:lineRule="auto"/>
              <w:ind w:left="176"/>
              <w:rPr>
                <w:sz w:val="20"/>
                <w:szCs w:val="20"/>
              </w:rPr>
            </w:pPr>
            <w:r>
              <w:rPr>
                <w:spacing w:val="5"/>
                <w:sz w:val="20"/>
                <w:szCs w:val="20"/>
              </w:rPr>
              <w:t>以新带老削减量</w:t>
            </w:r>
          </w:p>
          <w:p w14:paraId="0C356198">
            <w:pPr>
              <w:pStyle w:val="6"/>
              <w:spacing w:before="135" w:line="228" w:lineRule="auto"/>
              <w:ind w:left="57"/>
              <w:rPr>
                <w:sz w:val="20"/>
                <w:szCs w:val="20"/>
              </w:rPr>
            </w:pPr>
            <w:r>
              <w:rPr>
                <w:spacing w:val="6"/>
                <w:sz w:val="20"/>
                <w:szCs w:val="20"/>
              </w:rPr>
              <w:t>（新建项目不填）</w:t>
            </w:r>
          </w:p>
          <w:p w14:paraId="251108F9">
            <w:pPr>
              <w:pStyle w:val="6"/>
              <w:spacing w:before="132" w:line="225" w:lineRule="auto"/>
              <w:ind w:left="779"/>
              <w:rPr>
                <w:sz w:val="20"/>
                <w:szCs w:val="20"/>
              </w:rPr>
            </w:pPr>
            <w:r>
              <w:rPr>
                <w:spacing w:val="2"/>
                <w:sz w:val="20"/>
                <w:szCs w:val="20"/>
              </w:rPr>
              <w:t>⑤</w:t>
            </w:r>
          </w:p>
        </w:tc>
        <w:tc>
          <w:tcPr>
            <w:tcW w:w="1954" w:type="dxa"/>
            <w:tcBorders>
              <w:top w:val="single" w:color="000000" w:sz="6" w:space="0"/>
            </w:tcBorders>
            <w:vAlign w:val="top"/>
          </w:tcPr>
          <w:p w14:paraId="7358A199">
            <w:pPr>
              <w:pStyle w:val="6"/>
              <w:spacing w:before="127" w:line="227" w:lineRule="auto"/>
              <w:ind w:left="359"/>
              <w:rPr>
                <w:sz w:val="20"/>
                <w:szCs w:val="20"/>
              </w:rPr>
            </w:pPr>
            <w:r>
              <w:rPr>
                <w:spacing w:val="8"/>
                <w:sz w:val="20"/>
                <w:szCs w:val="20"/>
              </w:rPr>
              <w:t>本项目建成后</w:t>
            </w:r>
          </w:p>
          <w:p w14:paraId="08C84A9C">
            <w:pPr>
              <w:pStyle w:val="6"/>
              <w:spacing w:before="136" w:line="228" w:lineRule="auto"/>
              <w:ind w:left="44"/>
              <w:rPr>
                <w:sz w:val="20"/>
                <w:szCs w:val="20"/>
              </w:rPr>
            </w:pPr>
            <w:r>
              <w:rPr>
                <w:spacing w:val="8"/>
                <w:sz w:val="20"/>
                <w:szCs w:val="20"/>
              </w:rPr>
              <w:t>全厂排放量（固体废</w:t>
            </w:r>
          </w:p>
          <w:p w14:paraId="51FE6306">
            <w:pPr>
              <w:pStyle w:val="6"/>
              <w:spacing w:before="132" w:line="225" w:lineRule="auto"/>
              <w:ind w:left="358"/>
              <w:rPr>
                <w:sz w:val="20"/>
                <w:szCs w:val="20"/>
              </w:rPr>
            </w:pPr>
            <w:r>
              <w:rPr>
                <w:spacing w:val="8"/>
                <w:sz w:val="20"/>
                <w:szCs w:val="20"/>
              </w:rPr>
              <w:t>物产生量）⑥</w:t>
            </w:r>
          </w:p>
        </w:tc>
        <w:tc>
          <w:tcPr>
            <w:tcW w:w="1130" w:type="dxa"/>
            <w:tcBorders>
              <w:top w:val="single" w:color="000000" w:sz="6" w:space="0"/>
              <w:right w:val="single" w:color="000000" w:sz="6" w:space="0"/>
            </w:tcBorders>
            <w:vAlign w:val="top"/>
          </w:tcPr>
          <w:p w14:paraId="6B9683E6">
            <w:pPr>
              <w:spacing w:line="251" w:lineRule="auto"/>
              <w:rPr>
                <w:rFonts w:ascii="Arial"/>
                <w:sz w:val="21"/>
              </w:rPr>
            </w:pPr>
          </w:p>
          <w:p w14:paraId="3323355D">
            <w:pPr>
              <w:pStyle w:val="6"/>
              <w:spacing w:before="65" w:line="229" w:lineRule="auto"/>
              <w:ind w:left="257"/>
              <w:rPr>
                <w:sz w:val="20"/>
                <w:szCs w:val="20"/>
              </w:rPr>
            </w:pPr>
            <w:r>
              <w:rPr>
                <w:spacing w:val="6"/>
                <w:sz w:val="20"/>
                <w:szCs w:val="20"/>
              </w:rPr>
              <w:t>变化量</w:t>
            </w:r>
          </w:p>
          <w:p w14:paraId="65D94170">
            <w:pPr>
              <w:pStyle w:val="6"/>
              <w:spacing w:before="133" w:line="225" w:lineRule="auto"/>
              <w:ind w:left="466"/>
              <w:rPr>
                <w:sz w:val="20"/>
                <w:szCs w:val="20"/>
              </w:rPr>
            </w:pPr>
            <w:r>
              <w:rPr>
                <w:spacing w:val="2"/>
                <w:sz w:val="20"/>
                <w:szCs w:val="20"/>
              </w:rPr>
              <w:t>⑦</w:t>
            </w:r>
          </w:p>
        </w:tc>
      </w:tr>
      <w:tr w14:paraId="03D83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tcBorders>
              <w:left w:val="single" w:color="000000" w:sz="6" w:space="0"/>
            </w:tcBorders>
            <w:vAlign w:val="top"/>
          </w:tcPr>
          <w:p w14:paraId="1F801522">
            <w:pPr>
              <w:pStyle w:val="6"/>
              <w:spacing w:before="124" w:line="228" w:lineRule="auto"/>
              <w:ind w:left="389"/>
              <w:rPr>
                <w:sz w:val="20"/>
                <w:szCs w:val="20"/>
              </w:rPr>
            </w:pPr>
            <w:r>
              <w:rPr>
                <w:spacing w:val="5"/>
                <w:sz w:val="20"/>
                <w:szCs w:val="20"/>
              </w:rPr>
              <w:t>废气</w:t>
            </w:r>
          </w:p>
        </w:tc>
        <w:tc>
          <w:tcPr>
            <w:tcW w:w="1766" w:type="dxa"/>
            <w:vAlign w:val="top"/>
          </w:tcPr>
          <w:p w14:paraId="4E6418FA">
            <w:pPr>
              <w:pStyle w:val="6"/>
              <w:spacing w:before="124" w:line="228" w:lineRule="auto"/>
              <w:ind w:left="464"/>
              <w:rPr>
                <w:sz w:val="20"/>
                <w:szCs w:val="20"/>
              </w:rPr>
            </w:pPr>
            <w:r>
              <w:rPr>
                <w:spacing w:val="7"/>
                <w:sz w:val="20"/>
                <w:szCs w:val="20"/>
              </w:rPr>
              <w:t>汽车尾气</w:t>
            </w:r>
          </w:p>
        </w:tc>
        <w:tc>
          <w:tcPr>
            <w:tcW w:w="1693" w:type="dxa"/>
            <w:vAlign w:val="top"/>
          </w:tcPr>
          <w:p w14:paraId="42596BCF">
            <w:pPr>
              <w:spacing w:before="15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4B5BE1AA">
            <w:pPr>
              <w:spacing w:before="15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4D1E403A">
            <w:pPr>
              <w:spacing w:before="15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3B8D50D7">
            <w:pPr>
              <w:pStyle w:val="6"/>
              <w:spacing w:before="124" w:line="230" w:lineRule="auto"/>
              <w:ind w:left="573"/>
              <w:rPr>
                <w:sz w:val="20"/>
                <w:szCs w:val="20"/>
              </w:rPr>
            </w:pPr>
            <w:r>
              <w:rPr>
                <w:spacing w:val="4"/>
                <w:sz w:val="20"/>
                <w:szCs w:val="20"/>
              </w:rPr>
              <w:t>少量</w:t>
            </w:r>
          </w:p>
        </w:tc>
        <w:tc>
          <w:tcPr>
            <w:tcW w:w="1755" w:type="dxa"/>
            <w:vAlign w:val="top"/>
          </w:tcPr>
          <w:p w14:paraId="57F835AF">
            <w:pPr>
              <w:spacing w:before="15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044D6116">
            <w:pPr>
              <w:pStyle w:val="6"/>
              <w:spacing w:before="124" w:line="230" w:lineRule="auto"/>
              <w:ind w:left="779"/>
              <w:rPr>
                <w:sz w:val="20"/>
                <w:szCs w:val="20"/>
              </w:rPr>
            </w:pPr>
            <w:r>
              <w:rPr>
                <w:spacing w:val="4"/>
                <w:sz w:val="20"/>
                <w:szCs w:val="20"/>
              </w:rPr>
              <w:t>少量</w:t>
            </w:r>
          </w:p>
        </w:tc>
        <w:tc>
          <w:tcPr>
            <w:tcW w:w="1130" w:type="dxa"/>
            <w:tcBorders>
              <w:right w:val="single" w:color="000000" w:sz="6" w:space="0"/>
            </w:tcBorders>
            <w:vAlign w:val="top"/>
          </w:tcPr>
          <w:p w14:paraId="55F60CCD">
            <w:pPr>
              <w:spacing w:before="156" w:line="199"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3B90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33D85FFE">
            <w:pPr>
              <w:spacing w:line="283" w:lineRule="auto"/>
              <w:rPr>
                <w:rFonts w:ascii="Arial"/>
                <w:sz w:val="21"/>
              </w:rPr>
            </w:pPr>
          </w:p>
          <w:p w14:paraId="1F24B21D">
            <w:pPr>
              <w:spacing w:line="283" w:lineRule="auto"/>
              <w:rPr>
                <w:rFonts w:ascii="Arial"/>
                <w:sz w:val="21"/>
              </w:rPr>
            </w:pPr>
          </w:p>
          <w:p w14:paraId="3F912C0A">
            <w:pPr>
              <w:spacing w:line="284" w:lineRule="auto"/>
              <w:rPr>
                <w:rFonts w:ascii="Arial"/>
                <w:sz w:val="21"/>
              </w:rPr>
            </w:pPr>
          </w:p>
          <w:p w14:paraId="42CE7D73">
            <w:pPr>
              <w:spacing w:line="284" w:lineRule="auto"/>
              <w:rPr>
                <w:rFonts w:ascii="Arial"/>
                <w:sz w:val="21"/>
              </w:rPr>
            </w:pPr>
          </w:p>
          <w:p w14:paraId="223C2404">
            <w:pPr>
              <w:spacing w:line="284" w:lineRule="auto"/>
              <w:rPr>
                <w:rFonts w:ascii="Arial"/>
                <w:sz w:val="21"/>
              </w:rPr>
            </w:pPr>
          </w:p>
          <w:p w14:paraId="061078FA">
            <w:pPr>
              <w:pStyle w:val="6"/>
              <w:spacing w:before="65" w:line="228" w:lineRule="auto"/>
              <w:ind w:left="389"/>
              <w:rPr>
                <w:sz w:val="20"/>
                <w:szCs w:val="20"/>
              </w:rPr>
            </w:pPr>
            <w:r>
              <w:rPr>
                <w:spacing w:val="5"/>
                <w:sz w:val="20"/>
                <w:szCs w:val="20"/>
              </w:rPr>
              <w:t>废水</w:t>
            </w:r>
          </w:p>
        </w:tc>
        <w:tc>
          <w:tcPr>
            <w:tcW w:w="12804" w:type="dxa"/>
            <w:gridSpan w:val="8"/>
            <w:tcBorders>
              <w:right w:val="single" w:color="000000" w:sz="6" w:space="0"/>
            </w:tcBorders>
            <w:vAlign w:val="top"/>
          </w:tcPr>
          <w:p w14:paraId="0634CCDF">
            <w:pPr>
              <w:pStyle w:val="6"/>
              <w:spacing w:before="126" w:line="228" w:lineRule="auto"/>
              <w:ind w:left="108"/>
              <w:rPr>
                <w:rFonts w:ascii="Times New Roman" w:hAnsi="Times New Roman" w:eastAsia="Times New Roman" w:cs="Times New Roman"/>
                <w:sz w:val="20"/>
                <w:szCs w:val="20"/>
              </w:rPr>
            </w:pPr>
            <w:r>
              <w:rPr>
                <w:spacing w:val="5"/>
                <w:sz w:val="20"/>
                <w:szCs w:val="20"/>
              </w:rPr>
              <w:t>生活污水：</w:t>
            </w:r>
            <w:r>
              <w:rPr>
                <w:rFonts w:ascii="Times New Roman" w:hAnsi="Times New Roman" w:eastAsia="Times New Roman" w:cs="Times New Roman"/>
                <w:spacing w:val="5"/>
                <w:sz w:val="20"/>
                <w:szCs w:val="20"/>
              </w:rPr>
              <w:t>788.4t/a</w:t>
            </w:r>
          </w:p>
        </w:tc>
      </w:tr>
      <w:tr w14:paraId="3903D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E7764F4">
            <w:pPr>
              <w:rPr>
                <w:rFonts w:ascii="Arial"/>
                <w:sz w:val="21"/>
              </w:rPr>
            </w:pPr>
          </w:p>
        </w:tc>
        <w:tc>
          <w:tcPr>
            <w:tcW w:w="1766" w:type="dxa"/>
            <w:vAlign w:val="top"/>
          </w:tcPr>
          <w:p w14:paraId="238AA7BF">
            <w:pPr>
              <w:spacing w:before="162"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3" w:type="dxa"/>
            <w:vAlign w:val="top"/>
          </w:tcPr>
          <w:p w14:paraId="60B8B583">
            <w:pPr>
              <w:spacing w:before="15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0DBAEAAA">
            <w:pPr>
              <w:spacing w:before="15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4743AADD">
            <w:pPr>
              <w:spacing w:before="15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3F37099">
            <w:pPr>
              <w:spacing w:before="158"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0.35t/a</w:t>
            </w:r>
          </w:p>
        </w:tc>
        <w:tc>
          <w:tcPr>
            <w:tcW w:w="1755" w:type="dxa"/>
            <w:vAlign w:val="top"/>
          </w:tcPr>
          <w:p w14:paraId="0D12D8E4">
            <w:pPr>
              <w:spacing w:before="15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190AF42">
            <w:pPr>
              <w:spacing w:before="158"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0.35t/a</w:t>
            </w:r>
          </w:p>
        </w:tc>
        <w:tc>
          <w:tcPr>
            <w:tcW w:w="1130" w:type="dxa"/>
            <w:tcBorders>
              <w:right w:val="single" w:color="000000" w:sz="6" w:space="0"/>
            </w:tcBorders>
            <w:vAlign w:val="top"/>
          </w:tcPr>
          <w:p w14:paraId="13DD3E3A">
            <w:pPr>
              <w:spacing w:before="158"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+0.35t/a</w:t>
            </w:r>
          </w:p>
        </w:tc>
      </w:tr>
      <w:tr w14:paraId="4A25B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C1E2174">
            <w:pPr>
              <w:rPr>
                <w:rFonts w:ascii="Arial"/>
                <w:sz w:val="21"/>
              </w:rPr>
            </w:pPr>
          </w:p>
        </w:tc>
        <w:tc>
          <w:tcPr>
            <w:tcW w:w="1766" w:type="dxa"/>
            <w:vAlign w:val="top"/>
          </w:tcPr>
          <w:p w14:paraId="2815F434">
            <w:pPr>
              <w:spacing w:before="164" w:line="195" w:lineRule="auto"/>
              <w:ind w:left="6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BOD</w:t>
            </w:r>
          </w:p>
        </w:tc>
        <w:tc>
          <w:tcPr>
            <w:tcW w:w="1693" w:type="dxa"/>
            <w:vAlign w:val="top"/>
          </w:tcPr>
          <w:p w14:paraId="2A222D90">
            <w:pPr>
              <w:spacing w:before="160"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19AC10A1">
            <w:pPr>
              <w:spacing w:before="160"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33101E5D">
            <w:pPr>
              <w:spacing w:before="16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70F18E6D">
            <w:pPr>
              <w:spacing w:before="160"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0.20t/a</w:t>
            </w:r>
          </w:p>
        </w:tc>
        <w:tc>
          <w:tcPr>
            <w:tcW w:w="1755" w:type="dxa"/>
            <w:vAlign w:val="top"/>
          </w:tcPr>
          <w:p w14:paraId="38A6A1E3">
            <w:pPr>
              <w:spacing w:before="16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802A81F">
            <w:pPr>
              <w:spacing w:before="160"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0.20t/a</w:t>
            </w:r>
          </w:p>
        </w:tc>
        <w:tc>
          <w:tcPr>
            <w:tcW w:w="1130" w:type="dxa"/>
            <w:tcBorders>
              <w:right w:val="single" w:color="000000" w:sz="6" w:space="0"/>
            </w:tcBorders>
            <w:vAlign w:val="top"/>
          </w:tcPr>
          <w:p w14:paraId="4D410D41">
            <w:pPr>
              <w:spacing w:before="160"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+0.20t/a</w:t>
            </w:r>
          </w:p>
        </w:tc>
      </w:tr>
      <w:tr w14:paraId="4875E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6EB1230D">
            <w:pPr>
              <w:rPr>
                <w:rFonts w:ascii="Arial"/>
                <w:sz w:val="21"/>
              </w:rPr>
            </w:pPr>
          </w:p>
        </w:tc>
        <w:tc>
          <w:tcPr>
            <w:tcW w:w="1766" w:type="dxa"/>
            <w:vAlign w:val="top"/>
          </w:tcPr>
          <w:p w14:paraId="3551E20E">
            <w:pPr>
              <w:spacing w:before="164"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3" w:type="dxa"/>
            <w:vAlign w:val="top"/>
          </w:tcPr>
          <w:p w14:paraId="61AD9B56">
            <w:pPr>
              <w:spacing w:before="160"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2FB062F">
            <w:pPr>
              <w:spacing w:before="160"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7686D256">
            <w:pPr>
              <w:spacing w:before="160"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9337041">
            <w:pPr>
              <w:spacing w:before="160"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0.24t/a</w:t>
            </w:r>
          </w:p>
        </w:tc>
        <w:tc>
          <w:tcPr>
            <w:tcW w:w="1755" w:type="dxa"/>
            <w:vAlign w:val="top"/>
          </w:tcPr>
          <w:p w14:paraId="19B73DF9">
            <w:pPr>
              <w:spacing w:before="160"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255726FA">
            <w:pPr>
              <w:spacing w:before="160"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0.24t/a</w:t>
            </w:r>
          </w:p>
        </w:tc>
        <w:tc>
          <w:tcPr>
            <w:tcW w:w="1130" w:type="dxa"/>
            <w:tcBorders>
              <w:right w:val="single" w:color="000000" w:sz="6" w:space="0"/>
            </w:tcBorders>
            <w:vAlign w:val="top"/>
          </w:tcPr>
          <w:p w14:paraId="4A21334D">
            <w:pPr>
              <w:spacing w:before="160"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+0.24t/a</w:t>
            </w:r>
          </w:p>
        </w:tc>
      </w:tr>
      <w:tr w14:paraId="4B13C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72799836">
            <w:pPr>
              <w:rPr>
                <w:rFonts w:ascii="Arial"/>
                <w:sz w:val="21"/>
              </w:rPr>
            </w:pPr>
          </w:p>
        </w:tc>
        <w:tc>
          <w:tcPr>
            <w:tcW w:w="1766" w:type="dxa"/>
            <w:vAlign w:val="top"/>
          </w:tcPr>
          <w:p w14:paraId="1E74816F">
            <w:pPr>
              <w:pStyle w:val="6"/>
              <w:spacing w:before="130" w:line="225" w:lineRule="auto"/>
              <w:ind w:left="672"/>
              <w:rPr>
                <w:sz w:val="20"/>
                <w:szCs w:val="20"/>
              </w:rPr>
            </w:pPr>
            <w:r>
              <w:rPr>
                <w:spacing w:val="4"/>
                <w:sz w:val="20"/>
                <w:szCs w:val="20"/>
              </w:rPr>
              <w:t>氨氮</w:t>
            </w:r>
          </w:p>
        </w:tc>
        <w:tc>
          <w:tcPr>
            <w:tcW w:w="1693" w:type="dxa"/>
            <w:vAlign w:val="top"/>
          </w:tcPr>
          <w:p w14:paraId="40BE7480">
            <w:pPr>
              <w:spacing w:before="162"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A49F0EC">
            <w:pPr>
              <w:spacing w:before="162"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3342A464">
            <w:pPr>
              <w:spacing w:before="162"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2369C940">
            <w:pPr>
              <w:spacing w:before="162"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755" w:type="dxa"/>
            <w:vAlign w:val="top"/>
          </w:tcPr>
          <w:p w14:paraId="15831C12">
            <w:pPr>
              <w:spacing w:before="162"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DE14BC6">
            <w:pPr>
              <w:spacing w:before="162"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130" w:type="dxa"/>
            <w:tcBorders>
              <w:right w:val="single" w:color="000000" w:sz="6" w:space="0"/>
            </w:tcBorders>
            <w:vAlign w:val="top"/>
          </w:tcPr>
          <w:p w14:paraId="4B839135">
            <w:pPr>
              <w:spacing w:before="162"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6500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256F827D">
            <w:pPr>
              <w:rPr>
                <w:rFonts w:ascii="Arial"/>
                <w:sz w:val="21"/>
              </w:rPr>
            </w:pPr>
          </w:p>
        </w:tc>
        <w:tc>
          <w:tcPr>
            <w:tcW w:w="12804" w:type="dxa"/>
            <w:gridSpan w:val="8"/>
            <w:tcBorders>
              <w:right w:val="single" w:color="000000" w:sz="6" w:space="0"/>
            </w:tcBorders>
            <w:vAlign w:val="top"/>
          </w:tcPr>
          <w:p w14:paraId="071C37C2">
            <w:pPr>
              <w:pStyle w:val="6"/>
              <w:spacing w:before="130" w:line="225" w:lineRule="auto"/>
              <w:ind w:left="105"/>
              <w:rPr>
                <w:rFonts w:ascii="Times New Roman" w:hAnsi="Times New Roman" w:eastAsia="Times New Roman" w:cs="Times New Roman"/>
                <w:sz w:val="20"/>
                <w:szCs w:val="20"/>
              </w:rPr>
            </w:pPr>
            <w:r>
              <w:rPr>
                <w:spacing w:val="7"/>
                <w:sz w:val="20"/>
                <w:szCs w:val="20"/>
              </w:rPr>
              <w:t>洗车废水、地面冲洗废水：</w:t>
            </w:r>
            <w:r>
              <w:rPr>
                <w:rFonts w:ascii="Times New Roman" w:hAnsi="Times New Roman" w:eastAsia="Times New Roman" w:cs="Times New Roman"/>
                <w:spacing w:val="7"/>
                <w:sz w:val="20"/>
                <w:szCs w:val="20"/>
              </w:rPr>
              <w:t>772.94t/a</w:t>
            </w:r>
          </w:p>
        </w:tc>
      </w:tr>
      <w:tr w14:paraId="205E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bottom w:val="nil"/>
            </w:tcBorders>
            <w:vAlign w:val="top"/>
          </w:tcPr>
          <w:p w14:paraId="236A0782">
            <w:pPr>
              <w:rPr>
                <w:rFonts w:ascii="Arial"/>
                <w:sz w:val="21"/>
              </w:rPr>
            </w:pPr>
          </w:p>
        </w:tc>
        <w:tc>
          <w:tcPr>
            <w:tcW w:w="1766" w:type="dxa"/>
            <w:vAlign w:val="top"/>
          </w:tcPr>
          <w:p w14:paraId="12EDC46F">
            <w:pPr>
              <w:pStyle w:val="6"/>
              <w:spacing w:before="132" w:line="223" w:lineRule="auto"/>
              <w:ind w:left="572"/>
              <w:rPr>
                <w:sz w:val="20"/>
                <w:szCs w:val="20"/>
              </w:rPr>
            </w:pPr>
            <w:r>
              <w:rPr>
                <w:spacing w:val="6"/>
                <w:sz w:val="20"/>
                <w:szCs w:val="20"/>
              </w:rPr>
              <w:t>悬浮物</w:t>
            </w:r>
          </w:p>
        </w:tc>
        <w:tc>
          <w:tcPr>
            <w:tcW w:w="1693" w:type="dxa"/>
            <w:vAlign w:val="top"/>
          </w:tcPr>
          <w:p w14:paraId="13E04226">
            <w:pPr>
              <w:spacing w:before="164"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B92991E">
            <w:pPr>
              <w:spacing w:before="1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57077EBC">
            <w:pPr>
              <w:spacing w:before="164"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93D00BF">
            <w:pPr>
              <w:spacing w:before="164"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0.23t/a</w:t>
            </w:r>
          </w:p>
        </w:tc>
        <w:tc>
          <w:tcPr>
            <w:tcW w:w="1755" w:type="dxa"/>
            <w:vAlign w:val="top"/>
          </w:tcPr>
          <w:p w14:paraId="42C2DAF1">
            <w:pPr>
              <w:spacing w:before="16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910B541">
            <w:pPr>
              <w:spacing w:before="164"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0.23t/a</w:t>
            </w:r>
          </w:p>
        </w:tc>
        <w:tc>
          <w:tcPr>
            <w:tcW w:w="1130" w:type="dxa"/>
            <w:tcBorders>
              <w:right w:val="single" w:color="000000" w:sz="6" w:space="0"/>
            </w:tcBorders>
            <w:vAlign w:val="top"/>
          </w:tcPr>
          <w:p w14:paraId="0A130DBB">
            <w:pPr>
              <w:spacing w:before="164"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+0.23t/a</w:t>
            </w:r>
          </w:p>
        </w:tc>
      </w:tr>
      <w:tr w14:paraId="4E958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tcBorders>
            <w:vAlign w:val="top"/>
          </w:tcPr>
          <w:p w14:paraId="7AD0C541">
            <w:pPr>
              <w:rPr>
                <w:rFonts w:ascii="Arial"/>
                <w:sz w:val="21"/>
              </w:rPr>
            </w:pPr>
          </w:p>
        </w:tc>
        <w:tc>
          <w:tcPr>
            <w:tcW w:w="1766" w:type="dxa"/>
            <w:vAlign w:val="top"/>
          </w:tcPr>
          <w:p w14:paraId="48CDFAB1">
            <w:pPr>
              <w:pStyle w:val="6"/>
              <w:spacing w:before="132" w:line="223" w:lineRule="auto"/>
              <w:ind w:left="570"/>
              <w:rPr>
                <w:sz w:val="20"/>
                <w:szCs w:val="20"/>
              </w:rPr>
            </w:pPr>
            <w:r>
              <w:rPr>
                <w:spacing w:val="6"/>
                <w:sz w:val="20"/>
                <w:szCs w:val="20"/>
              </w:rPr>
              <w:t>石油类</w:t>
            </w:r>
          </w:p>
        </w:tc>
        <w:tc>
          <w:tcPr>
            <w:tcW w:w="1693" w:type="dxa"/>
            <w:vAlign w:val="top"/>
          </w:tcPr>
          <w:p w14:paraId="06A3849C">
            <w:pPr>
              <w:spacing w:before="164"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9B9D607">
            <w:pPr>
              <w:spacing w:before="164"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08E0BBFB">
            <w:pPr>
              <w:spacing w:before="164"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0DFB437D">
            <w:pPr>
              <w:spacing w:before="164" w:line="199"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0.008t/a</w:t>
            </w:r>
          </w:p>
        </w:tc>
        <w:tc>
          <w:tcPr>
            <w:tcW w:w="1755" w:type="dxa"/>
            <w:vAlign w:val="top"/>
          </w:tcPr>
          <w:p w14:paraId="3F48B2E6">
            <w:pPr>
              <w:spacing w:before="164"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2E3F452">
            <w:pPr>
              <w:spacing w:before="164" w:line="199"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0.008t/a</w:t>
            </w:r>
          </w:p>
        </w:tc>
        <w:tc>
          <w:tcPr>
            <w:tcW w:w="1130" w:type="dxa"/>
            <w:tcBorders>
              <w:right w:val="single" w:color="000000" w:sz="6" w:space="0"/>
            </w:tcBorders>
            <w:vAlign w:val="top"/>
          </w:tcPr>
          <w:p w14:paraId="7165AE87">
            <w:pPr>
              <w:spacing w:before="164" w:line="199"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+0.008t/a</w:t>
            </w:r>
          </w:p>
        </w:tc>
      </w:tr>
      <w:tr w14:paraId="031CD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1681AE0B">
            <w:pPr>
              <w:pStyle w:val="6"/>
              <w:spacing w:before="139" w:line="229" w:lineRule="auto"/>
              <w:ind w:left="185"/>
              <w:rPr>
                <w:sz w:val="20"/>
                <w:szCs w:val="20"/>
              </w:rPr>
            </w:pPr>
            <w:r>
              <w:rPr>
                <w:spacing w:val="6"/>
                <w:sz w:val="20"/>
                <w:szCs w:val="20"/>
              </w:rPr>
              <w:t>一般工业</w:t>
            </w:r>
          </w:p>
          <w:p w14:paraId="7A9E13E3">
            <w:pPr>
              <w:pStyle w:val="6"/>
              <w:spacing w:before="130" w:line="226" w:lineRule="auto"/>
              <w:ind w:left="199"/>
              <w:rPr>
                <w:sz w:val="20"/>
                <w:szCs w:val="20"/>
              </w:rPr>
            </w:pPr>
            <w:r>
              <w:rPr>
                <w:spacing w:val="2"/>
                <w:sz w:val="20"/>
                <w:szCs w:val="20"/>
              </w:rPr>
              <w:t>固体废物</w:t>
            </w:r>
          </w:p>
        </w:tc>
        <w:tc>
          <w:tcPr>
            <w:tcW w:w="1766" w:type="dxa"/>
            <w:vAlign w:val="top"/>
          </w:tcPr>
          <w:p w14:paraId="0FF543DE">
            <w:pPr>
              <w:pStyle w:val="6"/>
              <w:spacing w:before="134" w:line="221" w:lineRule="auto"/>
              <w:ind w:left="465"/>
              <w:rPr>
                <w:sz w:val="20"/>
                <w:szCs w:val="20"/>
              </w:rPr>
            </w:pPr>
            <w:r>
              <w:rPr>
                <w:spacing w:val="6"/>
                <w:sz w:val="20"/>
                <w:szCs w:val="20"/>
              </w:rPr>
              <w:t>生活垃圾</w:t>
            </w:r>
          </w:p>
        </w:tc>
        <w:tc>
          <w:tcPr>
            <w:tcW w:w="1693" w:type="dxa"/>
            <w:vAlign w:val="top"/>
          </w:tcPr>
          <w:p w14:paraId="4EAC4F0B">
            <w:pPr>
              <w:spacing w:before="16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66A4AEA9">
            <w:pPr>
              <w:spacing w:before="16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04628B7A">
            <w:pPr>
              <w:spacing w:before="16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4C9DA5AD">
            <w:pPr>
              <w:spacing w:before="166" w:line="199"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10.95t/a</w:t>
            </w:r>
          </w:p>
        </w:tc>
        <w:tc>
          <w:tcPr>
            <w:tcW w:w="1755" w:type="dxa"/>
            <w:vAlign w:val="top"/>
          </w:tcPr>
          <w:p w14:paraId="17122A1E">
            <w:pPr>
              <w:spacing w:before="16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8397868">
            <w:pPr>
              <w:spacing w:before="166" w:line="199" w:lineRule="auto"/>
              <w:ind w:left="662"/>
              <w:rPr>
                <w:rFonts w:ascii="Times New Roman" w:hAnsi="Times New Roman" w:eastAsia="Times New Roman" w:cs="Times New Roman"/>
                <w:sz w:val="20"/>
                <w:szCs w:val="20"/>
              </w:rPr>
            </w:pPr>
            <w:r>
              <w:rPr>
                <w:rFonts w:ascii="Times New Roman" w:hAnsi="Times New Roman" w:eastAsia="Times New Roman" w:cs="Times New Roman"/>
                <w:sz w:val="20"/>
                <w:szCs w:val="20"/>
              </w:rPr>
              <w:t>10.95t/a</w:t>
            </w:r>
          </w:p>
        </w:tc>
        <w:tc>
          <w:tcPr>
            <w:tcW w:w="1130" w:type="dxa"/>
            <w:tcBorders>
              <w:right w:val="single" w:color="000000" w:sz="6" w:space="0"/>
            </w:tcBorders>
            <w:vAlign w:val="top"/>
          </w:tcPr>
          <w:p w14:paraId="34CA7816">
            <w:pPr>
              <w:spacing w:before="166" w:line="199"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+10.95t/a</w:t>
            </w:r>
          </w:p>
        </w:tc>
      </w:tr>
      <w:tr w14:paraId="11ECD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continue"/>
            <w:tcBorders>
              <w:top w:val="nil"/>
              <w:left w:val="single" w:color="000000" w:sz="6" w:space="0"/>
            </w:tcBorders>
            <w:vAlign w:val="top"/>
          </w:tcPr>
          <w:p w14:paraId="58E08912">
            <w:pPr>
              <w:rPr>
                <w:rFonts w:ascii="Arial"/>
                <w:sz w:val="21"/>
              </w:rPr>
            </w:pPr>
          </w:p>
        </w:tc>
        <w:tc>
          <w:tcPr>
            <w:tcW w:w="1766" w:type="dxa"/>
            <w:vAlign w:val="top"/>
          </w:tcPr>
          <w:p w14:paraId="16AA89CB">
            <w:pPr>
              <w:pStyle w:val="6"/>
              <w:spacing w:before="134" w:line="221" w:lineRule="auto"/>
              <w:ind w:left="254"/>
              <w:rPr>
                <w:sz w:val="20"/>
                <w:szCs w:val="20"/>
              </w:rPr>
            </w:pPr>
            <w:r>
              <w:rPr>
                <w:spacing w:val="7"/>
                <w:sz w:val="20"/>
                <w:szCs w:val="20"/>
              </w:rPr>
              <w:t>车辆废弃零件</w:t>
            </w:r>
          </w:p>
        </w:tc>
        <w:tc>
          <w:tcPr>
            <w:tcW w:w="1693" w:type="dxa"/>
            <w:vAlign w:val="top"/>
          </w:tcPr>
          <w:p w14:paraId="57E63356">
            <w:pPr>
              <w:spacing w:before="166"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1744A4FC">
            <w:pPr>
              <w:spacing w:before="166"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7CCAB370">
            <w:pPr>
              <w:spacing w:before="166"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4D1AF06D">
            <w:pPr>
              <w:spacing w:before="166" w:line="199"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1755" w:type="dxa"/>
            <w:vAlign w:val="top"/>
          </w:tcPr>
          <w:p w14:paraId="4F892F6E">
            <w:pPr>
              <w:spacing w:before="166"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6BE5913D">
            <w:pPr>
              <w:spacing w:before="166" w:line="199"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15t/a</w:t>
            </w:r>
          </w:p>
        </w:tc>
        <w:tc>
          <w:tcPr>
            <w:tcW w:w="1130" w:type="dxa"/>
            <w:tcBorders>
              <w:right w:val="single" w:color="000000" w:sz="6" w:space="0"/>
            </w:tcBorders>
            <w:vAlign w:val="top"/>
          </w:tcPr>
          <w:p w14:paraId="02D8BE02">
            <w:pPr>
              <w:spacing w:before="166" w:line="199"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+15t/a</w:t>
            </w:r>
          </w:p>
        </w:tc>
      </w:tr>
      <w:tr w14:paraId="391E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06" w:type="dxa"/>
            <w:vMerge w:val="restart"/>
            <w:tcBorders>
              <w:left w:val="single" w:color="000000" w:sz="6" w:space="0"/>
              <w:bottom w:val="nil"/>
            </w:tcBorders>
            <w:vAlign w:val="top"/>
          </w:tcPr>
          <w:p w14:paraId="4666BA19">
            <w:pPr>
              <w:spacing w:line="258" w:lineRule="auto"/>
              <w:rPr>
                <w:rFonts w:ascii="Arial"/>
                <w:sz w:val="21"/>
              </w:rPr>
            </w:pPr>
          </w:p>
          <w:p w14:paraId="0C8CA099">
            <w:pPr>
              <w:spacing w:line="259" w:lineRule="auto"/>
              <w:rPr>
                <w:rFonts w:ascii="Arial"/>
                <w:sz w:val="21"/>
              </w:rPr>
            </w:pPr>
          </w:p>
          <w:p w14:paraId="7E4AA6C8">
            <w:pPr>
              <w:spacing w:line="259" w:lineRule="auto"/>
              <w:rPr>
                <w:rFonts w:ascii="Arial"/>
                <w:sz w:val="21"/>
              </w:rPr>
            </w:pPr>
          </w:p>
          <w:p w14:paraId="4BC57ECD">
            <w:pPr>
              <w:spacing w:line="259" w:lineRule="auto"/>
              <w:rPr>
                <w:rFonts w:ascii="Arial"/>
                <w:sz w:val="21"/>
              </w:rPr>
            </w:pPr>
          </w:p>
          <w:p w14:paraId="5B5FA261">
            <w:pPr>
              <w:pStyle w:val="6"/>
              <w:spacing w:before="65" w:line="228" w:lineRule="auto"/>
              <w:ind w:left="184"/>
              <w:rPr>
                <w:sz w:val="20"/>
                <w:szCs w:val="20"/>
              </w:rPr>
            </w:pPr>
            <w:r>
              <w:rPr>
                <w:spacing w:val="6"/>
                <w:sz w:val="20"/>
                <w:szCs w:val="20"/>
              </w:rPr>
              <w:t>危险废物</w:t>
            </w:r>
          </w:p>
        </w:tc>
        <w:tc>
          <w:tcPr>
            <w:tcW w:w="1766" w:type="dxa"/>
            <w:vAlign w:val="top"/>
          </w:tcPr>
          <w:p w14:paraId="6827910A">
            <w:pPr>
              <w:pStyle w:val="6"/>
              <w:spacing w:before="136" w:line="219" w:lineRule="auto"/>
              <w:ind w:left="568"/>
              <w:rPr>
                <w:sz w:val="20"/>
                <w:szCs w:val="20"/>
              </w:rPr>
            </w:pPr>
            <w:r>
              <w:rPr>
                <w:spacing w:val="7"/>
                <w:sz w:val="20"/>
                <w:szCs w:val="20"/>
              </w:rPr>
              <w:t>废机油</w:t>
            </w:r>
          </w:p>
        </w:tc>
        <w:tc>
          <w:tcPr>
            <w:tcW w:w="1693" w:type="dxa"/>
            <w:vAlign w:val="top"/>
          </w:tcPr>
          <w:p w14:paraId="303D5982">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528CDA08">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134AEBF1">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6A9ECFDB">
            <w:pPr>
              <w:spacing w:before="168"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0.2t/a</w:t>
            </w:r>
          </w:p>
        </w:tc>
        <w:tc>
          <w:tcPr>
            <w:tcW w:w="1755" w:type="dxa"/>
            <w:vAlign w:val="top"/>
          </w:tcPr>
          <w:p w14:paraId="4E65B037">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1374F08E">
            <w:pPr>
              <w:spacing w:before="168" w:line="199"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0.2t/a</w:t>
            </w:r>
          </w:p>
        </w:tc>
        <w:tc>
          <w:tcPr>
            <w:tcW w:w="1130" w:type="dxa"/>
            <w:tcBorders>
              <w:right w:val="single" w:color="000000" w:sz="6" w:space="0"/>
            </w:tcBorders>
            <w:vAlign w:val="top"/>
          </w:tcPr>
          <w:p w14:paraId="16F6FCD9">
            <w:pPr>
              <w:spacing w:before="168" w:line="199"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+0.2t/a</w:t>
            </w:r>
          </w:p>
        </w:tc>
      </w:tr>
      <w:tr w14:paraId="4F9A2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660B1CB5">
            <w:pPr>
              <w:rPr>
                <w:rFonts w:ascii="Arial"/>
                <w:sz w:val="21"/>
              </w:rPr>
            </w:pPr>
          </w:p>
        </w:tc>
        <w:tc>
          <w:tcPr>
            <w:tcW w:w="1766" w:type="dxa"/>
            <w:vAlign w:val="top"/>
          </w:tcPr>
          <w:p w14:paraId="73EAEBFD">
            <w:pPr>
              <w:pStyle w:val="6"/>
              <w:spacing w:before="136" w:line="220" w:lineRule="auto"/>
              <w:ind w:left="568"/>
              <w:rPr>
                <w:sz w:val="20"/>
                <w:szCs w:val="20"/>
              </w:rPr>
            </w:pPr>
            <w:r>
              <w:rPr>
                <w:spacing w:val="7"/>
                <w:sz w:val="20"/>
                <w:szCs w:val="20"/>
              </w:rPr>
              <w:t>废手套</w:t>
            </w:r>
          </w:p>
        </w:tc>
        <w:tc>
          <w:tcPr>
            <w:tcW w:w="1693" w:type="dxa"/>
            <w:vAlign w:val="top"/>
          </w:tcPr>
          <w:p w14:paraId="3ECE3097">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4FE8F6D1">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1D2F4F20">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F882C7E">
            <w:pPr>
              <w:spacing w:before="168"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755" w:type="dxa"/>
            <w:vAlign w:val="top"/>
          </w:tcPr>
          <w:p w14:paraId="4DCE878C">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7139350E">
            <w:pPr>
              <w:spacing w:before="168"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0.02t/a</w:t>
            </w:r>
          </w:p>
        </w:tc>
        <w:tc>
          <w:tcPr>
            <w:tcW w:w="1130" w:type="dxa"/>
            <w:tcBorders>
              <w:right w:val="single" w:color="000000" w:sz="6" w:space="0"/>
            </w:tcBorders>
            <w:vAlign w:val="top"/>
          </w:tcPr>
          <w:p w14:paraId="47E08C4A">
            <w:pPr>
              <w:spacing w:before="168"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+0.02t/a</w:t>
            </w:r>
          </w:p>
        </w:tc>
      </w:tr>
      <w:tr w14:paraId="683C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0DEBE702">
            <w:pPr>
              <w:rPr>
                <w:rFonts w:ascii="Arial"/>
                <w:sz w:val="21"/>
              </w:rPr>
            </w:pPr>
          </w:p>
        </w:tc>
        <w:tc>
          <w:tcPr>
            <w:tcW w:w="1766" w:type="dxa"/>
            <w:vAlign w:val="top"/>
          </w:tcPr>
          <w:p w14:paraId="6B5E3C46">
            <w:pPr>
              <w:pStyle w:val="6"/>
              <w:spacing w:before="137" w:line="219" w:lineRule="auto"/>
              <w:ind w:left="358"/>
              <w:rPr>
                <w:sz w:val="20"/>
                <w:szCs w:val="20"/>
              </w:rPr>
            </w:pPr>
            <w:r>
              <w:rPr>
                <w:spacing w:val="8"/>
                <w:sz w:val="20"/>
                <w:szCs w:val="20"/>
              </w:rPr>
              <w:t>含油废抹布</w:t>
            </w:r>
          </w:p>
        </w:tc>
        <w:tc>
          <w:tcPr>
            <w:tcW w:w="1693" w:type="dxa"/>
            <w:vAlign w:val="top"/>
          </w:tcPr>
          <w:p w14:paraId="78959911">
            <w:pPr>
              <w:spacing w:before="169"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6D915A51">
            <w:pPr>
              <w:spacing w:before="169"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56E509B6">
            <w:pPr>
              <w:spacing w:before="169"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1374514B">
            <w:pPr>
              <w:spacing w:before="169" w:line="199"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0.05t/a</w:t>
            </w:r>
          </w:p>
        </w:tc>
        <w:tc>
          <w:tcPr>
            <w:tcW w:w="1755" w:type="dxa"/>
            <w:vAlign w:val="top"/>
          </w:tcPr>
          <w:p w14:paraId="7117060E">
            <w:pPr>
              <w:spacing w:before="169"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30D812BB">
            <w:pPr>
              <w:spacing w:before="169" w:line="199" w:lineRule="auto"/>
              <w:ind w:left="6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0.05t/a</w:t>
            </w:r>
          </w:p>
        </w:tc>
        <w:tc>
          <w:tcPr>
            <w:tcW w:w="1130" w:type="dxa"/>
            <w:tcBorders>
              <w:right w:val="single" w:color="000000" w:sz="6" w:space="0"/>
            </w:tcBorders>
            <w:vAlign w:val="top"/>
          </w:tcPr>
          <w:p w14:paraId="19F34030">
            <w:pPr>
              <w:spacing w:before="169" w:line="199"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+0.05t/a</w:t>
            </w:r>
          </w:p>
        </w:tc>
      </w:tr>
      <w:tr w14:paraId="4D62A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206" w:type="dxa"/>
            <w:vMerge w:val="continue"/>
            <w:tcBorders>
              <w:top w:val="nil"/>
              <w:left w:val="single" w:color="000000" w:sz="6" w:space="0"/>
              <w:bottom w:val="nil"/>
            </w:tcBorders>
            <w:vAlign w:val="top"/>
          </w:tcPr>
          <w:p w14:paraId="32A1C1FD">
            <w:pPr>
              <w:rPr>
                <w:rFonts w:ascii="Arial"/>
                <w:sz w:val="21"/>
              </w:rPr>
            </w:pPr>
          </w:p>
        </w:tc>
        <w:tc>
          <w:tcPr>
            <w:tcW w:w="1766" w:type="dxa"/>
            <w:vAlign w:val="top"/>
          </w:tcPr>
          <w:p w14:paraId="1D61C594">
            <w:pPr>
              <w:pStyle w:val="6"/>
              <w:spacing w:before="136" w:line="220" w:lineRule="auto"/>
              <w:ind w:left="568"/>
              <w:rPr>
                <w:sz w:val="20"/>
                <w:szCs w:val="20"/>
              </w:rPr>
            </w:pPr>
            <w:r>
              <w:rPr>
                <w:spacing w:val="7"/>
                <w:sz w:val="20"/>
                <w:szCs w:val="20"/>
              </w:rPr>
              <w:t>废油桶</w:t>
            </w:r>
          </w:p>
        </w:tc>
        <w:tc>
          <w:tcPr>
            <w:tcW w:w="1693" w:type="dxa"/>
            <w:vAlign w:val="top"/>
          </w:tcPr>
          <w:p w14:paraId="363924E7">
            <w:pPr>
              <w:spacing w:before="168"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vAlign w:val="top"/>
          </w:tcPr>
          <w:p w14:paraId="785CFB6C">
            <w:pPr>
              <w:spacing w:before="168"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vAlign w:val="top"/>
          </w:tcPr>
          <w:p w14:paraId="295DF54D">
            <w:pPr>
              <w:spacing w:before="168"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vAlign w:val="top"/>
          </w:tcPr>
          <w:p w14:paraId="6DB3A3EC">
            <w:pPr>
              <w:pStyle w:val="6"/>
              <w:spacing w:before="136" w:line="220" w:lineRule="auto"/>
              <w:ind w:left="427"/>
              <w:rPr>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13"/>
                <w:sz w:val="20"/>
                <w:szCs w:val="20"/>
              </w:rPr>
              <w:t xml:space="preserve"> </w:t>
            </w:r>
            <w:r>
              <w:rPr>
                <w:spacing w:val="-1"/>
                <w:sz w:val="20"/>
                <w:szCs w:val="20"/>
              </w:rPr>
              <w:t>个</w:t>
            </w:r>
            <w:r>
              <w:rPr>
                <w:rFonts w:ascii="Times New Roman" w:hAnsi="Times New Roman" w:eastAsia="Times New Roman" w:cs="Times New Roman"/>
                <w:spacing w:val="-1"/>
                <w:sz w:val="20"/>
                <w:szCs w:val="20"/>
              </w:rPr>
              <w:t>/</w:t>
            </w:r>
            <w:r>
              <w:rPr>
                <w:spacing w:val="-1"/>
                <w:sz w:val="20"/>
                <w:szCs w:val="20"/>
              </w:rPr>
              <w:t>年</w:t>
            </w:r>
          </w:p>
        </w:tc>
        <w:tc>
          <w:tcPr>
            <w:tcW w:w="1755" w:type="dxa"/>
            <w:vAlign w:val="top"/>
          </w:tcPr>
          <w:p w14:paraId="558BDAC6">
            <w:pPr>
              <w:spacing w:before="168"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vAlign w:val="top"/>
          </w:tcPr>
          <w:p w14:paraId="38489CC7">
            <w:pPr>
              <w:pStyle w:val="6"/>
              <w:spacing w:before="136" w:line="220" w:lineRule="auto"/>
              <w:ind w:left="634"/>
              <w:rPr>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13"/>
                <w:sz w:val="20"/>
                <w:szCs w:val="20"/>
              </w:rPr>
              <w:t xml:space="preserve"> </w:t>
            </w:r>
            <w:r>
              <w:rPr>
                <w:spacing w:val="-1"/>
                <w:sz w:val="20"/>
                <w:szCs w:val="20"/>
              </w:rPr>
              <w:t>个</w:t>
            </w:r>
            <w:r>
              <w:rPr>
                <w:rFonts w:ascii="Times New Roman" w:hAnsi="Times New Roman" w:eastAsia="Times New Roman" w:cs="Times New Roman"/>
                <w:spacing w:val="-1"/>
                <w:sz w:val="20"/>
                <w:szCs w:val="20"/>
              </w:rPr>
              <w:t>/</w:t>
            </w:r>
            <w:r>
              <w:rPr>
                <w:spacing w:val="-1"/>
                <w:sz w:val="20"/>
                <w:szCs w:val="20"/>
              </w:rPr>
              <w:t>年</w:t>
            </w:r>
          </w:p>
        </w:tc>
        <w:tc>
          <w:tcPr>
            <w:tcW w:w="1130" w:type="dxa"/>
            <w:tcBorders>
              <w:right w:val="single" w:color="000000" w:sz="6" w:space="0"/>
            </w:tcBorders>
            <w:vAlign w:val="top"/>
          </w:tcPr>
          <w:p w14:paraId="6FF6D0D4">
            <w:pPr>
              <w:pStyle w:val="6"/>
              <w:spacing w:before="136" w:line="220" w:lineRule="auto"/>
              <w:ind w:left="140"/>
              <w:rPr>
                <w:sz w:val="20"/>
                <w:szCs w:val="20"/>
              </w:rPr>
            </w:pPr>
            <w:r>
              <w:rPr>
                <w:rFonts w:ascii="Times New Roman" w:hAnsi="Times New Roman" w:eastAsia="Times New Roman" w:cs="Times New Roman"/>
                <w:spacing w:val="4"/>
                <w:sz w:val="20"/>
                <w:szCs w:val="20"/>
              </w:rPr>
              <w:t>+12</w:t>
            </w:r>
            <w:r>
              <w:rPr>
                <w:rFonts w:ascii="Times New Roman" w:hAnsi="Times New Roman" w:eastAsia="Times New Roman" w:cs="Times New Roman"/>
                <w:spacing w:val="9"/>
                <w:sz w:val="20"/>
                <w:szCs w:val="20"/>
              </w:rPr>
              <w:t xml:space="preserve"> </w:t>
            </w:r>
            <w:r>
              <w:rPr>
                <w:spacing w:val="4"/>
                <w:sz w:val="20"/>
                <w:szCs w:val="20"/>
              </w:rPr>
              <w:t>个</w:t>
            </w:r>
            <w:r>
              <w:rPr>
                <w:rFonts w:ascii="Times New Roman" w:hAnsi="Times New Roman" w:eastAsia="Times New Roman" w:cs="Times New Roman"/>
                <w:spacing w:val="4"/>
                <w:sz w:val="20"/>
                <w:szCs w:val="20"/>
              </w:rPr>
              <w:t>/</w:t>
            </w:r>
            <w:r>
              <w:rPr>
                <w:spacing w:val="4"/>
                <w:sz w:val="20"/>
                <w:szCs w:val="20"/>
              </w:rPr>
              <w:t>年</w:t>
            </w:r>
          </w:p>
        </w:tc>
      </w:tr>
      <w:tr w14:paraId="71179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1206" w:type="dxa"/>
            <w:vMerge w:val="continue"/>
            <w:tcBorders>
              <w:top w:val="nil"/>
              <w:left w:val="single" w:color="000000" w:sz="6" w:space="0"/>
              <w:bottom w:val="single" w:color="000000" w:sz="6" w:space="0"/>
            </w:tcBorders>
            <w:vAlign w:val="top"/>
          </w:tcPr>
          <w:p w14:paraId="0B3E4516">
            <w:pPr>
              <w:rPr>
                <w:rFonts w:ascii="Arial"/>
                <w:sz w:val="21"/>
              </w:rPr>
            </w:pPr>
          </w:p>
        </w:tc>
        <w:tc>
          <w:tcPr>
            <w:tcW w:w="1766" w:type="dxa"/>
            <w:tcBorders>
              <w:bottom w:val="single" w:color="000000" w:sz="6" w:space="0"/>
            </w:tcBorders>
            <w:vAlign w:val="top"/>
          </w:tcPr>
          <w:p w14:paraId="0ECC1540">
            <w:pPr>
              <w:pStyle w:val="6"/>
              <w:spacing w:before="137" w:line="291" w:lineRule="auto"/>
              <w:ind w:left="778" w:right="150" w:hanging="627"/>
              <w:rPr>
                <w:sz w:val="20"/>
                <w:szCs w:val="20"/>
              </w:rPr>
            </w:pPr>
            <w:r>
              <w:rPr>
                <w:spacing w:val="8"/>
                <w:sz w:val="20"/>
                <w:szCs w:val="20"/>
              </w:rPr>
              <w:t>污泥、浮渣和沉</w:t>
            </w:r>
            <w:r>
              <w:rPr>
                <w:spacing w:val="2"/>
                <w:sz w:val="20"/>
                <w:szCs w:val="20"/>
              </w:rPr>
              <w:t xml:space="preserve"> </w:t>
            </w:r>
            <w:r>
              <w:rPr>
                <w:sz w:val="20"/>
                <w:szCs w:val="20"/>
              </w:rPr>
              <w:t>渣</w:t>
            </w:r>
          </w:p>
        </w:tc>
        <w:tc>
          <w:tcPr>
            <w:tcW w:w="1693" w:type="dxa"/>
            <w:tcBorders>
              <w:bottom w:val="single" w:color="000000" w:sz="6" w:space="0"/>
            </w:tcBorders>
            <w:vAlign w:val="top"/>
          </w:tcPr>
          <w:p w14:paraId="4F70CE20">
            <w:pPr>
              <w:spacing w:line="300" w:lineRule="auto"/>
              <w:rPr>
                <w:rFonts w:ascii="Arial"/>
                <w:sz w:val="21"/>
              </w:rPr>
            </w:pPr>
          </w:p>
          <w:p w14:paraId="097F907A">
            <w:pPr>
              <w:spacing w:before="57" w:line="19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63" w:type="dxa"/>
            <w:tcBorders>
              <w:bottom w:val="single" w:color="000000" w:sz="6" w:space="0"/>
            </w:tcBorders>
            <w:vAlign w:val="top"/>
          </w:tcPr>
          <w:p w14:paraId="610DFA20">
            <w:pPr>
              <w:spacing w:line="300" w:lineRule="auto"/>
              <w:rPr>
                <w:rFonts w:ascii="Arial"/>
                <w:sz w:val="21"/>
              </w:rPr>
            </w:pPr>
          </w:p>
          <w:p w14:paraId="2AAFF4DD">
            <w:pPr>
              <w:spacing w:before="57" w:line="199"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3" w:type="dxa"/>
            <w:tcBorders>
              <w:bottom w:val="single" w:color="000000" w:sz="6" w:space="0"/>
            </w:tcBorders>
            <w:vAlign w:val="top"/>
          </w:tcPr>
          <w:p w14:paraId="270D0324">
            <w:pPr>
              <w:spacing w:line="300" w:lineRule="auto"/>
              <w:rPr>
                <w:rFonts w:ascii="Arial"/>
                <w:sz w:val="21"/>
              </w:rPr>
            </w:pPr>
          </w:p>
          <w:p w14:paraId="5FF4CC39">
            <w:pPr>
              <w:spacing w:before="57" w:line="19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0" w:type="dxa"/>
            <w:tcBorders>
              <w:bottom w:val="single" w:color="000000" w:sz="6" w:space="0"/>
            </w:tcBorders>
            <w:vAlign w:val="top"/>
          </w:tcPr>
          <w:p w14:paraId="0C915623">
            <w:pPr>
              <w:spacing w:line="300" w:lineRule="auto"/>
              <w:rPr>
                <w:rFonts w:ascii="Arial"/>
                <w:sz w:val="21"/>
              </w:rPr>
            </w:pPr>
          </w:p>
          <w:p w14:paraId="780888CD">
            <w:pPr>
              <w:spacing w:before="57" w:line="199"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1.5t/a</w:t>
            </w:r>
          </w:p>
        </w:tc>
        <w:tc>
          <w:tcPr>
            <w:tcW w:w="1755" w:type="dxa"/>
            <w:tcBorders>
              <w:bottom w:val="single" w:color="000000" w:sz="6" w:space="0"/>
            </w:tcBorders>
            <w:vAlign w:val="top"/>
          </w:tcPr>
          <w:p w14:paraId="592D40B1">
            <w:pPr>
              <w:spacing w:line="300" w:lineRule="auto"/>
              <w:rPr>
                <w:rFonts w:ascii="Arial"/>
                <w:sz w:val="21"/>
              </w:rPr>
            </w:pPr>
          </w:p>
          <w:p w14:paraId="5CD2E26C">
            <w:pPr>
              <w:spacing w:before="57" w:line="199"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54" w:type="dxa"/>
            <w:tcBorders>
              <w:bottom w:val="single" w:color="000000" w:sz="6" w:space="0"/>
            </w:tcBorders>
            <w:vAlign w:val="top"/>
          </w:tcPr>
          <w:p w14:paraId="6606C2D8">
            <w:pPr>
              <w:spacing w:line="300" w:lineRule="auto"/>
              <w:rPr>
                <w:rFonts w:ascii="Arial"/>
                <w:sz w:val="21"/>
              </w:rPr>
            </w:pPr>
          </w:p>
          <w:p w14:paraId="04A8500F">
            <w:pPr>
              <w:spacing w:before="57" w:line="199"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1.5t/a</w:t>
            </w:r>
          </w:p>
        </w:tc>
        <w:tc>
          <w:tcPr>
            <w:tcW w:w="1130" w:type="dxa"/>
            <w:tcBorders>
              <w:bottom w:val="single" w:color="000000" w:sz="6" w:space="0"/>
              <w:right w:val="single" w:color="000000" w:sz="6" w:space="0"/>
            </w:tcBorders>
            <w:vAlign w:val="top"/>
          </w:tcPr>
          <w:p w14:paraId="0C21AB51">
            <w:pPr>
              <w:spacing w:line="300" w:lineRule="auto"/>
              <w:rPr>
                <w:rFonts w:ascii="Arial"/>
                <w:sz w:val="21"/>
              </w:rPr>
            </w:pPr>
          </w:p>
          <w:p w14:paraId="103ED90B">
            <w:pPr>
              <w:spacing w:before="57" w:line="199"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+1.5t/a</w:t>
            </w:r>
          </w:p>
        </w:tc>
      </w:tr>
    </w:tbl>
    <w:p w14:paraId="43F6A595">
      <w:pPr>
        <w:pStyle w:val="2"/>
      </w:pPr>
    </w:p>
    <w:p w14:paraId="5FF4BC05">
      <w:pPr>
        <w:sectPr>
          <w:footerReference r:id="rId87" w:type="default"/>
          <w:pgSz w:w="16839" w:h="11906"/>
          <w:pgMar w:top="400" w:right="1410" w:bottom="1259" w:left="1402" w:header="0" w:footer="1097" w:gutter="0"/>
          <w:cols w:space="720" w:num="1"/>
        </w:sectPr>
      </w:pPr>
    </w:p>
    <w:p w14:paraId="5F1200FC">
      <w:pPr>
        <w:pStyle w:val="2"/>
        <w:spacing w:line="264" w:lineRule="auto"/>
      </w:pPr>
    </w:p>
    <w:p w14:paraId="65B5285F">
      <w:pPr>
        <w:pStyle w:val="2"/>
        <w:spacing w:line="264" w:lineRule="auto"/>
      </w:pPr>
    </w:p>
    <w:p w14:paraId="3A70CF85">
      <w:pPr>
        <w:pStyle w:val="2"/>
        <w:spacing w:line="264" w:lineRule="auto"/>
      </w:pPr>
    </w:p>
    <w:p w14:paraId="76832705">
      <w:pPr>
        <w:pStyle w:val="2"/>
        <w:spacing w:line="264" w:lineRule="auto"/>
      </w:pPr>
    </w:p>
    <w:p w14:paraId="5EDA7DCB">
      <w:pPr>
        <w:pStyle w:val="2"/>
        <w:spacing w:line="264" w:lineRule="auto"/>
      </w:pPr>
    </w:p>
    <w:p w14:paraId="2E46B607">
      <w:pPr>
        <w:pStyle w:val="2"/>
        <w:spacing w:line="264" w:lineRule="auto"/>
      </w:pPr>
    </w:p>
    <w:p w14:paraId="03F0B8F7">
      <w:pPr>
        <w:pStyle w:val="2"/>
        <w:spacing w:line="264" w:lineRule="auto"/>
      </w:pPr>
    </w:p>
    <w:p w14:paraId="2E70B992">
      <w:pPr>
        <w:pStyle w:val="2"/>
        <w:spacing w:line="265" w:lineRule="auto"/>
      </w:pPr>
    </w:p>
    <w:p w14:paraId="493897AD">
      <w:pPr>
        <w:pStyle w:val="2"/>
        <w:spacing w:line="265" w:lineRule="auto"/>
      </w:pPr>
    </w:p>
    <w:p w14:paraId="1EFD55A4">
      <w:pPr>
        <w:spacing w:before="169" w:line="362" w:lineRule="auto"/>
        <w:ind w:left="597" w:hanging="522"/>
        <w:rPr>
          <w:rFonts w:ascii="宋体" w:hAnsi="宋体" w:eastAsia="宋体" w:cs="宋体"/>
          <w:sz w:val="52"/>
          <w:szCs w:val="52"/>
        </w:rPr>
      </w:pPr>
      <w:r>
        <w:rPr>
          <w:rFonts w:ascii="宋体" w:hAnsi="宋体" w:eastAsia="宋体" w:cs="宋体"/>
          <w:spacing w:val="-2"/>
          <w:sz w:val="52"/>
          <w:szCs w:val="52"/>
        </w:rPr>
        <w:t>鄂托克经济开发区棋盘井产业园危险</w:t>
      </w:r>
      <w:r>
        <w:rPr>
          <w:rFonts w:ascii="宋体" w:hAnsi="宋体" w:eastAsia="宋体" w:cs="宋体"/>
          <w:spacing w:val="11"/>
          <w:sz w:val="52"/>
          <w:szCs w:val="52"/>
        </w:rPr>
        <w:t xml:space="preserve"> </w:t>
      </w:r>
      <w:r>
        <w:rPr>
          <w:rFonts w:ascii="宋体" w:hAnsi="宋体" w:eastAsia="宋体" w:cs="宋体"/>
          <w:spacing w:val="-2"/>
          <w:sz w:val="52"/>
          <w:szCs w:val="52"/>
        </w:rPr>
        <w:t>化学品车辆专用停车场建设项目</w:t>
      </w:r>
    </w:p>
    <w:p w14:paraId="5AB9ECD0">
      <w:pPr>
        <w:pStyle w:val="2"/>
        <w:spacing w:line="270" w:lineRule="auto"/>
      </w:pPr>
    </w:p>
    <w:p w14:paraId="402788B8">
      <w:pPr>
        <w:spacing w:before="231" w:line="220" w:lineRule="auto"/>
        <w:ind w:left="1352"/>
        <w:outlineLvl w:val="0"/>
        <w:rPr>
          <w:rFonts w:ascii="宋体" w:hAnsi="宋体" w:eastAsia="宋体" w:cs="宋体"/>
          <w:sz w:val="71"/>
          <w:szCs w:val="71"/>
        </w:rPr>
      </w:pPr>
      <w:r>
        <w:rPr>
          <w:rFonts w:ascii="宋体" w:hAnsi="宋体" w:eastAsia="宋体" w:cs="宋体"/>
          <w:b/>
          <w:bCs/>
          <w:spacing w:val="1"/>
          <w:sz w:val="71"/>
          <w:szCs w:val="71"/>
        </w:rPr>
        <w:t>环境风险专项评价</w:t>
      </w:r>
    </w:p>
    <w:p w14:paraId="2A8240AE">
      <w:pPr>
        <w:pStyle w:val="2"/>
        <w:spacing w:line="245" w:lineRule="auto"/>
      </w:pPr>
    </w:p>
    <w:p w14:paraId="143B3973">
      <w:pPr>
        <w:pStyle w:val="2"/>
        <w:spacing w:line="245" w:lineRule="auto"/>
      </w:pPr>
    </w:p>
    <w:p w14:paraId="2523FFDF">
      <w:pPr>
        <w:pStyle w:val="2"/>
        <w:spacing w:line="245" w:lineRule="auto"/>
      </w:pPr>
    </w:p>
    <w:p w14:paraId="02323B73">
      <w:pPr>
        <w:pStyle w:val="2"/>
        <w:spacing w:line="245" w:lineRule="auto"/>
      </w:pPr>
    </w:p>
    <w:p w14:paraId="6BE09687">
      <w:pPr>
        <w:pStyle w:val="2"/>
        <w:spacing w:line="245" w:lineRule="auto"/>
      </w:pPr>
    </w:p>
    <w:p w14:paraId="446C399A">
      <w:pPr>
        <w:pStyle w:val="2"/>
        <w:spacing w:line="245" w:lineRule="auto"/>
      </w:pPr>
    </w:p>
    <w:p w14:paraId="493874F3">
      <w:pPr>
        <w:pStyle w:val="2"/>
        <w:spacing w:line="245" w:lineRule="auto"/>
      </w:pPr>
    </w:p>
    <w:p w14:paraId="3954F878">
      <w:pPr>
        <w:pStyle w:val="2"/>
        <w:spacing w:line="245" w:lineRule="auto"/>
      </w:pPr>
    </w:p>
    <w:p w14:paraId="53A016EF">
      <w:pPr>
        <w:pStyle w:val="2"/>
        <w:spacing w:line="245" w:lineRule="auto"/>
      </w:pPr>
    </w:p>
    <w:p w14:paraId="682F5664">
      <w:pPr>
        <w:pStyle w:val="2"/>
        <w:spacing w:line="245" w:lineRule="auto"/>
      </w:pPr>
    </w:p>
    <w:p w14:paraId="5FA6CFB3">
      <w:pPr>
        <w:pStyle w:val="2"/>
        <w:spacing w:line="245" w:lineRule="auto"/>
      </w:pPr>
    </w:p>
    <w:p w14:paraId="17F69683">
      <w:pPr>
        <w:pStyle w:val="2"/>
        <w:spacing w:line="245" w:lineRule="auto"/>
      </w:pPr>
    </w:p>
    <w:p w14:paraId="7B7A2FF5">
      <w:pPr>
        <w:pStyle w:val="2"/>
        <w:spacing w:line="245" w:lineRule="auto"/>
      </w:pPr>
    </w:p>
    <w:p w14:paraId="10178402">
      <w:pPr>
        <w:pStyle w:val="2"/>
        <w:spacing w:line="245" w:lineRule="auto"/>
      </w:pPr>
    </w:p>
    <w:p w14:paraId="2EA03A41">
      <w:pPr>
        <w:pStyle w:val="2"/>
        <w:spacing w:line="245" w:lineRule="auto"/>
      </w:pPr>
    </w:p>
    <w:p w14:paraId="618C8C82">
      <w:pPr>
        <w:pStyle w:val="2"/>
        <w:spacing w:line="245" w:lineRule="auto"/>
      </w:pPr>
    </w:p>
    <w:p w14:paraId="7A9060B3">
      <w:pPr>
        <w:pStyle w:val="2"/>
        <w:spacing w:line="245" w:lineRule="auto"/>
      </w:pPr>
    </w:p>
    <w:p w14:paraId="6C461BCC">
      <w:pPr>
        <w:pStyle w:val="2"/>
        <w:spacing w:line="245" w:lineRule="auto"/>
      </w:pPr>
    </w:p>
    <w:p w14:paraId="7319FBEA">
      <w:pPr>
        <w:pStyle w:val="2"/>
        <w:spacing w:line="245" w:lineRule="auto"/>
      </w:pPr>
    </w:p>
    <w:p w14:paraId="7F499F3C">
      <w:pPr>
        <w:pStyle w:val="2"/>
        <w:spacing w:line="245" w:lineRule="auto"/>
      </w:pPr>
    </w:p>
    <w:p w14:paraId="1396F257">
      <w:pPr>
        <w:pStyle w:val="2"/>
        <w:spacing w:line="245" w:lineRule="auto"/>
      </w:pPr>
    </w:p>
    <w:p w14:paraId="1C919510">
      <w:pPr>
        <w:pStyle w:val="2"/>
        <w:spacing w:line="245" w:lineRule="auto"/>
      </w:pPr>
    </w:p>
    <w:p w14:paraId="0E35CE4A">
      <w:pPr>
        <w:pStyle w:val="2"/>
        <w:spacing w:line="245" w:lineRule="auto"/>
      </w:pPr>
    </w:p>
    <w:p w14:paraId="5BEF5137">
      <w:pPr>
        <w:pStyle w:val="2"/>
        <w:spacing w:line="246" w:lineRule="auto"/>
      </w:pPr>
    </w:p>
    <w:p w14:paraId="1C0007F5">
      <w:pPr>
        <w:pStyle w:val="2"/>
        <w:spacing w:line="246" w:lineRule="auto"/>
      </w:pPr>
    </w:p>
    <w:p w14:paraId="2636D81D">
      <w:pPr>
        <w:pStyle w:val="2"/>
        <w:spacing w:line="246" w:lineRule="auto"/>
      </w:pPr>
    </w:p>
    <w:p w14:paraId="797ADE6C">
      <w:pPr>
        <w:pStyle w:val="2"/>
        <w:spacing w:line="246" w:lineRule="auto"/>
      </w:pPr>
    </w:p>
    <w:p w14:paraId="76635B05">
      <w:pPr>
        <w:pStyle w:val="2"/>
        <w:spacing w:line="246" w:lineRule="auto"/>
      </w:pPr>
    </w:p>
    <w:p w14:paraId="0F0E7D45">
      <w:pPr>
        <w:pStyle w:val="2"/>
        <w:spacing w:line="246" w:lineRule="auto"/>
      </w:pPr>
    </w:p>
    <w:p w14:paraId="4C7B6B21">
      <w:pPr>
        <w:spacing w:before="100" w:line="224" w:lineRule="auto"/>
        <w:ind w:left="1065"/>
        <w:rPr>
          <w:rFonts w:ascii="宋体" w:hAnsi="宋体" w:eastAsia="宋体" w:cs="宋体"/>
          <w:sz w:val="31"/>
          <w:szCs w:val="31"/>
        </w:rPr>
      </w:pPr>
      <w:r>
        <w:rPr>
          <w:rFonts w:ascii="宋体" w:hAnsi="宋体" w:eastAsia="宋体" w:cs="宋体"/>
          <w:spacing w:val="7"/>
          <w:sz w:val="31"/>
          <w:szCs w:val="31"/>
        </w:rPr>
        <w:t>内蒙古鄂尔多斯鄂托克经济开发区管理委员会</w:t>
      </w:r>
    </w:p>
    <w:p w14:paraId="308FB551">
      <w:pPr>
        <w:spacing w:before="245" w:line="225" w:lineRule="auto"/>
        <w:ind w:left="3113"/>
        <w:rPr>
          <w:rFonts w:ascii="宋体" w:hAnsi="宋体" w:eastAsia="宋体" w:cs="宋体"/>
          <w:sz w:val="31"/>
          <w:szCs w:val="31"/>
        </w:rPr>
      </w:pPr>
      <w:r>
        <w:rPr>
          <w:rFonts w:ascii="宋体" w:hAnsi="宋体" w:eastAsia="宋体" w:cs="宋体"/>
          <w:spacing w:val="7"/>
          <w:sz w:val="31"/>
          <w:szCs w:val="31"/>
        </w:rPr>
        <w:t>二零二五年一月</w:t>
      </w:r>
    </w:p>
    <w:p w14:paraId="5936A043">
      <w:pPr>
        <w:spacing w:line="225" w:lineRule="auto"/>
        <w:rPr>
          <w:rFonts w:ascii="宋体" w:hAnsi="宋体" w:eastAsia="宋体" w:cs="宋体"/>
          <w:sz w:val="31"/>
          <w:szCs w:val="31"/>
        </w:rPr>
        <w:sectPr>
          <w:footerReference r:id="rId88" w:type="default"/>
          <w:pgSz w:w="11906" w:h="16839"/>
          <w:pgMar w:top="400" w:right="1744" w:bottom="400" w:left="1785" w:header="0" w:footer="0" w:gutter="0"/>
          <w:cols w:space="720" w:num="1"/>
        </w:sectPr>
      </w:pPr>
    </w:p>
    <w:p w14:paraId="6944D848">
      <w:pPr>
        <w:pStyle w:val="2"/>
        <w:spacing w:line="245" w:lineRule="auto"/>
      </w:pPr>
    </w:p>
    <w:p w14:paraId="62FD628B">
      <w:pPr>
        <w:pStyle w:val="2"/>
        <w:spacing w:line="245" w:lineRule="auto"/>
      </w:pPr>
    </w:p>
    <w:p w14:paraId="5AD7A2B1">
      <w:pPr>
        <w:pStyle w:val="2"/>
        <w:spacing w:line="246" w:lineRule="auto"/>
      </w:pPr>
    </w:p>
    <w:p w14:paraId="0FDB8724">
      <w:pPr>
        <w:pStyle w:val="2"/>
        <w:spacing w:line="246" w:lineRule="auto"/>
      </w:pPr>
    </w:p>
    <w:sdt>
      <w:sdtPr>
        <w:rPr>
          <w:rFonts w:ascii="宋体" w:hAnsi="宋体" w:eastAsia="宋体" w:cs="宋体"/>
          <w:sz w:val="28"/>
          <w:szCs w:val="28"/>
        </w:rPr>
        <w:id w:val="147464371"/>
        <w:docPartObj>
          <w:docPartGallery w:val="Table of Contents"/>
          <w:docPartUnique/>
        </w:docPartObj>
      </w:sdtPr>
      <w:sdtEndPr>
        <w:rPr>
          <w:rFonts w:ascii="Times New Roman" w:hAnsi="Times New Roman" w:eastAsia="Times New Roman" w:cs="Times New Roman"/>
          <w:sz w:val="28"/>
          <w:szCs w:val="28"/>
        </w:rPr>
      </w:sdtEndPr>
      <w:sdtContent>
        <w:p w14:paraId="49E3AAF5">
          <w:pPr>
            <w:spacing w:before="91" w:line="213" w:lineRule="auto"/>
            <w:ind w:left="3858"/>
            <w:rPr>
              <w:rFonts w:ascii="宋体" w:hAnsi="宋体" w:eastAsia="宋体" w:cs="宋体"/>
              <w:sz w:val="28"/>
              <w:szCs w:val="28"/>
            </w:rPr>
          </w:pPr>
          <w:r>
            <w:rPr>
              <w:rFonts w:ascii="宋体" w:hAnsi="宋体" w:eastAsia="宋体" w:cs="宋体"/>
              <w:b/>
              <w:bCs/>
              <w:spacing w:val="-35"/>
              <w:sz w:val="28"/>
              <w:szCs w:val="28"/>
            </w:rPr>
            <w:t>目</w:t>
          </w:r>
          <w:r>
            <w:rPr>
              <w:rFonts w:ascii="宋体" w:hAnsi="宋体" w:eastAsia="宋体" w:cs="宋体"/>
              <w:spacing w:val="6"/>
              <w:sz w:val="28"/>
              <w:szCs w:val="28"/>
            </w:rPr>
            <w:t xml:space="preserve">  </w:t>
          </w:r>
          <w:r>
            <w:rPr>
              <w:rFonts w:ascii="宋体" w:hAnsi="宋体" w:eastAsia="宋体" w:cs="宋体"/>
              <w:b/>
              <w:bCs/>
              <w:spacing w:val="-35"/>
              <w:sz w:val="28"/>
              <w:szCs w:val="28"/>
            </w:rPr>
            <w:t>录</w:t>
          </w:r>
        </w:p>
        <w:p w14:paraId="4948D8F0">
          <w:pPr>
            <w:tabs>
              <w:tab w:val="right" w:leader="dot" w:pos="8417"/>
            </w:tabs>
            <w:spacing w:before="42" w:line="185" w:lineRule="auto"/>
            <w:ind w:left="606"/>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Times New Roman" w:hAnsi="Times New Roman" w:eastAsia="Times New Roman" w:cs="Times New Roman"/>
              <w:spacing w:val="-17"/>
              <w:sz w:val="28"/>
              <w:szCs w:val="28"/>
            </w:rPr>
            <w:t>1</w:t>
          </w:r>
          <w:r>
            <w:rPr>
              <w:rFonts w:ascii="Times New Roman" w:hAnsi="Times New Roman" w:eastAsia="Times New Roman" w:cs="Times New Roman"/>
              <w:spacing w:val="20"/>
              <w:sz w:val="28"/>
              <w:szCs w:val="28"/>
            </w:rPr>
            <w:t xml:space="preserve"> </w:t>
          </w:r>
          <w:r>
            <w:rPr>
              <w:rFonts w:ascii="宋体" w:hAnsi="宋体" w:eastAsia="宋体" w:cs="宋体"/>
              <w:spacing w:val="-17"/>
              <w:sz w:val="28"/>
              <w:szCs w:val="28"/>
            </w:rPr>
            <w:t>总论</w:t>
          </w:r>
          <w:r>
            <w:rPr>
              <w:rFonts w:ascii="宋体" w:hAnsi="宋体" w:eastAsia="宋体" w:cs="宋体"/>
              <w:sz w:val="28"/>
              <w:szCs w:val="28"/>
            </w:rPr>
            <w:tab/>
          </w:r>
          <w:r>
            <w:rPr>
              <w:rFonts w:ascii="Times New Roman" w:hAnsi="Times New Roman" w:eastAsia="Times New Roman" w:cs="Times New Roman"/>
              <w:spacing w:val="-8"/>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8"/>
              <w:sz w:val="28"/>
              <w:szCs w:val="28"/>
            </w:rPr>
            <w:t>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1380B957">
          <w:pPr>
            <w:tabs>
              <w:tab w:val="right" w:leader="dot" w:pos="8417"/>
            </w:tabs>
            <w:spacing w:before="261" w:line="186" w:lineRule="auto"/>
            <w:ind w:left="1167"/>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rFonts w:ascii="Times New Roman" w:hAnsi="Times New Roman" w:eastAsia="Times New Roman" w:cs="Times New Roman"/>
              <w:spacing w:val="-4"/>
              <w:sz w:val="28"/>
              <w:szCs w:val="28"/>
            </w:rPr>
            <w:t xml:space="preserve">1.1 </w:t>
          </w:r>
          <w:r>
            <w:rPr>
              <w:rFonts w:ascii="宋体" w:hAnsi="宋体" w:eastAsia="宋体" w:cs="宋体"/>
              <w:spacing w:val="-4"/>
              <w:sz w:val="28"/>
              <w:szCs w:val="28"/>
            </w:rPr>
            <w:t>评价目的</w:t>
          </w:r>
          <w:r>
            <w:rPr>
              <w:rFonts w:ascii="宋体" w:hAnsi="宋体" w:eastAsia="宋体" w:cs="宋体"/>
              <w:sz w:val="28"/>
              <w:szCs w:val="28"/>
            </w:rPr>
            <w:tab/>
          </w:r>
          <w:r>
            <w:rPr>
              <w:rFonts w:ascii="Times New Roman" w:hAnsi="Times New Roman" w:eastAsia="Times New Roman" w:cs="Times New Roman"/>
              <w:spacing w:val="-15"/>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43BB4B1C">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spacing w:val="-4"/>
              <w:sz w:val="28"/>
              <w:szCs w:val="28"/>
            </w:rPr>
            <w:t xml:space="preserve">1.2 </w:t>
          </w:r>
          <w:r>
            <w:rPr>
              <w:rFonts w:ascii="宋体" w:hAnsi="宋体" w:eastAsia="宋体" w:cs="宋体"/>
              <w:spacing w:val="-4"/>
              <w:sz w:val="28"/>
              <w:szCs w:val="28"/>
            </w:rPr>
            <w:t>评价原则</w:t>
          </w:r>
          <w:r>
            <w:rPr>
              <w:rFonts w:ascii="宋体" w:hAnsi="宋体" w:eastAsia="宋体" w:cs="宋体"/>
              <w:sz w:val="28"/>
              <w:szCs w:val="28"/>
            </w:rPr>
            <w:tab/>
          </w:r>
          <w:r>
            <w:rPr>
              <w:rFonts w:ascii="Times New Roman" w:hAnsi="Times New Roman" w:eastAsia="Times New Roman" w:cs="Times New Roman"/>
              <w:spacing w:val="-15"/>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36CD54B">
          <w:pPr>
            <w:tabs>
              <w:tab w:val="right" w:leader="dot" w:pos="8417"/>
            </w:tabs>
            <w:spacing w:before="265" w:line="185" w:lineRule="auto"/>
            <w:ind w:left="1167"/>
            <w:rPr>
              <w:rFonts w:ascii="Times New Roman" w:hAnsi="Times New Roman" w:eastAsia="Times New Roman" w:cs="Times New Roman"/>
              <w:sz w:val="28"/>
              <w:szCs w:val="28"/>
            </w:rPr>
          </w:pPr>
          <w:r>
            <w:fldChar w:fldCharType="begin"/>
          </w:r>
          <w:r>
            <w:instrText xml:space="preserve"> HYPERLINK \l "bookmark4" </w:instrText>
          </w:r>
          <w:r>
            <w:fldChar w:fldCharType="separate"/>
          </w:r>
          <w:r>
            <w:rPr>
              <w:rFonts w:ascii="Times New Roman" w:hAnsi="Times New Roman" w:eastAsia="Times New Roman" w:cs="Times New Roman"/>
              <w:spacing w:val="-4"/>
              <w:sz w:val="28"/>
              <w:szCs w:val="28"/>
            </w:rPr>
            <w:t xml:space="preserve">1.3 </w:t>
          </w:r>
          <w:r>
            <w:rPr>
              <w:rFonts w:ascii="宋体" w:hAnsi="宋体" w:eastAsia="宋体" w:cs="宋体"/>
              <w:spacing w:val="-4"/>
              <w:sz w:val="28"/>
              <w:szCs w:val="28"/>
            </w:rPr>
            <w:t>评价工作程序</w:t>
          </w:r>
          <w:r>
            <w:rPr>
              <w:rFonts w:ascii="宋体" w:hAnsi="宋体" w:eastAsia="宋体" w:cs="宋体"/>
              <w:sz w:val="28"/>
              <w:szCs w:val="28"/>
            </w:rPr>
            <w:tab/>
          </w:r>
          <w:r>
            <w:rPr>
              <w:rFonts w:ascii="宋体" w:hAnsi="宋体" w:eastAsia="宋体" w:cs="宋体"/>
              <w:spacing w:val="-66"/>
              <w:sz w:val="28"/>
              <w:szCs w:val="28"/>
            </w:rPr>
            <w:t xml:space="preserve"> </w:t>
          </w:r>
          <w:r>
            <w:rPr>
              <w:rFonts w:ascii="Times New Roman" w:hAnsi="Times New Roman" w:eastAsia="Times New Roman" w:cs="Times New Roman"/>
              <w:spacing w:val="-23"/>
              <w:sz w:val="28"/>
              <w:szCs w:val="28"/>
            </w:rPr>
            <w:t>-</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pacing w:val="-22"/>
              <w:sz w:val="28"/>
              <w:szCs w:val="28"/>
            </w:rPr>
            <w:t>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36BC65A">
          <w:pPr>
            <w:tabs>
              <w:tab w:val="right" w:leader="dot" w:pos="8417"/>
            </w:tabs>
            <w:spacing w:before="262" w:line="186" w:lineRule="auto"/>
            <w:ind w:left="579"/>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Times New Roman" w:hAnsi="Times New Roman" w:eastAsia="Times New Roman" w:cs="Times New Roman"/>
              <w:spacing w:val="-1"/>
              <w:sz w:val="28"/>
              <w:szCs w:val="28"/>
            </w:rPr>
            <w:t xml:space="preserve">2 </w:t>
          </w:r>
          <w:r>
            <w:rPr>
              <w:rFonts w:ascii="宋体" w:hAnsi="宋体" w:eastAsia="宋体" w:cs="宋体"/>
              <w:spacing w:val="-1"/>
              <w:sz w:val="28"/>
              <w:szCs w:val="28"/>
            </w:rPr>
            <w:t>建设项目基本情况</w:t>
          </w:r>
          <w:r>
            <w:rPr>
              <w:rFonts w:ascii="宋体" w:hAnsi="宋体" w:eastAsia="宋体" w:cs="宋体"/>
              <w:sz w:val="28"/>
              <w:szCs w:val="28"/>
            </w:rPr>
            <w:tab/>
          </w:r>
          <w:r>
            <w:rPr>
              <w:rFonts w:ascii="宋体" w:hAnsi="宋体" w:eastAsia="宋体" w:cs="宋体"/>
              <w:spacing w:val="-62"/>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60BEDD70">
          <w:pPr>
            <w:tabs>
              <w:tab w:val="right" w:leader="dot" w:pos="8417"/>
            </w:tabs>
            <w:spacing w:before="262" w:line="186" w:lineRule="auto"/>
            <w:ind w:left="1140"/>
            <w:rPr>
              <w:rFonts w:ascii="Times New Roman" w:hAnsi="Times New Roman" w:eastAsia="Times New Roman" w:cs="Times New Roman"/>
              <w:sz w:val="28"/>
              <w:szCs w:val="28"/>
            </w:rPr>
          </w:pPr>
          <w:r>
            <w:fldChar w:fldCharType="begin"/>
          </w:r>
          <w:r>
            <w:instrText xml:space="preserve"> HYPERLINK \l "bookmark6" </w:instrText>
          </w:r>
          <w:r>
            <w:fldChar w:fldCharType="separate"/>
          </w:r>
          <w:r>
            <w:rPr>
              <w:rFonts w:ascii="Times New Roman" w:hAnsi="Times New Roman" w:eastAsia="Times New Roman" w:cs="Times New Roman"/>
              <w:spacing w:val="-1"/>
              <w:sz w:val="28"/>
              <w:szCs w:val="28"/>
            </w:rPr>
            <w:t xml:space="preserve">2.1 </w:t>
          </w:r>
          <w:r>
            <w:rPr>
              <w:rFonts w:ascii="宋体" w:hAnsi="宋体" w:eastAsia="宋体" w:cs="宋体"/>
              <w:spacing w:val="-1"/>
              <w:sz w:val="28"/>
              <w:szCs w:val="28"/>
            </w:rPr>
            <w:t>建设项目基本情况</w:t>
          </w:r>
          <w:r>
            <w:rPr>
              <w:rFonts w:ascii="宋体" w:hAnsi="宋体" w:eastAsia="宋体" w:cs="宋体"/>
              <w:sz w:val="28"/>
              <w:szCs w:val="28"/>
            </w:rPr>
            <w:tab/>
          </w:r>
          <w:r>
            <w:rPr>
              <w:rFonts w:ascii="宋体" w:hAnsi="宋体" w:eastAsia="宋体" w:cs="宋体"/>
              <w:spacing w:val="-73"/>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356C6F49">
          <w:pPr>
            <w:tabs>
              <w:tab w:val="right" w:leader="dot" w:pos="8417"/>
            </w:tabs>
            <w:spacing w:before="264" w:line="185" w:lineRule="auto"/>
            <w:ind w:left="1140"/>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spacing w:val="-1"/>
              <w:sz w:val="28"/>
              <w:szCs w:val="28"/>
            </w:rPr>
            <w:t xml:space="preserve">2.2 </w:t>
          </w:r>
          <w:r>
            <w:rPr>
              <w:rFonts w:ascii="宋体" w:hAnsi="宋体" w:eastAsia="宋体" w:cs="宋体"/>
              <w:spacing w:val="-1"/>
              <w:sz w:val="28"/>
              <w:szCs w:val="28"/>
            </w:rPr>
            <w:t>危险化学品信息</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2"/>
              <w:sz w:val="28"/>
              <w:szCs w:val="28"/>
            </w:rPr>
            <w:t>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16D48B13">
          <w:pPr>
            <w:tabs>
              <w:tab w:val="right" w:leader="dot" w:pos="8417"/>
            </w:tabs>
            <w:spacing w:before="263" w:line="186" w:lineRule="auto"/>
            <w:ind w:left="584"/>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spacing w:val="-1"/>
              <w:sz w:val="28"/>
              <w:szCs w:val="28"/>
            </w:rPr>
            <w:t xml:space="preserve">3 </w:t>
          </w:r>
          <w:r>
            <w:rPr>
              <w:rFonts w:ascii="宋体" w:hAnsi="宋体" w:eastAsia="宋体" w:cs="宋体"/>
              <w:spacing w:val="-1"/>
              <w:sz w:val="28"/>
              <w:szCs w:val="28"/>
            </w:rPr>
            <w:t>分析判定相关情况</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2B4D66A1">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spacing w:val="-2"/>
              <w:sz w:val="28"/>
              <w:szCs w:val="28"/>
            </w:rPr>
            <w:t xml:space="preserve">3.1 </w:t>
          </w:r>
          <w:r>
            <w:rPr>
              <w:rFonts w:ascii="宋体" w:hAnsi="宋体" w:eastAsia="宋体" w:cs="宋体"/>
              <w:spacing w:val="-2"/>
              <w:sz w:val="28"/>
              <w:szCs w:val="28"/>
            </w:rPr>
            <w:t>风险源调查</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7EECB31A">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"bookmark10" </w:instrText>
          </w:r>
          <w:r>
            <w:fldChar w:fldCharType="separate"/>
          </w:r>
          <w:r>
            <w:rPr>
              <w:rFonts w:ascii="Times New Roman" w:hAnsi="Times New Roman" w:eastAsia="Times New Roman" w:cs="Times New Roman"/>
              <w:spacing w:val="-2"/>
              <w:sz w:val="28"/>
              <w:szCs w:val="28"/>
            </w:rPr>
            <w:t xml:space="preserve">3.2 </w:t>
          </w:r>
          <w:r>
            <w:rPr>
              <w:rFonts w:ascii="宋体" w:hAnsi="宋体" w:eastAsia="宋体" w:cs="宋体"/>
              <w:spacing w:val="-2"/>
              <w:sz w:val="28"/>
              <w:szCs w:val="28"/>
            </w:rPr>
            <w:t>风险潜势初判</w:t>
          </w:r>
          <w:r>
            <w:rPr>
              <w:rFonts w:ascii="宋体" w:hAnsi="宋体" w:eastAsia="宋体" w:cs="宋体"/>
              <w:sz w:val="28"/>
              <w:szCs w:val="28"/>
            </w:rPr>
            <w:tab/>
          </w:r>
          <w:r>
            <w:rPr>
              <w:rFonts w:ascii="宋体" w:hAnsi="宋体" w:eastAsia="宋体" w:cs="宋体"/>
              <w:spacing w:val="-68"/>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11"/>
              <w:sz w:val="28"/>
              <w:szCs w:val="28"/>
            </w:rPr>
            <w:fldChar w:fldCharType="end"/>
          </w:r>
        </w:p>
        <w:p w14:paraId="23BCA2B2">
          <w:pPr>
            <w:tabs>
              <w:tab w:val="right" w:leader="dot" w:pos="8417"/>
            </w:tabs>
            <w:spacing w:before="263" w:line="185" w:lineRule="auto"/>
            <w:ind w:left="1146"/>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Times New Roman" w:hAnsi="Times New Roman" w:eastAsia="Times New Roman" w:cs="Times New Roman"/>
              <w:spacing w:val="-2"/>
              <w:sz w:val="28"/>
              <w:szCs w:val="28"/>
            </w:rPr>
            <w:t xml:space="preserve">3.3 </w:t>
          </w:r>
          <w:r>
            <w:rPr>
              <w:rFonts w:ascii="宋体" w:hAnsi="宋体" w:eastAsia="宋体" w:cs="宋体"/>
              <w:spacing w:val="-2"/>
              <w:sz w:val="28"/>
              <w:szCs w:val="28"/>
            </w:rPr>
            <w:t>评价等级判定</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377338D3">
          <w:pPr>
            <w:tabs>
              <w:tab w:val="right" w:leader="dot" w:pos="8417"/>
            </w:tabs>
            <w:spacing w:before="264" w:line="186" w:lineRule="auto"/>
            <w:ind w:left="1146"/>
            <w:rPr>
              <w:rFonts w:ascii="Times New Roman" w:hAnsi="Times New Roman" w:eastAsia="Times New Roman" w:cs="Times New Roman"/>
              <w:sz w:val="28"/>
              <w:szCs w:val="28"/>
            </w:rPr>
          </w:pPr>
          <w:r>
            <w:fldChar w:fldCharType="begin"/>
          </w:r>
          <w:r>
            <w:instrText xml:space="preserve"> HYPERLINK \l "bookmark12" </w:instrText>
          </w:r>
          <w:r>
            <w:fldChar w:fldCharType="separate"/>
          </w:r>
          <w:r>
            <w:rPr>
              <w:rFonts w:ascii="Times New Roman" w:hAnsi="Times New Roman" w:eastAsia="Times New Roman" w:cs="Times New Roman"/>
              <w:spacing w:val="-1"/>
              <w:sz w:val="28"/>
              <w:szCs w:val="28"/>
            </w:rPr>
            <w:t xml:space="preserve">3.4 </w:t>
          </w:r>
          <w:r>
            <w:rPr>
              <w:rFonts w:ascii="宋体" w:hAnsi="宋体" w:eastAsia="宋体" w:cs="宋体"/>
              <w:spacing w:val="-1"/>
              <w:sz w:val="28"/>
              <w:szCs w:val="28"/>
            </w:rPr>
            <w:t>评价范围与评价内容</w:t>
          </w:r>
          <w:r>
            <w:rPr>
              <w:rFonts w:ascii="宋体" w:hAnsi="宋体" w:eastAsia="宋体" w:cs="宋体"/>
              <w:sz w:val="28"/>
              <w:szCs w:val="28"/>
            </w:rPr>
            <w:tab/>
          </w:r>
          <w:r>
            <w:rPr>
              <w:rFonts w:ascii="宋体" w:hAnsi="宋体" w:eastAsia="宋体" w:cs="宋体"/>
              <w:spacing w:val="-79"/>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7DF03F3A">
          <w:pPr>
            <w:tabs>
              <w:tab w:val="right" w:leader="dot" w:pos="8417"/>
            </w:tabs>
            <w:spacing w:before="262" w:line="186" w:lineRule="auto"/>
            <w:ind w:left="577"/>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环境敏感目标分析</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0411625E">
          <w:pPr>
            <w:tabs>
              <w:tab w:val="right" w:leader="dot" w:pos="8417"/>
            </w:tabs>
            <w:spacing w:before="264" w:line="185" w:lineRule="auto"/>
            <w:ind w:left="586"/>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Times New Roman" w:hAnsi="Times New Roman" w:eastAsia="Times New Roman" w:cs="Times New Roman"/>
              <w:spacing w:val="-2"/>
              <w:sz w:val="28"/>
              <w:szCs w:val="28"/>
            </w:rPr>
            <w:t xml:space="preserve">5 </w:t>
          </w:r>
          <w:r>
            <w:rPr>
              <w:rFonts w:ascii="宋体" w:hAnsi="宋体" w:eastAsia="宋体" w:cs="宋体"/>
              <w:spacing w:val="-2"/>
              <w:sz w:val="28"/>
              <w:szCs w:val="28"/>
            </w:rPr>
            <w:t>环境风险识别</w:t>
          </w:r>
          <w:r>
            <w:rPr>
              <w:rFonts w:ascii="宋体" w:hAnsi="宋体" w:eastAsia="宋体" w:cs="宋体"/>
              <w:sz w:val="28"/>
              <w:szCs w:val="28"/>
            </w:rPr>
            <w:tab/>
          </w:r>
          <w:r>
            <w:rPr>
              <w:rFonts w:ascii="Times New Roman" w:hAnsi="Times New Roman" w:eastAsia="Times New Roman" w:cs="Times New Roman"/>
              <w:spacing w:val="-10"/>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0"/>
              <w:sz w:val="28"/>
              <w:szCs w:val="28"/>
            </w:rPr>
            <w:t>17</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10"/>
              <w:sz w:val="28"/>
              <w:szCs w:val="28"/>
            </w:rPr>
            <w:t>-</w:t>
          </w:r>
          <w:r>
            <w:rPr>
              <w:rFonts w:ascii="Times New Roman" w:hAnsi="Times New Roman" w:eastAsia="Times New Roman" w:cs="Times New Roman"/>
              <w:spacing w:val="-10"/>
              <w:sz w:val="28"/>
              <w:szCs w:val="28"/>
            </w:rPr>
            <w:fldChar w:fldCharType="end"/>
          </w:r>
        </w:p>
        <w:p w14:paraId="34FCB565">
          <w:pPr>
            <w:tabs>
              <w:tab w:val="right" w:leader="dot" w:pos="8417"/>
            </w:tabs>
            <w:spacing w:before="263" w:line="186" w:lineRule="auto"/>
            <w:ind w:left="1148"/>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Times New Roman" w:hAnsi="Times New Roman" w:eastAsia="Times New Roman" w:cs="Times New Roman"/>
              <w:spacing w:val="-2"/>
              <w:sz w:val="28"/>
              <w:szCs w:val="28"/>
            </w:rPr>
            <w:t xml:space="preserve">5.1 </w:t>
          </w:r>
          <w:r>
            <w:rPr>
              <w:rFonts w:ascii="宋体" w:hAnsi="宋体" w:eastAsia="宋体" w:cs="宋体"/>
              <w:spacing w:val="-2"/>
              <w:sz w:val="28"/>
              <w:szCs w:val="28"/>
            </w:rPr>
            <w:t>物质风险识别</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15"/>
              <w:sz w:val="28"/>
              <w:szCs w:val="28"/>
            </w:rPr>
            <w:t>-</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pacing w:val="-15"/>
              <w:sz w:val="28"/>
              <w:szCs w:val="28"/>
            </w:rPr>
            <w:t>1</w:t>
          </w:r>
          <w:r>
            <w:rPr>
              <w:rFonts w:ascii="Times New Roman" w:hAnsi="Times New Roman" w:eastAsia="Times New Roman" w:cs="Times New Roman"/>
              <w:spacing w:val="-14"/>
              <w:sz w:val="28"/>
              <w:szCs w:val="28"/>
            </w:rPr>
            <w:t>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12"/>
              <w:sz w:val="28"/>
              <w:szCs w:val="28"/>
            </w:rPr>
            <w:t>-</w:t>
          </w:r>
          <w:r>
            <w:rPr>
              <w:rFonts w:ascii="Times New Roman" w:hAnsi="Times New Roman" w:eastAsia="Times New Roman" w:cs="Times New Roman"/>
              <w:spacing w:val="-12"/>
              <w:sz w:val="28"/>
              <w:szCs w:val="28"/>
            </w:rPr>
            <w:fldChar w:fldCharType="end"/>
          </w:r>
        </w:p>
        <w:p w14:paraId="6F43A58F">
          <w:pPr>
            <w:tabs>
              <w:tab w:val="right" w:leader="dot" w:pos="8417"/>
            </w:tabs>
            <w:spacing w:before="263" w:line="186" w:lineRule="auto"/>
            <w:ind w:left="1148"/>
            <w:rPr>
              <w:rFonts w:ascii="Times New Roman" w:hAnsi="Times New Roman" w:eastAsia="Times New Roman" w:cs="Times New Roman"/>
              <w:sz w:val="28"/>
              <w:szCs w:val="28"/>
            </w:rPr>
          </w:pPr>
          <w:r>
            <w:fldChar w:fldCharType="begin"/>
          </w:r>
          <w:r>
            <w:instrText xml:space="preserve"> HYPERLINK \l "bookmark16" </w:instrText>
          </w:r>
          <w:r>
            <w:fldChar w:fldCharType="separate"/>
          </w:r>
          <w:r>
            <w:rPr>
              <w:rFonts w:ascii="Times New Roman" w:hAnsi="Times New Roman" w:eastAsia="Times New Roman" w:cs="Times New Roman"/>
              <w:spacing w:val="-2"/>
              <w:sz w:val="28"/>
              <w:szCs w:val="28"/>
            </w:rPr>
            <w:t xml:space="preserve">5.2 </w:t>
          </w:r>
          <w:r>
            <w:rPr>
              <w:rFonts w:ascii="宋体" w:hAnsi="宋体" w:eastAsia="宋体" w:cs="宋体"/>
              <w:spacing w:val="-2"/>
              <w:sz w:val="28"/>
              <w:szCs w:val="28"/>
            </w:rPr>
            <w:t>生产系统危险性识别</w:t>
          </w:r>
          <w:r>
            <w:rPr>
              <w:rFonts w:ascii="宋体" w:hAnsi="宋体" w:eastAsia="宋体" w:cs="宋体"/>
              <w:sz w:val="28"/>
              <w:szCs w:val="28"/>
            </w:rPr>
            <w:tab/>
          </w:r>
          <w:r>
            <w:rPr>
              <w:rFonts w:ascii="宋体" w:hAnsi="宋体" w:eastAsia="宋体" w:cs="宋体"/>
              <w:spacing w:val="-8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20</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968DE4C">
          <w:pPr>
            <w:tabs>
              <w:tab w:val="right" w:leader="dot" w:pos="8417"/>
            </w:tabs>
            <w:spacing w:before="263" w:line="185" w:lineRule="auto"/>
            <w:ind w:left="1148"/>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spacing w:val="-1"/>
              <w:sz w:val="28"/>
              <w:szCs w:val="28"/>
            </w:rPr>
            <w:t xml:space="preserve">5.3 </w:t>
          </w:r>
          <w:r>
            <w:rPr>
              <w:rFonts w:ascii="宋体" w:hAnsi="宋体" w:eastAsia="宋体" w:cs="宋体"/>
              <w:spacing w:val="-1"/>
              <w:sz w:val="28"/>
              <w:szCs w:val="28"/>
            </w:rPr>
            <w:t>环境风险类型及危害分析</w:t>
          </w:r>
          <w:r>
            <w:rPr>
              <w:rFonts w:ascii="宋体" w:hAnsi="宋体" w:eastAsia="宋体" w:cs="宋体"/>
              <w:sz w:val="28"/>
              <w:szCs w:val="28"/>
            </w:rPr>
            <w:tab/>
          </w:r>
          <w:r>
            <w:rPr>
              <w:rFonts w:ascii="宋体" w:hAnsi="宋体" w:eastAsia="宋体" w:cs="宋体"/>
              <w:spacing w:val="-87"/>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591A2A5E">
          <w:pPr>
            <w:tabs>
              <w:tab w:val="right" w:leader="dot" w:pos="8417"/>
            </w:tabs>
            <w:spacing w:before="264" w:line="186" w:lineRule="auto"/>
            <w:ind w:left="585"/>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Times New Roman" w:hAnsi="Times New Roman" w:eastAsia="Times New Roman" w:cs="Times New Roman"/>
              <w:spacing w:val="-1"/>
              <w:sz w:val="28"/>
              <w:szCs w:val="28"/>
            </w:rPr>
            <w:t xml:space="preserve">6 </w:t>
          </w:r>
          <w:r>
            <w:rPr>
              <w:rFonts w:ascii="宋体" w:hAnsi="宋体" w:eastAsia="宋体" w:cs="宋体"/>
              <w:spacing w:val="-1"/>
              <w:sz w:val="28"/>
              <w:szCs w:val="28"/>
            </w:rPr>
            <w:t>风险事故情形分析</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30F30D7">
          <w:pPr>
            <w:tabs>
              <w:tab w:val="right" w:leader="dot" w:pos="8417"/>
            </w:tabs>
            <w:spacing w:before="263" w:line="186" w:lineRule="auto"/>
            <w:ind w:left="1146"/>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Times New Roman" w:hAnsi="Times New Roman" w:eastAsia="Times New Roman" w:cs="Times New Roman"/>
              <w:spacing w:val="-1"/>
              <w:sz w:val="28"/>
              <w:szCs w:val="28"/>
            </w:rPr>
            <w:t xml:space="preserve">6.1 </w:t>
          </w:r>
          <w:r>
            <w:rPr>
              <w:rFonts w:ascii="宋体" w:hAnsi="宋体" w:eastAsia="宋体" w:cs="宋体"/>
              <w:spacing w:val="-1"/>
              <w:sz w:val="28"/>
              <w:szCs w:val="28"/>
            </w:rPr>
            <w:t>风险事故情形设定</w:t>
          </w:r>
          <w:r>
            <w:rPr>
              <w:rFonts w:ascii="宋体" w:hAnsi="宋体" w:eastAsia="宋体" w:cs="宋体"/>
              <w:sz w:val="28"/>
              <w:szCs w:val="28"/>
            </w:rPr>
            <w:tab/>
          </w:r>
          <w:r>
            <w:rPr>
              <w:rFonts w:ascii="宋体" w:hAnsi="宋体" w:eastAsia="宋体" w:cs="宋体"/>
              <w:spacing w:val="-75"/>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2CF3F150">
          <w:pPr>
            <w:tabs>
              <w:tab w:val="right" w:leader="dot" w:pos="8417"/>
            </w:tabs>
            <w:spacing w:before="263" w:line="185" w:lineRule="auto"/>
            <w:ind w:left="1146"/>
            <w:rPr>
              <w:rFonts w:ascii="Times New Roman" w:hAnsi="Times New Roman" w:eastAsia="Times New Roman" w:cs="Times New Roman"/>
              <w:sz w:val="28"/>
              <w:szCs w:val="28"/>
            </w:rPr>
          </w:pPr>
          <w:r>
            <w:fldChar w:fldCharType="begin"/>
          </w:r>
          <w:r>
            <w:instrText xml:space="preserve"> HYPERLINK \l "bookmark20" </w:instrText>
          </w:r>
          <w:r>
            <w:fldChar w:fldCharType="separate"/>
          </w:r>
          <w:r>
            <w:rPr>
              <w:rFonts w:ascii="Times New Roman" w:hAnsi="Times New Roman" w:eastAsia="Times New Roman" w:cs="Times New Roman"/>
              <w:spacing w:val="-2"/>
              <w:sz w:val="28"/>
              <w:szCs w:val="28"/>
            </w:rPr>
            <w:t xml:space="preserve">6.2 </w:t>
          </w:r>
          <w:r>
            <w:rPr>
              <w:rFonts w:ascii="宋体" w:hAnsi="宋体" w:eastAsia="宋体" w:cs="宋体"/>
              <w:spacing w:val="-2"/>
              <w:sz w:val="28"/>
              <w:szCs w:val="28"/>
            </w:rPr>
            <w:t>源项分析</w:t>
          </w:r>
          <w:r>
            <w:rPr>
              <w:rFonts w:ascii="宋体" w:hAnsi="宋体" w:eastAsia="宋体" w:cs="宋体"/>
              <w:sz w:val="28"/>
              <w:szCs w:val="28"/>
            </w:rPr>
            <w:tab/>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pacing w:val="-7"/>
              <w:sz w:val="28"/>
              <w:szCs w:val="28"/>
            </w:rPr>
            <w:t>26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13E26C9">
          <w:pPr>
            <w:tabs>
              <w:tab w:val="right" w:leader="dot" w:pos="8417"/>
            </w:tabs>
            <w:spacing w:before="261" w:line="186" w:lineRule="auto"/>
            <w:ind w:left="583"/>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Times New Roman" w:hAnsi="Times New Roman" w:eastAsia="Times New Roman" w:cs="Times New Roman"/>
              <w:spacing w:val="-1"/>
              <w:sz w:val="28"/>
              <w:szCs w:val="28"/>
            </w:rPr>
            <w:t xml:space="preserve">7 </w:t>
          </w:r>
          <w:r>
            <w:rPr>
              <w:rFonts w:ascii="宋体" w:hAnsi="宋体" w:eastAsia="宋体" w:cs="宋体"/>
              <w:spacing w:val="-1"/>
              <w:sz w:val="28"/>
              <w:szCs w:val="28"/>
            </w:rPr>
            <w:t>风险预测与评价</w:t>
          </w:r>
          <w:r>
            <w:rPr>
              <w:rFonts w:ascii="宋体" w:hAnsi="宋体" w:eastAsia="宋体" w:cs="宋体"/>
              <w:sz w:val="28"/>
              <w:szCs w:val="28"/>
            </w:rPr>
            <w:tab/>
          </w:r>
          <w:r>
            <w:rPr>
              <w:rFonts w:ascii="宋体" w:hAnsi="宋体" w:eastAsia="宋体" w:cs="宋体"/>
              <w:spacing w:val="-6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9A67483">
          <w:pPr>
            <w:tabs>
              <w:tab w:val="right" w:leader="dot" w:pos="8417"/>
            </w:tabs>
            <w:spacing w:before="265" w:line="186" w:lineRule="auto"/>
            <w:ind w:left="1145"/>
            <w:rPr>
              <w:rFonts w:ascii="Times New Roman" w:hAnsi="Times New Roman" w:eastAsia="Times New Roman" w:cs="Times New Roman"/>
              <w:sz w:val="28"/>
              <w:szCs w:val="28"/>
            </w:rPr>
          </w:pPr>
          <w:r>
            <w:fldChar w:fldCharType="begin"/>
          </w:r>
          <w:r>
            <w:instrText xml:space="preserve"> HYPERLINK \l "bookmark22" </w:instrText>
          </w:r>
          <w:r>
            <w:fldChar w:fldCharType="separate"/>
          </w:r>
          <w:r>
            <w:rPr>
              <w:rFonts w:ascii="Times New Roman" w:hAnsi="Times New Roman" w:eastAsia="Times New Roman" w:cs="Times New Roman"/>
              <w:spacing w:val="-2"/>
              <w:sz w:val="28"/>
              <w:szCs w:val="28"/>
            </w:rPr>
            <w:t xml:space="preserve">7.1 </w:t>
          </w:r>
          <w:r>
            <w:rPr>
              <w:rFonts w:ascii="宋体" w:hAnsi="宋体" w:eastAsia="宋体" w:cs="宋体"/>
              <w:spacing w:val="-2"/>
              <w:sz w:val="28"/>
              <w:szCs w:val="28"/>
            </w:rPr>
            <w:t>风险预测</w:t>
          </w:r>
          <w:r>
            <w:rPr>
              <w:rFonts w:ascii="宋体" w:hAnsi="宋体" w:eastAsia="宋体" w:cs="宋体"/>
              <w:sz w:val="28"/>
              <w:szCs w:val="28"/>
            </w:rPr>
            <w:tab/>
          </w:r>
          <w:r>
            <w:rPr>
              <w:rFonts w:ascii="宋体" w:hAnsi="宋体" w:eastAsia="宋体" w:cs="宋体"/>
              <w:spacing w:val="-6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A18E1DA">
          <w:pPr>
            <w:tabs>
              <w:tab w:val="right" w:leader="dot" w:pos="8417"/>
            </w:tabs>
            <w:spacing w:before="263" w:line="185" w:lineRule="auto"/>
            <w:ind w:left="1145"/>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spacing w:val="-2"/>
              <w:sz w:val="28"/>
              <w:szCs w:val="28"/>
            </w:rPr>
            <w:t xml:space="preserve">7.2 </w:t>
          </w:r>
          <w:r>
            <w:rPr>
              <w:rFonts w:ascii="宋体" w:hAnsi="宋体" w:eastAsia="宋体" w:cs="宋体"/>
              <w:spacing w:val="-2"/>
              <w:sz w:val="28"/>
              <w:szCs w:val="28"/>
            </w:rPr>
            <w:t>环境影响分析</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566F00DB">
          <w:pPr>
            <w:tabs>
              <w:tab w:val="right" w:leader="dot" w:pos="8417"/>
            </w:tabs>
            <w:spacing w:before="262" w:line="186" w:lineRule="auto"/>
            <w:ind w:left="590"/>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Times New Roman" w:hAnsi="Times New Roman" w:eastAsia="Times New Roman" w:cs="Times New Roman"/>
              <w:spacing w:val="-1"/>
              <w:sz w:val="28"/>
              <w:szCs w:val="28"/>
            </w:rPr>
            <w:t xml:space="preserve">8 </w:t>
          </w:r>
          <w:r>
            <w:rPr>
              <w:rFonts w:ascii="宋体" w:hAnsi="宋体" w:eastAsia="宋体" w:cs="宋体"/>
              <w:spacing w:val="-1"/>
              <w:sz w:val="28"/>
              <w:szCs w:val="28"/>
            </w:rPr>
            <w:t>环境风险防范措施与应急要求</w:t>
          </w:r>
          <w:r>
            <w:rPr>
              <w:rFonts w:ascii="宋体" w:hAnsi="宋体" w:eastAsia="宋体" w:cs="宋体"/>
              <w:sz w:val="28"/>
              <w:szCs w:val="28"/>
            </w:rPr>
            <w:tab/>
          </w:r>
          <w:r>
            <w:rPr>
              <w:rFonts w:ascii="宋体" w:hAnsi="宋体" w:eastAsia="宋体" w:cs="宋体"/>
              <w:spacing w:val="-87"/>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72B7AEBD">
          <w:pPr>
            <w:tabs>
              <w:tab w:val="right" w:leader="dot" w:pos="8417"/>
            </w:tabs>
            <w:spacing w:before="263" w:line="219" w:lineRule="auto"/>
            <w:ind w:left="1152"/>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Times New Roman" w:hAnsi="Times New Roman" w:eastAsia="Times New Roman" w:cs="Times New Roman"/>
              <w:spacing w:val="-2"/>
              <w:sz w:val="28"/>
              <w:szCs w:val="28"/>
            </w:rPr>
            <w:t xml:space="preserve">8.1 </w:t>
          </w:r>
          <w:r>
            <w:rPr>
              <w:rFonts w:ascii="宋体" w:hAnsi="宋体" w:eastAsia="宋体" w:cs="宋体"/>
              <w:spacing w:val="-2"/>
              <w:sz w:val="28"/>
              <w:szCs w:val="28"/>
            </w:rPr>
            <w:t>停车场组织机构设置</w:t>
          </w:r>
          <w:r>
            <w:rPr>
              <w:rFonts w:ascii="宋体" w:hAnsi="宋体" w:eastAsia="宋体" w:cs="宋体"/>
              <w:sz w:val="28"/>
              <w:szCs w:val="28"/>
            </w:rPr>
            <w:tab/>
          </w:r>
          <w:r>
            <w:rPr>
              <w:rFonts w:ascii="宋体" w:hAnsi="宋体" w:eastAsia="宋体" w:cs="宋体"/>
              <w:spacing w:val="-81"/>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sdtContent>
    </w:sdt>
    <w:p w14:paraId="099B7EE2">
      <w:pPr>
        <w:spacing w:line="219" w:lineRule="auto"/>
        <w:rPr>
          <w:rFonts w:ascii="Times New Roman" w:hAnsi="Times New Roman" w:eastAsia="Times New Roman" w:cs="Times New Roman"/>
          <w:sz w:val="28"/>
          <w:szCs w:val="28"/>
        </w:rPr>
        <w:sectPr>
          <w:pgSz w:w="11906" w:h="16839"/>
          <w:pgMar w:top="400" w:right="1701" w:bottom="400" w:left="1785" w:header="0" w:footer="0" w:gutter="0"/>
          <w:cols w:space="720" w:num="1"/>
        </w:sectPr>
      </w:pPr>
    </w:p>
    <w:p w14:paraId="23FF33DF">
      <w:pPr>
        <w:pStyle w:val="2"/>
        <w:spacing w:line="245" w:lineRule="auto"/>
      </w:pPr>
    </w:p>
    <w:p w14:paraId="23AC3E16">
      <w:pPr>
        <w:pStyle w:val="2"/>
        <w:spacing w:line="246" w:lineRule="auto"/>
      </w:pPr>
    </w:p>
    <w:p w14:paraId="2F815DE8">
      <w:pPr>
        <w:pStyle w:val="2"/>
        <w:spacing w:line="246" w:lineRule="auto"/>
      </w:pPr>
    </w:p>
    <w:p w14:paraId="1AC55B6C">
      <w:pPr>
        <w:pStyle w:val="2"/>
        <w:spacing w:line="246" w:lineRule="auto"/>
      </w:pPr>
    </w:p>
    <w:sdt>
      <w:sdtPr>
        <w:rPr>
          <w:rFonts w:ascii="Times New Roman" w:hAnsi="Times New Roman" w:eastAsia="Times New Roman" w:cs="Times New Roman"/>
          <w:sz w:val="28"/>
          <w:szCs w:val="28"/>
        </w:rPr>
        <w:id w:val="147469806"/>
        <w:docPartObj>
          <w:docPartGallery w:val="Table of Contents"/>
          <w:docPartUnique/>
        </w:docPartObj>
      </w:sdtPr>
      <w:sdtEndPr>
        <w:rPr>
          <w:rFonts w:ascii="Times New Roman" w:hAnsi="Times New Roman" w:eastAsia="Times New Roman" w:cs="Times New Roman"/>
          <w:sz w:val="28"/>
          <w:szCs w:val="28"/>
        </w:rPr>
      </w:sdtEndPr>
      <w:sdtContent>
        <w:p w14:paraId="47A5BA1E">
          <w:pPr>
            <w:tabs>
              <w:tab w:val="right" w:leader="dot" w:pos="8417"/>
            </w:tabs>
            <w:spacing w:before="91" w:line="185" w:lineRule="auto"/>
            <w:ind w:left="1152"/>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Times New Roman" w:hAnsi="Times New Roman" w:eastAsia="Times New Roman" w:cs="Times New Roman"/>
              <w:spacing w:val="-5"/>
              <w:sz w:val="28"/>
              <w:szCs w:val="28"/>
            </w:rPr>
            <w:t>8.2</w:t>
          </w:r>
          <w:r>
            <w:rPr>
              <w:rFonts w:ascii="Times New Roman" w:hAnsi="Times New Roman" w:eastAsia="Times New Roman" w:cs="Times New Roman"/>
              <w:spacing w:val="23"/>
              <w:sz w:val="28"/>
              <w:szCs w:val="28"/>
            </w:rPr>
            <w:t xml:space="preserve"> </w:t>
          </w:r>
          <w:r>
            <w:rPr>
              <w:rFonts w:ascii="宋体" w:hAnsi="宋体" w:eastAsia="宋体" w:cs="宋体"/>
              <w:spacing w:val="-5"/>
              <w:sz w:val="28"/>
              <w:szCs w:val="28"/>
            </w:rPr>
            <w:t>总平面布置</w:t>
          </w:r>
          <w:r>
            <w:rPr>
              <w:rFonts w:ascii="宋体" w:hAnsi="宋体" w:eastAsia="宋体" w:cs="宋体"/>
              <w:sz w:val="28"/>
              <w:szCs w:val="28"/>
            </w:rPr>
            <w:tab/>
          </w:r>
          <w:r>
            <w:rPr>
              <w:rFonts w:ascii="宋体" w:hAnsi="宋体" w:eastAsia="宋体" w:cs="宋体"/>
              <w:spacing w:val="-64"/>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1D8D4CA1">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"bookmark27" </w:instrText>
          </w:r>
          <w:r>
            <w:fldChar w:fldCharType="separate"/>
          </w:r>
          <w:r>
            <w:rPr>
              <w:rFonts w:ascii="Times New Roman" w:hAnsi="Times New Roman" w:eastAsia="Times New Roman" w:cs="Times New Roman"/>
              <w:spacing w:val="-2"/>
              <w:sz w:val="28"/>
              <w:szCs w:val="28"/>
            </w:rPr>
            <w:t>8.3</w:t>
          </w:r>
          <w:r>
            <w:rPr>
              <w:rFonts w:ascii="Times New Roman" w:hAnsi="Times New Roman" w:eastAsia="Times New Roman" w:cs="Times New Roman"/>
              <w:spacing w:val="17"/>
              <w:sz w:val="28"/>
              <w:szCs w:val="28"/>
            </w:rPr>
            <w:t xml:space="preserve"> </w:t>
          </w:r>
          <w:r>
            <w:rPr>
              <w:rFonts w:ascii="宋体" w:hAnsi="宋体" w:eastAsia="宋体" w:cs="宋体"/>
              <w:spacing w:val="-2"/>
              <w:sz w:val="28"/>
              <w:szCs w:val="28"/>
            </w:rPr>
            <w:t>安全防护、环境保护和消防配套</w:t>
          </w:r>
          <w:r>
            <w:rPr>
              <w:rFonts w:ascii="宋体" w:hAnsi="宋体" w:eastAsia="宋体" w:cs="宋体"/>
              <w:sz w:val="28"/>
              <w:szCs w:val="28"/>
            </w:rPr>
            <w:tab/>
          </w:r>
          <w:r>
            <w:rPr>
              <w:rFonts w:ascii="宋体" w:hAnsi="宋体" w:eastAsia="宋体" w:cs="宋体"/>
              <w:spacing w:val="-10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7CD970DD">
          <w:pPr>
            <w:tabs>
              <w:tab w:val="right" w:leader="dot" w:pos="8417"/>
            </w:tabs>
            <w:spacing w:before="262" w:line="186" w:lineRule="auto"/>
            <w:ind w:left="1152"/>
            <w:rPr>
              <w:rFonts w:ascii="Times New Roman" w:hAnsi="Times New Roman" w:eastAsia="Times New Roman" w:cs="Times New Roman"/>
              <w:sz w:val="28"/>
              <w:szCs w:val="28"/>
            </w:rPr>
          </w:pPr>
          <w:r>
            <w:fldChar w:fldCharType="begin"/>
          </w:r>
          <w:r>
            <w:instrText xml:space="preserve"> HYPERLINK \l "bookmark28" </w:instrText>
          </w:r>
          <w:r>
            <w:fldChar w:fldCharType="separate"/>
          </w:r>
          <w:r>
            <w:rPr>
              <w:rFonts w:ascii="Times New Roman" w:hAnsi="Times New Roman" w:eastAsia="Times New Roman" w:cs="Times New Roman"/>
              <w:spacing w:val="-2"/>
              <w:sz w:val="28"/>
              <w:szCs w:val="28"/>
            </w:rPr>
            <w:t xml:space="preserve">8.5 </w:t>
          </w:r>
          <w:r>
            <w:rPr>
              <w:rFonts w:ascii="宋体" w:hAnsi="宋体" w:eastAsia="宋体" w:cs="宋体"/>
              <w:spacing w:val="-2"/>
              <w:sz w:val="28"/>
              <w:szCs w:val="28"/>
            </w:rPr>
            <w:t>危化品泄漏事故的防范措施</w:t>
          </w:r>
          <w:r>
            <w:rPr>
              <w:rFonts w:ascii="宋体" w:hAnsi="宋体" w:eastAsia="宋体" w:cs="宋体"/>
              <w:sz w:val="28"/>
              <w:szCs w:val="28"/>
            </w:rPr>
            <w:tab/>
          </w:r>
          <w:r>
            <w:rPr>
              <w:rFonts w:ascii="宋体" w:hAnsi="宋体" w:eastAsia="宋体" w:cs="宋体"/>
              <w:spacing w:val="-9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37</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43AC6094">
          <w:pPr>
            <w:tabs>
              <w:tab w:val="right" w:leader="dot" w:pos="8417"/>
            </w:tabs>
            <w:spacing w:before="263" w:line="185" w:lineRule="auto"/>
            <w:ind w:left="1152"/>
            <w:rPr>
              <w:rFonts w:ascii="Times New Roman" w:hAnsi="Times New Roman" w:eastAsia="Times New Roman" w:cs="Times New Roman"/>
              <w:sz w:val="28"/>
              <w:szCs w:val="28"/>
            </w:rPr>
          </w:pPr>
          <w:r>
            <w:fldChar w:fldCharType="begin"/>
          </w:r>
          <w:r>
            <w:instrText xml:space="preserve"> HYPERLINK \l "bookmark29" </w:instrText>
          </w:r>
          <w:r>
            <w:fldChar w:fldCharType="separate"/>
          </w:r>
          <w:r>
            <w:rPr>
              <w:rFonts w:ascii="Times New Roman" w:hAnsi="Times New Roman" w:eastAsia="Times New Roman" w:cs="Times New Roman"/>
              <w:spacing w:val="-2"/>
              <w:sz w:val="28"/>
              <w:szCs w:val="28"/>
            </w:rPr>
            <w:t xml:space="preserve">8.6 </w:t>
          </w:r>
          <w:r>
            <w:rPr>
              <w:rFonts w:ascii="宋体" w:hAnsi="宋体" w:eastAsia="宋体" w:cs="宋体"/>
              <w:spacing w:val="-2"/>
              <w:sz w:val="28"/>
              <w:szCs w:val="28"/>
            </w:rPr>
            <w:t>火灾和爆炸事故的防范措施</w:t>
          </w:r>
          <w:r>
            <w:rPr>
              <w:rFonts w:ascii="宋体" w:hAnsi="宋体" w:eastAsia="宋体" w:cs="宋体"/>
              <w:sz w:val="28"/>
              <w:szCs w:val="28"/>
            </w:rPr>
            <w:tab/>
          </w:r>
          <w:r>
            <w:rPr>
              <w:rFonts w:ascii="宋体" w:hAnsi="宋体" w:eastAsia="宋体" w:cs="宋体"/>
              <w:spacing w:val="-93"/>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38C2EBDD">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"bookmark30" </w:instrText>
          </w:r>
          <w:r>
            <w:fldChar w:fldCharType="separate"/>
          </w:r>
          <w:r>
            <w:rPr>
              <w:rFonts w:ascii="Times New Roman" w:hAnsi="Times New Roman" w:eastAsia="Times New Roman" w:cs="Times New Roman"/>
              <w:spacing w:val="-1"/>
              <w:sz w:val="28"/>
              <w:szCs w:val="28"/>
            </w:rPr>
            <w:t xml:space="preserve">8.7 </w:t>
          </w:r>
          <w:r>
            <w:rPr>
              <w:rFonts w:ascii="宋体" w:hAnsi="宋体" w:eastAsia="宋体" w:cs="宋体"/>
              <w:spacing w:val="-1"/>
              <w:sz w:val="28"/>
              <w:szCs w:val="28"/>
            </w:rPr>
            <w:t>废水事故排放防范及应急措施</w:t>
          </w:r>
          <w:r>
            <w:rPr>
              <w:rFonts w:ascii="宋体" w:hAnsi="宋体" w:eastAsia="宋体" w:cs="宋体"/>
              <w:sz w:val="28"/>
              <w:szCs w:val="28"/>
            </w:rPr>
            <w:tab/>
          </w:r>
          <w:r>
            <w:rPr>
              <w:rFonts w:ascii="宋体" w:hAnsi="宋体" w:eastAsia="宋体" w:cs="宋体"/>
              <w:spacing w:val="-96"/>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pacing w:val="-8"/>
              <w:sz w:val="28"/>
              <w:szCs w:val="28"/>
            </w:rPr>
            <w:t>39</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8"/>
              <w:sz w:val="28"/>
              <w:szCs w:val="28"/>
            </w:rPr>
            <w:t>-</w:t>
          </w:r>
          <w:r>
            <w:rPr>
              <w:rFonts w:ascii="Times New Roman" w:hAnsi="Times New Roman" w:eastAsia="Times New Roman" w:cs="Times New Roman"/>
              <w:spacing w:val="-8"/>
              <w:sz w:val="28"/>
              <w:szCs w:val="28"/>
            </w:rPr>
            <w:fldChar w:fldCharType="end"/>
          </w:r>
        </w:p>
        <w:p w14:paraId="5F8AEE62">
          <w:pPr>
            <w:tabs>
              <w:tab w:val="right" w:leader="dot" w:pos="8417"/>
            </w:tabs>
            <w:spacing w:before="263" w:line="186" w:lineRule="auto"/>
            <w:ind w:left="1152"/>
            <w:rPr>
              <w:rFonts w:ascii="Times New Roman" w:hAnsi="Times New Roman" w:eastAsia="Times New Roman" w:cs="Times New Roman"/>
              <w:sz w:val="28"/>
              <w:szCs w:val="28"/>
            </w:rPr>
          </w:pPr>
          <w:r>
            <w:fldChar w:fldCharType="begin"/>
          </w:r>
          <w:r>
            <w:instrText xml:space="preserve"> HYPERLINK \l "bookmark31" </w:instrText>
          </w:r>
          <w:r>
            <w:fldChar w:fldCharType="separate"/>
          </w:r>
          <w:r>
            <w:rPr>
              <w:rFonts w:ascii="Times New Roman" w:hAnsi="Times New Roman" w:eastAsia="Times New Roman" w:cs="Times New Roman"/>
              <w:spacing w:val="-2"/>
              <w:sz w:val="28"/>
              <w:szCs w:val="28"/>
            </w:rPr>
            <w:t xml:space="preserve">8.8 </w:t>
          </w:r>
          <w:r>
            <w:rPr>
              <w:rFonts w:ascii="宋体" w:hAnsi="宋体" w:eastAsia="宋体" w:cs="宋体"/>
              <w:spacing w:val="-2"/>
              <w:sz w:val="28"/>
              <w:szCs w:val="28"/>
            </w:rPr>
            <w:t>环境风险应急预案建议</w:t>
          </w:r>
          <w:r>
            <w:rPr>
              <w:rFonts w:ascii="宋体" w:hAnsi="宋体" w:eastAsia="宋体" w:cs="宋体"/>
              <w:sz w:val="28"/>
              <w:szCs w:val="28"/>
            </w:rPr>
            <w:tab/>
          </w:r>
          <w:r>
            <w:rPr>
              <w:rFonts w:ascii="宋体" w:hAnsi="宋体" w:eastAsia="宋体" w:cs="宋体"/>
              <w:spacing w:val="-82"/>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40</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C8AA676">
          <w:pPr>
            <w:tabs>
              <w:tab w:val="right" w:leader="dot" w:pos="8417"/>
            </w:tabs>
            <w:spacing w:before="263" w:line="185" w:lineRule="auto"/>
            <w:ind w:left="584"/>
            <w:rPr>
              <w:rFonts w:ascii="Times New Roman" w:hAnsi="Times New Roman" w:eastAsia="Times New Roman" w:cs="Times New Roman"/>
              <w:sz w:val="28"/>
              <w:szCs w:val="28"/>
            </w:rPr>
          </w:pPr>
          <w:r>
            <w:fldChar w:fldCharType="begin"/>
          </w:r>
          <w:r>
            <w:instrText xml:space="preserve"> HYPERLINK \l "bookmark32" </w:instrText>
          </w:r>
          <w:r>
            <w:fldChar w:fldCharType="separate"/>
          </w:r>
          <w:r>
            <w:rPr>
              <w:rFonts w:ascii="Times New Roman" w:hAnsi="Times New Roman" w:eastAsia="Times New Roman" w:cs="Times New Roman"/>
              <w:spacing w:val="-5"/>
              <w:sz w:val="28"/>
              <w:szCs w:val="28"/>
            </w:rPr>
            <w:t>9</w:t>
          </w:r>
          <w:r>
            <w:rPr>
              <w:rFonts w:ascii="Times New Roman" w:hAnsi="Times New Roman" w:eastAsia="Times New Roman" w:cs="Times New Roman"/>
              <w:spacing w:val="15"/>
              <w:sz w:val="28"/>
              <w:szCs w:val="28"/>
            </w:rPr>
            <w:t xml:space="preserve"> </w:t>
          </w:r>
          <w:r>
            <w:rPr>
              <w:rFonts w:ascii="宋体" w:hAnsi="宋体" w:eastAsia="宋体" w:cs="宋体"/>
              <w:spacing w:val="-5"/>
              <w:sz w:val="28"/>
              <w:szCs w:val="28"/>
            </w:rPr>
            <w:t>分析结论</w:t>
          </w:r>
          <w:r>
            <w:rPr>
              <w:rFonts w:ascii="宋体" w:hAnsi="宋体" w:eastAsia="宋体" w:cs="宋体"/>
              <w:sz w:val="28"/>
              <w:szCs w:val="28"/>
            </w:rPr>
            <w:tab/>
          </w:r>
          <w:r>
            <w:rPr>
              <w:rFonts w:ascii="Times New Roman" w:hAnsi="Times New Roman" w:eastAsia="Times New Roman" w:cs="Times New Roman"/>
              <w:spacing w:val="-1"/>
              <w:sz w:val="28"/>
              <w:szCs w:val="28"/>
            </w:rPr>
            <w:t>- 43</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1"/>
              <w:sz w:val="28"/>
              <w:szCs w:val="28"/>
            </w:rPr>
            <w:t>-</w:t>
          </w:r>
          <w:r>
            <w:rPr>
              <w:rFonts w:ascii="Times New Roman" w:hAnsi="Times New Roman" w:eastAsia="Times New Roman" w:cs="Times New Roman"/>
              <w:spacing w:val="-1"/>
              <w:sz w:val="28"/>
              <w:szCs w:val="28"/>
            </w:rPr>
            <w:fldChar w:fldCharType="end"/>
          </w:r>
        </w:p>
        <w:p w14:paraId="488E4EC8">
          <w:pPr>
            <w:tabs>
              <w:tab w:val="right" w:leader="dot" w:pos="8417"/>
            </w:tabs>
            <w:spacing w:before="264" w:line="186" w:lineRule="auto"/>
            <w:ind w:left="606"/>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宋体" w:hAnsi="宋体" w:eastAsia="宋体" w:cs="宋体"/>
              <w:spacing w:val="-8"/>
              <w:sz w:val="28"/>
              <w:szCs w:val="28"/>
            </w:rPr>
            <w:t>附图附件</w:t>
          </w:r>
          <w:r>
            <w:rPr>
              <w:rFonts w:ascii="宋体" w:hAnsi="宋体" w:eastAsia="宋体" w:cs="宋体"/>
              <w:sz w:val="28"/>
              <w:szCs w:val="28"/>
            </w:rPr>
            <w:tab/>
          </w:r>
          <w:r>
            <w:rPr>
              <w:rFonts w:ascii="Times New Roman" w:hAnsi="Times New Roman" w:eastAsia="Times New Roman" w:cs="Times New Roman"/>
              <w:sz w:val="28"/>
              <w:szCs w:val="28"/>
            </w:rPr>
            <w:t>- 45</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z w:val="28"/>
              <w:szCs w:val="28"/>
            </w:rPr>
            <w:fldChar w:fldCharType="end"/>
          </w:r>
        </w:p>
        <w:p w14:paraId="0FF107F6">
          <w:pPr>
            <w:tabs>
              <w:tab w:val="right" w:leader="dot" w:pos="8417"/>
            </w:tabs>
            <w:spacing w:before="263" w:line="186" w:lineRule="auto"/>
            <w:ind w:left="1167"/>
            <w:rPr>
              <w:rFonts w:ascii="Times New Roman" w:hAnsi="Times New Roman" w:eastAsia="Times New Roman" w:cs="Times New Roman"/>
              <w:sz w:val="28"/>
              <w:szCs w:val="28"/>
            </w:rPr>
          </w:pPr>
          <w:r>
            <w:fldChar w:fldCharType="begin"/>
          </w:r>
          <w:r>
            <w:instrText xml:space="preserve"> HYPERLINK \l "bookmark34" </w:instrText>
          </w:r>
          <w:r>
            <w:fldChar w:fldCharType="separate"/>
          </w:r>
          <w:r>
            <w:rPr>
              <w:rFonts w:ascii="宋体" w:hAnsi="宋体" w:eastAsia="宋体" w:cs="宋体"/>
              <w:spacing w:val="-4"/>
              <w:sz w:val="28"/>
              <w:szCs w:val="28"/>
            </w:rPr>
            <w:t>附件一 项目委托书</w:t>
          </w:r>
          <w:r>
            <w:rPr>
              <w:rFonts w:ascii="宋体" w:hAnsi="宋体" w:eastAsia="宋体" w:cs="宋体"/>
              <w:sz w:val="28"/>
              <w:szCs w:val="28"/>
            </w:rPr>
            <w:tab/>
          </w:r>
          <w:r>
            <w:rPr>
              <w:rFonts w:ascii="宋体" w:hAnsi="宋体" w:eastAsia="宋体" w:cs="宋体"/>
              <w:spacing w:val="-7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45</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5330AD63">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宋体" w:hAnsi="宋体" w:eastAsia="宋体" w:cs="宋体"/>
              <w:spacing w:val="-5"/>
              <w:sz w:val="28"/>
              <w:szCs w:val="28"/>
            </w:rPr>
            <w:t>附件二 可研批复</w:t>
          </w:r>
          <w:r>
            <w:rPr>
              <w:rFonts w:ascii="宋体" w:hAnsi="宋体" w:eastAsia="宋体" w:cs="宋体"/>
              <w:sz w:val="28"/>
              <w:szCs w:val="28"/>
            </w:rPr>
            <w:tab/>
          </w:r>
          <w:r>
            <w:rPr>
              <w:rFonts w:ascii="宋体" w:hAnsi="宋体" w:eastAsia="宋体" w:cs="宋体"/>
              <w:spacing w:val="-67"/>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46</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38AB3A9F">
          <w:pPr>
            <w:tabs>
              <w:tab w:val="right" w:leader="dot" w:pos="8417"/>
            </w:tabs>
            <w:spacing w:before="264" w:line="186" w:lineRule="auto"/>
            <w:ind w:left="1167"/>
            <w:rPr>
              <w:rFonts w:ascii="Times New Roman" w:hAnsi="Times New Roman" w:eastAsia="Times New Roman" w:cs="Times New Roman"/>
              <w:sz w:val="28"/>
              <w:szCs w:val="28"/>
            </w:rPr>
          </w:pPr>
          <w:r>
            <w:fldChar w:fldCharType="begin"/>
          </w:r>
          <w:r>
            <w:instrText xml:space="preserve"> HYPERLINK \l "bookmark36" </w:instrText>
          </w:r>
          <w:r>
            <w:fldChar w:fldCharType="separate"/>
          </w:r>
          <w:r>
            <w:rPr>
              <w:rFonts w:ascii="宋体" w:hAnsi="宋体" w:eastAsia="宋体" w:cs="宋体"/>
              <w:spacing w:val="-4"/>
              <w:sz w:val="28"/>
              <w:szCs w:val="28"/>
            </w:rPr>
            <w:t>附件三 初步设计批复</w:t>
          </w:r>
          <w:r>
            <w:rPr>
              <w:rFonts w:ascii="宋体" w:hAnsi="宋体" w:eastAsia="宋体" w:cs="宋体"/>
              <w:sz w:val="28"/>
              <w:szCs w:val="28"/>
            </w:rPr>
            <w:tab/>
          </w:r>
          <w:r>
            <w:rPr>
              <w:rFonts w:ascii="宋体" w:hAnsi="宋体" w:eastAsia="宋体" w:cs="宋体"/>
              <w:spacing w:val="-74"/>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pacing w:val="-7"/>
              <w:sz w:val="28"/>
              <w:szCs w:val="28"/>
            </w:rPr>
            <w:t>48</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7"/>
              <w:sz w:val="28"/>
              <w:szCs w:val="28"/>
            </w:rPr>
            <w:t>-</w:t>
          </w:r>
          <w:r>
            <w:rPr>
              <w:rFonts w:ascii="Times New Roman" w:hAnsi="Times New Roman" w:eastAsia="Times New Roman" w:cs="Times New Roman"/>
              <w:spacing w:val="-7"/>
              <w:sz w:val="28"/>
              <w:szCs w:val="28"/>
            </w:rPr>
            <w:fldChar w:fldCharType="end"/>
          </w:r>
        </w:p>
        <w:p w14:paraId="67E3CE8F">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"bookmark37" </w:instrText>
          </w:r>
          <w:r>
            <w:fldChar w:fldCharType="separate"/>
          </w:r>
          <w:r>
            <w:rPr>
              <w:rFonts w:ascii="宋体" w:hAnsi="宋体" w:eastAsia="宋体" w:cs="宋体"/>
              <w:spacing w:val="-4"/>
              <w:sz w:val="28"/>
              <w:szCs w:val="28"/>
            </w:rPr>
            <w:t>附件四 用地选址意见</w:t>
          </w:r>
          <w:r>
            <w:rPr>
              <w:rFonts w:ascii="宋体" w:hAnsi="宋体" w:eastAsia="宋体" w:cs="宋体"/>
              <w:sz w:val="28"/>
              <w:szCs w:val="28"/>
            </w:rPr>
            <w:tab/>
          </w:r>
          <w:r>
            <w:rPr>
              <w:rFonts w:ascii="宋体" w:hAnsi="宋体" w:eastAsia="宋体" w:cs="宋体"/>
              <w:spacing w:val="-75"/>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3FEEAE28">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"bookmark38" </w:instrText>
          </w:r>
          <w:r>
            <w:fldChar w:fldCharType="separate"/>
          </w:r>
          <w:r>
            <w:rPr>
              <w:rFonts w:ascii="宋体" w:hAnsi="宋体" w:eastAsia="宋体" w:cs="宋体"/>
              <w:spacing w:val="-6"/>
              <w:sz w:val="28"/>
              <w:szCs w:val="28"/>
            </w:rPr>
            <w:t>附件五</w:t>
          </w:r>
          <w:r>
            <w:rPr>
              <w:rFonts w:ascii="宋体" w:hAnsi="宋体" w:eastAsia="宋体" w:cs="宋体"/>
              <w:spacing w:val="44"/>
              <w:sz w:val="28"/>
              <w:szCs w:val="28"/>
            </w:rPr>
            <w:t xml:space="preserve"> </w:t>
          </w:r>
          <w:r>
            <w:rPr>
              <w:rFonts w:ascii="宋体" w:hAnsi="宋体" w:eastAsia="宋体" w:cs="宋体"/>
              <w:spacing w:val="-6"/>
              <w:sz w:val="28"/>
              <w:szCs w:val="28"/>
            </w:rPr>
            <w:t>园区规划环评审查意见</w:t>
          </w:r>
          <w:r>
            <w:rPr>
              <w:rFonts w:ascii="宋体" w:hAnsi="宋体" w:eastAsia="宋体" w:cs="宋体"/>
              <w:sz w:val="28"/>
              <w:szCs w:val="28"/>
            </w:rPr>
            <w:tab/>
          </w:r>
          <w:r>
            <w:rPr>
              <w:rFonts w:ascii="宋体" w:hAnsi="宋体" w:eastAsia="宋体" w:cs="宋体"/>
              <w:spacing w:val="-92"/>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2FDECDD9">
          <w:pPr>
            <w:tabs>
              <w:tab w:val="right" w:leader="dot" w:pos="8417"/>
            </w:tabs>
            <w:spacing w:before="262" w:line="186" w:lineRule="auto"/>
            <w:ind w:left="1167"/>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宋体" w:hAnsi="宋体" w:eastAsia="宋体" w:cs="宋体"/>
              <w:spacing w:val="-3"/>
              <w:sz w:val="28"/>
              <w:szCs w:val="28"/>
            </w:rPr>
            <w:t>附件六 园区区域评估报告审查意见</w:t>
          </w:r>
          <w:r>
            <w:rPr>
              <w:rFonts w:ascii="宋体" w:hAnsi="宋体" w:eastAsia="宋体" w:cs="宋体"/>
              <w:sz w:val="28"/>
              <w:szCs w:val="28"/>
            </w:rPr>
            <w:tab/>
          </w:r>
          <w:r>
            <w:rPr>
              <w:rFonts w:ascii="宋体" w:hAnsi="宋体" w:eastAsia="宋体" w:cs="宋体"/>
              <w:spacing w:val="-9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pacing w:val="-9"/>
              <w:sz w:val="28"/>
              <w:szCs w:val="28"/>
            </w:rPr>
            <w:t>59</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5F24FEDF">
          <w:pPr>
            <w:tabs>
              <w:tab w:val="right" w:leader="dot" w:pos="8417"/>
            </w:tabs>
            <w:spacing w:before="265" w:line="186" w:lineRule="auto"/>
            <w:ind w:left="1167"/>
            <w:rPr>
              <w:rFonts w:ascii="Times New Roman" w:hAnsi="Times New Roman" w:eastAsia="Times New Roman" w:cs="Times New Roman"/>
              <w:sz w:val="28"/>
              <w:szCs w:val="28"/>
            </w:rPr>
          </w:pPr>
          <w:r>
            <w:fldChar w:fldCharType="begin"/>
          </w:r>
          <w:r>
            <w:instrText xml:space="preserve"> HYPERLINK \l "bookmark40" </w:instrText>
          </w:r>
          <w:r>
            <w:fldChar w:fldCharType="separate"/>
          </w:r>
          <w:r>
            <w:rPr>
              <w:rFonts w:ascii="宋体" w:hAnsi="宋体" w:eastAsia="宋体" w:cs="宋体"/>
              <w:spacing w:val="-3"/>
              <w:sz w:val="28"/>
              <w:szCs w:val="28"/>
            </w:rPr>
            <w:t>附图一 项目地理位置图</w:t>
          </w:r>
          <w:r>
            <w:rPr>
              <w:rFonts w:ascii="宋体" w:hAnsi="宋体" w:eastAsia="宋体" w:cs="宋体"/>
              <w:sz w:val="28"/>
              <w:szCs w:val="28"/>
            </w:rPr>
            <w:tab/>
          </w:r>
          <w:r>
            <w:rPr>
              <w:rFonts w:ascii="宋体" w:hAnsi="宋体" w:eastAsia="宋体" w:cs="宋体"/>
              <w:spacing w:val="-78"/>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61</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2BAE9BA8">
          <w:pPr>
            <w:tabs>
              <w:tab w:val="right" w:leader="dot" w:pos="8417"/>
            </w:tabs>
            <w:spacing w:before="263" w:line="186" w:lineRule="auto"/>
            <w:ind w:left="1167"/>
            <w:rPr>
              <w:rFonts w:ascii="Times New Roman" w:hAnsi="Times New Roman" w:eastAsia="Times New Roman" w:cs="Times New Roman"/>
              <w:sz w:val="28"/>
              <w:szCs w:val="28"/>
            </w:rPr>
          </w:pPr>
          <w:r>
            <w:fldChar w:fldCharType="begin"/>
          </w:r>
          <w:r>
            <w:instrText xml:space="preserve"> HYPERLINK \l "bookmark41" </w:instrText>
          </w:r>
          <w:r>
            <w:fldChar w:fldCharType="separate"/>
          </w:r>
          <w:r>
            <w:rPr>
              <w:rFonts w:ascii="宋体" w:hAnsi="宋体" w:eastAsia="宋体" w:cs="宋体"/>
              <w:spacing w:val="-3"/>
              <w:sz w:val="28"/>
              <w:szCs w:val="28"/>
            </w:rPr>
            <w:t>附图二 拟建场址及四邻现状图</w:t>
          </w:r>
          <w:r>
            <w:rPr>
              <w:rFonts w:ascii="宋体" w:hAnsi="宋体" w:eastAsia="宋体" w:cs="宋体"/>
              <w:sz w:val="28"/>
              <w:szCs w:val="28"/>
            </w:rPr>
            <w:tab/>
          </w:r>
          <w:r>
            <w:rPr>
              <w:rFonts w:ascii="宋体" w:hAnsi="宋体" w:eastAsia="宋体" w:cs="宋体"/>
              <w:spacing w:val="-9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62</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593A72A3">
          <w:pPr>
            <w:tabs>
              <w:tab w:val="right" w:leader="dot" w:pos="8417"/>
            </w:tabs>
            <w:spacing w:before="263" w:line="185" w:lineRule="auto"/>
            <w:ind w:left="1167"/>
            <w:rPr>
              <w:rFonts w:ascii="Times New Roman" w:hAnsi="Times New Roman" w:eastAsia="Times New Roman" w:cs="Times New Roman"/>
              <w:sz w:val="28"/>
              <w:szCs w:val="28"/>
            </w:rPr>
          </w:pPr>
          <w:r>
            <w:fldChar w:fldCharType="begin"/>
          </w:r>
          <w:r>
            <w:instrText xml:space="preserve"> HYPERLINK \l "bookmark42" </w:instrText>
          </w:r>
          <w:r>
            <w:fldChar w:fldCharType="separate"/>
          </w:r>
          <w:r>
            <w:rPr>
              <w:rFonts w:ascii="宋体" w:hAnsi="宋体" w:eastAsia="宋体" w:cs="宋体"/>
              <w:spacing w:val="-4"/>
              <w:sz w:val="28"/>
              <w:szCs w:val="28"/>
            </w:rPr>
            <w:t>附图三 平面布置图</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63</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p w14:paraId="6BC4A55D">
          <w:pPr>
            <w:tabs>
              <w:tab w:val="right" w:leader="dot" w:pos="8417"/>
            </w:tabs>
            <w:spacing w:before="262" w:line="219" w:lineRule="auto"/>
            <w:ind w:left="1167"/>
            <w:rPr>
              <w:rFonts w:ascii="Times New Roman" w:hAnsi="Times New Roman" w:eastAsia="Times New Roman" w:cs="Times New Roman"/>
              <w:sz w:val="28"/>
              <w:szCs w:val="28"/>
            </w:rPr>
          </w:pPr>
          <w:r>
            <w:fldChar w:fldCharType="begin"/>
          </w:r>
          <w:r>
            <w:instrText xml:space="preserve"> HYPERLINK \l "bookmark43" </w:instrText>
          </w:r>
          <w:r>
            <w:fldChar w:fldCharType="separate"/>
          </w:r>
          <w:r>
            <w:rPr>
              <w:rFonts w:ascii="宋体" w:hAnsi="宋体" w:eastAsia="宋体" w:cs="宋体"/>
              <w:spacing w:val="-4"/>
              <w:sz w:val="28"/>
              <w:szCs w:val="28"/>
            </w:rPr>
            <w:t>附图四 分区防渗图</w:t>
          </w:r>
          <w:r>
            <w:rPr>
              <w:rFonts w:ascii="宋体" w:hAnsi="宋体" w:eastAsia="宋体" w:cs="宋体"/>
              <w:sz w:val="28"/>
              <w:szCs w:val="28"/>
            </w:rPr>
            <w:tab/>
          </w:r>
          <w:r>
            <w:rPr>
              <w:rFonts w:ascii="宋体" w:hAnsi="宋体" w:eastAsia="宋体" w:cs="宋体"/>
              <w:spacing w:val="-69"/>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pacing w:val="-9"/>
              <w:sz w:val="28"/>
              <w:szCs w:val="28"/>
            </w:rPr>
            <w:t>64</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pacing w:val="-9"/>
              <w:sz w:val="28"/>
              <w:szCs w:val="28"/>
            </w:rPr>
            <w:t>-</w:t>
          </w:r>
          <w:r>
            <w:rPr>
              <w:rFonts w:ascii="Times New Roman" w:hAnsi="Times New Roman" w:eastAsia="Times New Roman" w:cs="Times New Roman"/>
              <w:spacing w:val="-9"/>
              <w:sz w:val="28"/>
              <w:szCs w:val="28"/>
            </w:rPr>
            <w:fldChar w:fldCharType="end"/>
          </w:r>
        </w:p>
      </w:sdtContent>
    </w:sdt>
    <w:p w14:paraId="2E04EBD9">
      <w:pPr>
        <w:spacing w:line="219" w:lineRule="auto"/>
        <w:rPr>
          <w:rFonts w:ascii="Times New Roman" w:hAnsi="Times New Roman" w:eastAsia="Times New Roman" w:cs="Times New Roman"/>
          <w:sz w:val="28"/>
          <w:szCs w:val="28"/>
        </w:rPr>
        <w:sectPr>
          <w:pgSz w:w="11906" w:h="16839"/>
          <w:pgMar w:top="400" w:right="1701" w:bottom="400" w:left="1785" w:header="0" w:footer="0" w:gutter="0"/>
          <w:cols w:space="720" w:num="1"/>
        </w:sectPr>
      </w:pPr>
    </w:p>
    <w:p w14:paraId="069DF386">
      <w:pPr>
        <w:pStyle w:val="2"/>
        <w:spacing w:line="245" w:lineRule="auto"/>
      </w:pPr>
    </w:p>
    <w:p w14:paraId="3AE30722">
      <w:pPr>
        <w:pStyle w:val="2"/>
        <w:spacing w:line="245" w:lineRule="auto"/>
      </w:pPr>
    </w:p>
    <w:p w14:paraId="4F1D6749">
      <w:pPr>
        <w:pStyle w:val="2"/>
        <w:spacing w:line="246" w:lineRule="auto"/>
      </w:pPr>
    </w:p>
    <w:p w14:paraId="23B86353">
      <w:pPr>
        <w:pStyle w:val="2"/>
        <w:spacing w:line="246" w:lineRule="auto"/>
      </w:pPr>
    </w:p>
    <w:p w14:paraId="34C4DEC7">
      <w:pPr>
        <w:spacing w:before="101" w:line="231" w:lineRule="auto"/>
        <w:ind w:left="51"/>
        <w:outlineLvl w:val="0"/>
        <w:rPr>
          <w:rFonts w:ascii="黑体" w:hAnsi="黑体" w:eastAsia="黑体" w:cs="黑体"/>
          <w:sz w:val="31"/>
          <w:szCs w:val="31"/>
        </w:rPr>
      </w:pPr>
      <w:r>
        <w:rPr>
          <w:rFonts w:ascii="Times New Roman" w:hAnsi="Times New Roman" w:eastAsia="Times New Roman" w:cs="Times New Roman"/>
          <w:spacing w:val="-12"/>
          <w:sz w:val="31"/>
          <w:szCs w:val="31"/>
        </w:rPr>
        <w:t>1</w:t>
      </w:r>
      <w:r>
        <w:rPr>
          <w:rFonts w:ascii="Times New Roman" w:hAnsi="Times New Roman" w:eastAsia="Times New Roman" w:cs="Times New Roman"/>
          <w:spacing w:val="23"/>
          <w:sz w:val="31"/>
          <w:szCs w:val="31"/>
        </w:rPr>
        <w:t xml:space="preserve"> </w:t>
      </w:r>
      <w:r>
        <w:rPr>
          <w:rFonts w:ascii="黑体" w:hAnsi="黑体" w:eastAsia="黑体" w:cs="黑体"/>
          <w:spacing w:val="-12"/>
          <w:sz w:val="31"/>
          <w:szCs w:val="31"/>
        </w:rPr>
        <w:t>总论</w:t>
      </w:r>
    </w:p>
    <w:p w14:paraId="5E11FACE">
      <w:pPr>
        <w:spacing w:before="226" w:line="219" w:lineRule="auto"/>
        <w:ind w:left="32"/>
        <w:outlineLvl w:val="1"/>
        <w:rPr>
          <w:rFonts w:ascii="宋体" w:hAnsi="宋体" w:eastAsia="宋体" w:cs="宋体"/>
          <w:sz w:val="28"/>
          <w:szCs w:val="28"/>
        </w:rPr>
      </w:pPr>
      <w:bookmarkStart w:id="0" w:name="bookmark2"/>
      <w:bookmarkEnd w:id="0"/>
      <w:bookmarkStart w:id="1" w:name="bookmark1"/>
      <w:bookmarkEnd w:id="1"/>
      <w:r>
        <w:rPr>
          <w:rFonts w:ascii="Times New Roman" w:hAnsi="Times New Roman" w:eastAsia="Times New Roman" w:cs="Times New Roman"/>
          <w:b/>
          <w:bCs/>
          <w:spacing w:val="-4"/>
          <w:sz w:val="28"/>
          <w:szCs w:val="28"/>
        </w:rPr>
        <w:t xml:space="preserve">1.1 </w:t>
      </w:r>
      <w:r>
        <w:rPr>
          <w:rFonts w:ascii="宋体" w:hAnsi="宋体" w:eastAsia="宋体" w:cs="宋体"/>
          <w:b/>
          <w:bCs/>
          <w:spacing w:val="-4"/>
          <w:sz w:val="28"/>
          <w:szCs w:val="28"/>
        </w:rPr>
        <w:t>评价目的</w:t>
      </w:r>
    </w:p>
    <w:p w14:paraId="2F6000A5">
      <w:pPr>
        <w:spacing w:before="212" w:line="359" w:lineRule="auto"/>
        <w:ind w:left="23" w:right="97" w:firstLine="560"/>
        <w:jc w:val="both"/>
        <w:rPr>
          <w:rFonts w:ascii="宋体" w:hAnsi="宋体" w:eastAsia="宋体" w:cs="宋体"/>
          <w:sz w:val="28"/>
          <w:szCs w:val="28"/>
        </w:rPr>
      </w:pPr>
      <w:r>
        <w:rPr>
          <w:rFonts w:ascii="宋体" w:hAnsi="宋体" w:eastAsia="宋体" w:cs="宋体"/>
          <w:spacing w:val="6"/>
          <w:sz w:val="28"/>
          <w:szCs w:val="28"/>
        </w:rPr>
        <w:t>环境风险评价的目的是分析和预测工程建设存在的潜在危险和</w:t>
      </w:r>
      <w:r>
        <w:rPr>
          <w:rFonts w:ascii="宋体" w:hAnsi="宋体" w:eastAsia="宋体" w:cs="宋体"/>
          <w:spacing w:val="13"/>
          <w:sz w:val="28"/>
          <w:szCs w:val="28"/>
        </w:rPr>
        <w:t xml:space="preserve"> </w:t>
      </w:r>
      <w:r>
        <w:rPr>
          <w:rFonts w:ascii="宋体" w:hAnsi="宋体" w:eastAsia="宋体" w:cs="宋体"/>
          <w:spacing w:val="6"/>
          <w:sz w:val="28"/>
          <w:szCs w:val="28"/>
        </w:rPr>
        <w:t>有害因素，提出项目施工和运营期间可能发生的突发性事件或事故</w:t>
      </w:r>
      <w:r>
        <w:rPr>
          <w:rFonts w:ascii="宋体" w:hAnsi="宋体" w:eastAsia="宋体" w:cs="宋体"/>
          <w:spacing w:val="1"/>
          <w:sz w:val="28"/>
          <w:szCs w:val="28"/>
        </w:rPr>
        <w:t xml:space="preserve"> </w:t>
      </w:r>
      <w:r>
        <w:rPr>
          <w:rFonts w:ascii="宋体" w:hAnsi="宋体" w:eastAsia="宋体" w:cs="宋体"/>
          <w:spacing w:val="-1"/>
          <w:sz w:val="28"/>
          <w:szCs w:val="28"/>
        </w:rPr>
        <w:t>（一般不包括人为破坏及自然灾害</w:t>
      </w:r>
      <w:r>
        <w:rPr>
          <w:rFonts w:ascii="宋体" w:hAnsi="宋体" w:eastAsia="宋体" w:cs="宋体"/>
          <w:spacing w:val="-39"/>
          <w:sz w:val="28"/>
          <w:szCs w:val="28"/>
        </w:rPr>
        <w:t>），</w:t>
      </w:r>
      <w:r>
        <w:rPr>
          <w:rFonts w:ascii="宋体" w:hAnsi="宋体" w:eastAsia="宋体" w:cs="宋体"/>
          <w:spacing w:val="-1"/>
          <w:sz w:val="28"/>
          <w:szCs w:val="28"/>
        </w:rPr>
        <w:t>例如引起有毒有害和易燃易爆</w:t>
      </w:r>
      <w:r>
        <w:rPr>
          <w:rFonts w:ascii="宋体" w:hAnsi="宋体" w:eastAsia="宋体" w:cs="宋体"/>
          <w:spacing w:val="1"/>
          <w:sz w:val="28"/>
          <w:szCs w:val="28"/>
        </w:rPr>
        <w:t xml:space="preserve"> </w:t>
      </w:r>
      <w:r>
        <w:rPr>
          <w:rFonts w:ascii="宋体" w:hAnsi="宋体" w:eastAsia="宋体" w:cs="宋体"/>
          <w:spacing w:val="-4"/>
          <w:sz w:val="28"/>
          <w:szCs w:val="28"/>
        </w:rPr>
        <w:t>等物质泄漏，所造成的人身安全与环境影响和损害程度，提出合理可</w:t>
      </w:r>
      <w:r>
        <w:rPr>
          <w:rFonts w:ascii="宋体" w:hAnsi="宋体" w:eastAsia="宋体" w:cs="宋体"/>
          <w:spacing w:val="15"/>
          <w:sz w:val="28"/>
          <w:szCs w:val="28"/>
        </w:rPr>
        <w:t xml:space="preserve"> </w:t>
      </w:r>
      <w:r>
        <w:rPr>
          <w:rFonts w:ascii="宋体" w:hAnsi="宋体" w:eastAsia="宋体" w:cs="宋体"/>
          <w:spacing w:val="-4"/>
          <w:sz w:val="28"/>
          <w:szCs w:val="28"/>
        </w:rPr>
        <w:t>行的防范、应急与减缓措施，以使项目事故率、损失环境影响达到可</w:t>
      </w:r>
      <w:r>
        <w:rPr>
          <w:rFonts w:ascii="宋体" w:hAnsi="宋体" w:eastAsia="宋体" w:cs="宋体"/>
          <w:spacing w:val="15"/>
          <w:sz w:val="28"/>
          <w:szCs w:val="28"/>
        </w:rPr>
        <w:t xml:space="preserve"> </w:t>
      </w:r>
      <w:r>
        <w:rPr>
          <w:rFonts w:ascii="宋体" w:hAnsi="宋体" w:eastAsia="宋体" w:cs="宋体"/>
          <w:spacing w:val="-2"/>
          <w:sz w:val="28"/>
          <w:szCs w:val="28"/>
        </w:rPr>
        <w:t>接受水平。</w:t>
      </w:r>
    </w:p>
    <w:p w14:paraId="6E3904FA">
      <w:pPr>
        <w:spacing w:line="218" w:lineRule="auto"/>
        <w:ind w:left="32"/>
        <w:outlineLvl w:val="1"/>
        <w:rPr>
          <w:rFonts w:ascii="宋体" w:hAnsi="宋体" w:eastAsia="宋体" w:cs="宋体"/>
          <w:sz w:val="28"/>
          <w:szCs w:val="28"/>
        </w:rPr>
      </w:pPr>
      <w:bookmarkStart w:id="2" w:name="bookmark3"/>
      <w:bookmarkEnd w:id="2"/>
      <w:r>
        <w:rPr>
          <w:rFonts w:ascii="Times New Roman" w:hAnsi="Times New Roman" w:eastAsia="Times New Roman" w:cs="Times New Roman"/>
          <w:b/>
          <w:bCs/>
          <w:spacing w:val="-4"/>
          <w:sz w:val="28"/>
          <w:szCs w:val="28"/>
        </w:rPr>
        <w:t xml:space="preserve">1.2 </w:t>
      </w:r>
      <w:r>
        <w:rPr>
          <w:rFonts w:ascii="宋体" w:hAnsi="宋体" w:eastAsia="宋体" w:cs="宋体"/>
          <w:b/>
          <w:bCs/>
          <w:spacing w:val="-4"/>
          <w:sz w:val="28"/>
          <w:szCs w:val="28"/>
        </w:rPr>
        <w:t>评价原则</w:t>
      </w:r>
    </w:p>
    <w:p w14:paraId="28A6C27D">
      <w:pPr>
        <w:spacing w:before="215" w:line="359" w:lineRule="auto"/>
        <w:ind w:left="23" w:right="97" w:firstLine="560"/>
        <w:jc w:val="both"/>
        <w:rPr>
          <w:rFonts w:ascii="宋体" w:hAnsi="宋体" w:eastAsia="宋体" w:cs="宋体"/>
          <w:sz w:val="28"/>
          <w:szCs w:val="28"/>
        </w:rPr>
      </w:pPr>
      <w:r>
        <w:rPr>
          <w:rFonts w:ascii="宋体" w:hAnsi="宋体" w:eastAsia="宋体" w:cs="宋体"/>
          <w:spacing w:val="6"/>
          <w:sz w:val="28"/>
          <w:szCs w:val="28"/>
        </w:rPr>
        <w:t>环境风险评价是以突发性事故导致的危险物质环境急性损害防</w:t>
      </w:r>
      <w:r>
        <w:rPr>
          <w:rFonts w:ascii="宋体" w:hAnsi="宋体" w:eastAsia="宋体" w:cs="宋体"/>
          <w:spacing w:val="13"/>
          <w:sz w:val="28"/>
          <w:szCs w:val="28"/>
        </w:rPr>
        <w:t xml:space="preserve"> </w:t>
      </w:r>
      <w:r>
        <w:rPr>
          <w:rFonts w:ascii="宋体" w:hAnsi="宋体" w:eastAsia="宋体" w:cs="宋体"/>
          <w:spacing w:val="-4"/>
          <w:sz w:val="28"/>
          <w:szCs w:val="28"/>
        </w:rPr>
        <w:t>控为目标，对建设项目的环境风险进行分析、预测和评估，提出环境</w:t>
      </w:r>
      <w:r>
        <w:rPr>
          <w:rFonts w:ascii="宋体" w:hAnsi="宋体" w:eastAsia="宋体" w:cs="宋体"/>
          <w:spacing w:val="15"/>
          <w:sz w:val="28"/>
          <w:szCs w:val="28"/>
        </w:rPr>
        <w:t xml:space="preserve"> </w:t>
      </w:r>
      <w:r>
        <w:rPr>
          <w:rFonts w:ascii="宋体" w:hAnsi="宋体" w:eastAsia="宋体" w:cs="宋体"/>
          <w:spacing w:val="-4"/>
          <w:sz w:val="28"/>
          <w:szCs w:val="28"/>
        </w:rPr>
        <w:t>风险预防、控制、减缓措施，明确环境风险监控及应急建议要求，为</w:t>
      </w:r>
      <w:r>
        <w:rPr>
          <w:rFonts w:ascii="宋体" w:hAnsi="宋体" w:eastAsia="宋体" w:cs="宋体"/>
          <w:spacing w:val="15"/>
          <w:sz w:val="28"/>
          <w:szCs w:val="28"/>
        </w:rPr>
        <w:t xml:space="preserve"> </w:t>
      </w:r>
      <w:r>
        <w:rPr>
          <w:rFonts w:ascii="宋体" w:hAnsi="宋体" w:eastAsia="宋体" w:cs="宋体"/>
          <w:spacing w:val="-1"/>
          <w:sz w:val="28"/>
          <w:szCs w:val="28"/>
        </w:rPr>
        <w:t>建设项目环境风险防控提供科学依据。</w:t>
      </w:r>
    </w:p>
    <w:p w14:paraId="3A5E84C9">
      <w:pPr>
        <w:spacing w:line="218" w:lineRule="auto"/>
        <w:ind w:left="32"/>
        <w:outlineLvl w:val="1"/>
        <w:rPr>
          <w:rFonts w:ascii="宋体" w:hAnsi="宋体" w:eastAsia="宋体" w:cs="宋体"/>
          <w:sz w:val="28"/>
          <w:szCs w:val="28"/>
        </w:rPr>
      </w:pPr>
      <w:bookmarkStart w:id="3" w:name="bookmark4"/>
      <w:bookmarkEnd w:id="3"/>
      <w:r>
        <w:rPr>
          <w:rFonts w:ascii="Times New Roman" w:hAnsi="Times New Roman" w:eastAsia="Times New Roman" w:cs="Times New Roman"/>
          <w:b/>
          <w:bCs/>
          <w:spacing w:val="-3"/>
          <w:sz w:val="28"/>
          <w:szCs w:val="28"/>
        </w:rPr>
        <w:t xml:space="preserve">1.3 </w:t>
      </w:r>
      <w:r>
        <w:rPr>
          <w:rFonts w:ascii="宋体" w:hAnsi="宋体" w:eastAsia="宋体" w:cs="宋体"/>
          <w:b/>
          <w:bCs/>
          <w:spacing w:val="-3"/>
          <w:sz w:val="28"/>
          <w:szCs w:val="28"/>
        </w:rPr>
        <w:t>评价工作程序</w:t>
      </w:r>
    </w:p>
    <w:p w14:paraId="5B047280">
      <w:pPr>
        <w:spacing w:before="214" w:line="359" w:lineRule="auto"/>
        <w:ind w:left="25" w:right="45" w:firstLine="559"/>
        <w:rPr>
          <w:rFonts w:ascii="宋体" w:hAnsi="宋体" w:eastAsia="宋体" w:cs="宋体"/>
          <w:sz w:val="28"/>
          <w:szCs w:val="28"/>
        </w:rPr>
      </w:pPr>
      <w:r>
        <w:rPr>
          <w:rFonts w:ascii="宋体" w:hAnsi="宋体" w:eastAsia="宋体" w:cs="宋体"/>
          <w:spacing w:val="-2"/>
          <w:sz w:val="28"/>
          <w:szCs w:val="28"/>
        </w:rPr>
        <w:t>环境风险评价工作程序主要包括环境调查、环境风险潜势初判、</w:t>
      </w:r>
      <w:r>
        <w:rPr>
          <w:rFonts w:ascii="宋体" w:hAnsi="宋体" w:eastAsia="宋体" w:cs="宋体"/>
          <w:spacing w:val="3"/>
          <w:sz w:val="28"/>
          <w:szCs w:val="28"/>
        </w:rPr>
        <w:t xml:space="preserve"> </w:t>
      </w:r>
      <w:r>
        <w:rPr>
          <w:rFonts w:ascii="宋体" w:hAnsi="宋体" w:eastAsia="宋体" w:cs="宋体"/>
          <w:spacing w:val="-1"/>
          <w:sz w:val="28"/>
          <w:szCs w:val="28"/>
        </w:rPr>
        <w:t>环境风险识别、事故情形分析等等。</w:t>
      </w:r>
    </w:p>
    <w:p w14:paraId="7C984DC9">
      <w:pPr>
        <w:spacing w:before="1"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）环境调查</w:t>
      </w:r>
    </w:p>
    <w:p w14:paraId="5568FD88">
      <w:pPr>
        <w:spacing w:before="211" w:line="359" w:lineRule="auto"/>
        <w:ind w:left="27" w:firstLine="560"/>
        <w:rPr>
          <w:rFonts w:ascii="宋体" w:hAnsi="宋体" w:eastAsia="宋体" w:cs="宋体"/>
          <w:sz w:val="28"/>
          <w:szCs w:val="28"/>
        </w:rPr>
      </w:pPr>
      <w:r>
        <w:rPr>
          <w:rFonts w:ascii="宋体" w:hAnsi="宋体" w:eastAsia="宋体" w:cs="宋体"/>
          <w:spacing w:val="-1"/>
          <w:sz w:val="28"/>
          <w:szCs w:val="28"/>
        </w:rPr>
        <w:t>建设项目风险源调查：调查建设项目危险物质数量和分布情况、</w:t>
      </w:r>
      <w:r>
        <w:rPr>
          <w:rFonts w:ascii="宋体" w:hAnsi="宋体" w:eastAsia="宋体" w:cs="宋体"/>
          <w:spacing w:val="18"/>
          <w:sz w:val="28"/>
          <w:szCs w:val="28"/>
        </w:rPr>
        <w:t xml:space="preserve"> </w:t>
      </w:r>
      <w:r>
        <w:rPr>
          <w:rFonts w:ascii="宋体" w:hAnsi="宋体" w:eastAsia="宋体" w:cs="宋体"/>
          <w:spacing w:val="-7"/>
          <w:sz w:val="28"/>
          <w:szCs w:val="28"/>
        </w:rPr>
        <w:t>生产工艺特点，收集危险物质安全技术说明书（</w:t>
      </w:r>
      <w:r>
        <w:rPr>
          <w:rFonts w:ascii="Times New Roman" w:hAnsi="Times New Roman" w:eastAsia="Times New Roman" w:cs="Times New Roman"/>
          <w:spacing w:val="-7"/>
          <w:sz w:val="28"/>
          <w:szCs w:val="28"/>
        </w:rPr>
        <w:t>MSDS</w:t>
      </w:r>
      <w:r>
        <w:rPr>
          <w:rFonts w:ascii="宋体" w:hAnsi="宋体" w:eastAsia="宋体" w:cs="宋体"/>
          <w:spacing w:val="-7"/>
          <w:sz w:val="28"/>
          <w:szCs w:val="28"/>
        </w:rPr>
        <w:t>）等基础资料。</w:t>
      </w:r>
    </w:p>
    <w:p w14:paraId="58EDCF31">
      <w:pPr>
        <w:spacing w:before="3" w:line="358" w:lineRule="auto"/>
        <w:ind w:left="23" w:right="97" w:firstLine="560"/>
        <w:rPr>
          <w:rFonts w:ascii="宋体" w:hAnsi="宋体" w:eastAsia="宋体" w:cs="宋体"/>
          <w:sz w:val="28"/>
          <w:szCs w:val="28"/>
        </w:rPr>
      </w:pPr>
      <w:r>
        <w:rPr>
          <w:rFonts w:ascii="宋体" w:hAnsi="宋体" w:eastAsia="宋体" w:cs="宋体"/>
          <w:spacing w:val="-4"/>
          <w:sz w:val="28"/>
          <w:szCs w:val="28"/>
        </w:rPr>
        <w:t>环境敏感目标调查：根据危险物质可能的影响途径，明确环境敏</w:t>
      </w:r>
      <w:r>
        <w:rPr>
          <w:rFonts w:ascii="宋体" w:hAnsi="宋体" w:eastAsia="宋体" w:cs="宋体"/>
          <w:spacing w:val="7"/>
          <w:sz w:val="28"/>
          <w:szCs w:val="28"/>
        </w:rPr>
        <w:t xml:space="preserve"> </w:t>
      </w:r>
      <w:r>
        <w:rPr>
          <w:rFonts w:ascii="宋体" w:hAnsi="宋体" w:eastAsia="宋体" w:cs="宋体"/>
          <w:spacing w:val="-4"/>
          <w:sz w:val="28"/>
          <w:szCs w:val="28"/>
        </w:rPr>
        <w:t>感目标，了解环境敏感目标区位分布情况，明确调查对象、属性、相</w:t>
      </w:r>
      <w:r>
        <w:rPr>
          <w:rFonts w:ascii="宋体" w:hAnsi="宋体" w:eastAsia="宋体" w:cs="宋体"/>
          <w:spacing w:val="15"/>
          <w:sz w:val="28"/>
          <w:szCs w:val="28"/>
        </w:rPr>
        <w:t xml:space="preserve"> </w:t>
      </w:r>
      <w:r>
        <w:rPr>
          <w:rFonts w:ascii="宋体" w:hAnsi="宋体" w:eastAsia="宋体" w:cs="宋体"/>
          <w:spacing w:val="-1"/>
          <w:sz w:val="28"/>
          <w:szCs w:val="28"/>
        </w:rPr>
        <w:t>对方位及距离等信息。</w:t>
      </w:r>
    </w:p>
    <w:p w14:paraId="13060B2F">
      <w:pPr>
        <w:spacing w:before="2"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）环境风险潜势初判</w:t>
      </w:r>
    </w:p>
    <w:p w14:paraId="2633330B">
      <w:pPr>
        <w:spacing w:before="214" w:line="361" w:lineRule="auto"/>
        <w:ind w:left="26" w:right="98" w:firstLine="558"/>
        <w:rPr>
          <w:rFonts w:ascii="宋体" w:hAnsi="宋体" w:eastAsia="宋体" w:cs="宋体"/>
          <w:sz w:val="28"/>
          <w:szCs w:val="28"/>
        </w:rPr>
      </w:pPr>
      <w:r>
        <w:rPr>
          <w:rFonts w:ascii="宋体" w:hAnsi="宋体" w:eastAsia="宋体" w:cs="宋体"/>
          <w:spacing w:val="6"/>
          <w:sz w:val="28"/>
          <w:szCs w:val="28"/>
        </w:rPr>
        <w:t>根据建设项目涉及的物质和工艺系统的危险性及其所在地的环</w:t>
      </w:r>
      <w:r>
        <w:rPr>
          <w:rFonts w:ascii="宋体" w:hAnsi="宋体" w:eastAsia="宋体" w:cs="宋体"/>
          <w:spacing w:val="13"/>
          <w:sz w:val="28"/>
          <w:szCs w:val="28"/>
        </w:rPr>
        <w:t xml:space="preserve"> </w:t>
      </w:r>
      <w:r>
        <w:rPr>
          <w:rFonts w:ascii="宋体" w:hAnsi="宋体" w:eastAsia="宋体" w:cs="宋体"/>
          <w:spacing w:val="-4"/>
          <w:sz w:val="28"/>
          <w:szCs w:val="28"/>
        </w:rPr>
        <w:t>境敏感程度，结合事故情形下环境影响途径，对建设项目潜在环境危</w:t>
      </w:r>
    </w:p>
    <w:p w14:paraId="3EF35525">
      <w:pPr>
        <w:spacing w:line="361" w:lineRule="auto"/>
        <w:rPr>
          <w:rFonts w:ascii="宋体" w:hAnsi="宋体" w:eastAsia="宋体" w:cs="宋体"/>
          <w:sz w:val="28"/>
          <w:szCs w:val="28"/>
        </w:rPr>
        <w:sectPr>
          <w:footerReference r:id="rId89" w:type="default"/>
          <w:pgSz w:w="11906" w:h="16839"/>
          <w:pgMar w:top="400" w:right="1701" w:bottom="1259" w:left="1785" w:header="0" w:footer="1097" w:gutter="0"/>
          <w:cols w:space="720" w:num="1"/>
        </w:sectPr>
      </w:pPr>
    </w:p>
    <w:p w14:paraId="2FA972FC">
      <w:pPr>
        <w:pStyle w:val="2"/>
        <w:spacing w:line="245" w:lineRule="auto"/>
      </w:pPr>
    </w:p>
    <w:p w14:paraId="2791DCA3">
      <w:pPr>
        <w:pStyle w:val="2"/>
        <w:spacing w:line="246" w:lineRule="auto"/>
      </w:pPr>
    </w:p>
    <w:p w14:paraId="39CC4D2D">
      <w:pPr>
        <w:pStyle w:val="2"/>
        <w:spacing w:line="246" w:lineRule="auto"/>
      </w:pPr>
    </w:p>
    <w:p w14:paraId="3BF5CCD9">
      <w:pPr>
        <w:pStyle w:val="2"/>
        <w:spacing w:line="246" w:lineRule="auto"/>
      </w:pPr>
    </w:p>
    <w:p w14:paraId="5D518CC2">
      <w:pPr>
        <w:spacing w:before="91" w:line="220" w:lineRule="auto"/>
        <w:ind w:left="30"/>
        <w:rPr>
          <w:rFonts w:ascii="宋体" w:hAnsi="宋体" w:eastAsia="宋体" w:cs="宋体"/>
          <w:sz w:val="28"/>
          <w:szCs w:val="28"/>
        </w:rPr>
      </w:pPr>
      <w:r>
        <w:rPr>
          <w:rFonts w:ascii="宋体" w:hAnsi="宋体" w:eastAsia="宋体" w:cs="宋体"/>
          <w:spacing w:val="-1"/>
          <w:sz w:val="28"/>
          <w:szCs w:val="28"/>
        </w:rPr>
        <w:t>害程度进行概化分析，确定环境风险潜势。</w:t>
      </w:r>
    </w:p>
    <w:p w14:paraId="28F43600">
      <w:pPr>
        <w:spacing w:before="210"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）环境风险识别</w:t>
      </w:r>
    </w:p>
    <w:p w14:paraId="37DE2162">
      <w:pPr>
        <w:spacing w:before="210" w:line="359" w:lineRule="auto"/>
        <w:ind w:left="28" w:firstLine="555"/>
        <w:rPr>
          <w:rFonts w:ascii="宋体" w:hAnsi="宋体" w:eastAsia="宋体" w:cs="宋体"/>
          <w:sz w:val="28"/>
          <w:szCs w:val="28"/>
        </w:rPr>
      </w:pPr>
      <w:r>
        <w:rPr>
          <w:rFonts w:ascii="宋体" w:hAnsi="宋体" w:eastAsia="宋体" w:cs="宋体"/>
          <w:spacing w:val="-10"/>
          <w:sz w:val="28"/>
          <w:szCs w:val="28"/>
        </w:rPr>
        <w:t>物质危险性识别，包括主要原辅材料、燃料、中间产品、副产品、</w:t>
      </w:r>
      <w:r>
        <w:rPr>
          <w:rFonts w:ascii="宋体" w:hAnsi="宋体" w:eastAsia="宋体" w:cs="宋体"/>
          <w:spacing w:val="3"/>
          <w:sz w:val="28"/>
          <w:szCs w:val="28"/>
        </w:rPr>
        <w:t xml:space="preserve"> </w:t>
      </w:r>
      <w:r>
        <w:rPr>
          <w:rFonts w:ascii="宋体" w:hAnsi="宋体" w:eastAsia="宋体" w:cs="宋体"/>
          <w:spacing w:val="-1"/>
          <w:sz w:val="28"/>
          <w:szCs w:val="28"/>
        </w:rPr>
        <w:t>最终产品、污染物、火灾和爆炸伴生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次生物等。</w:t>
      </w:r>
    </w:p>
    <w:p w14:paraId="2011E8E5">
      <w:pPr>
        <w:spacing w:line="359" w:lineRule="auto"/>
        <w:ind w:left="26" w:right="97" w:firstLine="560"/>
        <w:rPr>
          <w:rFonts w:ascii="宋体" w:hAnsi="宋体" w:eastAsia="宋体" w:cs="宋体"/>
          <w:sz w:val="28"/>
          <w:szCs w:val="28"/>
        </w:rPr>
      </w:pPr>
      <w:r>
        <w:rPr>
          <w:rFonts w:ascii="宋体" w:hAnsi="宋体" w:eastAsia="宋体" w:cs="宋体"/>
          <w:spacing w:val="-4"/>
          <w:sz w:val="28"/>
          <w:szCs w:val="28"/>
        </w:rPr>
        <w:t>生产系统危险性识别，包括主要生产装置、储运设施、公用工程</w:t>
      </w:r>
      <w:r>
        <w:rPr>
          <w:rFonts w:ascii="宋体" w:hAnsi="宋体" w:eastAsia="宋体" w:cs="宋体"/>
          <w:spacing w:val="5"/>
          <w:sz w:val="28"/>
          <w:szCs w:val="28"/>
        </w:rPr>
        <w:t xml:space="preserve"> </w:t>
      </w:r>
      <w:r>
        <w:rPr>
          <w:rFonts w:ascii="宋体" w:hAnsi="宋体" w:eastAsia="宋体" w:cs="宋体"/>
          <w:spacing w:val="-1"/>
          <w:sz w:val="28"/>
          <w:szCs w:val="28"/>
        </w:rPr>
        <w:t>和辅助生产设施，以及环境保护设施等。</w:t>
      </w:r>
    </w:p>
    <w:p w14:paraId="455DEBCB">
      <w:pPr>
        <w:spacing w:before="1" w:line="359" w:lineRule="auto"/>
        <w:ind w:left="26" w:right="97" w:firstLine="561"/>
        <w:jc w:val="both"/>
        <w:rPr>
          <w:rFonts w:ascii="宋体" w:hAnsi="宋体" w:eastAsia="宋体" w:cs="宋体"/>
          <w:sz w:val="28"/>
          <w:szCs w:val="28"/>
        </w:rPr>
      </w:pPr>
      <w:r>
        <w:rPr>
          <w:rFonts w:ascii="宋体" w:hAnsi="宋体" w:eastAsia="宋体" w:cs="宋体"/>
          <w:spacing w:val="-4"/>
          <w:sz w:val="28"/>
          <w:szCs w:val="28"/>
        </w:rPr>
        <w:t>危险物质向环境转移的途径识别，包括分析危险物质特性及可能</w:t>
      </w:r>
      <w:r>
        <w:rPr>
          <w:rFonts w:ascii="宋体" w:hAnsi="宋体" w:eastAsia="宋体" w:cs="宋体"/>
          <w:spacing w:val="4"/>
          <w:sz w:val="28"/>
          <w:szCs w:val="28"/>
        </w:rPr>
        <w:t xml:space="preserve"> </w:t>
      </w:r>
      <w:r>
        <w:rPr>
          <w:rFonts w:ascii="宋体" w:hAnsi="宋体" w:eastAsia="宋体" w:cs="宋体"/>
          <w:spacing w:val="-4"/>
          <w:sz w:val="28"/>
          <w:szCs w:val="28"/>
        </w:rPr>
        <w:t>的环境风险类型，识别危险物质影响环境的途径，分析可能影响的环</w:t>
      </w:r>
      <w:r>
        <w:rPr>
          <w:rFonts w:ascii="宋体" w:hAnsi="宋体" w:eastAsia="宋体" w:cs="宋体"/>
          <w:spacing w:val="13"/>
          <w:sz w:val="28"/>
          <w:szCs w:val="28"/>
        </w:rPr>
        <w:t xml:space="preserve"> </w:t>
      </w:r>
      <w:r>
        <w:rPr>
          <w:rFonts w:ascii="宋体" w:hAnsi="宋体" w:eastAsia="宋体" w:cs="宋体"/>
          <w:spacing w:val="-2"/>
          <w:sz w:val="28"/>
          <w:szCs w:val="28"/>
        </w:rPr>
        <w:t>境敏感目标。</w:t>
      </w:r>
    </w:p>
    <w:p w14:paraId="455AA27C">
      <w:pPr>
        <w:spacing w:before="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4</w:t>
      </w:r>
      <w:r>
        <w:rPr>
          <w:rFonts w:ascii="宋体" w:hAnsi="宋体" w:eastAsia="宋体" w:cs="宋体"/>
          <w:spacing w:val="-2"/>
          <w:sz w:val="28"/>
          <w:szCs w:val="28"/>
        </w:rPr>
        <w:t>）事故情形分析</w:t>
      </w:r>
    </w:p>
    <w:p w14:paraId="62E19E83">
      <w:pPr>
        <w:spacing w:before="211" w:line="352" w:lineRule="auto"/>
        <w:ind w:left="23" w:right="25" w:firstLine="559"/>
        <w:rPr>
          <w:rFonts w:ascii="宋体" w:hAnsi="宋体" w:eastAsia="宋体" w:cs="宋体"/>
          <w:sz w:val="28"/>
          <w:szCs w:val="28"/>
        </w:rPr>
      </w:pPr>
      <w:r>
        <w:rPr>
          <w:rFonts w:ascii="宋体" w:hAnsi="宋体" w:eastAsia="宋体" w:cs="宋体"/>
          <w:spacing w:val="-4"/>
          <w:sz w:val="28"/>
          <w:szCs w:val="28"/>
        </w:rPr>
        <w:t>在风险识别的基础上，选择对环境影响较大并具有代表性的事故</w:t>
      </w:r>
      <w:r>
        <w:rPr>
          <w:rFonts w:ascii="宋体" w:hAnsi="宋体" w:eastAsia="宋体" w:cs="宋体"/>
          <w:spacing w:val="8"/>
          <w:sz w:val="28"/>
          <w:szCs w:val="28"/>
        </w:rPr>
        <w:t xml:space="preserve"> </w:t>
      </w:r>
      <w:r>
        <w:rPr>
          <w:rFonts w:ascii="宋体" w:hAnsi="宋体" w:eastAsia="宋体" w:cs="宋体"/>
          <w:spacing w:val="-10"/>
          <w:sz w:val="28"/>
          <w:szCs w:val="28"/>
        </w:rPr>
        <w:t>类型，设定风险事故情形；基于风险事故情形的设定，合理估算源</w:t>
      </w:r>
      <w:r>
        <w:rPr>
          <w:rFonts w:ascii="宋体" w:hAnsi="宋体" w:eastAsia="宋体" w:cs="宋体"/>
          <w:spacing w:val="-11"/>
          <w:sz w:val="28"/>
          <w:szCs w:val="28"/>
        </w:rPr>
        <w:t>强；</w:t>
      </w:r>
      <w:r>
        <w:rPr>
          <w:rFonts w:ascii="宋体" w:hAnsi="宋体" w:eastAsia="宋体" w:cs="宋体"/>
          <w:sz w:val="28"/>
          <w:szCs w:val="28"/>
        </w:rPr>
        <w:t xml:space="preserve"> </w:t>
      </w:r>
      <w:r>
        <w:rPr>
          <w:rFonts w:ascii="宋体" w:hAnsi="宋体" w:eastAsia="宋体" w:cs="宋体"/>
          <w:spacing w:val="6"/>
          <w:sz w:val="28"/>
          <w:szCs w:val="28"/>
        </w:rPr>
        <w:t>结合各要素风险预测，分析说明建设项目环境风险的危害范围与程</w:t>
      </w:r>
      <w:r>
        <w:rPr>
          <w:rFonts w:ascii="宋体" w:hAnsi="宋体" w:eastAsia="宋体" w:cs="宋体"/>
          <w:spacing w:val="1"/>
          <w:sz w:val="28"/>
          <w:szCs w:val="28"/>
        </w:rPr>
        <w:t xml:space="preserve"> </w:t>
      </w:r>
      <w:r>
        <w:rPr>
          <w:rFonts w:ascii="宋体" w:hAnsi="宋体" w:eastAsia="宋体" w:cs="宋体"/>
          <w:spacing w:val="-5"/>
          <w:sz w:val="28"/>
          <w:szCs w:val="28"/>
        </w:rPr>
        <w:t>度。</w:t>
      </w:r>
    </w:p>
    <w:p w14:paraId="70CB98C1">
      <w:pPr>
        <w:spacing w:line="5839" w:lineRule="exact"/>
        <w:ind w:firstLine="1322"/>
      </w:pPr>
      <w:r>
        <w:rPr>
          <w:position w:val="-116"/>
        </w:rPr>
        <w:drawing>
          <wp:inline distT="0" distB="0" distL="0" distR="0">
            <wp:extent cx="3613150" cy="37077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78"/>
                    <a:stretch>
                      <a:fillRect/>
                    </a:stretch>
                  </pic:blipFill>
                  <pic:spPr>
                    <a:xfrm>
                      <a:off x="0" y="0"/>
                      <a:ext cx="3613403" cy="3707891"/>
                    </a:xfrm>
                    <a:prstGeom prst="rect">
                      <a:avLst/>
                    </a:prstGeom>
                  </pic:spPr>
                </pic:pic>
              </a:graphicData>
            </a:graphic>
          </wp:inline>
        </w:drawing>
      </w:r>
    </w:p>
    <w:p w14:paraId="7EA01CAE">
      <w:pPr>
        <w:spacing w:before="174" w:line="218" w:lineRule="auto"/>
        <w:ind w:left="2353"/>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29"/>
          <w:sz w:val="24"/>
          <w:szCs w:val="24"/>
        </w:rPr>
        <w:t xml:space="preserve"> </w:t>
      </w:r>
      <w:r>
        <w:rPr>
          <w:rFonts w:ascii="Times New Roman" w:hAnsi="Times New Roman" w:eastAsia="Times New Roman" w:cs="Times New Roman"/>
          <w:b/>
          <w:bCs/>
          <w:spacing w:val="-4"/>
          <w:sz w:val="24"/>
          <w:szCs w:val="24"/>
        </w:rPr>
        <w:t xml:space="preserve">1.3-1    </w:t>
      </w:r>
      <w:r>
        <w:rPr>
          <w:rFonts w:ascii="宋体" w:hAnsi="宋体" w:eastAsia="宋体" w:cs="宋体"/>
          <w:b/>
          <w:bCs/>
          <w:spacing w:val="-4"/>
          <w:sz w:val="24"/>
          <w:szCs w:val="24"/>
        </w:rPr>
        <w:t>环境风险评价工作程序图</w:t>
      </w:r>
    </w:p>
    <w:p w14:paraId="2BC34830">
      <w:pPr>
        <w:spacing w:line="218" w:lineRule="auto"/>
        <w:rPr>
          <w:rFonts w:ascii="宋体" w:hAnsi="宋体" w:eastAsia="宋体" w:cs="宋体"/>
          <w:sz w:val="24"/>
          <w:szCs w:val="24"/>
        </w:rPr>
        <w:sectPr>
          <w:footerReference r:id="rId90" w:type="default"/>
          <w:pgSz w:w="11906" w:h="16839"/>
          <w:pgMar w:top="400" w:right="1701" w:bottom="1259" w:left="1785" w:header="0" w:footer="1097" w:gutter="0"/>
          <w:cols w:space="720" w:num="1"/>
        </w:sectPr>
      </w:pPr>
    </w:p>
    <w:p w14:paraId="2E11BD0A">
      <w:pPr>
        <w:pStyle w:val="2"/>
        <w:spacing w:line="245" w:lineRule="auto"/>
      </w:pPr>
    </w:p>
    <w:p w14:paraId="62241A39">
      <w:pPr>
        <w:pStyle w:val="2"/>
        <w:spacing w:line="245" w:lineRule="auto"/>
      </w:pPr>
    </w:p>
    <w:p w14:paraId="06FD7740">
      <w:pPr>
        <w:pStyle w:val="2"/>
        <w:spacing w:line="245" w:lineRule="auto"/>
      </w:pPr>
    </w:p>
    <w:p w14:paraId="0AB9FC46">
      <w:pPr>
        <w:pStyle w:val="2"/>
        <w:spacing w:line="246" w:lineRule="auto"/>
      </w:pPr>
    </w:p>
    <w:p w14:paraId="1C7A4BEB">
      <w:pPr>
        <w:spacing w:before="101" w:line="227" w:lineRule="auto"/>
        <w:ind w:left="119"/>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2 </w:t>
      </w:r>
      <w:r>
        <w:rPr>
          <w:rFonts w:ascii="黑体" w:hAnsi="黑体" w:eastAsia="黑体" w:cs="黑体"/>
          <w:spacing w:val="7"/>
          <w:sz w:val="31"/>
          <w:szCs w:val="31"/>
        </w:rPr>
        <w:t>建设项目基本情况</w:t>
      </w:r>
    </w:p>
    <w:p w14:paraId="12D375F8">
      <w:pPr>
        <w:spacing w:before="235" w:line="219" w:lineRule="auto"/>
        <w:ind w:left="119"/>
        <w:outlineLvl w:val="1"/>
        <w:rPr>
          <w:rFonts w:ascii="宋体" w:hAnsi="宋体" w:eastAsia="宋体" w:cs="宋体"/>
          <w:sz w:val="28"/>
          <w:szCs w:val="28"/>
        </w:rPr>
      </w:pPr>
      <w:bookmarkStart w:id="4" w:name="bookmark5"/>
      <w:bookmarkEnd w:id="4"/>
      <w:bookmarkStart w:id="5" w:name="bookmark6"/>
      <w:bookmarkEnd w:id="5"/>
      <w:r>
        <w:rPr>
          <w:rFonts w:ascii="Times New Roman" w:hAnsi="Times New Roman" w:eastAsia="Times New Roman" w:cs="Times New Roman"/>
          <w:b/>
          <w:bCs/>
          <w:spacing w:val="-2"/>
          <w:sz w:val="28"/>
          <w:szCs w:val="28"/>
        </w:rPr>
        <w:t xml:space="preserve">2.1 </w:t>
      </w:r>
      <w:r>
        <w:rPr>
          <w:rFonts w:ascii="宋体" w:hAnsi="宋体" w:eastAsia="宋体" w:cs="宋体"/>
          <w:b/>
          <w:bCs/>
          <w:spacing w:val="-2"/>
          <w:sz w:val="28"/>
          <w:szCs w:val="28"/>
        </w:rPr>
        <w:t>建设项目基本情况</w:t>
      </w:r>
    </w:p>
    <w:p w14:paraId="38EF3F07">
      <w:pPr>
        <w:spacing w:before="212" w:line="359" w:lineRule="auto"/>
        <w:ind w:left="123" w:right="14" w:firstLine="560"/>
        <w:jc w:val="both"/>
        <w:rPr>
          <w:rFonts w:ascii="宋体" w:hAnsi="宋体" w:eastAsia="宋体" w:cs="宋体"/>
          <w:sz w:val="28"/>
          <w:szCs w:val="28"/>
        </w:rPr>
      </w:pPr>
      <w:r>
        <w:rPr>
          <w:rFonts w:ascii="宋体" w:hAnsi="宋体" w:eastAsia="宋体" w:cs="宋体"/>
          <w:spacing w:val="6"/>
          <w:sz w:val="28"/>
          <w:szCs w:val="28"/>
        </w:rPr>
        <w:t>本项目为鄂托克经济开发区棋盘井产业园危险化学品车辆专用</w:t>
      </w:r>
      <w:r>
        <w:rPr>
          <w:rFonts w:ascii="宋体" w:hAnsi="宋体" w:eastAsia="宋体" w:cs="宋体"/>
          <w:spacing w:val="12"/>
          <w:sz w:val="28"/>
          <w:szCs w:val="28"/>
        </w:rPr>
        <w:t xml:space="preserve"> </w:t>
      </w:r>
      <w:r>
        <w:rPr>
          <w:rFonts w:ascii="宋体" w:hAnsi="宋体" w:eastAsia="宋体" w:cs="宋体"/>
          <w:spacing w:val="-4"/>
          <w:sz w:val="28"/>
          <w:szCs w:val="28"/>
        </w:rPr>
        <w:t>停车场建设项目，拟建厂址位于鄂托克经济开发区棋盘井产业园棋西</w:t>
      </w:r>
      <w:r>
        <w:rPr>
          <w:rFonts w:ascii="宋体" w:hAnsi="宋体" w:eastAsia="宋体" w:cs="宋体"/>
          <w:spacing w:val="14"/>
          <w:sz w:val="28"/>
          <w:szCs w:val="28"/>
        </w:rPr>
        <w:t xml:space="preserve"> </w:t>
      </w:r>
      <w:r>
        <w:rPr>
          <w:rFonts w:ascii="宋体" w:hAnsi="宋体" w:eastAsia="宋体" w:cs="宋体"/>
          <w:spacing w:val="-4"/>
          <w:sz w:val="28"/>
          <w:szCs w:val="28"/>
        </w:rPr>
        <w:t>项目区，具体位置为棋盘井镇二号路东，工业街南，金海路西，南环</w:t>
      </w:r>
      <w:r>
        <w:rPr>
          <w:rFonts w:ascii="宋体" w:hAnsi="宋体" w:eastAsia="宋体" w:cs="宋体"/>
          <w:spacing w:val="14"/>
          <w:sz w:val="28"/>
          <w:szCs w:val="28"/>
        </w:rPr>
        <w:t xml:space="preserve"> </w:t>
      </w:r>
      <w:r>
        <w:rPr>
          <w:rFonts w:ascii="宋体" w:hAnsi="宋体" w:eastAsia="宋体" w:cs="宋体"/>
          <w:spacing w:val="-2"/>
          <w:sz w:val="28"/>
          <w:szCs w:val="28"/>
        </w:rPr>
        <w:t>路北，</w:t>
      </w:r>
      <w:r>
        <w:rPr>
          <w:rFonts w:ascii="宋体" w:hAnsi="宋体" w:eastAsia="宋体" w:cs="宋体"/>
          <w:spacing w:val="-68"/>
          <w:sz w:val="28"/>
          <w:szCs w:val="28"/>
        </w:rPr>
        <w:t xml:space="preserve"> </w:t>
      </w:r>
      <w:r>
        <w:rPr>
          <w:rFonts w:ascii="宋体" w:hAnsi="宋体" w:eastAsia="宋体" w:cs="宋体"/>
          <w:spacing w:val="-2"/>
          <w:sz w:val="28"/>
          <w:szCs w:val="28"/>
        </w:rPr>
        <w:t>占地面积</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35000m</w:t>
      </w:r>
      <w:r>
        <w:rPr>
          <w:rFonts w:ascii="Times New Roman" w:hAnsi="Times New Roman" w:eastAsia="Times New Roman" w:cs="Times New Roman"/>
          <w:spacing w:val="-2"/>
          <w:position w:val="9"/>
          <w:sz w:val="18"/>
          <w:szCs w:val="18"/>
        </w:rPr>
        <w:t xml:space="preserve">2 </w:t>
      </w:r>
      <w:r>
        <w:rPr>
          <w:rFonts w:ascii="宋体" w:hAnsi="宋体" w:eastAsia="宋体" w:cs="宋体"/>
          <w:spacing w:val="-2"/>
          <w:sz w:val="28"/>
          <w:szCs w:val="28"/>
        </w:rPr>
        <w:t>。建设内容主要包括停车位</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 xml:space="preserve">92 </w:t>
      </w:r>
      <w:r>
        <w:rPr>
          <w:rFonts w:ascii="宋体" w:hAnsi="宋体" w:eastAsia="宋体" w:cs="宋体"/>
          <w:spacing w:val="-2"/>
          <w:sz w:val="28"/>
          <w:szCs w:val="28"/>
        </w:rPr>
        <w:t>个（空载车</w:t>
      </w:r>
      <w:r>
        <w:rPr>
          <w:rFonts w:ascii="宋体" w:hAnsi="宋体" w:eastAsia="宋体" w:cs="宋体"/>
          <w:sz w:val="28"/>
          <w:szCs w:val="28"/>
        </w:rPr>
        <w:t xml:space="preserve"> </w:t>
      </w:r>
      <w:r>
        <w:rPr>
          <w:rFonts w:ascii="宋体" w:hAnsi="宋体" w:eastAsia="宋体" w:cs="宋体"/>
          <w:spacing w:val="-8"/>
          <w:sz w:val="28"/>
          <w:szCs w:val="28"/>
        </w:rPr>
        <w:t>位</w:t>
      </w:r>
      <w:r>
        <w:rPr>
          <w:rFonts w:ascii="宋体" w:hAnsi="宋体" w:eastAsia="宋体" w:cs="宋体"/>
          <w:spacing w:val="-52"/>
          <w:sz w:val="28"/>
          <w:szCs w:val="28"/>
        </w:rPr>
        <w:t xml:space="preserve"> </w:t>
      </w:r>
      <w:r>
        <w:rPr>
          <w:rFonts w:ascii="Times New Roman" w:hAnsi="Times New Roman" w:eastAsia="Times New Roman" w:cs="Times New Roman"/>
          <w:spacing w:val="-8"/>
          <w:sz w:val="28"/>
          <w:szCs w:val="28"/>
        </w:rPr>
        <w:t xml:space="preserve">82 </w:t>
      </w:r>
      <w:r>
        <w:rPr>
          <w:rFonts w:ascii="宋体" w:hAnsi="宋体" w:eastAsia="宋体" w:cs="宋体"/>
          <w:spacing w:val="-8"/>
          <w:sz w:val="28"/>
          <w:szCs w:val="28"/>
        </w:rPr>
        <w:t>个、重在车位</w:t>
      </w:r>
      <w:r>
        <w:rPr>
          <w:rFonts w:ascii="宋体" w:hAnsi="宋体" w:eastAsia="宋体" w:cs="宋体"/>
          <w:spacing w:val="-38"/>
          <w:sz w:val="28"/>
          <w:szCs w:val="28"/>
        </w:rPr>
        <w:t xml:space="preserve"> </w:t>
      </w:r>
      <w:r>
        <w:rPr>
          <w:rFonts w:ascii="Times New Roman" w:hAnsi="Times New Roman" w:eastAsia="Times New Roman" w:cs="Times New Roman"/>
          <w:spacing w:val="-8"/>
          <w:sz w:val="28"/>
          <w:szCs w:val="28"/>
        </w:rPr>
        <w:t xml:space="preserve">10 </w:t>
      </w:r>
      <w:r>
        <w:rPr>
          <w:rFonts w:ascii="宋体" w:hAnsi="宋体" w:eastAsia="宋体" w:cs="宋体"/>
          <w:spacing w:val="-8"/>
          <w:sz w:val="28"/>
          <w:szCs w:val="28"/>
        </w:rPr>
        <w:t>个</w:t>
      </w:r>
      <w:r>
        <w:rPr>
          <w:rFonts w:ascii="宋体" w:hAnsi="宋体" w:eastAsia="宋体" w:cs="宋体"/>
          <w:spacing w:val="-41"/>
          <w:sz w:val="28"/>
          <w:szCs w:val="28"/>
        </w:rPr>
        <w:t>），</w:t>
      </w:r>
      <w:r>
        <w:rPr>
          <w:rFonts w:ascii="宋体" w:hAnsi="宋体" w:eastAsia="宋体" w:cs="宋体"/>
          <w:spacing w:val="-8"/>
          <w:sz w:val="28"/>
          <w:szCs w:val="28"/>
        </w:rPr>
        <w:t>配套综合管理用房、餐厅、污水处理间、</w:t>
      </w:r>
      <w:r>
        <w:rPr>
          <w:rFonts w:ascii="宋体" w:hAnsi="宋体" w:eastAsia="宋体" w:cs="宋体"/>
          <w:sz w:val="28"/>
          <w:szCs w:val="28"/>
        </w:rPr>
        <w:t xml:space="preserve"> </w:t>
      </w:r>
      <w:r>
        <w:rPr>
          <w:rFonts w:ascii="宋体" w:hAnsi="宋体" w:eastAsia="宋体" w:cs="宋体"/>
          <w:spacing w:val="-9"/>
          <w:sz w:val="28"/>
          <w:szCs w:val="28"/>
        </w:rPr>
        <w:t>危废暂存间、消防水泵房、汽车维修间、洗车间（</w:t>
      </w:r>
      <w:r>
        <w:rPr>
          <w:rFonts w:ascii="宋体" w:hAnsi="宋体" w:eastAsia="宋体" w:cs="宋体"/>
          <w:spacing w:val="-10"/>
          <w:sz w:val="28"/>
          <w:szCs w:val="28"/>
        </w:rPr>
        <w:t>仅清洗空车外壁）、</w:t>
      </w:r>
      <w:r>
        <w:rPr>
          <w:rFonts w:ascii="宋体" w:hAnsi="宋体" w:eastAsia="宋体" w:cs="宋体"/>
          <w:sz w:val="28"/>
          <w:szCs w:val="28"/>
        </w:rPr>
        <w:t xml:space="preserve"> </w:t>
      </w:r>
      <w:r>
        <w:rPr>
          <w:rFonts w:ascii="宋体" w:hAnsi="宋体" w:eastAsia="宋体" w:cs="宋体"/>
          <w:spacing w:val="-1"/>
          <w:sz w:val="28"/>
          <w:szCs w:val="28"/>
        </w:rPr>
        <w:t>门卫、消防水池、初期雨水池、事故应急池等附属设施。</w:t>
      </w:r>
    </w:p>
    <w:p w14:paraId="43DD4664">
      <w:pPr>
        <w:spacing w:before="1" w:line="219" w:lineRule="auto"/>
        <w:ind w:left="119"/>
        <w:outlineLvl w:val="1"/>
        <w:rPr>
          <w:rFonts w:ascii="宋体" w:hAnsi="宋体" w:eastAsia="宋体" w:cs="宋体"/>
          <w:sz w:val="28"/>
          <w:szCs w:val="28"/>
        </w:rPr>
      </w:pPr>
      <w:bookmarkStart w:id="6" w:name="bookmark7"/>
      <w:bookmarkEnd w:id="6"/>
      <w:r>
        <w:rPr>
          <w:rFonts w:ascii="Times New Roman" w:hAnsi="Times New Roman" w:eastAsia="Times New Roman" w:cs="Times New Roman"/>
          <w:b/>
          <w:bCs/>
          <w:spacing w:val="-2"/>
          <w:sz w:val="28"/>
          <w:szCs w:val="28"/>
        </w:rPr>
        <w:t xml:space="preserve">2.2 </w:t>
      </w:r>
      <w:r>
        <w:rPr>
          <w:rFonts w:ascii="宋体" w:hAnsi="宋体" w:eastAsia="宋体" w:cs="宋体"/>
          <w:b/>
          <w:bCs/>
          <w:spacing w:val="-2"/>
          <w:sz w:val="28"/>
          <w:szCs w:val="28"/>
        </w:rPr>
        <w:t>危险化学品信息</w:t>
      </w:r>
    </w:p>
    <w:p w14:paraId="0ACBBE3A">
      <w:pPr>
        <w:spacing w:before="212" w:line="358" w:lineRule="auto"/>
        <w:ind w:left="124" w:right="112" w:firstLine="559"/>
        <w:jc w:val="both"/>
        <w:rPr>
          <w:rFonts w:ascii="宋体" w:hAnsi="宋体" w:eastAsia="宋体" w:cs="宋体"/>
          <w:sz w:val="28"/>
          <w:szCs w:val="28"/>
        </w:rPr>
      </w:pPr>
      <w:r>
        <w:rPr>
          <w:rFonts w:ascii="宋体" w:hAnsi="宋体" w:eastAsia="宋体" w:cs="宋体"/>
          <w:spacing w:val="1"/>
          <w:sz w:val="28"/>
          <w:szCs w:val="28"/>
        </w:rPr>
        <w:t>本项目危险化学品车辆专用停车场共设置停车位</w:t>
      </w:r>
      <w:r>
        <w:rPr>
          <w:rFonts w:ascii="宋体" w:hAnsi="宋体" w:eastAsia="宋体" w:cs="宋体"/>
          <w:spacing w:val="-57"/>
          <w:sz w:val="28"/>
          <w:szCs w:val="28"/>
        </w:rPr>
        <w:t xml:space="preserve"> </w:t>
      </w:r>
      <w:r>
        <w:rPr>
          <w:rFonts w:ascii="Times New Roman" w:hAnsi="Times New Roman" w:eastAsia="Times New Roman" w:cs="Times New Roman"/>
          <w:sz w:val="28"/>
          <w:szCs w:val="28"/>
        </w:rPr>
        <w:t xml:space="preserve">92 </w:t>
      </w:r>
      <w:r>
        <w:rPr>
          <w:rFonts w:ascii="宋体" w:hAnsi="宋体" w:eastAsia="宋体" w:cs="宋体"/>
          <w:sz w:val="28"/>
          <w:szCs w:val="28"/>
        </w:rPr>
        <w:t xml:space="preserve">个，其中重 </w:t>
      </w:r>
      <w:r>
        <w:rPr>
          <w:rFonts w:ascii="宋体" w:hAnsi="宋体" w:eastAsia="宋体" w:cs="宋体"/>
          <w:spacing w:val="-5"/>
          <w:sz w:val="28"/>
          <w:szCs w:val="28"/>
        </w:rPr>
        <w:t>载车辆停车位</w:t>
      </w:r>
      <w:r>
        <w:rPr>
          <w:rFonts w:ascii="宋体" w:hAnsi="宋体" w:eastAsia="宋体" w:cs="宋体"/>
          <w:spacing w:val="-26"/>
          <w:sz w:val="28"/>
          <w:szCs w:val="28"/>
        </w:rPr>
        <w:t xml:space="preserve"> </w:t>
      </w:r>
      <w:r>
        <w:rPr>
          <w:rFonts w:ascii="Times New Roman" w:hAnsi="Times New Roman" w:eastAsia="Times New Roman" w:cs="Times New Roman"/>
          <w:spacing w:val="-5"/>
          <w:sz w:val="28"/>
          <w:szCs w:val="28"/>
        </w:rPr>
        <w:t xml:space="preserve">10 </w:t>
      </w:r>
      <w:r>
        <w:rPr>
          <w:rFonts w:ascii="宋体" w:hAnsi="宋体" w:eastAsia="宋体" w:cs="宋体"/>
          <w:spacing w:val="-5"/>
          <w:sz w:val="28"/>
          <w:szCs w:val="28"/>
        </w:rPr>
        <w:t>个，空车停车位</w:t>
      </w:r>
      <w:r>
        <w:rPr>
          <w:rFonts w:ascii="宋体" w:hAnsi="宋体" w:eastAsia="宋体" w:cs="宋体"/>
          <w:spacing w:val="-56"/>
          <w:sz w:val="28"/>
          <w:szCs w:val="28"/>
        </w:rPr>
        <w:t xml:space="preserve"> </w:t>
      </w:r>
      <w:r>
        <w:rPr>
          <w:rFonts w:ascii="Times New Roman" w:hAnsi="Times New Roman" w:eastAsia="Times New Roman" w:cs="Times New Roman"/>
          <w:spacing w:val="-5"/>
          <w:sz w:val="28"/>
          <w:szCs w:val="28"/>
        </w:rPr>
        <w:t xml:space="preserve">82 </w:t>
      </w:r>
      <w:r>
        <w:rPr>
          <w:rFonts w:ascii="宋体" w:hAnsi="宋体" w:eastAsia="宋体" w:cs="宋体"/>
          <w:spacing w:val="-5"/>
          <w:sz w:val="28"/>
          <w:szCs w:val="28"/>
        </w:rPr>
        <w:t>个。根据园区危化品运输车辆实</w:t>
      </w:r>
      <w:r>
        <w:rPr>
          <w:rFonts w:ascii="宋体" w:hAnsi="宋体" w:eastAsia="宋体" w:cs="宋体"/>
          <w:sz w:val="28"/>
          <w:szCs w:val="28"/>
        </w:rPr>
        <w:t xml:space="preserve"> </w:t>
      </w:r>
      <w:r>
        <w:rPr>
          <w:rFonts w:ascii="宋体" w:hAnsi="宋体" w:eastAsia="宋体" w:cs="宋体"/>
          <w:spacing w:val="-4"/>
          <w:sz w:val="28"/>
          <w:szCs w:val="28"/>
        </w:rPr>
        <w:t>际停放需求和园区各化工企业危险品运输物品的调查结果，重载车辆</w:t>
      </w:r>
      <w:r>
        <w:rPr>
          <w:rFonts w:ascii="宋体" w:hAnsi="宋体" w:eastAsia="宋体" w:cs="宋体"/>
          <w:spacing w:val="13"/>
          <w:sz w:val="28"/>
          <w:szCs w:val="28"/>
        </w:rPr>
        <w:t xml:space="preserve"> </w:t>
      </w:r>
      <w:r>
        <w:rPr>
          <w:rFonts w:ascii="宋体" w:hAnsi="宋体" w:eastAsia="宋体" w:cs="宋体"/>
          <w:spacing w:val="-1"/>
          <w:sz w:val="28"/>
          <w:szCs w:val="28"/>
        </w:rPr>
        <w:t>停车位主要运输车危化品类别及特性见下表。</w:t>
      </w:r>
    </w:p>
    <w:p w14:paraId="7011805A">
      <w:pPr>
        <w:spacing w:line="219" w:lineRule="auto"/>
        <w:ind w:left="278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危险化学品信息表</w:t>
      </w:r>
    </w:p>
    <w:p w14:paraId="5A45B0A3">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36912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61BB1A36">
            <w:pPr>
              <w:pStyle w:val="6"/>
              <w:spacing w:before="127" w:line="210" w:lineRule="auto"/>
              <w:ind w:left="41"/>
              <w:rPr>
                <w:sz w:val="24"/>
                <w:szCs w:val="24"/>
              </w:rPr>
            </w:pPr>
            <w:r>
              <w:rPr>
                <w:spacing w:val="34"/>
                <w:sz w:val="24"/>
                <w:szCs w:val="24"/>
              </w:rPr>
              <w:t>序号</w:t>
            </w:r>
          </w:p>
        </w:tc>
        <w:tc>
          <w:tcPr>
            <w:tcW w:w="1276" w:type="dxa"/>
            <w:vAlign w:val="top"/>
          </w:tcPr>
          <w:p w14:paraId="477C625D">
            <w:pPr>
              <w:pStyle w:val="6"/>
              <w:spacing w:before="195" w:line="221" w:lineRule="auto"/>
              <w:ind w:left="405"/>
              <w:rPr>
                <w:sz w:val="24"/>
                <w:szCs w:val="24"/>
              </w:rPr>
            </w:pPr>
            <w:r>
              <w:rPr>
                <w:spacing w:val="-7"/>
                <w:sz w:val="24"/>
                <w:szCs w:val="24"/>
              </w:rPr>
              <w:t>名称</w:t>
            </w:r>
          </w:p>
        </w:tc>
        <w:tc>
          <w:tcPr>
            <w:tcW w:w="1452" w:type="dxa"/>
            <w:vAlign w:val="top"/>
          </w:tcPr>
          <w:p w14:paraId="3429091F">
            <w:pPr>
              <w:pStyle w:val="6"/>
              <w:spacing w:before="194"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61CEE662">
            <w:pPr>
              <w:pStyle w:val="6"/>
              <w:spacing w:before="195" w:line="219" w:lineRule="auto"/>
              <w:ind w:left="2179"/>
              <w:rPr>
                <w:sz w:val="24"/>
                <w:szCs w:val="24"/>
              </w:rPr>
            </w:pPr>
            <w:r>
              <w:rPr>
                <w:spacing w:val="-4"/>
                <w:sz w:val="24"/>
                <w:szCs w:val="24"/>
              </w:rPr>
              <w:t>危险特征</w:t>
            </w:r>
          </w:p>
        </w:tc>
      </w:tr>
      <w:tr w14:paraId="15688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497" w:type="dxa"/>
            <w:vAlign w:val="top"/>
          </w:tcPr>
          <w:p w14:paraId="63F42562">
            <w:pPr>
              <w:spacing w:line="313" w:lineRule="auto"/>
              <w:rPr>
                <w:rFonts w:ascii="Arial"/>
                <w:sz w:val="21"/>
              </w:rPr>
            </w:pPr>
          </w:p>
          <w:p w14:paraId="61963757">
            <w:pPr>
              <w:spacing w:line="313" w:lineRule="auto"/>
              <w:rPr>
                <w:rFonts w:ascii="Arial"/>
                <w:sz w:val="21"/>
              </w:rPr>
            </w:pPr>
          </w:p>
          <w:p w14:paraId="2AD9F124">
            <w:pPr>
              <w:spacing w:before="69" w:line="188" w:lineRule="auto"/>
              <w:ind w:left="2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top"/>
          </w:tcPr>
          <w:p w14:paraId="0D22B5A5">
            <w:pPr>
              <w:spacing w:line="287" w:lineRule="auto"/>
              <w:rPr>
                <w:rFonts w:ascii="Arial"/>
                <w:sz w:val="21"/>
              </w:rPr>
            </w:pPr>
          </w:p>
          <w:p w14:paraId="6AE9A642">
            <w:pPr>
              <w:spacing w:line="288" w:lineRule="auto"/>
              <w:rPr>
                <w:rFonts w:ascii="Arial"/>
                <w:sz w:val="21"/>
              </w:rPr>
            </w:pPr>
          </w:p>
          <w:p w14:paraId="6726E6EB">
            <w:pPr>
              <w:pStyle w:val="6"/>
              <w:spacing w:before="78" w:line="220" w:lineRule="auto"/>
              <w:ind w:left="433"/>
              <w:rPr>
                <w:sz w:val="24"/>
                <w:szCs w:val="24"/>
              </w:rPr>
            </w:pPr>
            <w:r>
              <w:rPr>
                <w:spacing w:val="-21"/>
                <w:sz w:val="24"/>
                <w:szCs w:val="24"/>
              </w:rPr>
              <w:t>甲醇</w:t>
            </w:r>
          </w:p>
        </w:tc>
        <w:tc>
          <w:tcPr>
            <w:tcW w:w="1452" w:type="dxa"/>
            <w:vAlign w:val="top"/>
          </w:tcPr>
          <w:p w14:paraId="30BB39F1">
            <w:pPr>
              <w:spacing w:line="313" w:lineRule="auto"/>
              <w:rPr>
                <w:rFonts w:ascii="Arial"/>
                <w:sz w:val="21"/>
              </w:rPr>
            </w:pPr>
          </w:p>
          <w:p w14:paraId="4F237B4C">
            <w:pPr>
              <w:spacing w:line="313" w:lineRule="auto"/>
              <w:rPr>
                <w:rFonts w:ascii="Arial"/>
                <w:sz w:val="21"/>
              </w:rPr>
            </w:pPr>
          </w:p>
          <w:p w14:paraId="01960502">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67-56-1</w:t>
            </w:r>
          </w:p>
        </w:tc>
        <w:tc>
          <w:tcPr>
            <w:tcW w:w="5301" w:type="dxa"/>
            <w:vAlign w:val="top"/>
          </w:tcPr>
          <w:p w14:paraId="5ED7C6ED">
            <w:pPr>
              <w:pStyle w:val="6"/>
              <w:spacing w:before="35" w:line="217" w:lineRule="auto"/>
              <w:ind w:left="152"/>
              <w:rPr>
                <w:sz w:val="24"/>
                <w:szCs w:val="24"/>
              </w:rPr>
            </w:pPr>
            <w:r>
              <w:rPr>
                <w:spacing w:val="-2"/>
                <w:sz w:val="24"/>
                <w:szCs w:val="24"/>
              </w:rPr>
              <w:t>易燃，其蒸气与空气可形成爆炸性混合物。遇明</w:t>
            </w:r>
          </w:p>
          <w:p w14:paraId="5EE5EE48">
            <w:pPr>
              <w:pStyle w:val="6"/>
              <w:spacing w:before="29" w:line="218" w:lineRule="auto"/>
              <w:ind w:left="138"/>
              <w:rPr>
                <w:sz w:val="24"/>
                <w:szCs w:val="24"/>
              </w:rPr>
            </w:pPr>
            <w:r>
              <w:rPr>
                <w:spacing w:val="-1"/>
                <w:sz w:val="24"/>
                <w:szCs w:val="24"/>
              </w:rPr>
              <w:t>火、高热能引起燃烧爆炸。与氧化剂接触发生化</w:t>
            </w:r>
          </w:p>
          <w:p w14:paraId="319B8835">
            <w:pPr>
              <w:pStyle w:val="6"/>
              <w:spacing w:before="26" w:line="218" w:lineRule="auto"/>
              <w:ind w:left="141"/>
              <w:rPr>
                <w:sz w:val="24"/>
                <w:szCs w:val="24"/>
              </w:rPr>
            </w:pPr>
            <w:r>
              <w:rPr>
                <w:spacing w:val="-1"/>
                <w:sz w:val="24"/>
                <w:szCs w:val="24"/>
              </w:rPr>
              <w:t>学反应或引起燃烧。在火场中，受热的容器有爆</w:t>
            </w:r>
          </w:p>
          <w:p w14:paraId="7357C6E8">
            <w:pPr>
              <w:pStyle w:val="6"/>
              <w:spacing w:before="28" w:line="217" w:lineRule="auto"/>
              <w:ind w:left="139"/>
              <w:rPr>
                <w:sz w:val="24"/>
                <w:szCs w:val="24"/>
              </w:rPr>
            </w:pPr>
            <w:r>
              <w:rPr>
                <w:spacing w:val="-1"/>
                <w:sz w:val="24"/>
                <w:szCs w:val="24"/>
              </w:rPr>
              <w:t>炸危险。其蒸气比空气重，能在较低处扩散到相</w:t>
            </w:r>
          </w:p>
          <w:p w14:paraId="660A572D">
            <w:pPr>
              <w:pStyle w:val="6"/>
              <w:spacing w:before="30" w:line="206" w:lineRule="auto"/>
              <w:ind w:left="872"/>
              <w:rPr>
                <w:sz w:val="24"/>
                <w:szCs w:val="24"/>
              </w:rPr>
            </w:pPr>
            <w:r>
              <w:rPr>
                <w:spacing w:val="-2"/>
                <w:sz w:val="24"/>
                <w:szCs w:val="24"/>
              </w:rPr>
              <w:t>当远的地方，遇明火会引着回燃。</w:t>
            </w:r>
          </w:p>
        </w:tc>
      </w:tr>
      <w:tr w14:paraId="4E36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581AA3AB">
            <w:pPr>
              <w:spacing w:line="314" w:lineRule="auto"/>
              <w:rPr>
                <w:rFonts w:ascii="Arial"/>
                <w:sz w:val="21"/>
              </w:rPr>
            </w:pPr>
          </w:p>
          <w:p w14:paraId="39C00C13">
            <w:pPr>
              <w:spacing w:line="315" w:lineRule="auto"/>
              <w:rPr>
                <w:rFonts w:ascii="Arial"/>
                <w:sz w:val="21"/>
              </w:rPr>
            </w:pPr>
          </w:p>
          <w:p w14:paraId="0F631365">
            <w:pPr>
              <w:spacing w:before="69" w:line="188"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top"/>
          </w:tcPr>
          <w:p w14:paraId="64D976F2">
            <w:pPr>
              <w:spacing w:line="289" w:lineRule="auto"/>
              <w:rPr>
                <w:rFonts w:ascii="Arial"/>
                <w:sz w:val="21"/>
              </w:rPr>
            </w:pPr>
          </w:p>
          <w:p w14:paraId="7083239E">
            <w:pPr>
              <w:spacing w:line="289" w:lineRule="auto"/>
              <w:rPr>
                <w:rFonts w:ascii="Arial"/>
                <w:sz w:val="21"/>
              </w:rPr>
            </w:pPr>
          </w:p>
          <w:p w14:paraId="21860415">
            <w:pPr>
              <w:pStyle w:val="6"/>
              <w:spacing w:before="78" w:line="220" w:lineRule="auto"/>
              <w:ind w:left="426"/>
              <w:rPr>
                <w:sz w:val="24"/>
                <w:szCs w:val="24"/>
              </w:rPr>
            </w:pPr>
            <w:r>
              <w:rPr>
                <w:spacing w:val="-17"/>
                <w:sz w:val="24"/>
                <w:szCs w:val="24"/>
              </w:rPr>
              <w:t>乙醇</w:t>
            </w:r>
          </w:p>
        </w:tc>
        <w:tc>
          <w:tcPr>
            <w:tcW w:w="1452" w:type="dxa"/>
            <w:vAlign w:val="top"/>
          </w:tcPr>
          <w:p w14:paraId="3E954F8F">
            <w:pPr>
              <w:spacing w:line="314" w:lineRule="auto"/>
              <w:rPr>
                <w:rFonts w:ascii="Arial"/>
                <w:sz w:val="21"/>
              </w:rPr>
            </w:pPr>
          </w:p>
          <w:p w14:paraId="4BA50296">
            <w:pPr>
              <w:spacing w:line="315" w:lineRule="auto"/>
              <w:rPr>
                <w:rFonts w:ascii="Arial"/>
                <w:sz w:val="21"/>
              </w:rPr>
            </w:pPr>
          </w:p>
          <w:p w14:paraId="7B48DB79">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64-17-5</w:t>
            </w:r>
          </w:p>
        </w:tc>
        <w:tc>
          <w:tcPr>
            <w:tcW w:w="5301" w:type="dxa"/>
            <w:vAlign w:val="top"/>
          </w:tcPr>
          <w:p w14:paraId="57ED6284">
            <w:pPr>
              <w:pStyle w:val="6"/>
              <w:spacing w:before="39" w:line="217" w:lineRule="auto"/>
              <w:ind w:left="152"/>
              <w:rPr>
                <w:sz w:val="24"/>
                <w:szCs w:val="24"/>
              </w:rPr>
            </w:pPr>
            <w:r>
              <w:rPr>
                <w:spacing w:val="-2"/>
                <w:sz w:val="24"/>
                <w:szCs w:val="24"/>
              </w:rPr>
              <w:t>易燃，其蒸气与空气可形成爆炸性混合物。遇明</w:t>
            </w:r>
          </w:p>
          <w:p w14:paraId="6540BF39">
            <w:pPr>
              <w:pStyle w:val="6"/>
              <w:spacing w:before="29" w:line="218" w:lineRule="auto"/>
              <w:ind w:left="138"/>
              <w:rPr>
                <w:sz w:val="24"/>
                <w:szCs w:val="24"/>
              </w:rPr>
            </w:pPr>
            <w:r>
              <w:rPr>
                <w:spacing w:val="-1"/>
                <w:sz w:val="24"/>
                <w:szCs w:val="24"/>
              </w:rPr>
              <w:t>火、高热能引起燃烧爆炸。与氧化剂接触发生化</w:t>
            </w:r>
          </w:p>
          <w:p w14:paraId="6952AF05">
            <w:pPr>
              <w:pStyle w:val="6"/>
              <w:spacing w:before="26" w:line="218" w:lineRule="auto"/>
              <w:ind w:left="141"/>
              <w:rPr>
                <w:sz w:val="24"/>
                <w:szCs w:val="24"/>
              </w:rPr>
            </w:pPr>
            <w:r>
              <w:rPr>
                <w:spacing w:val="-1"/>
                <w:sz w:val="24"/>
                <w:szCs w:val="24"/>
              </w:rPr>
              <w:t>学反应或引起燃烧。在火场中，受热的容器有爆</w:t>
            </w:r>
          </w:p>
          <w:p w14:paraId="067A5DB8">
            <w:pPr>
              <w:pStyle w:val="6"/>
              <w:spacing w:before="28" w:line="217" w:lineRule="auto"/>
              <w:ind w:left="139"/>
              <w:rPr>
                <w:sz w:val="24"/>
                <w:szCs w:val="24"/>
              </w:rPr>
            </w:pPr>
            <w:r>
              <w:rPr>
                <w:spacing w:val="-1"/>
                <w:sz w:val="24"/>
                <w:szCs w:val="24"/>
              </w:rPr>
              <w:t>炸危险。其蒸气比空气重，能在较低处扩散到相</w:t>
            </w:r>
          </w:p>
          <w:p w14:paraId="186AA19F">
            <w:pPr>
              <w:pStyle w:val="6"/>
              <w:spacing w:before="30" w:line="204" w:lineRule="auto"/>
              <w:ind w:left="872"/>
              <w:rPr>
                <w:sz w:val="24"/>
                <w:szCs w:val="24"/>
              </w:rPr>
            </w:pPr>
            <w:r>
              <w:rPr>
                <w:spacing w:val="-2"/>
                <w:sz w:val="24"/>
                <w:szCs w:val="24"/>
              </w:rPr>
              <w:t>当远的地方，遇明火会引着回燃。</w:t>
            </w:r>
          </w:p>
        </w:tc>
      </w:tr>
      <w:tr w14:paraId="20355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78C34B29">
            <w:pPr>
              <w:spacing w:before="236"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276" w:type="dxa"/>
            <w:vAlign w:val="top"/>
          </w:tcPr>
          <w:p w14:paraId="67ED0B75">
            <w:pPr>
              <w:pStyle w:val="6"/>
              <w:spacing w:before="194" w:line="217" w:lineRule="auto"/>
              <w:ind w:left="402"/>
              <w:rPr>
                <w:sz w:val="24"/>
                <w:szCs w:val="24"/>
              </w:rPr>
            </w:pPr>
            <w:r>
              <w:rPr>
                <w:spacing w:val="-5"/>
                <w:sz w:val="24"/>
                <w:szCs w:val="24"/>
              </w:rPr>
              <w:t>氨水</w:t>
            </w:r>
          </w:p>
        </w:tc>
        <w:tc>
          <w:tcPr>
            <w:tcW w:w="1452" w:type="dxa"/>
            <w:vAlign w:val="top"/>
          </w:tcPr>
          <w:p w14:paraId="1ED5394E">
            <w:pPr>
              <w:spacing w:before="236"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1336-21-6</w:t>
            </w:r>
          </w:p>
        </w:tc>
        <w:tc>
          <w:tcPr>
            <w:tcW w:w="5301" w:type="dxa"/>
            <w:vAlign w:val="top"/>
          </w:tcPr>
          <w:p w14:paraId="659BAD83">
            <w:pPr>
              <w:pStyle w:val="6"/>
              <w:spacing w:before="38" w:line="217" w:lineRule="auto"/>
              <w:ind w:left="152"/>
              <w:rPr>
                <w:sz w:val="24"/>
                <w:szCs w:val="24"/>
              </w:rPr>
            </w:pPr>
            <w:r>
              <w:rPr>
                <w:spacing w:val="-1"/>
                <w:sz w:val="24"/>
                <w:szCs w:val="24"/>
              </w:rPr>
              <w:t>易分解放出氨气，温度越高，分解速度越快，可</w:t>
            </w:r>
          </w:p>
          <w:p w14:paraId="0902270A">
            <w:pPr>
              <w:pStyle w:val="6"/>
              <w:spacing w:before="29" w:line="205" w:lineRule="auto"/>
              <w:ind w:left="1699"/>
              <w:rPr>
                <w:sz w:val="24"/>
                <w:szCs w:val="24"/>
              </w:rPr>
            </w:pPr>
            <w:r>
              <w:rPr>
                <w:spacing w:val="-2"/>
                <w:sz w:val="24"/>
                <w:szCs w:val="24"/>
              </w:rPr>
              <w:t>形成爆炸性气氛。</w:t>
            </w:r>
          </w:p>
        </w:tc>
      </w:tr>
      <w:tr w14:paraId="089A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97" w:type="dxa"/>
            <w:vAlign w:val="top"/>
          </w:tcPr>
          <w:p w14:paraId="175B4B61">
            <w:pPr>
              <w:spacing w:line="475" w:lineRule="auto"/>
              <w:rPr>
                <w:rFonts w:ascii="Arial"/>
                <w:sz w:val="21"/>
              </w:rPr>
            </w:pPr>
          </w:p>
          <w:p w14:paraId="4A6DCA8D">
            <w:pPr>
              <w:spacing w:before="69" w:line="188" w:lineRule="auto"/>
              <w:ind w:left="1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top"/>
          </w:tcPr>
          <w:p w14:paraId="0184ABC2">
            <w:pPr>
              <w:spacing w:line="425" w:lineRule="auto"/>
              <w:rPr>
                <w:rFonts w:ascii="Arial"/>
                <w:sz w:val="21"/>
              </w:rPr>
            </w:pPr>
          </w:p>
          <w:p w14:paraId="697B1A0E">
            <w:pPr>
              <w:pStyle w:val="6"/>
              <w:spacing w:before="78" w:line="217" w:lineRule="auto"/>
              <w:ind w:left="404"/>
              <w:rPr>
                <w:sz w:val="24"/>
                <w:szCs w:val="24"/>
              </w:rPr>
            </w:pPr>
            <w:r>
              <w:rPr>
                <w:spacing w:val="-6"/>
                <w:sz w:val="24"/>
                <w:szCs w:val="24"/>
              </w:rPr>
              <w:t>液氨</w:t>
            </w:r>
          </w:p>
        </w:tc>
        <w:tc>
          <w:tcPr>
            <w:tcW w:w="1452" w:type="dxa"/>
            <w:vAlign w:val="top"/>
          </w:tcPr>
          <w:p w14:paraId="3F35A851">
            <w:pPr>
              <w:spacing w:line="475" w:lineRule="auto"/>
              <w:rPr>
                <w:rFonts w:ascii="Arial"/>
                <w:sz w:val="21"/>
              </w:rPr>
            </w:pPr>
          </w:p>
          <w:p w14:paraId="37BEE33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7664-41-7</w:t>
            </w:r>
          </w:p>
        </w:tc>
        <w:tc>
          <w:tcPr>
            <w:tcW w:w="5301" w:type="dxa"/>
            <w:vAlign w:val="top"/>
          </w:tcPr>
          <w:p w14:paraId="2CCDE86D">
            <w:pPr>
              <w:pStyle w:val="6"/>
              <w:spacing w:before="40" w:line="218" w:lineRule="auto"/>
              <w:ind w:left="141"/>
              <w:rPr>
                <w:sz w:val="24"/>
                <w:szCs w:val="24"/>
              </w:rPr>
            </w:pPr>
            <w:r>
              <w:rPr>
                <w:spacing w:val="-1"/>
                <w:sz w:val="24"/>
                <w:szCs w:val="24"/>
              </w:rPr>
              <w:t>与空气混合能形成爆炸性混合物。遇明火、高热</w:t>
            </w:r>
          </w:p>
          <w:p w14:paraId="131BAD4E">
            <w:pPr>
              <w:pStyle w:val="6"/>
              <w:spacing w:before="26" w:line="216" w:lineRule="auto"/>
              <w:ind w:left="146"/>
              <w:rPr>
                <w:sz w:val="24"/>
                <w:szCs w:val="24"/>
              </w:rPr>
            </w:pPr>
            <w:r>
              <w:rPr>
                <w:spacing w:val="-1"/>
                <w:sz w:val="24"/>
                <w:szCs w:val="24"/>
              </w:rPr>
              <w:t>能引起燃烧爆炸。与氟、氯等接触会发生剧烈的</w:t>
            </w:r>
          </w:p>
          <w:p w14:paraId="2DA0E105">
            <w:pPr>
              <w:pStyle w:val="6"/>
              <w:spacing w:before="31" w:line="219" w:lineRule="auto"/>
              <w:ind w:left="137"/>
              <w:rPr>
                <w:sz w:val="24"/>
                <w:szCs w:val="24"/>
              </w:rPr>
            </w:pPr>
            <w:r>
              <w:rPr>
                <w:spacing w:val="-1"/>
                <w:sz w:val="24"/>
                <w:szCs w:val="24"/>
              </w:rPr>
              <w:t>化学反应。若遇高热，容器内压增大，有开裂和</w:t>
            </w:r>
          </w:p>
          <w:p w14:paraId="6F2E478F">
            <w:pPr>
              <w:pStyle w:val="6"/>
              <w:spacing w:before="27" w:line="206" w:lineRule="auto"/>
              <w:ind w:left="1936"/>
              <w:rPr>
                <w:sz w:val="24"/>
                <w:szCs w:val="24"/>
              </w:rPr>
            </w:pPr>
            <w:r>
              <w:rPr>
                <w:spacing w:val="-2"/>
                <w:sz w:val="24"/>
                <w:szCs w:val="24"/>
              </w:rPr>
              <w:t>爆炸的危险。</w:t>
            </w:r>
          </w:p>
        </w:tc>
      </w:tr>
    </w:tbl>
    <w:p w14:paraId="17337FD3">
      <w:pPr>
        <w:pStyle w:val="2"/>
      </w:pPr>
    </w:p>
    <w:p w14:paraId="67D2CF4A">
      <w:pPr>
        <w:sectPr>
          <w:footerReference r:id="rId91" w:type="default"/>
          <w:pgSz w:w="11906" w:h="16839"/>
          <w:pgMar w:top="400" w:right="1687" w:bottom="1259" w:left="1687" w:header="0" w:footer="1097" w:gutter="0"/>
          <w:cols w:space="720" w:num="1"/>
        </w:sectPr>
      </w:pPr>
    </w:p>
    <w:p w14:paraId="66476FCE">
      <w:pPr>
        <w:spacing w:before="19"/>
      </w:pPr>
    </w:p>
    <w:p w14:paraId="1EC6C3B2">
      <w:pPr>
        <w:spacing w:before="19"/>
      </w:pPr>
    </w:p>
    <w:p w14:paraId="4AEA78B9">
      <w:pPr>
        <w:spacing w:before="18"/>
      </w:pPr>
    </w:p>
    <w:p w14:paraId="7640B116">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73667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97" w:type="dxa"/>
            <w:textDirection w:val="tbRlV"/>
            <w:vAlign w:val="top"/>
          </w:tcPr>
          <w:p w14:paraId="7B2E5B20">
            <w:pPr>
              <w:pStyle w:val="6"/>
              <w:spacing w:before="127" w:line="210" w:lineRule="auto"/>
              <w:ind w:left="41"/>
              <w:rPr>
                <w:sz w:val="24"/>
                <w:szCs w:val="24"/>
              </w:rPr>
            </w:pPr>
            <w:r>
              <w:rPr>
                <w:spacing w:val="34"/>
                <w:sz w:val="24"/>
                <w:szCs w:val="24"/>
              </w:rPr>
              <w:t>序号</w:t>
            </w:r>
          </w:p>
        </w:tc>
        <w:tc>
          <w:tcPr>
            <w:tcW w:w="1276" w:type="dxa"/>
            <w:vAlign w:val="top"/>
          </w:tcPr>
          <w:p w14:paraId="2FAF6BF9">
            <w:pPr>
              <w:pStyle w:val="6"/>
              <w:spacing w:before="196" w:line="221" w:lineRule="auto"/>
              <w:ind w:left="405"/>
              <w:rPr>
                <w:sz w:val="24"/>
                <w:szCs w:val="24"/>
              </w:rPr>
            </w:pPr>
            <w:r>
              <w:rPr>
                <w:spacing w:val="-7"/>
                <w:sz w:val="24"/>
                <w:szCs w:val="24"/>
              </w:rPr>
              <w:t>名称</w:t>
            </w:r>
          </w:p>
        </w:tc>
        <w:tc>
          <w:tcPr>
            <w:tcW w:w="1452" w:type="dxa"/>
            <w:vAlign w:val="top"/>
          </w:tcPr>
          <w:p w14:paraId="00355A68">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1355E315">
            <w:pPr>
              <w:pStyle w:val="6"/>
              <w:spacing w:before="195" w:line="219" w:lineRule="auto"/>
              <w:ind w:left="2179"/>
              <w:rPr>
                <w:sz w:val="24"/>
                <w:szCs w:val="24"/>
              </w:rPr>
            </w:pPr>
            <w:r>
              <w:rPr>
                <w:spacing w:val="-4"/>
                <w:sz w:val="24"/>
                <w:szCs w:val="24"/>
              </w:rPr>
              <w:t>危险特征</w:t>
            </w:r>
          </w:p>
        </w:tc>
      </w:tr>
      <w:tr w14:paraId="7B197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0" w:hRule="atLeast"/>
        </w:trPr>
        <w:tc>
          <w:tcPr>
            <w:tcW w:w="497" w:type="dxa"/>
            <w:vAlign w:val="top"/>
          </w:tcPr>
          <w:p w14:paraId="40788045">
            <w:pPr>
              <w:spacing w:line="252" w:lineRule="auto"/>
              <w:rPr>
                <w:rFonts w:ascii="Arial"/>
                <w:sz w:val="21"/>
              </w:rPr>
            </w:pPr>
          </w:p>
          <w:p w14:paraId="35B80BA0">
            <w:pPr>
              <w:spacing w:line="252" w:lineRule="auto"/>
              <w:rPr>
                <w:rFonts w:ascii="Arial"/>
                <w:sz w:val="21"/>
              </w:rPr>
            </w:pPr>
          </w:p>
          <w:p w14:paraId="6D196C5B">
            <w:pPr>
              <w:spacing w:line="252" w:lineRule="auto"/>
              <w:rPr>
                <w:rFonts w:ascii="Arial"/>
                <w:sz w:val="21"/>
              </w:rPr>
            </w:pPr>
          </w:p>
          <w:p w14:paraId="7CDDB932">
            <w:pPr>
              <w:spacing w:line="252" w:lineRule="auto"/>
              <w:rPr>
                <w:rFonts w:ascii="Arial"/>
                <w:sz w:val="21"/>
              </w:rPr>
            </w:pPr>
          </w:p>
          <w:p w14:paraId="02C83316">
            <w:pPr>
              <w:spacing w:line="252" w:lineRule="auto"/>
              <w:rPr>
                <w:rFonts w:ascii="Arial"/>
                <w:sz w:val="21"/>
              </w:rPr>
            </w:pPr>
          </w:p>
          <w:p w14:paraId="2000E9F1">
            <w:pPr>
              <w:spacing w:line="253" w:lineRule="auto"/>
              <w:rPr>
                <w:rFonts w:ascii="Arial"/>
                <w:sz w:val="21"/>
              </w:rPr>
            </w:pPr>
          </w:p>
          <w:p w14:paraId="572060A2">
            <w:pPr>
              <w:spacing w:line="253" w:lineRule="auto"/>
              <w:rPr>
                <w:rFonts w:ascii="Arial"/>
                <w:sz w:val="21"/>
              </w:rPr>
            </w:pPr>
          </w:p>
          <w:p w14:paraId="1398611F">
            <w:pPr>
              <w:spacing w:line="253" w:lineRule="auto"/>
              <w:rPr>
                <w:rFonts w:ascii="Arial"/>
                <w:sz w:val="21"/>
              </w:rPr>
            </w:pPr>
          </w:p>
          <w:p w14:paraId="6F02636A">
            <w:pPr>
              <w:spacing w:before="69" w:line="185" w:lineRule="auto"/>
              <w:ind w:left="1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76" w:type="dxa"/>
            <w:vAlign w:val="top"/>
          </w:tcPr>
          <w:p w14:paraId="4EA8C255">
            <w:pPr>
              <w:spacing w:line="245" w:lineRule="auto"/>
              <w:rPr>
                <w:rFonts w:ascii="Arial"/>
                <w:sz w:val="21"/>
              </w:rPr>
            </w:pPr>
          </w:p>
          <w:p w14:paraId="3F95C91B">
            <w:pPr>
              <w:spacing w:line="245" w:lineRule="auto"/>
              <w:rPr>
                <w:rFonts w:ascii="Arial"/>
                <w:sz w:val="21"/>
              </w:rPr>
            </w:pPr>
          </w:p>
          <w:p w14:paraId="0663FC02">
            <w:pPr>
              <w:spacing w:line="246" w:lineRule="auto"/>
              <w:rPr>
                <w:rFonts w:ascii="Arial"/>
                <w:sz w:val="21"/>
              </w:rPr>
            </w:pPr>
          </w:p>
          <w:p w14:paraId="49DAAEB2">
            <w:pPr>
              <w:spacing w:line="246" w:lineRule="auto"/>
              <w:rPr>
                <w:rFonts w:ascii="Arial"/>
                <w:sz w:val="21"/>
              </w:rPr>
            </w:pPr>
          </w:p>
          <w:p w14:paraId="31F68DF5">
            <w:pPr>
              <w:spacing w:line="246" w:lineRule="auto"/>
              <w:rPr>
                <w:rFonts w:ascii="Arial"/>
                <w:sz w:val="21"/>
              </w:rPr>
            </w:pPr>
          </w:p>
          <w:p w14:paraId="1979DC64">
            <w:pPr>
              <w:spacing w:line="246" w:lineRule="auto"/>
              <w:rPr>
                <w:rFonts w:ascii="Arial"/>
                <w:sz w:val="21"/>
              </w:rPr>
            </w:pPr>
          </w:p>
          <w:p w14:paraId="7C4B4319">
            <w:pPr>
              <w:spacing w:line="246" w:lineRule="auto"/>
              <w:rPr>
                <w:rFonts w:ascii="Arial"/>
                <w:sz w:val="21"/>
              </w:rPr>
            </w:pPr>
          </w:p>
          <w:p w14:paraId="74F30721">
            <w:pPr>
              <w:spacing w:line="246" w:lineRule="auto"/>
              <w:rPr>
                <w:rFonts w:ascii="Arial"/>
                <w:sz w:val="21"/>
              </w:rPr>
            </w:pPr>
          </w:p>
          <w:p w14:paraId="51CC1A8D">
            <w:pPr>
              <w:pStyle w:val="6"/>
              <w:spacing w:before="78" w:line="219" w:lineRule="auto"/>
              <w:ind w:left="404"/>
              <w:rPr>
                <w:sz w:val="24"/>
                <w:szCs w:val="24"/>
              </w:rPr>
            </w:pPr>
            <w:r>
              <w:rPr>
                <w:spacing w:val="-6"/>
                <w:sz w:val="24"/>
                <w:szCs w:val="24"/>
              </w:rPr>
              <w:t>液氯</w:t>
            </w:r>
          </w:p>
        </w:tc>
        <w:tc>
          <w:tcPr>
            <w:tcW w:w="1452" w:type="dxa"/>
            <w:vAlign w:val="top"/>
          </w:tcPr>
          <w:p w14:paraId="5D158055">
            <w:pPr>
              <w:spacing w:line="252" w:lineRule="auto"/>
              <w:rPr>
                <w:rFonts w:ascii="Arial"/>
                <w:sz w:val="21"/>
              </w:rPr>
            </w:pPr>
          </w:p>
          <w:p w14:paraId="3A61ACC7">
            <w:pPr>
              <w:spacing w:line="252" w:lineRule="auto"/>
              <w:rPr>
                <w:rFonts w:ascii="Arial"/>
                <w:sz w:val="21"/>
              </w:rPr>
            </w:pPr>
          </w:p>
          <w:p w14:paraId="12A8FDD9">
            <w:pPr>
              <w:spacing w:line="252" w:lineRule="auto"/>
              <w:rPr>
                <w:rFonts w:ascii="Arial"/>
                <w:sz w:val="21"/>
              </w:rPr>
            </w:pPr>
          </w:p>
          <w:p w14:paraId="334822E6">
            <w:pPr>
              <w:spacing w:line="252" w:lineRule="auto"/>
              <w:rPr>
                <w:rFonts w:ascii="Arial"/>
                <w:sz w:val="21"/>
              </w:rPr>
            </w:pPr>
          </w:p>
          <w:p w14:paraId="54191EDB">
            <w:pPr>
              <w:spacing w:line="252" w:lineRule="auto"/>
              <w:rPr>
                <w:rFonts w:ascii="Arial"/>
                <w:sz w:val="21"/>
              </w:rPr>
            </w:pPr>
          </w:p>
          <w:p w14:paraId="31F78BDA">
            <w:pPr>
              <w:spacing w:line="252" w:lineRule="auto"/>
              <w:rPr>
                <w:rFonts w:ascii="Arial"/>
                <w:sz w:val="21"/>
              </w:rPr>
            </w:pPr>
          </w:p>
          <w:p w14:paraId="42CC0835">
            <w:pPr>
              <w:spacing w:line="252" w:lineRule="auto"/>
              <w:rPr>
                <w:rFonts w:ascii="Arial"/>
                <w:sz w:val="21"/>
              </w:rPr>
            </w:pPr>
          </w:p>
          <w:p w14:paraId="5B25283F">
            <w:pPr>
              <w:spacing w:line="252" w:lineRule="auto"/>
              <w:rPr>
                <w:rFonts w:ascii="Arial"/>
                <w:sz w:val="21"/>
              </w:rPr>
            </w:pPr>
          </w:p>
          <w:p w14:paraId="58C3B9E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7782-50-5</w:t>
            </w:r>
          </w:p>
        </w:tc>
        <w:tc>
          <w:tcPr>
            <w:tcW w:w="5301" w:type="dxa"/>
            <w:vAlign w:val="top"/>
          </w:tcPr>
          <w:p w14:paraId="03C18254">
            <w:pPr>
              <w:pStyle w:val="6"/>
              <w:spacing w:before="35" w:line="215" w:lineRule="auto"/>
              <w:ind w:left="138"/>
              <w:rPr>
                <w:sz w:val="24"/>
                <w:szCs w:val="24"/>
              </w:rPr>
            </w:pPr>
            <w:r>
              <w:rPr>
                <w:spacing w:val="-1"/>
                <w:sz w:val="24"/>
                <w:szCs w:val="24"/>
              </w:rPr>
              <w:t>液氯在常温常压下为黄绿色、有刺激性气味的气</w:t>
            </w:r>
          </w:p>
          <w:p w14:paraId="51F72F60">
            <w:pPr>
              <w:pStyle w:val="6"/>
              <w:spacing w:before="30" w:line="215" w:lineRule="auto"/>
              <w:ind w:left="136"/>
              <w:rPr>
                <w:sz w:val="24"/>
                <w:szCs w:val="24"/>
              </w:rPr>
            </w:pPr>
            <w:r>
              <w:rPr>
                <w:spacing w:val="-1"/>
                <w:sz w:val="24"/>
                <w:szCs w:val="24"/>
              </w:rPr>
              <w:t>体，液态时为黄绿色的油状液体。液氯不燃但能</w:t>
            </w:r>
          </w:p>
          <w:p w14:paraId="68EE0BAB">
            <w:pPr>
              <w:pStyle w:val="6"/>
              <w:spacing w:before="32" w:line="218" w:lineRule="auto"/>
              <w:ind w:left="165"/>
              <w:rPr>
                <w:sz w:val="24"/>
                <w:szCs w:val="24"/>
              </w:rPr>
            </w:pPr>
            <w:r>
              <w:rPr>
                <w:spacing w:val="-1"/>
                <w:sz w:val="24"/>
                <w:szCs w:val="24"/>
              </w:rPr>
              <w:t>助燃，密度比空气大，约为空气的</w:t>
            </w:r>
            <w:r>
              <w:rPr>
                <w:spacing w:val="-48"/>
                <w:sz w:val="24"/>
                <w:szCs w:val="24"/>
              </w:rPr>
              <w:t xml:space="preserve"> </w:t>
            </w:r>
            <w:r>
              <w:rPr>
                <w:rFonts w:ascii="Times New Roman" w:hAnsi="Times New Roman" w:eastAsia="Times New Roman" w:cs="Times New Roman"/>
                <w:spacing w:val="-1"/>
                <w:sz w:val="24"/>
                <w:szCs w:val="24"/>
              </w:rPr>
              <w:t xml:space="preserve">2.5 </w:t>
            </w:r>
            <w:r>
              <w:rPr>
                <w:spacing w:val="-1"/>
                <w:sz w:val="24"/>
                <w:szCs w:val="24"/>
              </w:rPr>
              <w:t>倍，易溶</w:t>
            </w:r>
          </w:p>
          <w:p w14:paraId="4DCB2575">
            <w:pPr>
              <w:pStyle w:val="6"/>
              <w:spacing w:before="28" w:line="219" w:lineRule="auto"/>
              <w:ind w:left="140"/>
              <w:rPr>
                <w:sz w:val="24"/>
                <w:szCs w:val="24"/>
              </w:rPr>
            </w:pPr>
            <w:r>
              <w:rPr>
                <w:spacing w:val="-1"/>
                <w:sz w:val="24"/>
                <w:szCs w:val="24"/>
              </w:rPr>
              <w:t>于水，但在水分存在下对钢铁有强烈腐蚀性。液</w:t>
            </w:r>
          </w:p>
          <w:p w14:paraId="7EB27558">
            <w:pPr>
              <w:pStyle w:val="6"/>
              <w:spacing w:before="28" w:line="219" w:lineRule="auto"/>
              <w:ind w:left="140"/>
              <w:rPr>
                <w:sz w:val="24"/>
                <w:szCs w:val="24"/>
              </w:rPr>
            </w:pPr>
            <w:r>
              <w:rPr>
                <w:spacing w:val="-1"/>
                <w:sz w:val="24"/>
                <w:szCs w:val="24"/>
              </w:rPr>
              <w:t>氯对人体有剧毒，主要通过呼吸道吸入和皮肤接</w:t>
            </w:r>
          </w:p>
          <w:p w14:paraId="67E792D1">
            <w:pPr>
              <w:pStyle w:val="6"/>
              <w:spacing w:before="24" w:line="219" w:lineRule="auto"/>
              <w:jc w:val="right"/>
              <w:rPr>
                <w:sz w:val="24"/>
                <w:szCs w:val="24"/>
              </w:rPr>
            </w:pPr>
            <w:r>
              <w:rPr>
                <w:spacing w:val="-6"/>
                <w:sz w:val="24"/>
                <w:szCs w:val="24"/>
              </w:rPr>
              <w:t>触进入人体，对眼、呼吸道粘膜有极强的刺激性。</w:t>
            </w:r>
          </w:p>
          <w:p w14:paraId="3B446A95">
            <w:pPr>
              <w:pStyle w:val="6"/>
              <w:spacing w:before="26" w:line="219" w:lineRule="auto"/>
              <w:ind w:left="144"/>
              <w:rPr>
                <w:sz w:val="24"/>
                <w:szCs w:val="24"/>
              </w:rPr>
            </w:pPr>
            <w:r>
              <w:rPr>
                <w:spacing w:val="-1"/>
                <w:sz w:val="24"/>
                <w:szCs w:val="24"/>
              </w:rPr>
              <w:t>急性中毒症状包括咽痛、喉收缩、胸闷、气憋、</w:t>
            </w:r>
          </w:p>
          <w:p w14:paraId="06E7237B">
            <w:pPr>
              <w:pStyle w:val="6"/>
              <w:spacing w:before="26" w:line="216" w:lineRule="auto"/>
              <w:ind w:left="147"/>
              <w:rPr>
                <w:sz w:val="24"/>
                <w:szCs w:val="24"/>
              </w:rPr>
            </w:pPr>
            <w:r>
              <w:rPr>
                <w:spacing w:val="-1"/>
                <w:sz w:val="24"/>
                <w:szCs w:val="24"/>
              </w:rPr>
              <w:t>呛咳、头痛、头晕、乏力、恶心、呕吐等，严重</w:t>
            </w:r>
          </w:p>
          <w:p w14:paraId="09FAE638">
            <w:pPr>
              <w:pStyle w:val="6"/>
              <w:spacing w:before="30" w:line="218" w:lineRule="auto"/>
              <w:ind w:left="148"/>
              <w:rPr>
                <w:sz w:val="24"/>
                <w:szCs w:val="24"/>
              </w:rPr>
            </w:pPr>
            <w:r>
              <w:rPr>
                <w:spacing w:val="-1"/>
                <w:sz w:val="24"/>
                <w:szCs w:val="24"/>
              </w:rPr>
              <w:t>时可导致肺水肿、窒息甚至死亡。长期低浓度接</w:t>
            </w:r>
          </w:p>
          <w:p w14:paraId="01489C3F">
            <w:pPr>
              <w:pStyle w:val="6"/>
              <w:spacing w:before="28" w:line="219" w:lineRule="auto"/>
              <w:ind w:left="136"/>
              <w:rPr>
                <w:sz w:val="24"/>
                <w:szCs w:val="24"/>
              </w:rPr>
            </w:pPr>
            <w:r>
              <w:rPr>
                <w:spacing w:val="-1"/>
                <w:sz w:val="24"/>
                <w:szCs w:val="24"/>
              </w:rPr>
              <w:t>触可能引起慢性支气管炎、支气管哮喘等。液氯</w:t>
            </w:r>
          </w:p>
          <w:p w14:paraId="3EC8E665">
            <w:pPr>
              <w:pStyle w:val="6"/>
              <w:spacing w:before="28" w:line="217" w:lineRule="auto"/>
              <w:ind w:left="141"/>
              <w:rPr>
                <w:sz w:val="24"/>
                <w:szCs w:val="24"/>
              </w:rPr>
            </w:pPr>
            <w:r>
              <w:rPr>
                <w:spacing w:val="-1"/>
                <w:sz w:val="24"/>
                <w:szCs w:val="24"/>
              </w:rPr>
              <w:t>具有助燃性，能与多种化学品如乙炔、松节油、</w:t>
            </w:r>
          </w:p>
          <w:p w14:paraId="37993BB5">
            <w:pPr>
              <w:pStyle w:val="6"/>
              <w:spacing w:before="28" w:line="217" w:lineRule="auto"/>
              <w:ind w:left="160"/>
              <w:rPr>
                <w:sz w:val="24"/>
                <w:szCs w:val="24"/>
              </w:rPr>
            </w:pPr>
            <w:r>
              <w:rPr>
                <w:spacing w:val="-2"/>
                <w:sz w:val="24"/>
                <w:szCs w:val="24"/>
              </w:rPr>
              <w:t>乙醚、氨、烃类、氢气、金属粉末等猛烈反应，</w:t>
            </w:r>
          </w:p>
          <w:p w14:paraId="51F12BA7">
            <w:pPr>
              <w:pStyle w:val="6"/>
              <w:spacing w:before="30" w:line="218" w:lineRule="auto"/>
              <w:ind w:left="140"/>
              <w:rPr>
                <w:sz w:val="24"/>
                <w:szCs w:val="24"/>
              </w:rPr>
            </w:pPr>
            <w:r>
              <w:rPr>
                <w:spacing w:val="-1"/>
                <w:sz w:val="24"/>
                <w:szCs w:val="24"/>
              </w:rPr>
              <w:t>发生爆炸或生成爆炸性物质。储存容器受热可发</w:t>
            </w:r>
          </w:p>
          <w:p w14:paraId="0D954D44">
            <w:pPr>
              <w:pStyle w:val="6"/>
              <w:spacing w:before="28" w:line="207" w:lineRule="auto"/>
              <w:ind w:left="2178"/>
              <w:rPr>
                <w:sz w:val="24"/>
                <w:szCs w:val="24"/>
              </w:rPr>
            </w:pPr>
            <w:r>
              <w:rPr>
                <w:spacing w:val="-3"/>
                <w:sz w:val="24"/>
                <w:szCs w:val="24"/>
              </w:rPr>
              <w:t>生爆炸。</w:t>
            </w:r>
          </w:p>
        </w:tc>
      </w:tr>
      <w:tr w14:paraId="6579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497" w:type="dxa"/>
            <w:vAlign w:val="top"/>
          </w:tcPr>
          <w:p w14:paraId="23DA5196">
            <w:pPr>
              <w:spacing w:line="261" w:lineRule="auto"/>
              <w:rPr>
                <w:rFonts w:ascii="Arial"/>
                <w:sz w:val="21"/>
              </w:rPr>
            </w:pPr>
          </w:p>
          <w:p w14:paraId="1646DE41">
            <w:pPr>
              <w:spacing w:line="261" w:lineRule="auto"/>
              <w:rPr>
                <w:rFonts w:ascii="Arial"/>
                <w:sz w:val="21"/>
              </w:rPr>
            </w:pPr>
          </w:p>
          <w:p w14:paraId="0A7EE90C">
            <w:pPr>
              <w:spacing w:line="261" w:lineRule="auto"/>
              <w:rPr>
                <w:rFonts w:ascii="Arial"/>
                <w:sz w:val="21"/>
              </w:rPr>
            </w:pPr>
          </w:p>
          <w:p w14:paraId="5D3BDAC2">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276" w:type="dxa"/>
            <w:vAlign w:val="top"/>
          </w:tcPr>
          <w:p w14:paraId="0074C6DA">
            <w:pPr>
              <w:spacing w:line="244" w:lineRule="auto"/>
              <w:rPr>
                <w:rFonts w:ascii="Arial"/>
                <w:sz w:val="21"/>
              </w:rPr>
            </w:pPr>
          </w:p>
          <w:p w14:paraId="6E056C1F">
            <w:pPr>
              <w:spacing w:line="244" w:lineRule="auto"/>
              <w:rPr>
                <w:rFonts w:ascii="Arial"/>
                <w:sz w:val="21"/>
              </w:rPr>
            </w:pPr>
          </w:p>
          <w:p w14:paraId="764D36D3">
            <w:pPr>
              <w:spacing w:line="244" w:lineRule="auto"/>
              <w:rPr>
                <w:rFonts w:ascii="Arial"/>
                <w:sz w:val="21"/>
              </w:rPr>
            </w:pPr>
          </w:p>
          <w:p w14:paraId="516DBBC2">
            <w:pPr>
              <w:pStyle w:val="6"/>
              <w:spacing w:before="78" w:line="219" w:lineRule="auto"/>
              <w:ind w:left="525"/>
              <w:rPr>
                <w:sz w:val="24"/>
                <w:szCs w:val="24"/>
              </w:rPr>
            </w:pPr>
            <w:r>
              <w:rPr>
                <w:sz w:val="24"/>
                <w:szCs w:val="24"/>
              </w:rPr>
              <w:t>苯</w:t>
            </w:r>
          </w:p>
        </w:tc>
        <w:tc>
          <w:tcPr>
            <w:tcW w:w="1452" w:type="dxa"/>
            <w:vAlign w:val="top"/>
          </w:tcPr>
          <w:p w14:paraId="1D58AADD">
            <w:pPr>
              <w:spacing w:line="261" w:lineRule="auto"/>
              <w:rPr>
                <w:rFonts w:ascii="Arial"/>
                <w:sz w:val="21"/>
              </w:rPr>
            </w:pPr>
          </w:p>
          <w:p w14:paraId="72819E27">
            <w:pPr>
              <w:spacing w:line="261" w:lineRule="auto"/>
              <w:rPr>
                <w:rFonts w:ascii="Arial"/>
                <w:sz w:val="21"/>
              </w:rPr>
            </w:pPr>
          </w:p>
          <w:p w14:paraId="3893D121">
            <w:pPr>
              <w:spacing w:line="261" w:lineRule="auto"/>
              <w:rPr>
                <w:rFonts w:ascii="Arial"/>
                <w:sz w:val="21"/>
              </w:rPr>
            </w:pPr>
          </w:p>
          <w:p w14:paraId="777A25F2">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71-43-2</w:t>
            </w:r>
          </w:p>
        </w:tc>
        <w:tc>
          <w:tcPr>
            <w:tcW w:w="5301" w:type="dxa"/>
            <w:vAlign w:val="top"/>
          </w:tcPr>
          <w:p w14:paraId="5289423A">
            <w:pPr>
              <w:pStyle w:val="6"/>
              <w:spacing w:before="38" w:line="217" w:lineRule="auto"/>
              <w:ind w:left="139"/>
              <w:rPr>
                <w:sz w:val="24"/>
                <w:szCs w:val="24"/>
              </w:rPr>
            </w:pPr>
            <w:r>
              <w:rPr>
                <w:spacing w:val="-1"/>
                <w:sz w:val="24"/>
                <w:szCs w:val="24"/>
              </w:rPr>
              <w:t>苯具有较低的闪点和燃点，易在空气中形成爆炸</w:t>
            </w:r>
          </w:p>
          <w:p w14:paraId="1932BBDC">
            <w:pPr>
              <w:pStyle w:val="6"/>
              <w:spacing w:before="27" w:line="218" w:lineRule="auto"/>
              <w:jc w:val="right"/>
              <w:rPr>
                <w:sz w:val="24"/>
                <w:szCs w:val="24"/>
              </w:rPr>
            </w:pPr>
            <w:r>
              <w:rPr>
                <w:spacing w:val="-6"/>
                <w:sz w:val="24"/>
                <w:szCs w:val="24"/>
              </w:rPr>
              <w:t>性混合物，遇明火或高温易引发火灾和爆炸事故。</w:t>
            </w:r>
          </w:p>
          <w:p w14:paraId="36A4340A">
            <w:pPr>
              <w:pStyle w:val="6"/>
              <w:spacing w:before="28" w:line="217" w:lineRule="auto"/>
              <w:ind w:left="139"/>
              <w:rPr>
                <w:sz w:val="24"/>
                <w:szCs w:val="24"/>
              </w:rPr>
            </w:pPr>
            <w:r>
              <w:rPr>
                <w:spacing w:val="-1"/>
                <w:sz w:val="24"/>
                <w:szCs w:val="24"/>
              </w:rPr>
              <w:t>苯对人体具有毒害作用，长期接触苯可导致神经</w:t>
            </w:r>
          </w:p>
          <w:p w14:paraId="6CD212A7">
            <w:pPr>
              <w:pStyle w:val="6"/>
              <w:spacing w:before="30" w:line="219" w:lineRule="auto"/>
              <w:ind w:left="141"/>
              <w:rPr>
                <w:sz w:val="24"/>
                <w:szCs w:val="24"/>
              </w:rPr>
            </w:pPr>
            <w:r>
              <w:rPr>
                <w:spacing w:val="-1"/>
                <w:sz w:val="24"/>
                <w:szCs w:val="24"/>
              </w:rPr>
              <w:t>系统、造血系统等受损，甚至引发白血病等严重</w:t>
            </w:r>
          </w:p>
          <w:p w14:paraId="1A52421B">
            <w:pPr>
              <w:pStyle w:val="6"/>
              <w:spacing w:before="26" w:line="216" w:lineRule="auto"/>
              <w:ind w:left="136"/>
              <w:rPr>
                <w:sz w:val="24"/>
                <w:szCs w:val="24"/>
              </w:rPr>
            </w:pPr>
            <w:r>
              <w:rPr>
                <w:spacing w:val="-1"/>
                <w:sz w:val="24"/>
                <w:szCs w:val="24"/>
              </w:rPr>
              <w:t>疾病。苯在环境中的残留会对土壤、水源等造成</w:t>
            </w:r>
          </w:p>
          <w:p w14:paraId="2C1BB94C">
            <w:pPr>
              <w:pStyle w:val="6"/>
              <w:spacing w:before="28" w:line="207" w:lineRule="auto"/>
              <w:ind w:left="858"/>
              <w:rPr>
                <w:sz w:val="24"/>
                <w:szCs w:val="24"/>
              </w:rPr>
            </w:pPr>
            <w:r>
              <w:rPr>
                <w:spacing w:val="-1"/>
                <w:sz w:val="24"/>
                <w:szCs w:val="24"/>
              </w:rPr>
              <w:t>污染，影响生态环境和人体健康。</w:t>
            </w:r>
          </w:p>
        </w:tc>
      </w:tr>
      <w:tr w14:paraId="595B9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763ABCF">
            <w:pPr>
              <w:spacing w:line="315" w:lineRule="auto"/>
              <w:rPr>
                <w:rFonts w:ascii="Arial"/>
                <w:sz w:val="21"/>
              </w:rPr>
            </w:pPr>
          </w:p>
          <w:p w14:paraId="5D773265">
            <w:pPr>
              <w:spacing w:line="316" w:lineRule="auto"/>
              <w:rPr>
                <w:rFonts w:ascii="Arial"/>
                <w:sz w:val="21"/>
              </w:rPr>
            </w:pPr>
          </w:p>
          <w:p w14:paraId="61B3DD92">
            <w:pPr>
              <w:spacing w:before="69" w:line="185" w:lineRule="auto"/>
              <w:ind w:left="19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276" w:type="dxa"/>
            <w:vAlign w:val="top"/>
          </w:tcPr>
          <w:p w14:paraId="141682FE">
            <w:pPr>
              <w:spacing w:line="288" w:lineRule="auto"/>
              <w:rPr>
                <w:rFonts w:ascii="Arial"/>
                <w:sz w:val="21"/>
              </w:rPr>
            </w:pPr>
          </w:p>
          <w:p w14:paraId="7BD64301">
            <w:pPr>
              <w:spacing w:line="289" w:lineRule="auto"/>
              <w:rPr>
                <w:rFonts w:ascii="Arial"/>
                <w:sz w:val="21"/>
              </w:rPr>
            </w:pPr>
          </w:p>
          <w:p w14:paraId="0A10074C">
            <w:pPr>
              <w:pStyle w:val="6"/>
              <w:spacing w:before="78" w:line="219" w:lineRule="auto"/>
              <w:ind w:left="433"/>
              <w:rPr>
                <w:sz w:val="24"/>
                <w:szCs w:val="24"/>
              </w:rPr>
            </w:pPr>
            <w:r>
              <w:rPr>
                <w:spacing w:val="-21"/>
                <w:sz w:val="24"/>
                <w:szCs w:val="24"/>
              </w:rPr>
              <w:t>甲苯</w:t>
            </w:r>
          </w:p>
        </w:tc>
        <w:tc>
          <w:tcPr>
            <w:tcW w:w="1452" w:type="dxa"/>
            <w:vAlign w:val="top"/>
          </w:tcPr>
          <w:p w14:paraId="45662FB3">
            <w:pPr>
              <w:spacing w:line="314" w:lineRule="auto"/>
              <w:rPr>
                <w:rFonts w:ascii="Arial"/>
                <w:sz w:val="21"/>
              </w:rPr>
            </w:pPr>
          </w:p>
          <w:p w14:paraId="770CFB61">
            <w:pPr>
              <w:spacing w:line="314" w:lineRule="auto"/>
              <w:rPr>
                <w:rFonts w:ascii="Arial"/>
                <w:sz w:val="21"/>
              </w:rPr>
            </w:pPr>
          </w:p>
          <w:p w14:paraId="5BD8D4E4">
            <w:pPr>
              <w:spacing w:before="69" w:line="188"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108-88-3</w:t>
            </w:r>
          </w:p>
        </w:tc>
        <w:tc>
          <w:tcPr>
            <w:tcW w:w="5301" w:type="dxa"/>
            <w:vAlign w:val="top"/>
          </w:tcPr>
          <w:p w14:paraId="2E430066">
            <w:pPr>
              <w:pStyle w:val="6"/>
              <w:spacing w:before="38" w:line="217" w:lineRule="auto"/>
              <w:ind w:left="152"/>
              <w:rPr>
                <w:sz w:val="24"/>
                <w:szCs w:val="24"/>
              </w:rPr>
            </w:pPr>
            <w:r>
              <w:rPr>
                <w:spacing w:val="-2"/>
                <w:sz w:val="24"/>
                <w:szCs w:val="24"/>
              </w:rPr>
              <w:t>易燃，其蒸气与空气可形成爆炸性混合物。遇明</w:t>
            </w:r>
          </w:p>
          <w:p w14:paraId="2C8C184D">
            <w:pPr>
              <w:pStyle w:val="6"/>
              <w:spacing w:before="29" w:line="218" w:lineRule="auto"/>
              <w:ind w:left="138"/>
              <w:rPr>
                <w:sz w:val="24"/>
                <w:szCs w:val="24"/>
              </w:rPr>
            </w:pPr>
            <w:r>
              <w:rPr>
                <w:spacing w:val="-1"/>
                <w:sz w:val="24"/>
                <w:szCs w:val="24"/>
              </w:rPr>
              <w:t>火、高热能引起燃烧爆炸。与氧化剂能发生强烈</w:t>
            </w:r>
          </w:p>
          <w:p w14:paraId="73479D02">
            <w:pPr>
              <w:pStyle w:val="6"/>
              <w:spacing w:before="26" w:line="217" w:lineRule="auto"/>
              <w:ind w:left="137"/>
              <w:rPr>
                <w:sz w:val="24"/>
                <w:szCs w:val="24"/>
              </w:rPr>
            </w:pPr>
            <w:r>
              <w:rPr>
                <w:spacing w:val="-1"/>
                <w:sz w:val="24"/>
                <w:szCs w:val="24"/>
              </w:rPr>
              <w:t>反应。流速过快，容易产生和积聚静电。其蒸气</w:t>
            </w:r>
          </w:p>
          <w:p w14:paraId="549DBD20">
            <w:pPr>
              <w:pStyle w:val="6"/>
              <w:spacing w:before="29" w:line="218" w:lineRule="auto"/>
              <w:ind w:left="163"/>
              <w:rPr>
                <w:sz w:val="24"/>
                <w:szCs w:val="24"/>
              </w:rPr>
            </w:pPr>
            <w:r>
              <w:rPr>
                <w:spacing w:val="-2"/>
                <w:sz w:val="24"/>
                <w:szCs w:val="24"/>
              </w:rPr>
              <w:t>比空气重，能在较低处扩散到相当远的地方，遇</w:t>
            </w:r>
          </w:p>
          <w:p w14:paraId="6B2FFF8B">
            <w:pPr>
              <w:pStyle w:val="6"/>
              <w:spacing w:before="28" w:line="205" w:lineRule="auto"/>
              <w:ind w:left="1719"/>
              <w:rPr>
                <w:sz w:val="24"/>
                <w:szCs w:val="24"/>
              </w:rPr>
            </w:pPr>
            <w:r>
              <w:rPr>
                <w:spacing w:val="-4"/>
                <w:sz w:val="24"/>
                <w:szCs w:val="24"/>
              </w:rPr>
              <w:t>明火会引着回燃。</w:t>
            </w:r>
          </w:p>
        </w:tc>
      </w:tr>
      <w:tr w14:paraId="788BB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CB4B7C8">
            <w:pPr>
              <w:spacing w:line="315" w:lineRule="auto"/>
              <w:rPr>
                <w:rFonts w:ascii="Arial"/>
                <w:sz w:val="21"/>
              </w:rPr>
            </w:pPr>
          </w:p>
          <w:p w14:paraId="167946F7">
            <w:pPr>
              <w:spacing w:line="315" w:lineRule="auto"/>
              <w:rPr>
                <w:rFonts w:ascii="Arial"/>
                <w:sz w:val="21"/>
              </w:rPr>
            </w:pPr>
          </w:p>
          <w:p w14:paraId="42BF1CA5">
            <w:pPr>
              <w:spacing w:before="69"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276" w:type="dxa"/>
            <w:vAlign w:val="top"/>
          </w:tcPr>
          <w:p w14:paraId="623F33EA">
            <w:pPr>
              <w:spacing w:line="289" w:lineRule="auto"/>
              <w:rPr>
                <w:rFonts w:ascii="Arial"/>
                <w:sz w:val="21"/>
              </w:rPr>
            </w:pPr>
          </w:p>
          <w:p w14:paraId="18E4CE53">
            <w:pPr>
              <w:spacing w:line="290" w:lineRule="auto"/>
              <w:rPr>
                <w:rFonts w:ascii="Arial"/>
                <w:sz w:val="21"/>
              </w:rPr>
            </w:pPr>
          </w:p>
          <w:p w14:paraId="5412B33E">
            <w:pPr>
              <w:pStyle w:val="6"/>
              <w:spacing w:before="78" w:line="219" w:lineRule="auto"/>
              <w:ind w:left="286"/>
              <w:rPr>
                <w:sz w:val="24"/>
                <w:szCs w:val="24"/>
              </w:rPr>
            </w:pPr>
            <w:r>
              <w:rPr>
                <w:spacing w:val="-5"/>
                <w:sz w:val="24"/>
                <w:szCs w:val="24"/>
              </w:rPr>
              <w:t>二甲苯</w:t>
            </w:r>
          </w:p>
        </w:tc>
        <w:tc>
          <w:tcPr>
            <w:tcW w:w="1452" w:type="dxa"/>
            <w:vAlign w:val="top"/>
          </w:tcPr>
          <w:p w14:paraId="70F3BF20">
            <w:pPr>
              <w:spacing w:line="315" w:lineRule="auto"/>
              <w:rPr>
                <w:rFonts w:ascii="Arial"/>
                <w:sz w:val="21"/>
              </w:rPr>
            </w:pPr>
          </w:p>
          <w:p w14:paraId="68D75904">
            <w:pPr>
              <w:spacing w:line="315" w:lineRule="auto"/>
              <w:rPr>
                <w:rFonts w:ascii="Arial"/>
                <w:sz w:val="21"/>
              </w:rPr>
            </w:pPr>
          </w:p>
          <w:p w14:paraId="5C8F14E0">
            <w:pPr>
              <w:spacing w:before="69" w:line="188" w:lineRule="auto"/>
              <w:ind w:left="3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95-47-6</w:t>
            </w:r>
          </w:p>
        </w:tc>
        <w:tc>
          <w:tcPr>
            <w:tcW w:w="5301" w:type="dxa"/>
            <w:vAlign w:val="top"/>
          </w:tcPr>
          <w:p w14:paraId="6CEEB5EB">
            <w:pPr>
              <w:pStyle w:val="6"/>
              <w:spacing w:before="37" w:line="217" w:lineRule="auto"/>
              <w:ind w:left="152"/>
              <w:rPr>
                <w:sz w:val="24"/>
                <w:szCs w:val="24"/>
              </w:rPr>
            </w:pPr>
            <w:r>
              <w:rPr>
                <w:spacing w:val="-2"/>
                <w:sz w:val="24"/>
                <w:szCs w:val="24"/>
              </w:rPr>
              <w:t>易燃，其蒸气与空气可形成爆炸性混合物。遇明</w:t>
            </w:r>
          </w:p>
          <w:p w14:paraId="207BFC72">
            <w:pPr>
              <w:pStyle w:val="6"/>
              <w:spacing w:before="29" w:line="218" w:lineRule="auto"/>
              <w:ind w:left="138"/>
              <w:rPr>
                <w:sz w:val="24"/>
                <w:szCs w:val="24"/>
              </w:rPr>
            </w:pPr>
            <w:r>
              <w:rPr>
                <w:spacing w:val="-1"/>
                <w:sz w:val="24"/>
                <w:szCs w:val="24"/>
              </w:rPr>
              <w:t>火、高热能引起燃烧爆炸。与氧化剂能发生强烈</w:t>
            </w:r>
          </w:p>
          <w:p w14:paraId="240CEAB5">
            <w:pPr>
              <w:pStyle w:val="6"/>
              <w:spacing w:before="28" w:line="217" w:lineRule="auto"/>
              <w:ind w:left="137"/>
              <w:rPr>
                <w:sz w:val="24"/>
                <w:szCs w:val="24"/>
              </w:rPr>
            </w:pPr>
            <w:r>
              <w:rPr>
                <w:spacing w:val="-1"/>
                <w:sz w:val="24"/>
                <w:szCs w:val="24"/>
              </w:rPr>
              <w:t>反应。流速过快，容易产生和积聚静电。其蒸气</w:t>
            </w:r>
          </w:p>
          <w:p w14:paraId="01567B28">
            <w:pPr>
              <w:pStyle w:val="6"/>
              <w:spacing w:before="27" w:line="218" w:lineRule="auto"/>
              <w:ind w:left="163"/>
              <w:rPr>
                <w:sz w:val="24"/>
                <w:szCs w:val="24"/>
              </w:rPr>
            </w:pPr>
            <w:r>
              <w:rPr>
                <w:spacing w:val="-2"/>
                <w:sz w:val="24"/>
                <w:szCs w:val="24"/>
              </w:rPr>
              <w:t>比空气重，能在较低处扩散到相当远的地方，遇</w:t>
            </w:r>
          </w:p>
          <w:p w14:paraId="6E6C8995">
            <w:pPr>
              <w:pStyle w:val="6"/>
              <w:spacing w:before="29" w:line="205" w:lineRule="auto"/>
              <w:ind w:left="1719"/>
              <w:rPr>
                <w:sz w:val="24"/>
                <w:szCs w:val="24"/>
              </w:rPr>
            </w:pPr>
            <w:r>
              <w:rPr>
                <w:spacing w:val="-4"/>
                <w:sz w:val="24"/>
                <w:szCs w:val="24"/>
              </w:rPr>
              <w:t>明火会引着回燃。</w:t>
            </w:r>
          </w:p>
        </w:tc>
      </w:tr>
      <w:tr w14:paraId="70A0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7" w:type="dxa"/>
            <w:vAlign w:val="top"/>
          </w:tcPr>
          <w:p w14:paraId="712E5925">
            <w:pPr>
              <w:spacing w:before="81"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276" w:type="dxa"/>
            <w:vAlign w:val="top"/>
          </w:tcPr>
          <w:p w14:paraId="1CCCCF27">
            <w:pPr>
              <w:pStyle w:val="6"/>
              <w:spacing w:before="39" w:line="205" w:lineRule="auto"/>
              <w:ind w:left="169"/>
              <w:rPr>
                <w:sz w:val="24"/>
                <w:szCs w:val="24"/>
              </w:rPr>
            </w:pPr>
            <w:r>
              <w:rPr>
                <w:spacing w:val="-4"/>
                <w:sz w:val="24"/>
                <w:szCs w:val="24"/>
              </w:rPr>
              <w:t>次氯酸钠</w:t>
            </w:r>
          </w:p>
        </w:tc>
        <w:tc>
          <w:tcPr>
            <w:tcW w:w="1452" w:type="dxa"/>
            <w:vAlign w:val="top"/>
          </w:tcPr>
          <w:p w14:paraId="3296052D">
            <w:pPr>
              <w:spacing w:before="81"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7681-52-9</w:t>
            </w:r>
          </w:p>
        </w:tc>
        <w:tc>
          <w:tcPr>
            <w:tcW w:w="5301" w:type="dxa"/>
            <w:vAlign w:val="top"/>
          </w:tcPr>
          <w:p w14:paraId="017E8D71">
            <w:pPr>
              <w:pStyle w:val="6"/>
              <w:spacing w:before="39" w:line="205" w:lineRule="auto"/>
              <w:jc w:val="right"/>
              <w:rPr>
                <w:sz w:val="24"/>
                <w:szCs w:val="24"/>
              </w:rPr>
            </w:pPr>
            <w:r>
              <w:rPr>
                <w:spacing w:val="-6"/>
                <w:sz w:val="24"/>
                <w:szCs w:val="24"/>
              </w:rPr>
              <w:t>受高热分解产生有毒的腐蚀性烟气。具有腐蚀性。</w:t>
            </w:r>
          </w:p>
        </w:tc>
      </w:tr>
      <w:tr w14:paraId="1BDC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1A12EF94">
            <w:pPr>
              <w:spacing w:line="320" w:lineRule="auto"/>
              <w:rPr>
                <w:rFonts w:ascii="Arial"/>
                <w:sz w:val="21"/>
              </w:rPr>
            </w:pPr>
          </w:p>
          <w:p w14:paraId="60C4C410">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276" w:type="dxa"/>
            <w:vAlign w:val="top"/>
          </w:tcPr>
          <w:p w14:paraId="21166067">
            <w:pPr>
              <w:spacing w:line="270" w:lineRule="auto"/>
              <w:rPr>
                <w:rFonts w:ascii="Arial"/>
                <w:sz w:val="21"/>
              </w:rPr>
            </w:pPr>
          </w:p>
          <w:p w14:paraId="6C3EC7BD">
            <w:pPr>
              <w:pStyle w:val="6"/>
              <w:spacing w:before="78" w:line="220" w:lineRule="auto"/>
              <w:ind w:left="282"/>
              <w:rPr>
                <w:sz w:val="24"/>
                <w:szCs w:val="24"/>
              </w:rPr>
            </w:pPr>
            <w:r>
              <w:rPr>
                <w:spacing w:val="-4"/>
                <w:sz w:val="24"/>
                <w:szCs w:val="24"/>
              </w:rPr>
              <w:t>碳化钙</w:t>
            </w:r>
          </w:p>
        </w:tc>
        <w:tc>
          <w:tcPr>
            <w:tcW w:w="1452" w:type="dxa"/>
            <w:vAlign w:val="top"/>
          </w:tcPr>
          <w:p w14:paraId="4EABD7AA">
            <w:pPr>
              <w:spacing w:line="320" w:lineRule="auto"/>
              <w:rPr>
                <w:rFonts w:ascii="Arial"/>
                <w:sz w:val="21"/>
              </w:rPr>
            </w:pPr>
          </w:p>
          <w:p w14:paraId="3DBDAD32">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75-20-7</w:t>
            </w:r>
          </w:p>
        </w:tc>
        <w:tc>
          <w:tcPr>
            <w:tcW w:w="5301" w:type="dxa"/>
            <w:vAlign w:val="top"/>
          </w:tcPr>
          <w:p w14:paraId="7D17A600">
            <w:pPr>
              <w:pStyle w:val="6"/>
              <w:spacing w:before="40" w:line="218" w:lineRule="auto"/>
              <w:ind w:left="136"/>
              <w:rPr>
                <w:sz w:val="24"/>
                <w:szCs w:val="24"/>
              </w:rPr>
            </w:pPr>
            <w:r>
              <w:rPr>
                <w:spacing w:val="-1"/>
                <w:sz w:val="24"/>
                <w:szCs w:val="24"/>
              </w:rPr>
              <w:t>干燥时不燃，遇水或湿气能迅速产生高度易燃的</w:t>
            </w:r>
          </w:p>
          <w:p w14:paraId="14377BBD">
            <w:pPr>
              <w:pStyle w:val="6"/>
              <w:spacing w:before="28" w:line="218" w:lineRule="auto"/>
              <w:ind w:left="160"/>
              <w:rPr>
                <w:sz w:val="24"/>
                <w:szCs w:val="24"/>
              </w:rPr>
            </w:pPr>
            <w:r>
              <w:rPr>
                <w:spacing w:val="-2"/>
                <w:sz w:val="24"/>
                <w:szCs w:val="24"/>
              </w:rPr>
              <w:t>乙炔气体，在空气中到达一定的浓度时可发生爆</w:t>
            </w:r>
          </w:p>
          <w:p w14:paraId="15B5FE2E">
            <w:pPr>
              <w:pStyle w:val="6"/>
              <w:spacing w:before="26" w:line="205" w:lineRule="auto"/>
              <w:ind w:left="499"/>
              <w:rPr>
                <w:sz w:val="24"/>
                <w:szCs w:val="24"/>
              </w:rPr>
            </w:pPr>
            <w:r>
              <w:rPr>
                <w:spacing w:val="-1"/>
                <w:sz w:val="24"/>
                <w:szCs w:val="24"/>
              </w:rPr>
              <w:t>炸性灾害。与酸类物质能发生剧烈反应。</w:t>
            </w:r>
          </w:p>
        </w:tc>
      </w:tr>
      <w:tr w14:paraId="4BEDD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7F765316">
            <w:pPr>
              <w:spacing w:line="316" w:lineRule="auto"/>
              <w:rPr>
                <w:rFonts w:ascii="Arial"/>
                <w:sz w:val="21"/>
              </w:rPr>
            </w:pPr>
          </w:p>
          <w:p w14:paraId="7598BCD7">
            <w:pPr>
              <w:spacing w:line="316" w:lineRule="auto"/>
              <w:rPr>
                <w:rFonts w:ascii="Arial"/>
                <w:sz w:val="21"/>
              </w:rPr>
            </w:pPr>
          </w:p>
          <w:p w14:paraId="3DA7CF29">
            <w:pPr>
              <w:spacing w:before="69" w:line="188" w:lineRule="auto"/>
              <w:ind w:left="1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276" w:type="dxa"/>
            <w:vAlign w:val="top"/>
          </w:tcPr>
          <w:p w14:paraId="6CAC0F43">
            <w:pPr>
              <w:spacing w:line="291" w:lineRule="auto"/>
              <w:rPr>
                <w:rFonts w:ascii="Arial"/>
                <w:sz w:val="21"/>
              </w:rPr>
            </w:pPr>
          </w:p>
          <w:p w14:paraId="72C6CD85">
            <w:pPr>
              <w:spacing w:line="291" w:lineRule="auto"/>
              <w:rPr>
                <w:rFonts w:ascii="Arial"/>
                <w:sz w:val="21"/>
              </w:rPr>
            </w:pPr>
          </w:p>
          <w:p w14:paraId="47D0CC8D">
            <w:pPr>
              <w:pStyle w:val="6"/>
              <w:spacing w:before="78" w:line="219" w:lineRule="auto"/>
              <w:ind w:left="166"/>
              <w:rPr>
                <w:sz w:val="24"/>
                <w:szCs w:val="24"/>
              </w:rPr>
            </w:pPr>
            <w:r>
              <w:rPr>
                <w:spacing w:val="-4"/>
                <w:sz w:val="24"/>
                <w:szCs w:val="24"/>
              </w:rPr>
              <w:t>二氯乙烷</w:t>
            </w:r>
          </w:p>
        </w:tc>
        <w:tc>
          <w:tcPr>
            <w:tcW w:w="1452" w:type="dxa"/>
            <w:vAlign w:val="top"/>
          </w:tcPr>
          <w:p w14:paraId="2C4D3DEA">
            <w:pPr>
              <w:spacing w:line="316" w:lineRule="auto"/>
              <w:rPr>
                <w:rFonts w:ascii="Arial"/>
                <w:sz w:val="21"/>
              </w:rPr>
            </w:pPr>
          </w:p>
          <w:p w14:paraId="3C21122D">
            <w:pPr>
              <w:spacing w:line="316" w:lineRule="auto"/>
              <w:rPr>
                <w:rFonts w:ascii="Arial"/>
                <w:sz w:val="21"/>
              </w:rPr>
            </w:pPr>
          </w:p>
          <w:p w14:paraId="513770F7">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75-34-3</w:t>
            </w:r>
          </w:p>
        </w:tc>
        <w:tc>
          <w:tcPr>
            <w:tcW w:w="5301" w:type="dxa"/>
            <w:vAlign w:val="top"/>
          </w:tcPr>
          <w:p w14:paraId="2C7D1CD4">
            <w:pPr>
              <w:pStyle w:val="6"/>
              <w:spacing w:before="39" w:line="217" w:lineRule="auto"/>
              <w:ind w:left="152"/>
              <w:rPr>
                <w:sz w:val="24"/>
                <w:szCs w:val="24"/>
              </w:rPr>
            </w:pPr>
            <w:r>
              <w:rPr>
                <w:spacing w:val="-2"/>
                <w:sz w:val="24"/>
                <w:szCs w:val="24"/>
              </w:rPr>
              <w:t>易燃，其蒸气与空气可形成爆炸性混合物。遇明</w:t>
            </w:r>
          </w:p>
          <w:p w14:paraId="36CB69C7">
            <w:pPr>
              <w:pStyle w:val="6"/>
              <w:spacing w:before="29" w:line="218" w:lineRule="auto"/>
              <w:ind w:left="138"/>
              <w:rPr>
                <w:sz w:val="24"/>
                <w:szCs w:val="24"/>
              </w:rPr>
            </w:pPr>
            <w:r>
              <w:rPr>
                <w:spacing w:val="-1"/>
                <w:sz w:val="24"/>
                <w:szCs w:val="24"/>
              </w:rPr>
              <w:t>火、高热能引起燃烧爆炸。受高热分解产生有毒</w:t>
            </w:r>
          </w:p>
          <w:p w14:paraId="15044679">
            <w:pPr>
              <w:pStyle w:val="6"/>
              <w:spacing w:before="28" w:line="217" w:lineRule="auto"/>
              <w:ind w:left="156"/>
              <w:rPr>
                <w:sz w:val="24"/>
                <w:szCs w:val="24"/>
              </w:rPr>
            </w:pPr>
            <w:r>
              <w:rPr>
                <w:spacing w:val="-2"/>
                <w:sz w:val="24"/>
                <w:szCs w:val="24"/>
              </w:rPr>
              <w:t>的腐蚀性烟气。与氧化剂能发生强烈反应。其蒸</w:t>
            </w:r>
          </w:p>
          <w:p w14:paraId="13D51ECC">
            <w:pPr>
              <w:pStyle w:val="6"/>
              <w:spacing w:before="27" w:line="218" w:lineRule="auto"/>
              <w:ind w:left="137"/>
              <w:rPr>
                <w:sz w:val="24"/>
                <w:szCs w:val="24"/>
              </w:rPr>
            </w:pPr>
            <w:r>
              <w:rPr>
                <w:spacing w:val="-1"/>
                <w:sz w:val="24"/>
                <w:szCs w:val="24"/>
              </w:rPr>
              <w:t>气比空气重，能在较低处扩散到相当远的地方，</w:t>
            </w:r>
          </w:p>
          <w:p w14:paraId="5B7D8EAA">
            <w:pPr>
              <w:pStyle w:val="6"/>
              <w:spacing w:before="28" w:line="204" w:lineRule="auto"/>
              <w:ind w:left="1576"/>
              <w:rPr>
                <w:sz w:val="24"/>
                <w:szCs w:val="24"/>
              </w:rPr>
            </w:pPr>
            <w:r>
              <w:rPr>
                <w:spacing w:val="-1"/>
                <w:sz w:val="24"/>
                <w:szCs w:val="24"/>
              </w:rPr>
              <w:t>遇明火会引着回燃。</w:t>
            </w:r>
          </w:p>
        </w:tc>
      </w:tr>
      <w:tr w14:paraId="6E804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97" w:type="dxa"/>
            <w:vAlign w:val="top"/>
          </w:tcPr>
          <w:p w14:paraId="4530C51D">
            <w:pPr>
              <w:spacing w:line="322" w:lineRule="auto"/>
              <w:rPr>
                <w:rFonts w:ascii="Arial"/>
                <w:sz w:val="21"/>
              </w:rPr>
            </w:pPr>
          </w:p>
          <w:p w14:paraId="144CDBD5">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276" w:type="dxa"/>
            <w:vAlign w:val="top"/>
          </w:tcPr>
          <w:p w14:paraId="726981C0">
            <w:pPr>
              <w:spacing w:line="271" w:lineRule="auto"/>
              <w:rPr>
                <w:rFonts w:ascii="Arial"/>
                <w:sz w:val="21"/>
              </w:rPr>
            </w:pPr>
          </w:p>
          <w:p w14:paraId="6A229BBE">
            <w:pPr>
              <w:pStyle w:val="6"/>
              <w:spacing w:before="78" w:line="218" w:lineRule="auto"/>
              <w:ind w:left="163"/>
              <w:rPr>
                <w:sz w:val="24"/>
                <w:szCs w:val="24"/>
              </w:rPr>
            </w:pPr>
            <w:r>
              <w:rPr>
                <w:spacing w:val="-3"/>
                <w:sz w:val="24"/>
                <w:szCs w:val="24"/>
              </w:rPr>
              <w:t>过氧化氢</w:t>
            </w:r>
          </w:p>
        </w:tc>
        <w:tc>
          <w:tcPr>
            <w:tcW w:w="1452" w:type="dxa"/>
            <w:vAlign w:val="top"/>
          </w:tcPr>
          <w:p w14:paraId="45E5E988">
            <w:pPr>
              <w:spacing w:line="322" w:lineRule="auto"/>
              <w:rPr>
                <w:rFonts w:ascii="Arial"/>
                <w:sz w:val="21"/>
              </w:rPr>
            </w:pPr>
          </w:p>
          <w:p w14:paraId="033EA577">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7722-84-1</w:t>
            </w:r>
          </w:p>
        </w:tc>
        <w:tc>
          <w:tcPr>
            <w:tcW w:w="5301" w:type="dxa"/>
            <w:vAlign w:val="top"/>
          </w:tcPr>
          <w:p w14:paraId="23D28A17">
            <w:pPr>
              <w:pStyle w:val="6"/>
              <w:spacing w:before="42" w:line="228" w:lineRule="auto"/>
              <w:ind w:left="136" w:right="128"/>
              <w:rPr>
                <w:sz w:val="24"/>
                <w:szCs w:val="24"/>
              </w:rPr>
            </w:pPr>
            <w:r>
              <w:rPr>
                <w:spacing w:val="-1"/>
                <w:sz w:val="24"/>
                <w:szCs w:val="24"/>
              </w:rPr>
              <w:t>爆炸性强氧化剂。过氧化氢本身不燃，但能与可</w:t>
            </w:r>
            <w:r>
              <w:rPr>
                <w:spacing w:val="10"/>
                <w:sz w:val="24"/>
                <w:szCs w:val="24"/>
              </w:rPr>
              <w:t xml:space="preserve"> </w:t>
            </w:r>
            <w:r>
              <w:rPr>
                <w:spacing w:val="-1"/>
                <w:sz w:val="24"/>
                <w:szCs w:val="24"/>
              </w:rPr>
              <w:t>燃物反应放出大量热量和氧气而引起着火爆炸。</w:t>
            </w:r>
            <w:r>
              <w:rPr>
                <w:spacing w:val="9"/>
                <w:sz w:val="24"/>
                <w:szCs w:val="24"/>
              </w:rPr>
              <w:t xml:space="preserve"> </w:t>
            </w:r>
            <w:r>
              <w:rPr>
                <w:spacing w:val="-1"/>
                <w:sz w:val="24"/>
                <w:szCs w:val="24"/>
              </w:rPr>
              <w:t>过氧化氢在</w:t>
            </w:r>
            <w:r>
              <w:rPr>
                <w:spacing w:val="-44"/>
                <w:sz w:val="24"/>
                <w:szCs w:val="24"/>
              </w:rPr>
              <w:t xml:space="preserve"> </w:t>
            </w:r>
            <w:r>
              <w:rPr>
                <w:rFonts w:ascii="Times New Roman" w:hAnsi="Times New Roman" w:eastAsia="Times New Roman" w:cs="Times New Roman"/>
                <w:spacing w:val="-1"/>
                <w:sz w:val="24"/>
                <w:szCs w:val="24"/>
              </w:rPr>
              <w:t xml:space="preserve">pH </w:t>
            </w:r>
            <w:r>
              <w:rPr>
                <w:spacing w:val="-1"/>
                <w:sz w:val="24"/>
                <w:szCs w:val="24"/>
              </w:rPr>
              <w:t>值为</w:t>
            </w:r>
            <w:r>
              <w:rPr>
                <w:spacing w:val="-50"/>
                <w:sz w:val="24"/>
                <w:szCs w:val="24"/>
              </w:rPr>
              <w:t xml:space="preserve"> </w:t>
            </w:r>
            <w:r>
              <w:rPr>
                <w:rFonts w:ascii="Times New Roman" w:hAnsi="Times New Roman" w:eastAsia="Times New Roman" w:cs="Times New Roman"/>
                <w:spacing w:val="-1"/>
                <w:sz w:val="24"/>
                <w:szCs w:val="24"/>
              </w:rPr>
              <w:t>3.5</w:t>
            </w:r>
            <w:r>
              <w:rPr>
                <w:spacing w:val="-1"/>
                <w:sz w:val="24"/>
                <w:szCs w:val="24"/>
              </w:rPr>
              <w:t>～</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20"/>
                <w:w w:val="101"/>
                <w:sz w:val="24"/>
                <w:szCs w:val="24"/>
              </w:rPr>
              <w:t xml:space="preserve"> </w:t>
            </w:r>
            <w:r>
              <w:rPr>
                <w:spacing w:val="-1"/>
                <w:sz w:val="24"/>
                <w:szCs w:val="24"/>
              </w:rPr>
              <w:t>时最稳定，在碱性</w:t>
            </w:r>
          </w:p>
        </w:tc>
      </w:tr>
    </w:tbl>
    <w:p w14:paraId="4C5B0852">
      <w:pPr>
        <w:pStyle w:val="2"/>
      </w:pPr>
    </w:p>
    <w:p w14:paraId="47B880D3">
      <w:pPr>
        <w:sectPr>
          <w:footerReference r:id="rId92" w:type="default"/>
          <w:pgSz w:w="11906" w:h="16839"/>
          <w:pgMar w:top="400" w:right="1687" w:bottom="1259" w:left="1687" w:header="0" w:footer="1097" w:gutter="0"/>
          <w:cols w:space="720" w:num="1"/>
        </w:sectPr>
      </w:pPr>
    </w:p>
    <w:p w14:paraId="14E73066">
      <w:pPr>
        <w:spacing w:before="19"/>
      </w:pPr>
    </w:p>
    <w:p w14:paraId="02656D9A">
      <w:pPr>
        <w:spacing w:before="19"/>
      </w:pPr>
    </w:p>
    <w:p w14:paraId="3DB9784C">
      <w:pPr>
        <w:spacing w:before="18"/>
      </w:pPr>
    </w:p>
    <w:p w14:paraId="748E5DD3">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7F9D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5A050512">
            <w:pPr>
              <w:pStyle w:val="6"/>
              <w:spacing w:before="127" w:line="210" w:lineRule="auto"/>
              <w:ind w:left="41"/>
              <w:rPr>
                <w:sz w:val="24"/>
                <w:szCs w:val="24"/>
              </w:rPr>
            </w:pPr>
            <w:r>
              <w:rPr>
                <w:spacing w:val="34"/>
                <w:sz w:val="24"/>
                <w:szCs w:val="24"/>
              </w:rPr>
              <w:t>序号</w:t>
            </w:r>
          </w:p>
        </w:tc>
        <w:tc>
          <w:tcPr>
            <w:tcW w:w="1276" w:type="dxa"/>
            <w:vAlign w:val="top"/>
          </w:tcPr>
          <w:p w14:paraId="63ECC868">
            <w:pPr>
              <w:pStyle w:val="6"/>
              <w:spacing w:before="196" w:line="221" w:lineRule="auto"/>
              <w:ind w:left="405"/>
              <w:rPr>
                <w:sz w:val="24"/>
                <w:szCs w:val="24"/>
              </w:rPr>
            </w:pPr>
            <w:r>
              <w:rPr>
                <w:spacing w:val="-7"/>
                <w:sz w:val="24"/>
                <w:szCs w:val="24"/>
              </w:rPr>
              <w:t>名称</w:t>
            </w:r>
          </w:p>
        </w:tc>
        <w:tc>
          <w:tcPr>
            <w:tcW w:w="1452" w:type="dxa"/>
            <w:vAlign w:val="top"/>
          </w:tcPr>
          <w:p w14:paraId="57F58508">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0EDF3D9F">
            <w:pPr>
              <w:pStyle w:val="6"/>
              <w:spacing w:before="195" w:line="219" w:lineRule="auto"/>
              <w:ind w:left="2179"/>
              <w:rPr>
                <w:sz w:val="24"/>
                <w:szCs w:val="24"/>
              </w:rPr>
            </w:pPr>
            <w:r>
              <w:rPr>
                <w:spacing w:val="-4"/>
                <w:sz w:val="24"/>
                <w:szCs w:val="24"/>
              </w:rPr>
              <w:t>危险特征</w:t>
            </w:r>
          </w:p>
        </w:tc>
      </w:tr>
      <w:tr w14:paraId="7BE9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9" w:hRule="atLeast"/>
        </w:trPr>
        <w:tc>
          <w:tcPr>
            <w:tcW w:w="497" w:type="dxa"/>
            <w:vAlign w:val="top"/>
          </w:tcPr>
          <w:p w14:paraId="12AA0518">
            <w:pPr>
              <w:rPr>
                <w:rFonts w:ascii="Arial"/>
                <w:sz w:val="21"/>
              </w:rPr>
            </w:pPr>
          </w:p>
        </w:tc>
        <w:tc>
          <w:tcPr>
            <w:tcW w:w="1276" w:type="dxa"/>
            <w:vAlign w:val="top"/>
          </w:tcPr>
          <w:p w14:paraId="14F0E444">
            <w:pPr>
              <w:rPr>
                <w:rFonts w:ascii="Arial"/>
                <w:sz w:val="21"/>
              </w:rPr>
            </w:pPr>
          </w:p>
        </w:tc>
        <w:tc>
          <w:tcPr>
            <w:tcW w:w="1452" w:type="dxa"/>
            <w:vAlign w:val="top"/>
          </w:tcPr>
          <w:p w14:paraId="4501DF10">
            <w:pPr>
              <w:rPr>
                <w:rFonts w:ascii="Arial"/>
                <w:sz w:val="21"/>
              </w:rPr>
            </w:pPr>
          </w:p>
        </w:tc>
        <w:tc>
          <w:tcPr>
            <w:tcW w:w="5301" w:type="dxa"/>
            <w:vAlign w:val="top"/>
          </w:tcPr>
          <w:p w14:paraId="5ED3BE9F">
            <w:pPr>
              <w:pStyle w:val="6"/>
              <w:spacing w:before="36" w:line="219" w:lineRule="auto"/>
              <w:ind w:left="139"/>
              <w:rPr>
                <w:sz w:val="24"/>
                <w:szCs w:val="24"/>
              </w:rPr>
            </w:pPr>
            <w:r>
              <w:rPr>
                <w:spacing w:val="-1"/>
                <w:sz w:val="24"/>
                <w:szCs w:val="24"/>
              </w:rPr>
              <w:t>溶液中极易分解，在遇强光，特别是短波射线照</w:t>
            </w:r>
          </w:p>
          <w:p w14:paraId="259AEA73">
            <w:pPr>
              <w:pStyle w:val="6"/>
              <w:spacing w:before="24" w:line="220" w:lineRule="auto"/>
              <w:ind w:left="165"/>
              <w:rPr>
                <w:sz w:val="24"/>
                <w:szCs w:val="24"/>
              </w:rPr>
            </w:pPr>
            <w:r>
              <w:rPr>
                <w:spacing w:val="-2"/>
                <w:sz w:val="24"/>
                <w:szCs w:val="24"/>
              </w:rPr>
              <w:t>射时也能发生分解。当加热到</w:t>
            </w:r>
            <w:r>
              <w:rPr>
                <w:spacing w:val="-17"/>
                <w:sz w:val="24"/>
                <w:szCs w:val="24"/>
              </w:rPr>
              <w:t xml:space="preserve"> </w:t>
            </w:r>
            <w:r>
              <w:rPr>
                <w:rFonts w:ascii="Times New Roman" w:hAnsi="Times New Roman" w:eastAsia="Times New Roman" w:cs="Times New Roman"/>
                <w:spacing w:val="-2"/>
                <w:sz w:val="24"/>
                <w:szCs w:val="24"/>
              </w:rPr>
              <w:t>100</w:t>
            </w:r>
            <w:r>
              <w:rPr>
                <w:spacing w:val="-2"/>
                <w:sz w:val="24"/>
                <w:szCs w:val="24"/>
              </w:rPr>
              <w:t>℃以上时，开</w:t>
            </w:r>
          </w:p>
          <w:p w14:paraId="6BAE2037">
            <w:pPr>
              <w:pStyle w:val="6"/>
              <w:spacing w:before="25" w:line="219" w:lineRule="auto"/>
              <w:jc w:val="right"/>
              <w:rPr>
                <w:sz w:val="24"/>
                <w:szCs w:val="24"/>
              </w:rPr>
            </w:pPr>
            <w:r>
              <w:rPr>
                <w:spacing w:val="-6"/>
                <w:sz w:val="24"/>
                <w:szCs w:val="24"/>
              </w:rPr>
              <w:t>始急剧分解。它与许多有机物如糖、淀粉、醇类、</w:t>
            </w:r>
          </w:p>
          <w:p w14:paraId="58FA3B73">
            <w:pPr>
              <w:pStyle w:val="6"/>
              <w:spacing w:before="27" w:line="218" w:lineRule="auto"/>
              <w:ind w:left="137"/>
              <w:rPr>
                <w:sz w:val="24"/>
                <w:szCs w:val="24"/>
              </w:rPr>
            </w:pPr>
            <w:r>
              <w:rPr>
                <w:spacing w:val="-1"/>
                <w:sz w:val="24"/>
                <w:szCs w:val="24"/>
              </w:rPr>
              <w:t>石油产品等形成爆炸性混合物，在撞击、受热或</w:t>
            </w:r>
          </w:p>
          <w:p w14:paraId="59A39590">
            <w:pPr>
              <w:pStyle w:val="6"/>
              <w:spacing w:before="28" w:line="218" w:lineRule="auto"/>
              <w:ind w:left="165"/>
              <w:rPr>
                <w:sz w:val="24"/>
                <w:szCs w:val="24"/>
              </w:rPr>
            </w:pPr>
            <w:r>
              <w:rPr>
                <w:spacing w:val="-2"/>
                <w:sz w:val="24"/>
                <w:szCs w:val="24"/>
              </w:rPr>
              <w:t>电火花作用下能发生爆炸。过氧化氢与许多有机</w:t>
            </w:r>
          </w:p>
          <w:p w14:paraId="48564E92">
            <w:pPr>
              <w:pStyle w:val="6"/>
              <w:spacing w:before="26" w:line="216" w:lineRule="auto"/>
              <w:ind w:left="137"/>
              <w:rPr>
                <w:sz w:val="24"/>
                <w:szCs w:val="24"/>
              </w:rPr>
            </w:pPr>
            <w:r>
              <w:rPr>
                <w:sz w:val="24"/>
                <w:szCs w:val="24"/>
              </w:rPr>
              <w:t>化合物或杂质接触后会迅速分解而导致爆炸</w:t>
            </w:r>
            <w:r>
              <w:rPr>
                <w:spacing w:val="-1"/>
                <w:sz w:val="24"/>
                <w:szCs w:val="24"/>
              </w:rPr>
              <w:t>，放</w:t>
            </w:r>
          </w:p>
          <w:p w14:paraId="58D3EA02">
            <w:pPr>
              <w:pStyle w:val="6"/>
              <w:spacing w:before="32" w:line="218" w:lineRule="auto"/>
              <w:ind w:left="157"/>
              <w:rPr>
                <w:sz w:val="24"/>
                <w:szCs w:val="24"/>
              </w:rPr>
            </w:pPr>
            <w:r>
              <w:rPr>
                <w:spacing w:val="-2"/>
                <w:sz w:val="24"/>
                <w:szCs w:val="24"/>
              </w:rPr>
              <w:t>出大量的热量、氧和水蒸气。大多数重金属（如</w:t>
            </w:r>
          </w:p>
          <w:p w14:paraId="46D1EFB8">
            <w:pPr>
              <w:pStyle w:val="6"/>
              <w:spacing w:before="26" w:line="219" w:lineRule="auto"/>
              <w:ind w:left="136"/>
              <w:rPr>
                <w:sz w:val="24"/>
                <w:szCs w:val="24"/>
              </w:rPr>
            </w:pPr>
            <w:r>
              <w:rPr>
                <w:spacing w:val="-1"/>
                <w:sz w:val="24"/>
                <w:szCs w:val="24"/>
              </w:rPr>
              <w:t>铁、铜、银、铅、汞、锌、钴、镍、铬、锰等）</w:t>
            </w:r>
          </w:p>
          <w:p w14:paraId="2A0EE96E">
            <w:pPr>
              <w:pStyle w:val="6"/>
              <w:spacing w:before="27" w:line="217" w:lineRule="auto"/>
              <w:ind w:left="136"/>
              <w:rPr>
                <w:sz w:val="24"/>
                <w:szCs w:val="24"/>
              </w:rPr>
            </w:pPr>
            <w:r>
              <w:rPr>
                <w:spacing w:val="-1"/>
                <w:sz w:val="24"/>
                <w:szCs w:val="24"/>
              </w:rPr>
              <w:t>及其氧化物和盐类都是活性催化剂，尘土、香烟</w:t>
            </w:r>
          </w:p>
          <w:p w14:paraId="41A34608">
            <w:pPr>
              <w:pStyle w:val="6"/>
              <w:spacing w:before="31" w:line="219" w:lineRule="auto"/>
              <w:ind w:left="117"/>
              <w:rPr>
                <w:sz w:val="24"/>
                <w:szCs w:val="24"/>
              </w:rPr>
            </w:pPr>
            <w:r>
              <w:rPr>
                <w:spacing w:val="5"/>
                <w:sz w:val="24"/>
                <w:szCs w:val="24"/>
              </w:rPr>
              <w:t>灰、碳粉、铁锈等也能加速分解。浓度超过</w:t>
            </w:r>
            <w:r>
              <w:rPr>
                <w:rFonts w:ascii="Times New Roman" w:hAnsi="Times New Roman" w:eastAsia="Times New Roman" w:cs="Times New Roman"/>
                <w:spacing w:val="5"/>
                <w:sz w:val="24"/>
                <w:szCs w:val="24"/>
              </w:rPr>
              <w:t>74</w:t>
            </w:r>
            <w:r>
              <w:rPr>
                <w:spacing w:val="5"/>
                <w:sz w:val="24"/>
                <w:szCs w:val="24"/>
              </w:rPr>
              <w:t>%</w:t>
            </w:r>
          </w:p>
          <w:p w14:paraId="75B44EF2">
            <w:pPr>
              <w:pStyle w:val="6"/>
              <w:spacing w:before="27" w:line="217" w:lineRule="auto"/>
              <w:ind w:left="156"/>
              <w:rPr>
                <w:sz w:val="24"/>
                <w:szCs w:val="24"/>
              </w:rPr>
            </w:pPr>
            <w:r>
              <w:rPr>
                <w:spacing w:val="-2"/>
                <w:sz w:val="24"/>
                <w:szCs w:val="24"/>
              </w:rPr>
              <w:t>的过氧化氢，在具有适当的点火源或温度的密闭</w:t>
            </w:r>
          </w:p>
          <w:p w14:paraId="668BFD68">
            <w:pPr>
              <w:pStyle w:val="6"/>
              <w:spacing w:before="27" w:line="208" w:lineRule="auto"/>
              <w:ind w:left="1219"/>
              <w:rPr>
                <w:sz w:val="24"/>
                <w:szCs w:val="24"/>
              </w:rPr>
            </w:pPr>
            <w:r>
              <w:rPr>
                <w:spacing w:val="-2"/>
                <w:sz w:val="24"/>
                <w:szCs w:val="24"/>
              </w:rPr>
              <w:t>容器中，会产生气相爆炸。</w:t>
            </w:r>
          </w:p>
        </w:tc>
      </w:tr>
      <w:tr w14:paraId="3A25E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790DB38A">
            <w:pPr>
              <w:spacing w:line="316" w:lineRule="auto"/>
              <w:rPr>
                <w:rFonts w:ascii="Arial"/>
                <w:sz w:val="21"/>
              </w:rPr>
            </w:pPr>
          </w:p>
          <w:p w14:paraId="42BCBACA">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276" w:type="dxa"/>
            <w:vAlign w:val="top"/>
          </w:tcPr>
          <w:p w14:paraId="1A319EB4">
            <w:pPr>
              <w:pStyle w:val="6"/>
              <w:spacing w:before="35" w:line="219" w:lineRule="auto"/>
              <w:ind w:left="163"/>
              <w:rPr>
                <w:sz w:val="24"/>
                <w:szCs w:val="24"/>
              </w:rPr>
            </w:pPr>
            <w:r>
              <w:rPr>
                <w:spacing w:val="-3"/>
                <w:sz w:val="24"/>
                <w:szCs w:val="24"/>
              </w:rPr>
              <w:t>过氧化新</w:t>
            </w:r>
          </w:p>
          <w:p w14:paraId="212BEED3">
            <w:pPr>
              <w:pStyle w:val="6"/>
              <w:spacing w:before="27" w:line="223" w:lineRule="auto"/>
              <w:ind w:left="282" w:right="157" w:hanging="120"/>
              <w:rPr>
                <w:sz w:val="24"/>
                <w:szCs w:val="24"/>
              </w:rPr>
            </w:pPr>
            <w:r>
              <w:rPr>
                <w:spacing w:val="-3"/>
                <w:sz w:val="24"/>
                <w:szCs w:val="24"/>
              </w:rPr>
              <w:t>癸酸异丙</w:t>
            </w:r>
            <w:r>
              <w:rPr>
                <w:spacing w:val="1"/>
                <w:sz w:val="24"/>
                <w:szCs w:val="24"/>
              </w:rPr>
              <w:t xml:space="preserve"> </w:t>
            </w:r>
            <w:r>
              <w:rPr>
                <w:spacing w:val="-4"/>
                <w:sz w:val="24"/>
                <w:szCs w:val="24"/>
              </w:rPr>
              <w:t>基苯酯</w:t>
            </w:r>
          </w:p>
        </w:tc>
        <w:tc>
          <w:tcPr>
            <w:tcW w:w="1452" w:type="dxa"/>
            <w:vAlign w:val="top"/>
          </w:tcPr>
          <w:p w14:paraId="28C9B44A">
            <w:pPr>
              <w:spacing w:line="316" w:lineRule="auto"/>
              <w:rPr>
                <w:rFonts w:ascii="Arial"/>
                <w:sz w:val="21"/>
              </w:rPr>
            </w:pPr>
          </w:p>
          <w:p w14:paraId="7815ABD7">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26748-47-0</w:t>
            </w:r>
          </w:p>
        </w:tc>
        <w:tc>
          <w:tcPr>
            <w:tcW w:w="5301" w:type="dxa"/>
            <w:vAlign w:val="top"/>
          </w:tcPr>
          <w:p w14:paraId="457BA461">
            <w:pPr>
              <w:pStyle w:val="6"/>
              <w:spacing w:before="36" w:line="217" w:lineRule="auto"/>
              <w:ind w:left="117"/>
              <w:rPr>
                <w:sz w:val="24"/>
                <w:szCs w:val="24"/>
              </w:rPr>
            </w:pPr>
            <w:r>
              <w:rPr>
                <w:spacing w:val="-2"/>
                <w:sz w:val="24"/>
                <w:szCs w:val="24"/>
              </w:rPr>
              <w:t>属于有机过氧化物类别</w:t>
            </w:r>
            <w:r>
              <w:rPr>
                <w:spacing w:val="-43"/>
                <w:sz w:val="24"/>
                <w:szCs w:val="24"/>
              </w:rPr>
              <w:t xml:space="preserve"> </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16"/>
                <w:w w:val="101"/>
                <w:sz w:val="24"/>
                <w:szCs w:val="24"/>
              </w:rPr>
              <w:t xml:space="preserve"> </w:t>
            </w:r>
            <w:r>
              <w:rPr>
                <w:spacing w:val="-2"/>
                <w:sz w:val="24"/>
                <w:szCs w:val="24"/>
              </w:rPr>
              <w:t>型，加热可能起火，具</w:t>
            </w:r>
          </w:p>
          <w:p w14:paraId="66C5DBF1">
            <w:pPr>
              <w:pStyle w:val="6"/>
              <w:spacing w:before="29" w:line="218" w:lineRule="auto"/>
              <w:ind w:left="137"/>
              <w:rPr>
                <w:sz w:val="24"/>
                <w:szCs w:val="24"/>
              </w:rPr>
            </w:pPr>
            <w:r>
              <w:rPr>
                <w:spacing w:val="-1"/>
                <w:sz w:val="24"/>
                <w:szCs w:val="24"/>
              </w:rPr>
              <w:t>有较高的火灾风险。此外，该物质与可燃物质接</w:t>
            </w:r>
          </w:p>
          <w:p w14:paraId="444D187B">
            <w:pPr>
              <w:pStyle w:val="6"/>
              <w:spacing w:before="26" w:line="208" w:lineRule="auto"/>
              <w:ind w:left="616"/>
              <w:rPr>
                <w:sz w:val="24"/>
                <w:szCs w:val="24"/>
              </w:rPr>
            </w:pPr>
            <w:r>
              <w:rPr>
                <w:spacing w:val="-1"/>
                <w:sz w:val="24"/>
                <w:szCs w:val="24"/>
              </w:rPr>
              <w:t>触可能会引起火灾，且对眼睛有刺激性</w:t>
            </w:r>
          </w:p>
        </w:tc>
      </w:tr>
      <w:tr w14:paraId="243A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97" w:type="dxa"/>
            <w:vAlign w:val="top"/>
          </w:tcPr>
          <w:p w14:paraId="0DDB0956">
            <w:pPr>
              <w:spacing w:line="312" w:lineRule="auto"/>
              <w:rPr>
                <w:rFonts w:ascii="Arial"/>
                <w:sz w:val="21"/>
              </w:rPr>
            </w:pPr>
          </w:p>
          <w:p w14:paraId="22E20766">
            <w:pPr>
              <w:spacing w:line="312" w:lineRule="auto"/>
              <w:rPr>
                <w:rFonts w:ascii="Arial"/>
                <w:sz w:val="21"/>
              </w:rPr>
            </w:pPr>
          </w:p>
          <w:p w14:paraId="540FAD69">
            <w:pPr>
              <w:spacing w:line="312" w:lineRule="auto"/>
              <w:rPr>
                <w:rFonts w:ascii="Arial"/>
                <w:sz w:val="21"/>
              </w:rPr>
            </w:pPr>
          </w:p>
          <w:p w14:paraId="43CE0DD7">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276" w:type="dxa"/>
            <w:vAlign w:val="top"/>
          </w:tcPr>
          <w:p w14:paraId="6DC95D7B">
            <w:pPr>
              <w:spacing w:line="289" w:lineRule="auto"/>
              <w:rPr>
                <w:rFonts w:ascii="Arial"/>
                <w:sz w:val="21"/>
              </w:rPr>
            </w:pPr>
          </w:p>
          <w:p w14:paraId="0FCDEF20">
            <w:pPr>
              <w:spacing w:line="289" w:lineRule="auto"/>
              <w:rPr>
                <w:rFonts w:ascii="Arial"/>
                <w:sz w:val="21"/>
              </w:rPr>
            </w:pPr>
          </w:p>
          <w:p w14:paraId="3F4E4A4A">
            <w:pPr>
              <w:pStyle w:val="6"/>
              <w:spacing w:before="78" w:line="219" w:lineRule="auto"/>
              <w:ind w:left="163"/>
              <w:rPr>
                <w:sz w:val="24"/>
                <w:szCs w:val="24"/>
              </w:rPr>
            </w:pPr>
            <w:r>
              <w:rPr>
                <w:spacing w:val="-3"/>
                <w:sz w:val="24"/>
                <w:szCs w:val="24"/>
              </w:rPr>
              <w:t>过氧化二</w:t>
            </w:r>
          </w:p>
          <w:p w14:paraId="31C780AD">
            <w:pPr>
              <w:pStyle w:val="6"/>
              <w:spacing w:before="25" w:line="220" w:lineRule="auto"/>
              <w:ind w:left="162"/>
              <w:rPr>
                <w:sz w:val="24"/>
                <w:szCs w:val="24"/>
              </w:rPr>
            </w:pPr>
            <w:r>
              <w:rPr>
                <w:spacing w:val="-3"/>
                <w:sz w:val="24"/>
                <w:szCs w:val="24"/>
              </w:rPr>
              <w:t>碳酸二辛</w:t>
            </w:r>
          </w:p>
          <w:p w14:paraId="4F6D936A">
            <w:pPr>
              <w:pStyle w:val="6"/>
              <w:spacing w:before="26" w:line="221" w:lineRule="auto"/>
              <w:ind w:left="524"/>
              <w:rPr>
                <w:sz w:val="24"/>
                <w:szCs w:val="24"/>
              </w:rPr>
            </w:pPr>
            <w:r>
              <w:rPr>
                <w:sz w:val="24"/>
                <w:szCs w:val="24"/>
              </w:rPr>
              <w:t>酯</w:t>
            </w:r>
          </w:p>
        </w:tc>
        <w:tc>
          <w:tcPr>
            <w:tcW w:w="1452" w:type="dxa"/>
            <w:vAlign w:val="top"/>
          </w:tcPr>
          <w:p w14:paraId="0D714331">
            <w:pPr>
              <w:spacing w:line="312" w:lineRule="auto"/>
              <w:rPr>
                <w:rFonts w:ascii="Arial"/>
                <w:sz w:val="21"/>
              </w:rPr>
            </w:pPr>
          </w:p>
          <w:p w14:paraId="538FB67A">
            <w:pPr>
              <w:spacing w:line="312" w:lineRule="auto"/>
              <w:rPr>
                <w:rFonts w:ascii="Arial"/>
                <w:sz w:val="21"/>
              </w:rPr>
            </w:pPr>
          </w:p>
          <w:p w14:paraId="14703529">
            <w:pPr>
              <w:spacing w:line="312" w:lineRule="auto"/>
              <w:rPr>
                <w:rFonts w:ascii="Arial"/>
                <w:sz w:val="21"/>
              </w:rPr>
            </w:pPr>
          </w:p>
          <w:p w14:paraId="089B3A9F">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26748-47-0</w:t>
            </w:r>
          </w:p>
        </w:tc>
        <w:tc>
          <w:tcPr>
            <w:tcW w:w="5301" w:type="dxa"/>
            <w:vAlign w:val="top"/>
          </w:tcPr>
          <w:p w14:paraId="073C7142">
            <w:pPr>
              <w:pStyle w:val="6"/>
              <w:spacing w:before="38" w:line="218" w:lineRule="auto"/>
              <w:ind w:left="137"/>
              <w:rPr>
                <w:sz w:val="24"/>
                <w:szCs w:val="24"/>
              </w:rPr>
            </w:pPr>
            <w:r>
              <w:rPr>
                <w:spacing w:val="-1"/>
                <w:sz w:val="24"/>
                <w:szCs w:val="24"/>
              </w:rPr>
              <w:t>有爆炸性，易燃，且对温度、撞击及酸碱等化学</w:t>
            </w:r>
          </w:p>
          <w:p w14:paraId="5CBA3141">
            <w:pPr>
              <w:pStyle w:val="6"/>
              <w:spacing w:before="26" w:line="218" w:lineRule="auto"/>
              <w:ind w:left="139"/>
              <w:rPr>
                <w:sz w:val="24"/>
                <w:szCs w:val="24"/>
              </w:rPr>
            </w:pPr>
            <w:r>
              <w:rPr>
                <w:spacing w:val="-1"/>
                <w:sz w:val="24"/>
                <w:szCs w:val="24"/>
              </w:rPr>
              <w:t>药品非常敏感，加热存在潜在的爆炸风险，可能</w:t>
            </w:r>
          </w:p>
          <w:p w14:paraId="1310C0BF">
            <w:pPr>
              <w:pStyle w:val="6"/>
              <w:spacing w:before="28" w:line="219" w:lineRule="auto"/>
              <w:ind w:left="141"/>
              <w:rPr>
                <w:sz w:val="24"/>
                <w:szCs w:val="24"/>
              </w:rPr>
            </w:pPr>
            <w:r>
              <w:rPr>
                <w:spacing w:val="-1"/>
                <w:sz w:val="24"/>
                <w:szCs w:val="24"/>
              </w:rPr>
              <w:t>与有机材料发生剧烈反应，对眼睛、皮肤和粘膜</w:t>
            </w:r>
          </w:p>
          <w:p w14:paraId="34609B4C">
            <w:pPr>
              <w:pStyle w:val="6"/>
              <w:spacing w:before="25" w:line="218" w:lineRule="auto"/>
              <w:ind w:left="137"/>
              <w:rPr>
                <w:sz w:val="24"/>
                <w:szCs w:val="24"/>
              </w:rPr>
            </w:pPr>
            <w:r>
              <w:rPr>
                <w:spacing w:val="-1"/>
                <w:sz w:val="24"/>
                <w:szCs w:val="24"/>
              </w:rPr>
              <w:t>有刺激性，属于低毒物质。受热分解放出有腐蚀</w:t>
            </w:r>
          </w:p>
          <w:p w14:paraId="0712C27C">
            <w:pPr>
              <w:pStyle w:val="6"/>
              <w:spacing w:before="28" w:line="219" w:lineRule="auto"/>
              <w:ind w:left="139"/>
              <w:rPr>
                <w:sz w:val="24"/>
                <w:szCs w:val="24"/>
              </w:rPr>
            </w:pPr>
            <w:r>
              <w:rPr>
                <w:spacing w:val="-1"/>
                <w:sz w:val="24"/>
                <w:szCs w:val="24"/>
              </w:rPr>
              <w:t>性和刺激性的烟雾，可能引起皮肤干燥、毛孔粗</w:t>
            </w:r>
          </w:p>
          <w:p w14:paraId="6A749F56">
            <w:pPr>
              <w:pStyle w:val="6"/>
              <w:spacing w:before="28" w:line="219" w:lineRule="auto"/>
              <w:ind w:left="139"/>
              <w:rPr>
                <w:sz w:val="24"/>
                <w:szCs w:val="24"/>
              </w:rPr>
            </w:pPr>
            <w:r>
              <w:rPr>
                <w:spacing w:val="-1"/>
                <w:sz w:val="24"/>
                <w:szCs w:val="24"/>
              </w:rPr>
              <w:t>大、过敏性皮炎、刺激性皮炎和接触性皮炎等症</w:t>
            </w:r>
          </w:p>
          <w:p w14:paraId="5B6B777D">
            <w:pPr>
              <w:pStyle w:val="6"/>
              <w:spacing w:before="26" w:line="206" w:lineRule="auto"/>
              <w:ind w:left="2536"/>
              <w:rPr>
                <w:sz w:val="24"/>
                <w:szCs w:val="24"/>
              </w:rPr>
            </w:pPr>
            <w:r>
              <w:rPr>
                <w:sz w:val="24"/>
                <w:szCs w:val="24"/>
              </w:rPr>
              <w:t>状</w:t>
            </w:r>
          </w:p>
        </w:tc>
      </w:tr>
      <w:tr w14:paraId="0710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7" w:type="dxa"/>
            <w:vAlign w:val="top"/>
          </w:tcPr>
          <w:p w14:paraId="56458637">
            <w:pPr>
              <w:spacing w:before="234"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276" w:type="dxa"/>
            <w:vAlign w:val="top"/>
          </w:tcPr>
          <w:p w14:paraId="0CC73ED5">
            <w:pPr>
              <w:pStyle w:val="6"/>
              <w:spacing w:before="193" w:line="222" w:lineRule="auto"/>
              <w:ind w:left="433"/>
              <w:rPr>
                <w:sz w:val="24"/>
                <w:szCs w:val="24"/>
              </w:rPr>
            </w:pPr>
            <w:r>
              <w:rPr>
                <w:spacing w:val="-21"/>
                <w:sz w:val="24"/>
                <w:szCs w:val="24"/>
              </w:rPr>
              <w:t>甲醛</w:t>
            </w:r>
          </w:p>
        </w:tc>
        <w:tc>
          <w:tcPr>
            <w:tcW w:w="1452" w:type="dxa"/>
            <w:vAlign w:val="top"/>
          </w:tcPr>
          <w:p w14:paraId="032FEC15">
            <w:pPr>
              <w:spacing w:before="234" w:line="188" w:lineRule="auto"/>
              <w:ind w:left="35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50-00-0</w:t>
            </w:r>
          </w:p>
        </w:tc>
        <w:tc>
          <w:tcPr>
            <w:tcW w:w="5301" w:type="dxa"/>
            <w:vAlign w:val="top"/>
          </w:tcPr>
          <w:p w14:paraId="739C6875">
            <w:pPr>
              <w:pStyle w:val="6"/>
              <w:spacing w:before="38" w:line="223" w:lineRule="auto"/>
              <w:ind w:left="140" w:right="128" w:hanging="3"/>
              <w:rPr>
                <w:sz w:val="24"/>
                <w:szCs w:val="24"/>
              </w:rPr>
            </w:pPr>
            <w:r>
              <w:rPr>
                <w:spacing w:val="-1"/>
                <w:sz w:val="24"/>
                <w:szCs w:val="24"/>
              </w:rPr>
              <w:t>其蒸气与空气可形成爆炸性混合物。遇明火、高</w:t>
            </w:r>
            <w:r>
              <w:rPr>
                <w:spacing w:val="9"/>
                <w:sz w:val="24"/>
                <w:szCs w:val="24"/>
              </w:rPr>
              <w:t xml:space="preserve"> </w:t>
            </w:r>
            <w:r>
              <w:rPr>
                <w:spacing w:val="-1"/>
                <w:sz w:val="24"/>
                <w:szCs w:val="24"/>
              </w:rPr>
              <w:t>热能引起燃烧爆炸。与氧化剂接触会猛烈反应。</w:t>
            </w:r>
          </w:p>
        </w:tc>
      </w:tr>
      <w:tr w14:paraId="5A491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11D33E9D">
            <w:pPr>
              <w:spacing w:line="473" w:lineRule="auto"/>
              <w:rPr>
                <w:rFonts w:ascii="Arial"/>
                <w:sz w:val="21"/>
              </w:rPr>
            </w:pPr>
          </w:p>
          <w:p w14:paraId="2D1739E6">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1276" w:type="dxa"/>
            <w:vAlign w:val="top"/>
          </w:tcPr>
          <w:p w14:paraId="7BE33116">
            <w:pPr>
              <w:spacing w:line="422" w:lineRule="auto"/>
              <w:rPr>
                <w:rFonts w:ascii="Arial"/>
                <w:sz w:val="21"/>
              </w:rPr>
            </w:pPr>
          </w:p>
          <w:p w14:paraId="583FB675">
            <w:pPr>
              <w:pStyle w:val="6"/>
              <w:spacing w:before="78" w:line="219" w:lineRule="auto"/>
              <w:ind w:left="401"/>
              <w:rPr>
                <w:sz w:val="24"/>
                <w:szCs w:val="24"/>
              </w:rPr>
            </w:pPr>
            <w:r>
              <w:rPr>
                <w:spacing w:val="-5"/>
                <w:sz w:val="24"/>
                <w:szCs w:val="24"/>
              </w:rPr>
              <w:t>硫磺</w:t>
            </w:r>
          </w:p>
        </w:tc>
        <w:tc>
          <w:tcPr>
            <w:tcW w:w="1452" w:type="dxa"/>
            <w:vAlign w:val="top"/>
          </w:tcPr>
          <w:p w14:paraId="21200EE3">
            <w:pPr>
              <w:spacing w:line="473" w:lineRule="auto"/>
              <w:rPr>
                <w:rFonts w:ascii="Arial"/>
                <w:sz w:val="21"/>
              </w:rPr>
            </w:pPr>
          </w:p>
          <w:p w14:paraId="0990FF75">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7704-34-9</w:t>
            </w:r>
          </w:p>
        </w:tc>
        <w:tc>
          <w:tcPr>
            <w:tcW w:w="5301" w:type="dxa"/>
            <w:vAlign w:val="top"/>
          </w:tcPr>
          <w:p w14:paraId="27DE8395">
            <w:pPr>
              <w:pStyle w:val="6"/>
              <w:spacing w:before="37" w:line="219" w:lineRule="auto"/>
              <w:ind w:left="141"/>
              <w:rPr>
                <w:sz w:val="24"/>
                <w:szCs w:val="24"/>
              </w:rPr>
            </w:pPr>
            <w:r>
              <w:rPr>
                <w:spacing w:val="-1"/>
                <w:sz w:val="24"/>
                <w:szCs w:val="24"/>
              </w:rPr>
              <w:t>与卤素、金属粉末等接触剧烈反应。硫磺为不良</w:t>
            </w:r>
          </w:p>
          <w:p w14:paraId="36D14576">
            <w:pPr>
              <w:pStyle w:val="6"/>
              <w:spacing w:before="27" w:line="219" w:lineRule="auto"/>
              <w:ind w:left="143"/>
              <w:rPr>
                <w:sz w:val="24"/>
                <w:szCs w:val="24"/>
              </w:rPr>
            </w:pPr>
            <w:r>
              <w:rPr>
                <w:spacing w:val="-1"/>
                <w:sz w:val="24"/>
                <w:szCs w:val="24"/>
              </w:rPr>
              <w:t>导体，在储运过程中易产生静电荷，可导致硫尘</w:t>
            </w:r>
          </w:p>
          <w:p w14:paraId="0BCDA310">
            <w:pPr>
              <w:pStyle w:val="6"/>
              <w:spacing w:before="25" w:line="218" w:lineRule="auto"/>
              <w:ind w:left="137"/>
              <w:rPr>
                <w:sz w:val="24"/>
                <w:szCs w:val="24"/>
              </w:rPr>
            </w:pPr>
            <w:r>
              <w:rPr>
                <w:spacing w:val="-1"/>
                <w:sz w:val="24"/>
                <w:szCs w:val="24"/>
              </w:rPr>
              <w:t>起火。粉尘或蒸气与空气或氧化剂混合形成爆炸</w:t>
            </w:r>
          </w:p>
          <w:p w14:paraId="073D349D">
            <w:pPr>
              <w:pStyle w:val="6"/>
              <w:spacing w:before="28" w:line="206" w:lineRule="auto"/>
              <w:ind w:left="2059"/>
              <w:rPr>
                <w:sz w:val="24"/>
                <w:szCs w:val="24"/>
              </w:rPr>
            </w:pPr>
            <w:r>
              <w:rPr>
                <w:spacing w:val="-3"/>
                <w:sz w:val="24"/>
                <w:szCs w:val="24"/>
              </w:rPr>
              <w:t>性混合物。</w:t>
            </w:r>
          </w:p>
        </w:tc>
      </w:tr>
      <w:tr w14:paraId="76F08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053DFE4E">
            <w:pPr>
              <w:spacing w:line="319" w:lineRule="auto"/>
              <w:rPr>
                <w:rFonts w:ascii="Arial"/>
                <w:sz w:val="21"/>
              </w:rPr>
            </w:pPr>
          </w:p>
          <w:p w14:paraId="22A436E8">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276" w:type="dxa"/>
            <w:vAlign w:val="top"/>
          </w:tcPr>
          <w:p w14:paraId="0CC23657">
            <w:pPr>
              <w:spacing w:line="268" w:lineRule="auto"/>
              <w:rPr>
                <w:rFonts w:ascii="Arial"/>
                <w:sz w:val="21"/>
              </w:rPr>
            </w:pPr>
          </w:p>
          <w:p w14:paraId="0E4C0897">
            <w:pPr>
              <w:pStyle w:val="6"/>
              <w:spacing w:before="78" w:line="219" w:lineRule="auto"/>
              <w:ind w:left="402"/>
              <w:rPr>
                <w:sz w:val="24"/>
                <w:szCs w:val="24"/>
              </w:rPr>
            </w:pPr>
            <w:r>
              <w:rPr>
                <w:spacing w:val="-5"/>
                <w:sz w:val="24"/>
                <w:szCs w:val="24"/>
              </w:rPr>
              <w:t>焦油</w:t>
            </w:r>
          </w:p>
        </w:tc>
        <w:tc>
          <w:tcPr>
            <w:tcW w:w="1452" w:type="dxa"/>
            <w:vAlign w:val="top"/>
          </w:tcPr>
          <w:p w14:paraId="27625581">
            <w:pPr>
              <w:spacing w:line="319" w:lineRule="auto"/>
              <w:rPr>
                <w:rFonts w:ascii="Arial"/>
                <w:sz w:val="21"/>
              </w:rPr>
            </w:pPr>
          </w:p>
          <w:p w14:paraId="5D4F16CD">
            <w:pPr>
              <w:spacing w:before="69" w:line="188" w:lineRule="auto"/>
              <w:ind w:left="23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8007-45-2</w:t>
            </w:r>
          </w:p>
        </w:tc>
        <w:tc>
          <w:tcPr>
            <w:tcW w:w="5301" w:type="dxa"/>
            <w:vAlign w:val="top"/>
          </w:tcPr>
          <w:p w14:paraId="6F9477C5">
            <w:pPr>
              <w:pStyle w:val="6"/>
              <w:spacing w:before="38" w:line="219" w:lineRule="auto"/>
              <w:ind w:left="137"/>
              <w:rPr>
                <w:sz w:val="24"/>
                <w:szCs w:val="24"/>
              </w:rPr>
            </w:pPr>
            <w:r>
              <w:rPr>
                <w:spacing w:val="-1"/>
                <w:sz w:val="24"/>
                <w:szCs w:val="24"/>
              </w:rPr>
              <w:t>煤焦油是煤焦化过程中得到的一种黑色或黑褐色</w:t>
            </w:r>
          </w:p>
          <w:p w14:paraId="1712BFB4">
            <w:pPr>
              <w:pStyle w:val="6"/>
              <w:spacing w:before="28" w:line="217" w:lineRule="auto"/>
              <w:ind w:left="136"/>
              <w:rPr>
                <w:sz w:val="24"/>
                <w:szCs w:val="24"/>
              </w:rPr>
            </w:pPr>
            <w:r>
              <w:rPr>
                <w:spacing w:val="-1"/>
                <w:sz w:val="24"/>
                <w:szCs w:val="24"/>
              </w:rPr>
              <w:t>粘稠状液体，比重大于水，具有一定溶性和特殊</w:t>
            </w:r>
          </w:p>
          <w:p w14:paraId="19CC11CF">
            <w:pPr>
              <w:pStyle w:val="6"/>
              <w:spacing w:before="27" w:line="206" w:lineRule="auto"/>
              <w:ind w:left="996"/>
              <w:rPr>
                <w:sz w:val="24"/>
                <w:szCs w:val="24"/>
              </w:rPr>
            </w:pPr>
            <w:r>
              <w:rPr>
                <w:spacing w:val="-3"/>
                <w:sz w:val="24"/>
                <w:szCs w:val="24"/>
              </w:rPr>
              <w:t>的臭味，易燃易爆并有腐蚀性。</w:t>
            </w:r>
          </w:p>
        </w:tc>
      </w:tr>
      <w:tr w14:paraId="5D722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498B3FEB">
            <w:pPr>
              <w:spacing w:line="314" w:lineRule="auto"/>
              <w:rPr>
                <w:rFonts w:ascii="Arial"/>
                <w:sz w:val="21"/>
              </w:rPr>
            </w:pPr>
          </w:p>
          <w:p w14:paraId="0C4D73F4">
            <w:pPr>
              <w:spacing w:line="315" w:lineRule="auto"/>
              <w:rPr>
                <w:rFonts w:ascii="Arial"/>
                <w:sz w:val="21"/>
              </w:rPr>
            </w:pPr>
          </w:p>
          <w:p w14:paraId="1E0339A1">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tc>
        <w:tc>
          <w:tcPr>
            <w:tcW w:w="1276" w:type="dxa"/>
            <w:vAlign w:val="top"/>
          </w:tcPr>
          <w:p w14:paraId="7B91365C">
            <w:pPr>
              <w:spacing w:line="289" w:lineRule="auto"/>
              <w:rPr>
                <w:rFonts w:ascii="Arial"/>
                <w:sz w:val="21"/>
              </w:rPr>
            </w:pPr>
          </w:p>
          <w:p w14:paraId="453604E4">
            <w:pPr>
              <w:spacing w:line="289" w:lineRule="auto"/>
              <w:rPr>
                <w:rFonts w:ascii="Arial"/>
                <w:sz w:val="21"/>
              </w:rPr>
            </w:pPr>
          </w:p>
          <w:p w14:paraId="71B0C72D">
            <w:pPr>
              <w:pStyle w:val="6"/>
              <w:spacing w:before="78" w:line="221" w:lineRule="auto"/>
              <w:ind w:left="401"/>
              <w:rPr>
                <w:sz w:val="24"/>
                <w:szCs w:val="24"/>
              </w:rPr>
            </w:pPr>
            <w:r>
              <w:rPr>
                <w:spacing w:val="-5"/>
                <w:sz w:val="24"/>
                <w:szCs w:val="24"/>
              </w:rPr>
              <w:t>硫酸</w:t>
            </w:r>
          </w:p>
        </w:tc>
        <w:tc>
          <w:tcPr>
            <w:tcW w:w="1452" w:type="dxa"/>
            <w:vAlign w:val="top"/>
          </w:tcPr>
          <w:p w14:paraId="2D61783E">
            <w:pPr>
              <w:spacing w:line="314" w:lineRule="auto"/>
              <w:rPr>
                <w:rFonts w:ascii="Arial"/>
                <w:sz w:val="21"/>
              </w:rPr>
            </w:pPr>
          </w:p>
          <w:p w14:paraId="354C0E80">
            <w:pPr>
              <w:spacing w:line="315" w:lineRule="auto"/>
              <w:rPr>
                <w:rFonts w:ascii="Arial"/>
                <w:sz w:val="21"/>
              </w:rPr>
            </w:pPr>
          </w:p>
          <w:p w14:paraId="563EC65C">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7664-93-9</w:t>
            </w:r>
          </w:p>
        </w:tc>
        <w:tc>
          <w:tcPr>
            <w:tcW w:w="5301" w:type="dxa"/>
            <w:vAlign w:val="top"/>
          </w:tcPr>
          <w:p w14:paraId="05DCB828">
            <w:pPr>
              <w:pStyle w:val="6"/>
              <w:spacing w:before="38" w:line="218" w:lineRule="auto"/>
              <w:ind w:left="136"/>
              <w:rPr>
                <w:sz w:val="24"/>
                <w:szCs w:val="24"/>
              </w:rPr>
            </w:pPr>
            <w:r>
              <w:rPr>
                <w:spacing w:val="-1"/>
                <w:sz w:val="24"/>
                <w:szCs w:val="24"/>
              </w:rPr>
              <w:t>遇水大量放热，可发生沸溅。与易燃物（如苯）</w:t>
            </w:r>
          </w:p>
          <w:p w14:paraId="265ED26C">
            <w:pPr>
              <w:pStyle w:val="6"/>
              <w:spacing w:before="28" w:line="216" w:lineRule="auto"/>
              <w:ind w:left="137"/>
              <w:rPr>
                <w:sz w:val="24"/>
                <w:szCs w:val="24"/>
              </w:rPr>
            </w:pPr>
            <w:r>
              <w:rPr>
                <w:spacing w:val="-1"/>
                <w:sz w:val="24"/>
                <w:szCs w:val="24"/>
              </w:rPr>
              <w:t>和可燃物（如糖、纤维素等）接触会发生剧烈反</w:t>
            </w:r>
          </w:p>
          <w:p w14:paraId="7ED57AB7">
            <w:pPr>
              <w:pStyle w:val="6"/>
              <w:spacing w:before="29" w:line="218" w:lineRule="auto"/>
              <w:jc w:val="right"/>
              <w:rPr>
                <w:sz w:val="24"/>
                <w:szCs w:val="24"/>
              </w:rPr>
            </w:pPr>
            <w:r>
              <w:rPr>
                <w:spacing w:val="-6"/>
                <w:sz w:val="24"/>
                <w:szCs w:val="24"/>
              </w:rPr>
              <w:t>应，甚至引起燃烧。遇电石、高氯酸盐、雷酸盐、</w:t>
            </w:r>
          </w:p>
          <w:p w14:paraId="749CF018">
            <w:pPr>
              <w:pStyle w:val="6"/>
              <w:spacing w:before="28" w:line="219" w:lineRule="auto"/>
              <w:ind w:left="138"/>
              <w:rPr>
                <w:sz w:val="24"/>
                <w:szCs w:val="24"/>
              </w:rPr>
            </w:pPr>
            <w:r>
              <w:rPr>
                <w:spacing w:val="-1"/>
                <w:sz w:val="24"/>
                <w:szCs w:val="24"/>
              </w:rPr>
              <w:t>硝酸盐、苦味酸盐、金属粉末等猛烈反应，发生</w:t>
            </w:r>
          </w:p>
          <w:p w14:paraId="7A81E249">
            <w:pPr>
              <w:pStyle w:val="6"/>
              <w:spacing w:before="27" w:line="205" w:lineRule="auto"/>
              <w:ind w:left="496"/>
              <w:rPr>
                <w:sz w:val="24"/>
                <w:szCs w:val="24"/>
              </w:rPr>
            </w:pPr>
            <w:r>
              <w:rPr>
                <w:spacing w:val="-1"/>
                <w:sz w:val="24"/>
                <w:szCs w:val="24"/>
              </w:rPr>
              <w:t>爆炸或燃烧。有强烈的腐蚀性和吸水性。</w:t>
            </w:r>
          </w:p>
        </w:tc>
      </w:tr>
      <w:tr w14:paraId="0E383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7BA9FC47">
            <w:pPr>
              <w:spacing w:line="320" w:lineRule="auto"/>
              <w:rPr>
                <w:rFonts w:ascii="Arial"/>
                <w:sz w:val="21"/>
              </w:rPr>
            </w:pPr>
          </w:p>
          <w:p w14:paraId="6430990D">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19</w:t>
            </w:r>
          </w:p>
        </w:tc>
        <w:tc>
          <w:tcPr>
            <w:tcW w:w="1276" w:type="dxa"/>
            <w:vAlign w:val="top"/>
          </w:tcPr>
          <w:p w14:paraId="5F13D869">
            <w:pPr>
              <w:spacing w:line="270" w:lineRule="auto"/>
              <w:rPr>
                <w:rFonts w:ascii="Arial"/>
                <w:sz w:val="21"/>
              </w:rPr>
            </w:pPr>
          </w:p>
          <w:p w14:paraId="32002AC2">
            <w:pPr>
              <w:pStyle w:val="6"/>
              <w:spacing w:before="78" w:line="218" w:lineRule="auto"/>
              <w:ind w:left="162"/>
              <w:rPr>
                <w:sz w:val="24"/>
                <w:szCs w:val="24"/>
              </w:rPr>
            </w:pPr>
            <w:r>
              <w:rPr>
                <w:spacing w:val="-3"/>
                <w:sz w:val="24"/>
                <w:szCs w:val="24"/>
              </w:rPr>
              <w:t>氢氧化钾</w:t>
            </w:r>
          </w:p>
        </w:tc>
        <w:tc>
          <w:tcPr>
            <w:tcW w:w="1452" w:type="dxa"/>
            <w:vAlign w:val="top"/>
          </w:tcPr>
          <w:p w14:paraId="45D19FF1">
            <w:pPr>
              <w:spacing w:line="320" w:lineRule="auto"/>
              <w:rPr>
                <w:rFonts w:ascii="Arial"/>
                <w:sz w:val="21"/>
              </w:rPr>
            </w:pPr>
          </w:p>
          <w:p w14:paraId="0EC5F57D">
            <w:pPr>
              <w:spacing w:before="69"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1310-58-3</w:t>
            </w:r>
          </w:p>
        </w:tc>
        <w:tc>
          <w:tcPr>
            <w:tcW w:w="5301" w:type="dxa"/>
            <w:vAlign w:val="top"/>
          </w:tcPr>
          <w:p w14:paraId="56AA0F81">
            <w:pPr>
              <w:pStyle w:val="6"/>
              <w:spacing w:before="39" w:line="216" w:lineRule="auto"/>
              <w:ind w:left="141"/>
              <w:rPr>
                <w:sz w:val="24"/>
                <w:szCs w:val="24"/>
              </w:rPr>
            </w:pPr>
            <w:r>
              <w:rPr>
                <w:spacing w:val="-1"/>
                <w:sz w:val="24"/>
                <w:szCs w:val="24"/>
              </w:rPr>
              <w:t>与酸发生中和反应并放热。本品不会燃烧，遇水</w:t>
            </w:r>
          </w:p>
          <w:p w14:paraId="4472B3AB">
            <w:pPr>
              <w:pStyle w:val="6"/>
              <w:spacing w:before="29" w:line="217" w:lineRule="auto"/>
              <w:ind w:left="137"/>
              <w:rPr>
                <w:sz w:val="24"/>
                <w:szCs w:val="24"/>
              </w:rPr>
            </w:pPr>
            <w:r>
              <w:rPr>
                <w:spacing w:val="-1"/>
                <w:sz w:val="24"/>
                <w:szCs w:val="24"/>
              </w:rPr>
              <w:t>和水蒸气大量放热，形成腐蚀性溶液，具有强腐</w:t>
            </w:r>
          </w:p>
          <w:p w14:paraId="16321D06">
            <w:pPr>
              <w:pStyle w:val="6"/>
              <w:spacing w:before="29" w:line="205" w:lineRule="auto"/>
              <w:ind w:left="2296"/>
              <w:rPr>
                <w:sz w:val="24"/>
                <w:szCs w:val="24"/>
              </w:rPr>
            </w:pPr>
            <w:r>
              <w:rPr>
                <w:spacing w:val="-3"/>
                <w:sz w:val="24"/>
                <w:szCs w:val="24"/>
              </w:rPr>
              <w:t>蚀性。</w:t>
            </w:r>
          </w:p>
        </w:tc>
      </w:tr>
      <w:tr w14:paraId="629B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497" w:type="dxa"/>
            <w:vAlign w:val="top"/>
          </w:tcPr>
          <w:p w14:paraId="65B07FE1">
            <w:pPr>
              <w:spacing w:line="320" w:lineRule="auto"/>
              <w:rPr>
                <w:rFonts w:ascii="Arial"/>
                <w:sz w:val="21"/>
              </w:rPr>
            </w:pPr>
          </w:p>
          <w:p w14:paraId="5EE4B3D3">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276" w:type="dxa"/>
            <w:vAlign w:val="top"/>
          </w:tcPr>
          <w:p w14:paraId="5E53CBAD">
            <w:pPr>
              <w:spacing w:line="270" w:lineRule="auto"/>
              <w:rPr>
                <w:rFonts w:ascii="Arial"/>
                <w:sz w:val="21"/>
              </w:rPr>
            </w:pPr>
          </w:p>
          <w:p w14:paraId="15883450">
            <w:pPr>
              <w:pStyle w:val="6"/>
              <w:spacing w:before="78" w:line="218" w:lineRule="auto"/>
              <w:ind w:left="162"/>
              <w:rPr>
                <w:sz w:val="24"/>
                <w:szCs w:val="24"/>
              </w:rPr>
            </w:pPr>
            <w:r>
              <w:rPr>
                <w:spacing w:val="-3"/>
                <w:sz w:val="24"/>
                <w:szCs w:val="24"/>
              </w:rPr>
              <w:t>氢氧化钠</w:t>
            </w:r>
          </w:p>
        </w:tc>
        <w:tc>
          <w:tcPr>
            <w:tcW w:w="1452" w:type="dxa"/>
            <w:vAlign w:val="top"/>
          </w:tcPr>
          <w:p w14:paraId="0F0D51A6">
            <w:pPr>
              <w:spacing w:line="320" w:lineRule="auto"/>
              <w:rPr>
                <w:rFonts w:ascii="Arial"/>
                <w:sz w:val="21"/>
              </w:rPr>
            </w:pPr>
          </w:p>
          <w:p w14:paraId="432874AA">
            <w:pPr>
              <w:spacing w:before="69" w:line="188" w:lineRule="auto"/>
              <w:ind w:left="25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1310-73-2</w:t>
            </w:r>
          </w:p>
        </w:tc>
        <w:tc>
          <w:tcPr>
            <w:tcW w:w="5301" w:type="dxa"/>
            <w:vAlign w:val="top"/>
          </w:tcPr>
          <w:p w14:paraId="373B10AA">
            <w:pPr>
              <w:pStyle w:val="6"/>
              <w:spacing w:before="41" w:line="228" w:lineRule="auto"/>
              <w:ind w:left="136" w:right="128" w:firstLine="5"/>
              <w:jc w:val="both"/>
              <w:rPr>
                <w:sz w:val="24"/>
                <w:szCs w:val="24"/>
              </w:rPr>
            </w:pPr>
            <w:r>
              <w:rPr>
                <w:spacing w:val="-1"/>
                <w:sz w:val="24"/>
                <w:szCs w:val="24"/>
              </w:rPr>
              <w:t>与酸发生中和反应并放热。遇潮时对铝、锌和锡</w:t>
            </w:r>
            <w:r>
              <w:rPr>
                <w:spacing w:val="5"/>
                <w:sz w:val="24"/>
                <w:szCs w:val="24"/>
              </w:rPr>
              <w:t xml:space="preserve"> </w:t>
            </w:r>
            <w:r>
              <w:rPr>
                <w:spacing w:val="-1"/>
                <w:sz w:val="24"/>
                <w:szCs w:val="24"/>
              </w:rPr>
              <w:t>有腐蚀性，并放出易燃易爆的氢气。本品不会燃</w:t>
            </w:r>
            <w:r>
              <w:rPr>
                <w:spacing w:val="11"/>
                <w:sz w:val="24"/>
                <w:szCs w:val="24"/>
              </w:rPr>
              <w:t xml:space="preserve"> </w:t>
            </w:r>
            <w:r>
              <w:rPr>
                <w:spacing w:val="-1"/>
                <w:sz w:val="24"/>
                <w:szCs w:val="24"/>
              </w:rPr>
              <w:t>烧，遇水和水蒸气大量放热，形成腐蚀性溶液，</w:t>
            </w:r>
          </w:p>
        </w:tc>
      </w:tr>
    </w:tbl>
    <w:p w14:paraId="30B5D9DC">
      <w:pPr>
        <w:pStyle w:val="2"/>
      </w:pPr>
    </w:p>
    <w:p w14:paraId="7B44BDB9">
      <w:pPr>
        <w:sectPr>
          <w:footerReference r:id="rId93" w:type="default"/>
          <w:pgSz w:w="11906" w:h="16839"/>
          <w:pgMar w:top="400" w:right="1687" w:bottom="1257" w:left="1687" w:header="0" w:footer="1097" w:gutter="0"/>
          <w:cols w:space="720" w:num="1"/>
        </w:sectPr>
      </w:pPr>
    </w:p>
    <w:p w14:paraId="353809D1">
      <w:pPr>
        <w:spacing w:before="19"/>
      </w:pPr>
    </w:p>
    <w:p w14:paraId="6E9ED4EF">
      <w:pPr>
        <w:spacing w:before="19"/>
      </w:pPr>
    </w:p>
    <w:p w14:paraId="3DB96072">
      <w:pPr>
        <w:spacing w:before="18"/>
      </w:pPr>
    </w:p>
    <w:p w14:paraId="6FCCF177">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3772D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46F726D5">
            <w:pPr>
              <w:pStyle w:val="6"/>
              <w:spacing w:before="127" w:line="210" w:lineRule="auto"/>
              <w:ind w:left="41"/>
              <w:rPr>
                <w:sz w:val="24"/>
                <w:szCs w:val="24"/>
              </w:rPr>
            </w:pPr>
            <w:r>
              <w:rPr>
                <w:spacing w:val="34"/>
                <w:sz w:val="24"/>
                <w:szCs w:val="24"/>
              </w:rPr>
              <w:t>序号</w:t>
            </w:r>
          </w:p>
        </w:tc>
        <w:tc>
          <w:tcPr>
            <w:tcW w:w="1276" w:type="dxa"/>
            <w:vAlign w:val="top"/>
          </w:tcPr>
          <w:p w14:paraId="1BC798C3">
            <w:pPr>
              <w:pStyle w:val="6"/>
              <w:spacing w:before="196" w:line="221" w:lineRule="auto"/>
              <w:ind w:left="405"/>
              <w:rPr>
                <w:sz w:val="24"/>
                <w:szCs w:val="24"/>
              </w:rPr>
            </w:pPr>
            <w:r>
              <w:rPr>
                <w:spacing w:val="-7"/>
                <w:sz w:val="24"/>
                <w:szCs w:val="24"/>
              </w:rPr>
              <w:t>名称</w:t>
            </w:r>
          </w:p>
        </w:tc>
        <w:tc>
          <w:tcPr>
            <w:tcW w:w="1452" w:type="dxa"/>
            <w:vAlign w:val="top"/>
          </w:tcPr>
          <w:p w14:paraId="2292DA86">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228BD0EC">
            <w:pPr>
              <w:pStyle w:val="6"/>
              <w:spacing w:before="195" w:line="219" w:lineRule="auto"/>
              <w:ind w:left="2179"/>
              <w:rPr>
                <w:sz w:val="24"/>
                <w:szCs w:val="24"/>
              </w:rPr>
            </w:pPr>
            <w:r>
              <w:rPr>
                <w:spacing w:val="-4"/>
                <w:sz w:val="24"/>
                <w:szCs w:val="24"/>
              </w:rPr>
              <w:t>危险特征</w:t>
            </w:r>
          </w:p>
        </w:tc>
      </w:tr>
      <w:tr w14:paraId="155E5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97" w:type="dxa"/>
            <w:vAlign w:val="top"/>
          </w:tcPr>
          <w:p w14:paraId="5809E749">
            <w:pPr>
              <w:rPr>
                <w:rFonts w:ascii="Arial"/>
                <w:sz w:val="21"/>
              </w:rPr>
            </w:pPr>
          </w:p>
        </w:tc>
        <w:tc>
          <w:tcPr>
            <w:tcW w:w="1276" w:type="dxa"/>
            <w:vAlign w:val="top"/>
          </w:tcPr>
          <w:p w14:paraId="6A3F3BF9">
            <w:pPr>
              <w:rPr>
                <w:rFonts w:ascii="Arial"/>
                <w:sz w:val="21"/>
              </w:rPr>
            </w:pPr>
          </w:p>
        </w:tc>
        <w:tc>
          <w:tcPr>
            <w:tcW w:w="1452" w:type="dxa"/>
            <w:vAlign w:val="top"/>
          </w:tcPr>
          <w:p w14:paraId="206ED762">
            <w:pPr>
              <w:rPr>
                <w:rFonts w:ascii="Arial"/>
                <w:sz w:val="21"/>
              </w:rPr>
            </w:pPr>
          </w:p>
        </w:tc>
        <w:tc>
          <w:tcPr>
            <w:tcW w:w="5301" w:type="dxa"/>
            <w:vAlign w:val="top"/>
          </w:tcPr>
          <w:p w14:paraId="234FC38C">
            <w:pPr>
              <w:pStyle w:val="6"/>
              <w:spacing w:before="35" w:line="208" w:lineRule="auto"/>
              <w:ind w:left="1821"/>
              <w:rPr>
                <w:sz w:val="24"/>
                <w:szCs w:val="24"/>
              </w:rPr>
            </w:pPr>
            <w:r>
              <w:rPr>
                <w:spacing w:val="-3"/>
                <w:sz w:val="24"/>
                <w:szCs w:val="24"/>
              </w:rPr>
              <w:t>具有强腐蚀性。</w:t>
            </w:r>
          </w:p>
        </w:tc>
      </w:tr>
      <w:tr w14:paraId="4A9E5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0094A6A3">
            <w:pPr>
              <w:spacing w:line="317" w:lineRule="auto"/>
              <w:rPr>
                <w:rFonts w:ascii="Arial"/>
                <w:sz w:val="21"/>
              </w:rPr>
            </w:pPr>
          </w:p>
          <w:p w14:paraId="6544DDDD">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21</w:t>
            </w:r>
          </w:p>
        </w:tc>
        <w:tc>
          <w:tcPr>
            <w:tcW w:w="1276" w:type="dxa"/>
            <w:vAlign w:val="top"/>
          </w:tcPr>
          <w:p w14:paraId="4E455B6C">
            <w:pPr>
              <w:pStyle w:val="6"/>
              <w:spacing w:before="190" w:line="243" w:lineRule="auto"/>
              <w:ind w:left="185" w:right="137" w:hanging="38"/>
              <w:rPr>
                <w:sz w:val="24"/>
                <w:szCs w:val="24"/>
              </w:rPr>
            </w:pPr>
            <w:r>
              <w:rPr>
                <w:spacing w:val="-3"/>
                <w:sz w:val="24"/>
                <w:szCs w:val="24"/>
              </w:rPr>
              <w:t>氯甲酸</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
                <w:sz w:val="24"/>
                <w:szCs w:val="24"/>
              </w:rPr>
              <w:t xml:space="preserve"> </w:t>
            </w:r>
            <w:r>
              <w:rPr>
                <w:spacing w:val="-9"/>
                <w:sz w:val="24"/>
                <w:szCs w:val="24"/>
              </w:rPr>
              <w:t>乙基己酯</w:t>
            </w:r>
          </w:p>
        </w:tc>
        <w:tc>
          <w:tcPr>
            <w:tcW w:w="1452" w:type="dxa"/>
            <w:vAlign w:val="top"/>
          </w:tcPr>
          <w:p w14:paraId="22C92BC7">
            <w:pPr>
              <w:spacing w:line="317" w:lineRule="auto"/>
              <w:rPr>
                <w:rFonts w:ascii="Arial"/>
                <w:sz w:val="21"/>
              </w:rPr>
            </w:pPr>
          </w:p>
          <w:p w14:paraId="465AA847">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24468-13-1</w:t>
            </w:r>
          </w:p>
        </w:tc>
        <w:tc>
          <w:tcPr>
            <w:tcW w:w="5301" w:type="dxa"/>
            <w:vAlign w:val="top"/>
          </w:tcPr>
          <w:p w14:paraId="718EFE01">
            <w:pPr>
              <w:pStyle w:val="6"/>
              <w:spacing w:before="36" w:line="217" w:lineRule="auto"/>
              <w:ind w:left="137"/>
              <w:rPr>
                <w:sz w:val="24"/>
                <w:szCs w:val="24"/>
              </w:rPr>
            </w:pPr>
            <w:r>
              <w:rPr>
                <w:spacing w:val="-1"/>
                <w:sz w:val="24"/>
                <w:szCs w:val="24"/>
              </w:rPr>
              <w:t>其蒸气与空气混合后能形成爆炸性混合物，遇明</w:t>
            </w:r>
          </w:p>
          <w:p w14:paraId="27B912DC">
            <w:pPr>
              <w:pStyle w:val="6"/>
              <w:spacing w:before="27" w:line="218" w:lineRule="auto"/>
              <w:ind w:left="138"/>
              <w:rPr>
                <w:sz w:val="24"/>
                <w:szCs w:val="24"/>
              </w:rPr>
            </w:pPr>
            <w:r>
              <w:rPr>
                <w:spacing w:val="-1"/>
                <w:sz w:val="24"/>
                <w:szCs w:val="24"/>
              </w:rPr>
              <w:t>火、高热可燃，与氧化剂可发生反应，遇水或水</w:t>
            </w:r>
          </w:p>
          <w:p w14:paraId="3FCAA713">
            <w:pPr>
              <w:pStyle w:val="6"/>
              <w:spacing w:before="29" w:line="208" w:lineRule="auto"/>
              <w:ind w:left="499"/>
              <w:rPr>
                <w:sz w:val="24"/>
                <w:szCs w:val="24"/>
              </w:rPr>
            </w:pPr>
            <w:r>
              <w:rPr>
                <w:spacing w:val="-1"/>
                <w:sz w:val="24"/>
                <w:szCs w:val="24"/>
              </w:rPr>
              <w:t>蒸气反应放热并产生有毒的腐蚀性气体。</w:t>
            </w:r>
          </w:p>
        </w:tc>
      </w:tr>
      <w:tr w14:paraId="7E5CC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63DEE803">
            <w:pPr>
              <w:spacing w:line="471" w:lineRule="auto"/>
              <w:rPr>
                <w:rFonts w:ascii="Arial"/>
                <w:sz w:val="21"/>
              </w:rPr>
            </w:pPr>
          </w:p>
          <w:p w14:paraId="7650907B">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22</w:t>
            </w:r>
          </w:p>
        </w:tc>
        <w:tc>
          <w:tcPr>
            <w:tcW w:w="1276" w:type="dxa"/>
            <w:vAlign w:val="top"/>
          </w:tcPr>
          <w:p w14:paraId="39692C66">
            <w:pPr>
              <w:spacing w:line="420" w:lineRule="auto"/>
              <w:rPr>
                <w:rFonts w:ascii="Arial"/>
                <w:sz w:val="21"/>
              </w:rPr>
            </w:pPr>
          </w:p>
          <w:p w14:paraId="6D55D8A9">
            <w:pPr>
              <w:pStyle w:val="6"/>
              <w:spacing w:before="78" w:line="219" w:lineRule="auto"/>
              <w:ind w:left="285"/>
              <w:rPr>
                <w:sz w:val="24"/>
                <w:szCs w:val="24"/>
              </w:rPr>
            </w:pPr>
            <w:r>
              <w:rPr>
                <w:spacing w:val="-5"/>
                <w:sz w:val="24"/>
                <w:szCs w:val="24"/>
              </w:rPr>
              <w:t>溶剂油</w:t>
            </w:r>
          </w:p>
        </w:tc>
        <w:tc>
          <w:tcPr>
            <w:tcW w:w="1452" w:type="dxa"/>
            <w:vAlign w:val="top"/>
          </w:tcPr>
          <w:p w14:paraId="007C581C">
            <w:pPr>
              <w:spacing w:line="466" w:lineRule="auto"/>
              <w:rPr>
                <w:rFonts w:ascii="Arial"/>
                <w:sz w:val="21"/>
              </w:rPr>
            </w:pPr>
          </w:p>
          <w:p w14:paraId="7408757D">
            <w:pPr>
              <w:spacing w:before="69" w:line="192" w:lineRule="auto"/>
              <w:ind w:left="68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301" w:type="dxa"/>
            <w:vAlign w:val="top"/>
          </w:tcPr>
          <w:p w14:paraId="162CFB1A">
            <w:pPr>
              <w:pStyle w:val="6"/>
              <w:spacing w:before="35" w:line="218" w:lineRule="auto"/>
              <w:ind w:left="139"/>
              <w:rPr>
                <w:sz w:val="24"/>
                <w:szCs w:val="24"/>
              </w:rPr>
            </w:pPr>
            <w:r>
              <w:rPr>
                <w:spacing w:val="-1"/>
                <w:sz w:val="24"/>
                <w:szCs w:val="24"/>
              </w:rPr>
              <w:t>溶剂油的蒸气与空气混合后形成爆炸性混合物，</w:t>
            </w:r>
          </w:p>
          <w:p w14:paraId="696CAB6E">
            <w:pPr>
              <w:pStyle w:val="6"/>
              <w:spacing w:before="28" w:line="216" w:lineRule="auto"/>
              <w:ind w:left="136"/>
              <w:rPr>
                <w:sz w:val="24"/>
                <w:szCs w:val="24"/>
              </w:rPr>
            </w:pPr>
            <w:r>
              <w:rPr>
                <w:spacing w:val="-1"/>
                <w:sz w:val="24"/>
                <w:szCs w:val="24"/>
              </w:rPr>
              <w:t>遇明火、高热能会引起燃烧爆炸。其蒸气比空气</w:t>
            </w:r>
          </w:p>
          <w:p w14:paraId="64F8D354">
            <w:pPr>
              <w:pStyle w:val="6"/>
              <w:spacing w:before="28" w:line="216" w:lineRule="auto"/>
              <w:ind w:left="137"/>
              <w:rPr>
                <w:sz w:val="24"/>
                <w:szCs w:val="24"/>
              </w:rPr>
            </w:pPr>
            <w:r>
              <w:rPr>
                <w:spacing w:val="-1"/>
                <w:sz w:val="24"/>
                <w:szCs w:val="24"/>
              </w:rPr>
              <w:t>重，能在较低处扩散到相当远的地方，遇火源会</w:t>
            </w:r>
          </w:p>
          <w:p w14:paraId="08B1A02B">
            <w:pPr>
              <w:pStyle w:val="6"/>
              <w:spacing w:before="32" w:line="207" w:lineRule="auto"/>
              <w:ind w:left="2056"/>
              <w:rPr>
                <w:sz w:val="24"/>
                <w:szCs w:val="24"/>
              </w:rPr>
            </w:pPr>
            <w:r>
              <w:rPr>
                <w:spacing w:val="-2"/>
                <w:sz w:val="24"/>
                <w:szCs w:val="24"/>
              </w:rPr>
              <w:t>着火回燃。</w:t>
            </w:r>
          </w:p>
        </w:tc>
      </w:tr>
      <w:tr w14:paraId="611C6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2251E177">
            <w:pPr>
              <w:spacing w:line="317" w:lineRule="auto"/>
              <w:rPr>
                <w:rFonts w:ascii="Arial"/>
                <w:sz w:val="21"/>
              </w:rPr>
            </w:pPr>
          </w:p>
          <w:p w14:paraId="4A68609C">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23</w:t>
            </w:r>
          </w:p>
        </w:tc>
        <w:tc>
          <w:tcPr>
            <w:tcW w:w="1276" w:type="dxa"/>
            <w:vAlign w:val="top"/>
          </w:tcPr>
          <w:p w14:paraId="112C0063">
            <w:pPr>
              <w:spacing w:line="267" w:lineRule="auto"/>
              <w:rPr>
                <w:rFonts w:ascii="Arial"/>
                <w:sz w:val="21"/>
              </w:rPr>
            </w:pPr>
          </w:p>
          <w:p w14:paraId="3FBFA750">
            <w:pPr>
              <w:pStyle w:val="6"/>
              <w:spacing w:before="78" w:line="219" w:lineRule="auto"/>
              <w:ind w:left="162"/>
              <w:rPr>
                <w:sz w:val="24"/>
                <w:szCs w:val="24"/>
              </w:rPr>
            </w:pPr>
            <w:r>
              <w:rPr>
                <w:spacing w:val="-3"/>
                <w:sz w:val="24"/>
                <w:szCs w:val="24"/>
              </w:rPr>
              <w:t>三氯化铁</w:t>
            </w:r>
          </w:p>
        </w:tc>
        <w:tc>
          <w:tcPr>
            <w:tcW w:w="1452" w:type="dxa"/>
            <w:vAlign w:val="top"/>
          </w:tcPr>
          <w:p w14:paraId="4F571AAB">
            <w:pPr>
              <w:spacing w:line="317" w:lineRule="auto"/>
              <w:rPr>
                <w:rFonts w:ascii="Arial"/>
                <w:sz w:val="21"/>
              </w:rPr>
            </w:pPr>
          </w:p>
          <w:p w14:paraId="055E9AAD">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7705-08-0</w:t>
            </w:r>
          </w:p>
        </w:tc>
        <w:tc>
          <w:tcPr>
            <w:tcW w:w="5301" w:type="dxa"/>
            <w:vAlign w:val="top"/>
          </w:tcPr>
          <w:p w14:paraId="15439119">
            <w:pPr>
              <w:pStyle w:val="6"/>
              <w:spacing w:before="38" w:line="228" w:lineRule="auto"/>
              <w:ind w:left="136" w:right="128" w:firstLine="4"/>
              <w:jc w:val="both"/>
              <w:rPr>
                <w:sz w:val="24"/>
                <w:szCs w:val="24"/>
              </w:rPr>
            </w:pPr>
            <w:r>
              <w:rPr>
                <w:spacing w:val="-1"/>
                <w:sz w:val="24"/>
                <w:szCs w:val="24"/>
              </w:rPr>
              <w:t>一种黑色晶体或棕色固体，常温下为有刺激气味</w:t>
            </w:r>
            <w:r>
              <w:rPr>
                <w:spacing w:val="6"/>
                <w:sz w:val="24"/>
                <w:szCs w:val="24"/>
              </w:rPr>
              <w:t xml:space="preserve"> </w:t>
            </w:r>
            <w:r>
              <w:rPr>
                <w:spacing w:val="-1"/>
                <w:sz w:val="24"/>
                <w:szCs w:val="24"/>
              </w:rPr>
              <w:t>的结晶体。它可以溶于水和氯化物，并在水中迅</w:t>
            </w:r>
            <w:r>
              <w:rPr>
                <w:spacing w:val="11"/>
                <w:sz w:val="24"/>
                <w:szCs w:val="24"/>
              </w:rPr>
              <w:t xml:space="preserve"> </w:t>
            </w:r>
            <w:r>
              <w:rPr>
                <w:spacing w:val="-1"/>
                <w:sz w:val="24"/>
                <w:szCs w:val="24"/>
              </w:rPr>
              <w:t>速水解，产生黄棕色溶液，具有高度的腐蚀性。</w:t>
            </w:r>
          </w:p>
        </w:tc>
      </w:tr>
      <w:tr w14:paraId="730C2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497" w:type="dxa"/>
            <w:vAlign w:val="top"/>
          </w:tcPr>
          <w:p w14:paraId="2D6EBF19">
            <w:pPr>
              <w:spacing w:line="249" w:lineRule="auto"/>
              <w:rPr>
                <w:rFonts w:ascii="Arial"/>
                <w:sz w:val="21"/>
              </w:rPr>
            </w:pPr>
          </w:p>
          <w:p w14:paraId="14C3353B">
            <w:pPr>
              <w:spacing w:line="249" w:lineRule="auto"/>
              <w:rPr>
                <w:rFonts w:ascii="Arial"/>
                <w:sz w:val="21"/>
              </w:rPr>
            </w:pPr>
          </w:p>
          <w:p w14:paraId="063AC2A1">
            <w:pPr>
              <w:spacing w:line="250" w:lineRule="auto"/>
              <w:rPr>
                <w:rFonts w:ascii="Arial"/>
                <w:sz w:val="21"/>
              </w:rPr>
            </w:pPr>
          </w:p>
          <w:p w14:paraId="7A997F80">
            <w:pPr>
              <w:spacing w:line="250" w:lineRule="auto"/>
              <w:rPr>
                <w:rFonts w:ascii="Arial"/>
                <w:sz w:val="21"/>
              </w:rPr>
            </w:pPr>
          </w:p>
          <w:p w14:paraId="34BC9D4D">
            <w:pPr>
              <w:spacing w:line="250" w:lineRule="auto"/>
              <w:rPr>
                <w:rFonts w:ascii="Arial"/>
                <w:sz w:val="21"/>
              </w:rPr>
            </w:pPr>
          </w:p>
          <w:p w14:paraId="6A934B05">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tc>
        <w:tc>
          <w:tcPr>
            <w:tcW w:w="1276" w:type="dxa"/>
            <w:vAlign w:val="top"/>
          </w:tcPr>
          <w:p w14:paraId="13E0C18E">
            <w:pPr>
              <w:spacing w:line="299" w:lineRule="auto"/>
              <w:rPr>
                <w:rFonts w:ascii="Arial"/>
                <w:sz w:val="21"/>
              </w:rPr>
            </w:pPr>
          </w:p>
          <w:p w14:paraId="5AC70009">
            <w:pPr>
              <w:spacing w:line="299" w:lineRule="auto"/>
              <w:rPr>
                <w:rFonts w:ascii="Arial"/>
                <w:sz w:val="21"/>
              </w:rPr>
            </w:pPr>
          </w:p>
          <w:p w14:paraId="652DDC3A">
            <w:pPr>
              <w:spacing w:line="299" w:lineRule="auto"/>
              <w:rPr>
                <w:rFonts w:ascii="Arial"/>
                <w:sz w:val="21"/>
              </w:rPr>
            </w:pPr>
          </w:p>
          <w:p w14:paraId="113EB548">
            <w:pPr>
              <w:spacing w:line="300" w:lineRule="auto"/>
              <w:rPr>
                <w:rFonts w:ascii="Arial"/>
                <w:sz w:val="21"/>
              </w:rPr>
            </w:pPr>
          </w:p>
          <w:p w14:paraId="5433BC80">
            <w:pPr>
              <w:pStyle w:val="6"/>
              <w:spacing w:before="78" w:line="218" w:lineRule="auto"/>
              <w:ind w:left="162"/>
              <w:rPr>
                <w:sz w:val="24"/>
                <w:szCs w:val="24"/>
              </w:rPr>
            </w:pPr>
            <w:r>
              <w:rPr>
                <w:spacing w:val="-3"/>
                <w:sz w:val="24"/>
                <w:szCs w:val="24"/>
              </w:rPr>
              <w:t>三氯氢硅</w:t>
            </w:r>
          </w:p>
        </w:tc>
        <w:tc>
          <w:tcPr>
            <w:tcW w:w="1452" w:type="dxa"/>
            <w:vAlign w:val="top"/>
          </w:tcPr>
          <w:p w14:paraId="468C43EE">
            <w:pPr>
              <w:spacing w:line="249" w:lineRule="auto"/>
              <w:rPr>
                <w:rFonts w:ascii="Arial"/>
                <w:sz w:val="21"/>
              </w:rPr>
            </w:pPr>
          </w:p>
          <w:p w14:paraId="13920CF3">
            <w:pPr>
              <w:spacing w:line="249" w:lineRule="auto"/>
              <w:rPr>
                <w:rFonts w:ascii="Arial"/>
                <w:sz w:val="21"/>
              </w:rPr>
            </w:pPr>
          </w:p>
          <w:p w14:paraId="538E920E">
            <w:pPr>
              <w:spacing w:line="249" w:lineRule="auto"/>
              <w:rPr>
                <w:rFonts w:ascii="Arial"/>
                <w:sz w:val="21"/>
              </w:rPr>
            </w:pPr>
          </w:p>
          <w:p w14:paraId="78748F13">
            <w:pPr>
              <w:spacing w:line="250" w:lineRule="auto"/>
              <w:rPr>
                <w:rFonts w:ascii="Arial"/>
                <w:sz w:val="21"/>
              </w:rPr>
            </w:pPr>
          </w:p>
          <w:p w14:paraId="043B80BF">
            <w:pPr>
              <w:spacing w:line="250" w:lineRule="auto"/>
              <w:rPr>
                <w:rFonts w:ascii="Arial"/>
                <w:sz w:val="21"/>
              </w:rPr>
            </w:pPr>
          </w:p>
          <w:p w14:paraId="5C500B01">
            <w:pPr>
              <w:spacing w:before="69" w:line="188" w:lineRule="auto"/>
              <w:ind w:left="1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10025-78-2</w:t>
            </w:r>
          </w:p>
        </w:tc>
        <w:tc>
          <w:tcPr>
            <w:tcW w:w="5301" w:type="dxa"/>
            <w:vAlign w:val="top"/>
          </w:tcPr>
          <w:p w14:paraId="20501CC9">
            <w:pPr>
              <w:pStyle w:val="6"/>
              <w:spacing w:before="37" w:line="217" w:lineRule="auto"/>
              <w:jc w:val="right"/>
              <w:rPr>
                <w:sz w:val="24"/>
                <w:szCs w:val="24"/>
              </w:rPr>
            </w:pPr>
            <w:r>
              <w:rPr>
                <w:spacing w:val="-6"/>
                <w:sz w:val="24"/>
                <w:szCs w:val="24"/>
              </w:rPr>
              <w:t>常温常压下为具有刺激性恶臭、易流动、易挥发、</w:t>
            </w:r>
          </w:p>
          <w:p w14:paraId="3149F66B">
            <w:pPr>
              <w:pStyle w:val="6"/>
              <w:spacing w:before="29" w:line="218" w:lineRule="auto"/>
              <w:ind w:left="152"/>
              <w:rPr>
                <w:sz w:val="24"/>
                <w:szCs w:val="24"/>
              </w:rPr>
            </w:pPr>
            <w:r>
              <w:rPr>
                <w:spacing w:val="-2"/>
                <w:sz w:val="24"/>
                <w:szCs w:val="24"/>
              </w:rPr>
              <w:t>易潮解的无色透明液体，极易水解，遇水或水蒸</w:t>
            </w:r>
          </w:p>
          <w:p w14:paraId="2EF6C8B1">
            <w:pPr>
              <w:pStyle w:val="6"/>
              <w:spacing w:before="25" w:line="219" w:lineRule="auto"/>
              <w:ind w:left="137"/>
              <w:rPr>
                <w:sz w:val="24"/>
                <w:szCs w:val="24"/>
              </w:rPr>
            </w:pPr>
            <w:r>
              <w:rPr>
                <w:spacing w:val="-1"/>
                <w:sz w:val="24"/>
                <w:szCs w:val="24"/>
              </w:rPr>
              <w:t>气能产生热和有毒的腐蚀性烟雾。三氯硅烷与空</w:t>
            </w:r>
          </w:p>
          <w:p w14:paraId="24DF8B6E">
            <w:pPr>
              <w:pStyle w:val="6"/>
              <w:spacing w:before="27" w:line="218" w:lineRule="auto"/>
              <w:ind w:left="137"/>
              <w:rPr>
                <w:sz w:val="24"/>
                <w:szCs w:val="24"/>
              </w:rPr>
            </w:pPr>
            <w:r>
              <w:rPr>
                <w:spacing w:val="-1"/>
                <w:sz w:val="24"/>
                <w:szCs w:val="24"/>
              </w:rPr>
              <w:t>气混合后形成爆炸性混合物，遇明火、高热极易</w:t>
            </w:r>
          </w:p>
          <w:p w14:paraId="31A99DD7">
            <w:pPr>
              <w:pStyle w:val="6"/>
              <w:spacing w:before="29" w:line="217" w:lineRule="auto"/>
              <w:ind w:left="137"/>
              <w:rPr>
                <w:sz w:val="24"/>
                <w:szCs w:val="24"/>
              </w:rPr>
            </w:pPr>
            <w:r>
              <w:rPr>
                <w:spacing w:val="-1"/>
                <w:sz w:val="24"/>
                <w:szCs w:val="24"/>
              </w:rPr>
              <w:t>燃烧爆炸，其蒸气比空气重，能在较低处扩散，</w:t>
            </w:r>
          </w:p>
          <w:p w14:paraId="2887A13C">
            <w:pPr>
              <w:pStyle w:val="6"/>
              <w:spacing w:before="30" w:line="219" w:lineRule="auto"/>
              <w:ind w:left="137"/>
              <w:rPr>
                <w:sz w:val="24"/>
                <w:szCs w:val="24"/>
              </w:rPr>
            </w:pPr>
            <w:r>
              <w:rPr>
                <w:spacing w:val="-1"/>
                <w:sz w:val="24"/>
                <w:szCs w:val="24"/>
              </w:rPr>
              <w:t>增加火灾风险。三氯硅烷对眼和呼吸道黏膜有强</w:t>
            </w:r>
          </w:p>
          <w:p w14:paraId="1CFAF3F7">
            <w:pPr>
              <w:pStyle w:val="6"/>
              <w:spacing w:before="24" w:line="216" w:lineRule="auto"/>
              <w:ind w:left="140"/>
              <w:rPr>
                <w:sz w:val="24"/>
                <w:szCs w:val="24"/>
              </w:rPr>
            </w:pPr>
            <w:r>
              <w:rPr>
                <w:spacing w:val="-1"/>
                <w:sz w:val="24"/>
                <w:szCs w:val="24"/>
              </w:rPr>
              <w:t>烈刺激作用，急性中毒时会出现流泪、咳嗽、气</w:t>
            </w:r>
          </w:p>
          <w:p w14:paraId="5A143EBC">
            <w:pPr>
              <w:pStyle w:val="6"/>
              <w:spacing w:before="32" w:line="219" w:lineRule="auto"/>
              <w:ind w:left="144"/>
              <w:rPr>
                <w:sz w:val="24"/>
                <w:szCs w:val="24"/>
              </w:rPr>
            </w:pPr>
            <w:r>
              <w:rPr>
                <w:spacing w:val="-1"/>
                <w:sz w:val="24"/>
                <w:szCs w:val="24"/>
              </w:rPr>
              <w:t>急、胸闷等症状，严重时可导致肺水肿。皮肤接</w:t>
            </w:r>
          </w:p>
          <w:p w14:paraId="6709630F">
            <w:pPr>
              <w:pStyle w:val="6"/>
              <w:spacing w:before="27" w:line="206" w:lineRule="auto"/>
              <w:ind w:left="1576"/>
              <w:rPr>
                <w:sz w:val="24"/>
                <w:szCs w:val="24"/>
              </w:rPr>
            </w:pPr>
            <w:r>
              <w:rPr>
                <w:spacing w:val="-2"/>
                <w:sz w:val="24"/>
                <w:szCs w:val="24"/>
              </w:rPr>
              <w:t>触其液体可引起灼伤</w:t>
            </w:r>
          </w:p>
        </w:tc>
      </w:tr>
      <w:tr w14:paraId="704FE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7" w:type="dxa"/>
            <w:vAlign w:val="top"/>
          </w:tcPr>
          <w:p w14:paraId="56D9B36D">
            <w:pPr>
              <w:spacing w:line="260" w:lineRule="auto"/>
              <w:rPr>
                <w:rFonts w:ascii="Arial"/>
                <w:sz w:val="21"/>
              </w:rPr>
            </w:pPr>
          </w:p>
          <w:p w14:paraId="275194A4">
            <w:pPr>
              <w:spacing w:line="261" w:lineRule="auto"/>
              <w:rPr>
                <w:rFonts w:ascii="Arial"/>
                <w:sz w:val="21"/>
              </w:rPr>
            </w:pPr>
          </w:p>
          <w:p w14:paraId="79CC87CC">
            <w:pPr>
              <w:spacing w:line="261" w:lineRule="auto"/>
              <w:rPr>
                <w:rFonts w:ascii="Arial"/>
                <w:sz w:val="21"/>
              </w:rPr>
            </w:pPr>
          </w:p>
          <w:p w14:paraId="52DCDB92">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1276" w:type="dxa"/>
            <w:vAlign w:val="top"/>
          </w:tcPr>
          <w:p w14:paraId="3E944BE8">
            <w:pPr>
              <w:spacing w:line="289" w:lineRule="auto"/>
              <w:rPr>
                <w:rFonts w:ascii="Arial"/>
                <w:sz w:val="21"/>
              </w:rPr>
            </w:pPr>
          </w:p>
          <w:p w14:paraId="67081A07">
            <w:pPr>
              <w:spacing w:line="289" w:lineRule="auto"/>
              <w:rPr>
                <w:rFonts w:ascii="Arial"/>
                <w:sz w:val="21"/>
              </w:rPr>
            </w:pPr>
          </w:p>
          <w:p w14:paraId="15A86F2F">
            <w:pPr>
              <w:pStyle w:val="6"/>
              <w:spacing w:before="78" w:line="219" w:lineRule="auto"/>
              <w:ind w:left="185"/>
              <w:rPr>
                <w:sz w:val="24"/>
                <w:szCs w:val="24"/>
              </w:rPr>
            </w:pPr>
            <w:r>
              <w:rPr>
                <w:spacing w:val="-8"/>
                <w:sz w:val="24"/>
                <w:szCs w:val="24"/>
              </w:rPr>
              <w:t>四氧化二</w:t>
            </w:r>
          </w:p>
          <w:p w14:paraId="444FE6C7">
            <w:pPr>
              <w:pStyle w:val="6"/>
              <w:spacing w:before="25" w:line="216" w:lineRule="auto"/>
              <w:ind w:left="520"/>
              <w:rPr>
                <w:sz w:val="24"/>
                <w:szCs w:val="24"/>
              </w:rPr>
            </w:pPr>
            <w:r>
              <w:rPr>
                <w:sz w:val="24"/>
                <w:szCs w:val="24"/>
              </w:rPr>
              <w:t>氮</w:t>
            </w:r>
          </w:p>
        </w:tc>
        <w:tc>
          <w:tcPr>
            <w:tcW w:w="1452" w:type="dxa"/>
            <w:vAlign w:val="top"/>
          </w:tcPr>
          <w:p w14:paraId="64285C2F">
            <w:pPr>
              <w:spacing w:line="260" w:lineRule="auto"/>
              <w:rPr>
                <w:rFonts w:ascii="Arial"/>
                <w:sz w:val="21"/>
              </w:rPr>
            </w:pPr>
          </w:p>
          <w:p w14:paraId="5B25A059">
            <w:pPr>
              <w:spacing w:line="261" w:lineRule="auto"/>
              <w:rPr>
                <w:rFonts w:ascii="Arial"/>
                <w:sz w:val="21"/>
              </w:rPr>
            </w:pPr>
          </w:p>
          <w:p w14:paraId="3A5DB6DC">
            <w:pPr>
              <w:spacing w:line="261" w:lineRule="auto"/>
              <w:rPr>
                <w:rFonts w:ascii="Arial"/>
                <w:sz w:val="21"/>
              </w:rPr>
            </w:pPr>
          </w:p>
          <w:p w14:paraId="3F7305A2">
            <w:pPr>
              <w:spacing w:before="69" w:line="188" w:lineRule="auto"/>
              <w:ind w:left="1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10544-72-6</w:t>
            </w:r>
          </w:p>
        </w:tc>
        <w:tc>
          <w:tcPr>
            <w:tcW w:w="5301" w:type="dxa"/>
            <w:vAlign w:val="top"/>
          </w:tcPr>
          <w:p w14:paraId="49CB95A4">
            <w:pPr>
              <w:pStyle w:val="6"/>
              <w:spacing w:before="36" w:line="216" w:lineRule="auto"/>
              <w:ind w:left="159"/>
              <w:rPr>
                <w:sz w:val="24"/>
                <w:szCs w:val="24"/>
              </w:rPr>
            </w:pPr>
            <w:r>
              <w:rPr>
                <w:spacing w:val="-2"/>
                <w:sz w:val="24"/>
                <w:szCs w:val="24"/>
              </w:rPr>
              <w:t>四氧化二氮不燃烧但助燃，能与可燃物剧烈反应</w:t>
            </w:r>
          </w:p>
          <w:p w14:paraId="732C1F00">
            <w:pPr>
              <w:pStyle w:val="6"/>
              <w:spacing w:before="31" w:line="216" w:lineRule="auto"/>
              <w:ind w:left="154"/>
              <w:rPr>
                <w:sz w:val="24"/>
                <w:szCs w:val="24"/>
              </w:rPr>
            </w:pPr>
            <w:r>
              <w:rPr>
                <w:spacing w:val="-2"/>
                <w:sz w:val="24"/>
                <w:szCs w:val="24"/>
              </w:rPr>
              <w:t>引发爆炸，且遇水有腐蚀性。燃烧产物会产生氮</w:t>
            </w:r>
          </w:p>
          <w:p w14:paraId="239A10E9">
            <w:pPr>
              <w:pStyle w:val="6"/>
              <w:spacing w:before="31" w:line="219" w:lineRule="auto"/>
              <w:ind w:left="137"/>
              <w:rPr>
                <w:sz w:val="24"/>
                <w:szCs w:val="24"/>
              </w:rPr>
            </w:pPr>
            <w:r>
              <w:rPr>
                <w:spacing w:val="-1"/>
                <w:sz w:val="24"/>
                <w:szCs w:val="24"/>
              </w:rPr>
              <w:t>氧化物。通过吸入进入人体，初期症状包括轻微</w:t>
            </w:r>
          </w:p>
          <w:p w14:paraId="18FCDA31">
            <w:pPr>
              <w:pStyle w:val="6"/>
              <w:spacing w:before="24" w:line="219" w:lineRule="auto"/>
              <w:ind w:left="156"/>
              <w:rPr>
                <w:sz w:val="24"/>
                <w:szCs w:val="24"/>
              </w:rPr>
            </w:pPr>
            <w:r>
              <w:rPr>
                <w:spacing w:val="-2"/>
                <w:sz w:val="24"/>
                <w:szCs w:val="24"/>
              </w:rPr>
              <w:t>的眼部和上呼吸道刺激。长期暴露可能导致迟发</w:t>
            </w:r>
          </w:p>
          <w:p w14:paraId="206C417B">
            <w:pPr>
              <w:pStyle w:val="6"/>
              <w:spacing w:before="27" w:line="219" w:lineRule="auto"/>
              <w:ind w:left="139"/>
              <w:rPr>
                <w:sz w:val="24"/>
                <w:szCs w:val="24"/>
              </w:rPr>
            </w:pPr>
            <w:r>
              <w:rPr>
                <w:spacing w:val="-1"/>
                <w:sz w:val="24"/>
                <w:szCs w:val="24"/>
              </w:rPr>
              <w:t>性肺水肿、呼吸窘迫等严重后果，甚至并发气胸</w:t>
            </w:r>
          </w:p>
          <w:p w14:paraId="30C21473">
            <w:pPr>
              <w:pStyle w:val="6"/>
              <w:spacing w:before="28" w:line="205" w:lineRule="auto"/>
              <w:ind w:left="1937"/>
              <w:rPr>
                <w:sz w:val="24"/>
                <w:szCs w:val="24"/>
              </w:rPr>
            </w:pPr>
            <w:r>
              <w:rPr>
                <w:spacing w:val="-2"/>
                <w:sz w:val="24"/>
                <w:szCs w:val="24"/>
              </w:rPr>
              <w:t>和纵隔气肿。</w:t>
            </w:r>
          </w:p>
        </w:tc>
      </w:tr>
      <w:tr w14:paraId="77DCD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97" w:type="dxa"/>
            <w:vAlign w:val="top"/>
          </w:tcPr>
          <w:p w14:paraId="61DEFA94">
            <w:pPr>
              <w:spacing w:line="313" w:lineRule="auto"/>
              <w:rPr>
                <w:rFonts w:ascii="Arial"/>
                <w:sz w:val="21"/>
              </w:rPr>
            </w:pPr>
          </w:p>
          <w:p w14:paraId="0996E0E0">
            <w:pPr>
              <w:spacing w:line="313" w:lineRule="auto"/>
              <w:rPr>
                <w:rFonts w:ascii="Arial"/>
                <w:sz w:val="21"/>
              </w:rPr>
            </w:pPr>
          </w:p>
          <w:p w14:paraId="1BD6C8F3">
            <w:pPr>
              <w:spacing w:line="314" w:lineRule="auto"/>
              <w:rPr>
                <w:rFonts w:ascii="Arial"/>
                <w:sz w:val="21"/>
              </w:rPr>
            </w:pPr>
          </w:p>
          <w:p w14:paraId="44F5414D">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26</w:t>
            </w:r>
          </w:p>
        </w:tc>
        <w:tc>
          <w:tcPr>
            <w:tcW w:w="1276" w:type="dxa"/>
            <w:vAlign w:val="top"/>
          </w:tcPr>
          <w:p w14:paraId="1153FC2F">
            <w:pPr>
              <w:spacing w:line="296" w:lineRule="auto"/>
              <w:rPr>
                <w:rFonts w:ascii="Arial"/>
                <w:sz w:val="21"/>
              </w:rPr>
            </w:pPr>
          </w:p>
          <w:p w14:paraId="77808196">
            <w:pPr>
              <w:spacing w:line="296" w:lineRule="auto"/>
              <w:rPr>
                <w:rFonts w:ascii="Arial"/>
                <w:sz w:val="21"/>
              </w:rPr>
            </w:pPr>
          </w:p>
          <w:p w14:paraId="682E2641">
            <w:pPr>
              <w:spacing w:line="297" w:lineRule="auto"/>
              <w:rPr>
                <w:rFonts w:ascii="Arial"/>
                <w:sz w:val="21"/>
              </w:rPr>
            </w:pPr>
          </w:p>
          <w:p w14:paraId="05E16D88">
            <w:pPr>
              <w:pStyle w:val="6"/>
              <w:spacing w:before="78" w:line="221" w:lineRule="auto"/>
              <w:ind w:left="401"/>
              <w:rPr>
                <w:sz w:val="24"/>
                <w:szCs w:val="24"/>
              </w:rPr>
            </w:pPr>
            <w:r>
              <w:rPr>
                <w:spacing w:val="-5"/>
                <w:sz w:val="24"/>
                <w:szCs w:val="24"/>
              </w:rPr>
              <w:t>洗油</w:t>
            </w:r>
          </w:p>
        </w:tc>
        <w:tc>
          <w:tcPr>
            <w:tcW w:w="1452" w:type="dxa"/>
            <w:vAlign w:val="top"/>
          </w:tcPr>
          <w:p w14:paraId="340E8F1D">
            <w:pPr>
              <w:spacing w:line="311" w:lineRule="auto"/>
              <w:rPr>
                <w:rFonts w:ascii="Arial"/>
                <w:sz w:val="21"/>
              </w:rPr>
            </w:pPr>
          </w:p>
          <w:p w14:paraId="3A10A70E">
            <w:pPr>
              <w:spacing w:line="312" w:lineRule="auto"/>
              <w:rPr>
                <w:rFonts w:ascii="Arial"/>
                <w:sz w:val="21"/>
              </w:rPr>
            </w:pPr>
          </w:p>
          <w:p w14:paraId="6E1E1116">
            <w:pPr>
              <w:spacing w:line="312" w:lineRule="auto"/>
              <w:rPr>
                <w:rFonts w:ascii="Arial"/>
                <w:sz w:val="21"/>
              </w:rPr>
            </w:pPr>
          </w:p>
          <w:p w14:paraId="3BC93ABB">
            <w:pPr>
              <w:spacing w:before="69" w:line="192" w:lineRule="auto"/>
              <w:ind w:left="689"/>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301" w:type="dxa"/>
            <w:vAlign w:val="top"/>
          </w:tcPr>
          <w:p w14:paraId="677B0B46">
            <w:pPr>
              <w:pStyle w:val="6"/>
              <w:spacing w:before="39" w:line="219" w:lineRule="auto"/>
              <w:ind w:left="256"/>
              <w:rPr>
                <w:sz w:val="24"/>
                <w:szCs w:val="24"/>
              </w:rPr>
            </w:pPr>
            <w:r>
              <w:rPr>
                <w:spacing w:val="-1"/>
                <w:sz w:val="24"/>
                <w:szCs w:val="24"/>
              </w:rPr>
              <w:t>洗油是一种在煤焦油精馏过程中产生的重要馏</w:t>
            </w:r>
          </w:p>
          <w:p w14:paraId="25A6DFC7">
            <w:pPr>
              <w:pStyle w:val="6"/>
              <w:spacing w:before="27" w:line="219" w:lineRule="auto"/>
              <w:ind w:left="139"/>
              <w:rPr>
                <w:sz w:val="24"/>
                <w:szCs w:val="24"/>
              </w:rPr>
            </w:pPr>
            <w:r>
              <w:rPr>
                <w:sz w:val="24"/>
                <w:szCs w:val="24"/>
              </w:rPr>
              <w:t>分，主要用于从煤气中洗出苯或萘系化合物，一</w:t>
            </w:r>
          </w:p>
          <w:p w14:paraId="6021B67D">
            <w:pPr>
              <w:pStyle w:val="6"/>
              <w:spacing w:before="25" w:line="215" w:lineRule="auto"/>
              <w:ind w:left="136"/>
              <w:rPr>
                <w:sz w:val="24"/>
                <w:szCs w:val="24"/>
              </w:rPr>
            </w:pPr>
            <w:r>
              <w:rPr>
                <w:spacing w:val="-1"/>
                <w:sz w:val="24"/>
                <w:szCs w:val="24"/>
              </w:rPr>
              <w:t>般为黄褐色或棕色油状液体，富含多种有机化合</w:t>
            </w:r>
          </w:p>
          <w:p w14:paraId="0944888D">
            <w:pPr>
              <w:pStyle w:val="6"/>
              <w:spacing w:before="32" w:line="216" w:lineRule="auto"/>
              <w:ind w:left="136"/>
              <w:rPr>
                <w:sz w:val="24"/>
                <w:szCs w:val="24"/>
              </w:rPr>
            </w:pPr>
            <w:r>
              <w:rPr>
                <w:spacing w:val="-1"/>
                <w:sz w:val="24"/>
                <w:szCs w:val="24"/>
              </w:rPr>
              <w:t>物，如萘类、苊、芴、氧芴、酚、氮杂芳环化合</w:t>
            </w:r>
          </w:p>
          <w:p w14:paraId="198EAA80">
            <w:pPr>
              <w:pStyle w:val="6"/>
              <w:spacing w:before="31" w:line="217" w:lineRule="auto"/>
              <w:ind w:left="136"/>
              <w:rPr>
                <w:sz w:val="24"/>
                <w:szCs w:val="24"/>
              </w:rPr>
            </w:pPr>
            <w:r>
              <w:rPr>
                <w:spacing w:val="-1"/>
                <w:sz w:val="24"/>
                <w:szCs w:val="24"/>
              </w:rPr>
              <w:t>物等。具有燃烧性，使用时需谨慎，特别是在存</w:t>
            </w:r>
          </w:p>
          <w:p w14:paraId="76411231">
            <w:pPr>
              <w:pStyle w:val="6"/>
              <w:spacing w:before="27" w:line="218" w:lineRule="auto"/>
              <w:ind w:left="136"/>
              <w:rPr>
                <w:sz w:val="24"/>
                <w:szCs w:val="24"/>
              </w:rPr>
            </w:pPr>
            <w:r>
              <w:rPr>
                <w:spacing w:val="-1"/>
                <w:sz w:val="24"/>
                <w:szCs w:val="24"/>
              </w:rPr>
              <w:t>储、使用和处理时，应远离火源和氧化剂等易燃</w:t>
            </w:r>
          </w:p>
          <w:p w14:paraId="77B96B1B">
            <w:pPr>
              <w:pStyle w:val="6"/>
              <w:spacing w:before="28" w:line="205" w:lineRule="auto"/>
              <w:ind w:left="2296"/>
              <w:rPr>
                <w:sz w:val="24"/>
                <w:szCs w:val="24"/>
              </w:rPr>
            </w:pPr>
            <w:r>
              <w:rPr>
                <w:spacing w:val="-4"/>
                <w:sz w:val="24"/>
                <w:szCs w:val="24"/>
              </w:rPr>
              <w:t>物品。</w:t>
            </w:r>
          </w:p>
        </w:tc>
      </w:tr>
      <w:tr w14:paraId="23F2B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4DDF41F7">
            <w:pPr>
              <w:spacing w:line="315" w:lineRule="auto"/>
              <w:rPr>
                <w:rFonts w:ascii="Arial"/>
                <w:sz w:val="21"/>
              </w:rPr>
            </w:pPr>
          </w:p>
          <w:p w14:paraId="5374D752">
            <w:pPr>
              <w:spacing w:line="316" w:lineRule="auto"/>
              <w:rPr>
                <w:rFonts w:ascii="Arial"/>
                <w:sz w:val="21"/>
              </w:rPr>
            </w:pPr>
          </w:p>
          <w:p w14:paraId="5ADF6709">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1276" w:type="dxa"/>
            <w:vAlign w:val="top"/>
          </w:tcPr>
          <w:p w14:paraId="4EFBC358">
            <w:pPr>
              <w:spacing w:line="290" w:lineRule="auto"/>
              <w:rPr>
                <w:rFonts w:ascii="Arial"/>
                <w:sz w:val="21"/>
              </w:rPr>
            </w:pPr>
          </w:p>
          <w:p w14:paraId="1478FF1E">
            <w:pPr>
              <w:spacing w:line="290" w:lineRule="auto"/>
              <w:rPr>
                <w:rFonts w:ascii="Arial"/>
                <w:sz w:val="21"/>
              </w:rPr>
            </w:pPr>
          </w:p>
          <w:p w14:paraId="5A14A8F1">
            <w:pPr>
              <w:pStyle w:val="6"/>
              <w:spacing w:before="78" w:line="221" w:lineRule="auto"/>
              <w:ind w:left="404"/>
              <w:rPr>
                <w:sz w:val="24"/>
                <w:szCs w:val="24"/>
              </w:rPr>
            </w:pPr>
            <w:r>
              <w:rPr>
                <w:spacing w:val="-6"/>
                <w:sz w:val="24"/>
                <w:szCs w:val="24"/>
              </w:rPr>
              <w:t>硝酸</w:t>
            </w:r>
          </w:p>
        </w:tc>
        <w:tc>
          <w:tcPr>
            <w:tcW w:w="1452" w:type="dxa"/>
            <w:vAlign w:val="top"/>
          </w:tcPr>
          <w:p w14:paraId="14F038E8">
            <w:pPr>
              <w:spacing w:line="315" w:lineRule="auto"/>
              <w:rPr>
                <w:rFonts w:ascii="Arial"/>
                <w:sz w:val="21"/>
              </w:rPr>
            </w:pPr>
          </w:p>
          <w:p w14:paraId="040F773B">
            <w:pPr>
              <w:spacing w:line="316" w:lineRule="auto"/>
              <w:rPr>
                <w:rFonts w:ascii="Arial"/>
                <w:sz w:val="21"/>
              </w:rPr>
            </w:pPr>
          </w:p>
          <w:p w14:paraId="48289220">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7697-37-2</w:t>
            </w:r>
          </w:p>
        </w:tc>
        <w:tc>
          <w:tcPr>
            <w:tcW w:w="5301" w:type="dxa"/>
            <w:vAlign w:val="top"/>
          </w:tcPr>
          <w:p w14:paraId="028A520F">
            <w:pPr>
              <w:pStyle w:val="6"/>
              <w:spacing w:before="40" w:line="219" w:lineRule="auto"/>
              <w:ind w:left="142"/>
              <w:rPr>
                <w:sz w:val="24"/>
                <w:szCs w:val="24"/>
              </w:rPr>
            </w:pPr>
            <w:r>
              <w:rPr>
                <w:spacing w:val="-1"/>
                <w:sz w:val="24"/>
                <w:szCs w:val="24"/>
              </w:rPr>
              <w:t>强氧化剂。能与多种物质如金属粉末、电石、硫</w:t>
            </w:r>
          </w:p>
          <w:p w14:paraId="332321DC">
            <w:pPr>
              <w:pStyle w:val="6"/>
              <w:spacing w:before="25" w:line="218" w:lineRule="auto"/>
              <w:ind w:left="137"/>
              <w:rPr>
                <w:sz w:val="24"/>
                <w:szCs w:val="24"/>
              </w:rPr>
            </w:pPr>
            <w:r>
              <w:rPr>
                <w:spacing w:val="-1"/>
                <w:sz w:val="24"/>
                <w:szCs w:val="24"/>
              </w:rPr>
              <w:t>化氢、松节油等猛烈反应，甚至发生爆炸。与还</w:t>
            </w:r>
          </w:p>
          <w:p w14:paraId="0540E51F">
            <w:pPr>
              <w:pStyle w:val="6"/>
              <w:spacing w:before="28" w:line="218" w:lineRule="auto"/>
              <w:ind w:left="142"/>
              <w:rPr>
                <w:sz w:val="24"/>
                <w:szCs w:val="24"/>
              </w:rPr>
            </w:pPr>
            <w:r>
              <w:rPr>
                <w:spacing w:val="-1"/>
                <w:sz w:val="24"/>
                <w:szCs w:val="24"/>
              </w:rPr>
              <w:t>原剂、可燃物如糖、纤维素、木屑、棉花、稻草</w:t>
            </w:r>
          </w:p>
          <w:p w14:paraId="6EDE86AD">
            <w:pPr>
              <w:pStyle w:val="6"/>
              <w:spacing w:before="26" w:line="216" w:lineRule="auto"/>
              <w:ind w:left="139"/>
              <w:rPr>
                <w:sz w:val="24"/>
                <w:szCs w:val="24"/>
              </w:rPr>
            </w:pPr>
            <w:r>
              <w:rPr>
                <w:spacing w:val="-1"/>
                <w:sz w:val="24"/>
                <w:szCs w:val="24"/>
              </w:rPr>
              <w:t>或废纱头接触，引起燃烧并散发出剧毒的棕色烟</w:t>
            </w:r>
          </w:p>
          <w:p w14:paraId="2C114906">
            <w:pPr>
              <w:pStyle w:val="6"/>
              <w:spacing w:before="30" w:line="205" w:lineRule="auto"/>
              <w:ind w:left="1578"/>
              <w:rPr>
                <w:sz w:val="24"/>
                <w:szCs w:val="24"/>
              </w:rPr>
            </w:pPr>
            <w:r>
              <w:rPr>
                <w:spacing w:val="-2"/>
                <w:sz w:val="24"/>
                <w:szCs w:val="24"/>
              </w:rPr>
              <w:t>雾。具有强腐蚀性。</w:t>
            </w:r>
          </w:p>
        </w:tc>
      </w:tr>
      <w:tr w14:paraId="628D3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39B498C3">
            <w:pPr>
              <w:spacing w:line="323" w:lineRule="auto"/>
              <w:rPr>
                <w:rFonts w:ascii="Arial"/>
                <w:sz w:val="21"/>
              </w:rPr>
            </w:pPr>
          </w:p>
          <w:p w14:paraId="45B0640E">
            <w:pPr>
              <w:spacing w:before="69"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28</w:t>
            </w:r>
          </w:p>
        </w:tc>
        <w:tc>
          <w:tcPr>
            <w:tcW w:w="1276" w:type="dxa"/>
            <w:vAlign w:val="top"/>
          </w:tcPr>
          <w:p w14:paraId="3B3ABDF6">
            <w:pPr>
              <w:spacing w:line="272" w:lineRule="auto"/>
              <w:rPr>
                <w:rFonts w:ascii="Arial"/>
                <w:sz w:val="21"/>
              </w:rPr>
            </w:pPr>
          </w:p>
          <w:p w14:paraId="4158DCB3">
            <w:pPr>
              <w:pStyle w:val="6"/>
              <w:spacing w:before="78" w:line="221" w:lineRule="auto"/>
              <w:ind w:left="404"/>
              <w:rPr>
                <w:sz w:val="24"/>
                <w:szCs w:val="24"/>
              </w:rPr>
            </w:pPr>
            <w:r>
              <w:rPr>
                <w:spacing w:val="-6"/>
                <w:sz w:val="24"/>
                <w:szCs w:val="24"/>
              </w:rPr>
              <w:t>盐酸</w:t>
            </w:r>
          </w:p>
        </w:tc>
        <w:tc>
          <w:tcPr>
            <w:tcW w:w="1452" w:type="dxa"/>
            <w:vAlign w:val="top"/>
          </w:tcPr>
          <w:p w14:paraId="21AB908C">
            <w:pPr>
              <w:spacing w:line="323" w:lineRule="auto"/>
              <w:rPr>
                <w:rFonts w:ascii="Arial"/>
                <w:sz w:val="21"/>
              </w:rPr>
            </w:pPr>
          </w:p>
          <w:p w14:paraId="335803E3">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7647-01-0</w:t>
            </w:r>
          </w:p>
        </w:tc>
        <w:tc>
          <w:tcPr>
            <w:tcW w:w="5301" w:type="dxa"/>
            <w:vAlign w:val="top"/>
          </w:tcPr>
          <w:p w14:paraId="6D6132EC">
            <w:pPr>
              <w:pStyle w:val="6"/>
              <w:spacing w:before="42" w:line="218" w:lineRule="auto"/>
              <w:ind w:left="146"/>
              <w:rPr>
                <w:sz w:val="24"/>
                <w:szCs w:val="24"/>
              </w:rPr>
            </w:pPr>
            <w:r>
              <w:rPr>
                <w:spacing w:val="-1"/>
                <w:sz w:val="24"/>
                <w:szCs w:val="24"/>
              </w:rPr>
              <w:t>能与一些活性金属粉末发生反应，放出氢气。遇</w:t>
            </w:r>
          </w:p>
          <w:p w14:paraId="15683E49">
            <w:pPr>
              <w:pStyle w:val="6"/>
              <w:spacing w:before="26" w:line="218" w:lineRule="auto"/>
              <w:ind w:left="136"/>
              <w:rPr>
                <w:sz w:val="24"/>
                <w:szCs w:val="24"/>
              </w:rPr>
            </w:pPr>
            <w:r>
              <w:rPr>
                <w:spacing w:val="-1"/>
                <w:sz w:val="24"/>
                <w:szCs w:val="24"/>
              </w:rPr>
              <w:t>氰化物能产生剧毒的氰化氢气体。与碱发生中合</w:t>
            </w:r>
          </w:p>
          <w:p w14:paraId="268418C8">
            <w:pPr>
              <w:pStyle w:val="6"/>
              <w:spacing w:before="28" w:line="204" w:lineRule="auto"/>
              <w:ind w:left="257"/>
              <w:rPr>
                <w:sz w:val="24"/>
                <w:szCs w:val="24"/>
              </w:rPr>
            </w:pPr>
            <w:r>
              <w:rPr>
                <w:spacing w:val="-1"/>
                <w:sz w:val="24"/>
                <w:szCs w:val="24"/>
              </w:rPr>
              <w:t>反应，并放出大量的热。具有较强的腐蚀性。</w:t>
            </w:r>
          </w:p>
        </w:tc>
      </w:tr>
      <w:tr w14:paraId="2F0F3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497" w:type="dxa"/>
            <w:vAlign w:val="top"/>
          </w:tcPr>
          <w:p w14:paraId="07267E77">
            <w:pPr>
              <w:spacing w:before="81" w:line="188" w:lineRule="auto"/>
              <w:ind w:left="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29</w:t>
            </w:r>
          </w:p>
        </w:tc>
        <w:tc>
          <w:tcPr>
            <w:tcW w:w="1276" w:type="dxa"/>
            <w:vAlign w:val="top"/>
          </w:tcPr>
          <w:p w14:paraId="63AF79FD">
            <w:pPr>
              <w:pStyle w:val="6"/>
              <w:spacing w:before="39" w:line="207" w:lineRule="auto"/>
              <w:ind w:left="400"/>
              <w:rPr>
                <w:sz w:val="24"/>
                <w:szCs w:val="24"/>
              </w:rPr>
            </w:pPr>
            <w:r>
              <w:rPr>
                <w:spacing w:val="-4"/>
                <w:sz w:val="24"/>
                <w:szCs w:val="24"/>
              </w:rPr>
              <w:t>氮气</w:t>
            </w:r>
          </w:p>
        </w:tc>
        <w:tc>
          <w:tcPr>
            <w:tcW w:w="1452" w:type="dxa"/>
            <w:vAlign w:val="top"/>
          </w:tcPr>
          <w:p w14:paraId="279D9182">
            <w:pPr>
              <w:spacing w:before="81"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7727-37-9</w:t>
            </w:r>
          </w:p>
        </w:tc>
        <w:tc>
          <w:tcPr>
            <w:tcW w:w="5301" w:type="dxa"/>
            <w:vAlign w:val="top"/>
          </w:tcPr>
          <w:p w14:paraId="7A65F3BF">
            <w:pPr>
              <w:pStyle w:val="6"/>
              <w:spacing w:before="39" w:line="207" w:lineRule="auto"/>
              <w:ind w:left="136"/>
              <w:rPr>
                <w:sz w:val="24"/>
                <w:szCs w:val="24"/>
              </w:rPr>
            </w:pPr>
            <w:r>
              <w:rPr>
                <w:spacing w:val="-1"/>
                <w:sz w:val="24"/>
                <w:szCs w:val="24"/>
              </w:rPr>
              <w:t>遇高热，容器内压增大，有开裂和爆炸的危险。</w:t>
            </w:r>
          </w:p>
        </w:tc>
      </w:tr>
    </w:tbl>
    <w:p w14:paraId="7491573D">
      <w:pPr>
        <w:pStyle w:val="2"/>
      </w:pPr>
    </w:p>
    <w:p w14:paraId="4CE21FFE">
      <w:pPr>
        <w:sectPr>
          <w:footerReference r:id="rId94" w:type="default"/>
          <w:pgSz w:w="11906" w:h="16839"/>
          <w:pgMar w:top="400" w:right="1687" w:bottom="1259" w:left="1687" w:header="0" w:footer="1097" w:gutter="0"/>
          <w:cols w:space="720" w:num="1"/>
        </w:sectPr>
      </w:pPr>
    </w:p>
    <w:p w14:paraId="70AB3D70">
      <w:pPr>
        <w:spacing w:before="19"/>
      </w:pPr>
    </w:p>
    <w:p w14:paraId="3BBE791E">
      <w:pPr>
        <w:spacing w:before="19"/>
      </w:pPr>
    </w:p>
    <w:p w14:paraId="1CD79F33">
      <w:pPr>
        <w:spacing w:before="18"/>
      </w:pPr>
    </w:p>
    <w:p w14:paraId="0CB3E70D">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76"/>
        <w:gridCol w:w="1452"/>
        <w:gridCol w:w="5301"/>
      </w:tblGrid>
      <w:tr w14:paraId="0CA5F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97" w:type="dxa"/>
            <w:textDirection w:val="tbRlV"/>
            <w:vAlign w:val="top"/>
          </w:tcPr>
          <w:p w14:paraId="6572CC59">
            <w:pPr>
              <w:pStyle w:val="6"/>
              <w:spacing w:before="127" w:line="210" w:lineRule="auto"/>
              <w:ind w:left="41"/>
              <w:rPr>
                <w:sz w:val="24"/>
                <w:szCs w:val="24"/>
              </w:rPr>
            </w:pPr>
            <w:r>
              <w:rPr>
                <w:spacing w:val="34"/>
                <w:sz w:val="24"/>
                <w:szCs w:val="24"/>
              </w:rPr>
              <w:t>序号</w:t>
            </w:r>
          </w:p>
        </w:tc>
        <w:tc>
          <w:tcPr>
            <w:tcW w:w="1276" w:type="dxa"/>
            <w:vAlign w:val="top"/>
          </w:tcPr>
          <w:p w14:paraId="776E4A4E">
            <w:pPr>
              <w:pStyle w:val="6"/>
              <w:spacing w:before="196" w:line="221" w:lineRule="auto"/>
              <w:ind w:left="405"/>
              <w:rPr>
                <w:sz w:val="24"/>
                <w:szCs w:val="24"/>
              </w:rPr>
            </w:pPr>
            <w:r>
              <w:rPr>
                <w:spacing w:val="-7"/>
                <w:sz w:val="24"/>
                <w:szCs w:val="24"/>
              </w:rPr>
              <w:t>名称</w:t>
            </w:r>
          </w:p>
        </w:tc>
        <w:tc>
          <w:tcPr>
            <w:tcW w:w="1452" w:type="dxa"/>
            <w:vAlign w:val="top"/>
          </w:tcPr>
          <w:p w14:paraId="6E3D15F5">
            <w:pPr>
              <w:pStyle w:val="6"/>
              <w:spacing w:before="195" w:line="221" w:lineRule="auto"/>
              <w:ind w:left="347"/>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8"/>
                <w:w w:val="101"/>
                <w:sz w:val="24"/>
                <w:szCs w:val="24"/>
              </w:rPr>
              <w:t xml:space="preserve"> </w:t>
            </w:r>
            <w:r>
              <w:rPr>
                <w:spacing w:val="-3"/>
                <w:sz w:val="24"/>
                <w:szCs w:val="24"/>
              </w:rPr>
              <w:t>号</w:t>
            </w:r>
          </w:p>
        </w:tc>
        <w:tc>
          <w:tcPr>
            <w:tcW w:w="5301" w:type="dxa"/>
            <w:vAlign w:val="top"/>
          </w:tcPr>
          <w:p w14:paraId="7CECA43E">
            <w:pPr>
              <w:pStyle w:val="6"/>
              <w:spacing w:before="195" w:line="219" w:lineRule="auto"/>
              <w:ind w:left="2179"/>
              <w:rPr>
                <w:sz w:val="24"/>
                <w:szCs w:val="24"/>
              </w:rPr>
            </w:pPr>
            <w:r>
              <w:rPr>
                <w:spacing w:val="-4"/>
                <w:sz w:val="24"/>
                <w:szCs w:val="24"/>
              </w:rPr>
              <w:t>危险特征</w:t>
            </w:r>
          </w:p>
        </w:tc>
      </w:tr>
      <w:tr w14:paraId="05CF5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97" w:type="dxa"/>
            <w:vAlign w:val="top"/>
          </w:tcPr>
          <w:p w14:paraId="0DBC88B3">
            <w:pPr>
              <w:spacing w:before="75"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1276" w:type="dxa"/>
            <w:vAlign w:val="top"/>
          </w:tcPr>
          <w:p w14:paraId="3815B069">
            <w:pPr>
              <w:pStyle w:val="6"/>
              <w:spacing w:before="35" w:line="207" w:lineRule="auto"/>
              <w:ind w:left="401"/>
              <w:rPr>
                <w:sz w:val="24"/>
                <w:szCs w:val="24"/>
              </w:rPr>
            </w:pPr>
            <w:r>
              <w:rPr>
                <w:spacing w:val="-5"/>
                <w:sz w:val="24"/>
                <w:szCs w:val="24"/>
              </w:rPr>
              <w:t>氩气</w:t>
            </w:r>
          </w:p>
        </w:tc>
        <w:tc>
          <w:tcPr>
            <w:tcW w:w="1452" w:type="dxa"/>
            <w:vAlign w:val="top"/>
          </w:tcPr>
          <w:p w14:paraId="3A9258D1">
            <w:pPr>
              <w:spacing w:before="75"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7440-37-1</w:t>
            </w:r>
          </w:p>
        </w:tc>
        <w:tc>
          <w:tcPr>
            <w:tcW w:w="5301" w:type="dxa"/>
            <w:vAlign w:val="top"/>
          </w:tcPr>
          <w:p w14:paraId="03C33AA5">
            <w:pPr>
              <w:pStyle w:val="6"/>
              <w:spacing w:before="35" w:line="207" w:lineRule="auto"/>
              <w:jc w:val="right"/>
              <w:rPr>
                <w:sz w:val="24"/>
                <w:szCs w:val="24"/>
              </w:rPr>
            </w:pPr>
            <w:r>
              <w:rPr>
                <w:spacing w:val="-6"/>
                <w:sz w:val="24"/>
                <w:szCs w:val="24"/>
              </w:rPr>
              <w:t>若遇高热，容器内压增大，有开裂和爆炸的危险。</w:t>
            </w:r>
          </w:p>
        </w:tc>
      </w:tr>
      <w:tr w14:paraId="5A05C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97" w:type="dxa"/>
            <w:vAlign w:val="top"/>
          </w:tcPr>
          <w:p w14:paraId="1CCD116A">
            <w:pPr>
              <w:spacing w:line="318" w:lineRule="auto"/>
              <w:rPr>
                <w:rFonts w:ascii="Arial"/>
                <w:sz w:val="21"/>
              </w:rPr>
            </w:pPr>
          </w:p>
          <w:p w14:paraId="4B297F5E">
            <w:pPr>
              <w:spacing w:before="6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31</w:t>
            </w:r>
          </w:p>
        </w:tc>
        <w:tc>
          <w:tcPr>
            <w:tcW w:w="1276" w:type="dxa"/>
            <w:vAlign w:val="top"/>
          </w:tcPr>
          <w:p w14:paraId="3C6C6936">
            <w:pPr>
              <w:spacing w:line="267" w:lineRule="auto"/>
              <w:rPr>
                <w:rFonts w:ascii="Arial"/>
                <w:sz w:val="21"/>
              </w:rPr>
            </w:pPr>
          </w:p>
          <w:p w14:paraId="71C61869">
            <w:pPr>
              <w:pStyle w:val="6"/>
              <w:spacing w:before="78" w:line="219" w:lineRule="auto"/>
              <w:ind w:left="403"/>
              <w:rPr>
                <w:sz w:val="24"/>
                <w:szCs w:val="24"/>
              </w:rPr>
            </w:pPr>
            <w:r>
              <w:rPr>
                <w:spacing w:val="-6"/>
                <w:sz w:val="24"/>
                <w:szCs w:val="24"/>
              </w:rPr>
              <w:t>氧气</w:t>
            </w:r>
          </w:p>
        </w:tc>
        <w:tc>
          <w:tcPr>
            <w:tcW w:w="1452" w:type="dxa"/>
            <w:vAlign w:val="top"/>
          </w:tcPr>
          <w:p w14:paraId="0DDB13AB">
            <w:pPr>
              <w:spacing w:line="318" w:lineRule="auto"/>
              <w:rPr>
                <w:rFonts w:ascii="Arial"/>
                <w:sz w:val="21"/>
              </w:rPr>
            </w:pPr>
          </w:p>
          <w:p w14:paraId="7CEC529A">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7782-44-7</w:t>
            </w:r>
          </w:p>
        </w:tc>
        <w:tc>
          <w:tcPr>
            <w:tcW w:w="5301" w:type="dxa"/>
            <w:vAlign w:val="top"/>
          </w:tcPr>
          <w:p w14:paraId="34EDC161">
            <w:pPr>
              <w:pStyle w:val="6"/>
              <w:spacing w:before="37" w:line="218" w:lineRule="auto"/>
              <w:ind w:left="140"/>
              <w:rPr>
                <w:sz w:val="24"/>
                <w:szCs w:val="24"/>
              </w:rPr>
            </w:pPr>
            <w:r>
              <w:rPr>
                <w:sz w:val="24"/>
                <w:szCs w:val="24"/>
              </w:rPr>
              <w:t>是易燃物、可燃物燃烧爆炸的基本要素之一，能</w:t>
            </w:r>
          </w:p>
          <w:p w14:paraId="7F3CD143">
            <w:pPr>
              <w:pStyle w:val="6"/>
              <w:spacing w:before="26" w:line="218" w:lineRule="auto"/>
              <w:ind w:left="137"/>
              <w:rPr>
                <w:sz w:val="24"/>
                <w:szCs w:val="24"/>
              </w:rPr>
            </w:pPr>
            <w:r>
              <w:rPr>
                <w:spacing w:val="-1"/>
                <w:sz w:val="24"/>
                <w:szCs w:val="24"/>
              </w:rPr>
              <w:t>氧化大多数活性物质。与易燃物（如乙炔、甲烷</w:t>
            </w:r>
          </w:p>
          <w:p w14:paraId="6F91D949">
            <w:pPr>
              <w:pStyle w:val="6"/>
              <w:spacing w:before="28" w:line="207" w:lineRule="auto"/>
              <w:ind w:left="1098"/>
              <w:rPr>
                <w:sz w:val="24"/>
                <w:szCs w:val="24"/>
              </w:rPr>
            </w:pPr>
            <w:r>
              <w:rPr>
                <w:spacing w:val="-1"/>
                <w:sz w:val="24"/>
                <w:szCs w:val="24"/>
              </w:rPr>
              <w:t>等）形成有爆炸性的混合物。</w:t>
            </w:r>
          </w:p>
        </w:tc>
      </w:tr>
      <w:tr w14:paraId="539E6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97" w:type="dxa"/>
            <w:vAlign w:val="top"/>
          </w:tcPr>
          <w:p w14:paraId="5DD101AA">
            <w:pPr>
              <w:spacing w:before="7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1276" w:type="dxa"/>
            <w:vAlign w:val="top"/>
          </w:tcPr>
          <w:p w14:paraId="11A24B7A">
            <w:pPr>
              <w:pStyle w:val="6"/>
              <w:spacing w:before="37" w:line="206" w:lineRule="auto"/>
              <w:ind w:left="166"/>
              <w:rPr>
                <w:sz w:val="24"/>
                <w:szCs w:val="24"/>
              </w:rPr>
            </w:pPr>
            <w:r>
              <w:rPr>
                <w:spacing w:val="-4"/>
                <w:sz w:val="24"/>
                <w:szCs w:val="24"/>
              </w:rPr>
              <w:t>二氧化碳</w:t>
            </w:r>
          </w:p>
        </w:tc>
        <w:tc>
          <w:tcPr>
            <w:tcW w:w="1452" w:type="dxa"/>
            <w:vAlign w:val="top"/>
          </w:tcPr>
          <w:p w14:paraId="461AE108">
            <w:pPr>
              <w:spacing w:before="79" w:line="188" w:lineRule="auto"/>
              <w:ind w:left="31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124-38-9</w:t>
            </w:r>
          </w:p>
        </w:tc>
        <w:tc>
          <w:tcPr>
            <w:tcW w:w="5301" w:type="dxa"/>
            <w:vAlign w:val="top"/>
          </w:tcPr>
          <w:p w14:paraId="7275DBD4">
            <w:pPr>
              <w:pStyle w:val="6"/>
              <w:spacing w:before="37" w:line="206" w:lineRule="auto"/>
              <w:ind w:left="116"/>
              <w:rPr>
                <w:rFonts w:ascii="Times New Roman" w:hAnsi="Times New Roman" w:eastAsia="Times New Roman" w:cs="Times New Roman"/>
                <w:sz w:val="24"/>
                <w:szCs w:val="24"/>
              </w:rPr>
            </w:pPr>
            <w:r>
              <w:rPr>
                <w:spacing w:val="-1"/>
                <w:sz w:val="24"/>
                <w:szCs w:val="24"/>
              </w:rPr>
              <w:t>若遇高热，容器内压增大，有开裂和爆炸的危险</w:t>
            </w:r>
            <w:r>
              <w:rPr>
                <w:rFonts w:ascii="Times New Roman" w:hAnsi="Times New Roman" w:eastAsia="Times New Roman" w:cs="Times New Roman"/>
                <w:spacing w:val="-1"/>
                <w:sz w:val="24"/>
                <w:szCs w:val="24"/>
              </w:rPr>
              <w:t>.</w:t>
            </w:r>
          </w:p>
        </w:tc>
      </w:tr>
      <w:tr w14:paraId="34591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97" w:type="dxa"/>
            <w:vAlign w:val="top"/>
          </w:tcPr>
          <w:p w14:paraId="239C72D5">
            <w:pPr>
              <w:spacing w:line="474" w:lineRule="auto"/>
              <w:rPr>
                <w:rFonts w:ascii="Arial"/>
                <w:sz w:val="21"/>
              </w:rPr>
            </w:pPr>
          </w:p>
          <w:p w14:paraId="4DF7D78D">
            <w:pPr>
              <w:spacing w:before="69" w:line="188" w:lineRule="auto"/>
              <w:ind w:left="13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c>
          <w:tcPr>
            <w:tcW w:w="1276" w:type="dxa"/>
            <w:vAlign w:val="top"/>
          </w:tcPr>
          <w:p w14:paraId="1F45FFD0">
            <w:pPr>
              <w:spacing w:line="424" w:lineRule="auto"/>
              <w:rPr>
                <w:rFonts w:ascii="Arial"/>
                <w:sz w:val="21"/>
              </w:rPr>
            </w:pPr>
          </w:p>
          <w:p w14:paraId="25BA27AA">
            <w:pPr>
              <w:pStyle w:val="6"/>
              <w:spacing w:before="78" w:line="220" w:lineRule="auto"/>
              <w:ind w:left="426"/>
              <w:rPr>
                <w:sz w:val="24"/>
                <w:szCs w:val="24"/>
              </w:rPr>
            </w:pPr>
            <w:r>
              <w:rPr>
                <w:spacing w:val="-17"/>
                <w:sz w:val="24"/>
                <w:szCs w:val="24"/>
              </w:rPr>
              <w:t>乙炔</w:t>
            </w:r>
          </w:p>
        </w:tc>
        <w:tc>
          <w:tcPr>
            <w:tcW w:w="1452" w:type="dxa"/>
            <w:vAlign w:val="top"/>
          </w:tcPr>
          <w:p w14:paraId="6C5CB8A0">
            <w:pPr>
              <w:spacing w:line="474" w:lineRule="auto"/>
              <w:rPr>
                <w:rFonts w:ascii="Arial"/>
                <w:sz w:val="21"/>
              </w:rPr>
            </w:pPr>
          </w:p>
          <w:p w14:paraId="6B411E93">
            <w:pPr>
              <w:spacing w:before="69" w:line="188" w:lineRule="auto"/>
              <w:ind w:left="35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74-86-2</w:t>
            </w:r>
          </w:p>
        </w:tc>
        <w:tc>
          <w:tcPr>
            <w:tcW w:w="5301" w:type="dxa"/>
            <w:vAlign w:val="top"/>
          </w:tcPr>
          <w:p w14:paraId="598B23BB">
            <w:pPr>
              <w:pStyle w:val="6"/>
              <w:spacing w:before="41" w:line="231" w:lineRule="auto"/>
              <w:ind w:left="115" w:right="26" w:firstLine="2"/>
              <w:jc w:val="both"/>
              <w:rPr>
                <w:sz w:val="24"/>
                <w:szCs w:val="24"/>
              </w:rPr>
            </w:pPr>
            <w:r>
              <w:rPr>
                <w:spacing w:val="-6"/>
                <w:sz w:val="24"/>
                <w:szCs w:val="24"/>
              </w:rPr>
              <w:t>极易燃烧爆炸。与空气混合能形成爆炸性混合物，</w:t>
            </w:r>
            <w:r>
              <w:rPr>
                <w:spacing w:val="2"/>
                <w:sz w:val="24"/>
                <w:szCs w:val="24"/>
              </w:rPr>
              <w:t xml:space="preserve"> </w:t>
            </w:r>
            <w:r>
              <w:rPr>
                <w:sz w:val="24"/>
                <w:szCs w:val="24"/>
              </w:rPr>
              <w:t>遇明火、高热能引起燃烧爆炸。与氧化剂接触会</w:t>
            </w:r>
            <w:r>
              <w:rPr>
                <w:spacing w:val="5"/>
                <w:sz w:val="24"/>
                <w:szCs w:val="24"/>
              </w:rPr>
              <w:t xml:space="preserve">  </w:t>
            </w:r>
            <w:r>
              <w:rPr>
                <w:sz w:val="24"/>
                <w:szCs w:val="24"/>
              </w:rPr>
              <w:t>猛烈反应。与氟、氯等接触会发生剧烈的化学反</w:t>
            </w:r>
            <w:r>
              <w:rPr>
                <w:spacing w:val="5"/>
                <w:sz w:val="24"/>
                <w:szCs w:val="24"/>
              </w:rPr>
              <w:t xml:space="preserve">  </w:t>
            </w:r>
            <w:r>
              <w:rPr>
                <w:spacing w:val="-6"/>
                <w:sz w:val="24"/>
                <w:szCs w:val="24"/>
              </w:rPr>
              <w:t>应。能与铜、银、汞等的化合物生成爆炸性物质。</w:t>
            </w:r>
          </w:p>
        </w:tc>
      </w:tr>
    </w:tbl>
    <w:p w14:paraId="2D71CC17">
      <w:pPr>
        <w:spacing w:before="195" w:line="360" w:lineRule="auto"/>
        <w:ind w:left="122" w:right="112" w:firstLine="560"/>
        <w:jc w:val="both"/>
        <w:rPr>
          <w:rFonts w:ascii="宋体" w:hAnsi="宋体" w:eastAsia="宋体" w:cs="宋体"/>
          <w:sz w:val="28"/>
          <w:szCs w:val="28"/>
        </w:rPr>
      </w:pPr>
      <w:r>
        <w:rPr>
          <w:rFonts w:ascii="宋体" w:hAnsi="宋体" w:eastAsia="宋体" w:cs="宋体"/>
          <w:spacing w:val="-4"/>
          <w:sz w:val="28"/>
          <w:szCs w:val="28"/>
        </w:rPr>
        <w:t>根据《鄂托克经济开发区棋盘井产业园危险化学品车辆专用停车</w:t>
      </w:r>
      <w:r>
        <w:rPr>
          <w:rFonts w:ascii="宋体" w:hAnsi="宋体" w:eastAsia="宋体" w:cs="宋体"/>
          <w:spacing w:val="7"/>
          <w:sz w:val="28"/>
          <w:szCs w:val="28"/>
        </w:rPr>
        <w:t xml:space="preserve"> </w:t>
      </w:r>
      <w:r>
        <w:rPr>
          <w:rFonts w:ascii="宋体" w:hAnsi="宋体" w:eastAsia="宋体" w:cs="宋体"/>
          <w:spacing w:val="-4"/>
          <w:sz w:val="28"/>
          <w:szCs w:val="28"/>
        </w:rPr>
        <w:t>场建设项目可行性研究报告》，重载停车区危化品运输车辆最大吨位</w:t>
      </w:r>
      <w:r>
        <w:rPr>
          <w:rFonts w:ascii="宋体" w:hAnsi="宋体" w:eastAsia="宋体" w:cs="宋体"/>
          <w:spacing w:val="15"/>
          <w:sz w:val="28"/>
          <w:szCs w:val="28"/>
        </w:rPr>
        <w:t xml:space="preserve"> </w:t>
      </w:r>
      <w:r>
        <w:rPr>
          <w:rFonts w:ascii="宋体" w:hAnsi="宋体" w:eastAsia="宋体" w:cs="宋体"/>
          <w:sz w:val="28"/>
          <w:szCs w:val="28"/>
        </w:rPr>
        <w:t>为</w:t>
      </w:r>
      <w:r>
        <w:rPr>
          <w:rFonts w:ascii="宋体" w:hAnsi="宋体" w:eastAsia="宋体" w:cs="宋体"/>
          <w:spacing w:val="-49"/>
          <w:sz w:val="28"/>
          <w:szCs w:val="28"/>
        </w:rPr>
        <w:t xml:space="preserve"> </w:t>
      </w:r>
      <w:r>
        <w:rPr>
          <w:rFonts w:ascii="Times New Roman" w:hAnsi="Times New Roman" w:eastAsia="Times New Roman" w:cs="Times New Roman"/>
          <w:sz w:val="28"/>
          <w:szCs w:val="28"/>
        </w:rPr>
        <w:t>30</w:t>
      </w:r>
      <w:r>
        <w:rPr>
          <w:rFonts w:ascii="Times New Roman" w:hAnsi="Times New Roman" w:eastAsia="Times New Roman" w:cs="Times New Roman"/>
          <w:spacing w:val="28"/>
          <w:sz w:val="28"/>
          <w:szCs w:val="28"/>
        </w:rPr>
        <w:t xml:space="preserve"> </w:t>
      </w:r>
      <w:r>
        <w:rPr>
          <w:rFonts w:ascii="宋体" w:hAnsi="宋体" w:eastAsia="宋体" w:cs="宋体"/>
          <w:sz w:val="28"/>
          <w:szCs w:val="28"/>
        </w:rPr>
        <w:t>吨。根据《建设项目环境风险评价技术导则》（</w:t>
      </w:r>
      <w:r>
        <w:rPr>
          <w:rFonts w:ascii="Times New Roman" w:hAnsi="Times New Roman" w:eastAsia="Times New Roman" w:cs="Times New Roman"/>
          <w:sz w:val="28"/>
          <w:szCs w:val="28"/>
        </w:rPr>
        <w:t>HJ169-2018</w:t>
      </w:r>
      <w:r>
        <w:rPr>
          <w:rFonts w:ascii="宋体" w:hAnsi="宋体" w:eastAsia="宋体" w:cs="宋体"/>
          <w:sz w:val="28"/>
          <w:szCs w:val="28"/>
        </w:rPr>
        <w:t xml:space="preserve">） </w:t>
      </w:r>
      <w:r>
        <w:rPr>
          <w:rFonts w:ascii="宋体" w:hAnsi="宋体" w:eastAsia="宋体" w:cs="宋体"/>
          <w:spacing w:val="-5"/>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5"/>
          <w:sz w:val="28"/>
          <w:szCs w:val="28"/>
        </w:rPr>
        <w:t>B</w:t>
      </w:r>
      <w:r>
        <w:rPr>
          <w:rFonts w:ascii="Times New Roman" w:hAnsi="Times New Roman" w:eastAsia="Times New Roman" w:cs="Times New Roman"/>
          <w:spacing w:val="-39"/>
          <w:sz w:val="28"/>
          <w:szCs w:val="28"/>
        </w:rPr>
        <w:t xml:space="preserve"> </w:t>
      </w:r>
      <w:r>
        <w:rPr>
          <w:rFonts w:ascii="宋体" w:hAnsi="宋体" w:eastAsia="宋体" w:cs="宋体"/>
          <w:spacing w:val="-5"/>
          <w:sz w:val="28"/>
          <w:szCs w:val="28"/>
        </w:rPr>
        <w:t>、附录</w:t>
      </w:r>
      <w:r>
        <w:rPr>
          <w:rFonts w:ascii="宋体" w:hAnsi="宋体" w:eastAsia="宋体" w:cs="宋体"/>
          <w:spacing w:val="-63"/>
          <w:sz w:val="28"/>
          <w:szCs w:val="28"/>
        </w:rPr>
        <w:t xml:space="preserve"> </w:t>
      </w:r>
      <w:r>
        <w:rPr>
          <w:rFonts w:ascii="Times New Roman" w:hAnsi="Times New Roman" w:eastAsia="Times New Roman" w:cs="Times New Roman"/>
          <w:spacing w:val="-5"/>
          <w:sz w:val="28"/>
          <w:szCs w:val="28"/>
        </w:rPr>
        <w:t>C</w:t>
      </w:r>
      <w:r>
        <w:rPr>
          <w:rFonts w:ascii="Times New Roman" w:hAnsi="Times New Roman" w:eastAsia="Times New Roman" w:cs="Times New Roman"/>
          <w:spacing w:val="-36"/>
          <w:sz w:val="28"/>
          <w:szCs w:val="28"/>
        </w:rPr>
        <w:t xml:space="preserve"> </w:t>
      </w:r>
      <w:r>
        <w:rPr>
          <w:rFonts w:ascii="宋体" w:hAnsi="宋体" w:eastAsia="宋体" w:cs="宋体"/>
          <w:spacing w:val="-5"/>
          <w:sz w:val="28"/>
          <w:szCs w:val="28"/>
        </w:rPr>
        <w:t>，日常重载区车辆满负荷停放时，危险化学品存储量</w:t>
      </w:r>
      <w:r>
        <w:rPr>
          <w:rFonts w:ascii="宋体" w:hAnsi="宋体" w:eastAsia="宋体" w:cs="宋体"/>
          <w:sz w:val="28"/>
          <w:szCs w:val="28"/>
        </w:rPr>
        <w:t xml:space="preserve"> </w:t>
      </w:r>
      <w:r>
        <w:rPr>
          <w:rFonts w:ascii="宋体" w:hAnsi="宋体" w:eastAsia="宋体" w:cs="宋体"/>
          <w:spacing w:val="-1"/>
          <w:sz w:val="28"/>
          <w:szCs w:val="28"/>
        </w:rPr>
        <w:t>超过临界量，因此本次开展环境风险专题评价工作。</w:t>
      </w:r>
    </w:p>
    <w:p w14:paraId="4961C604">
      <w:pPr>
        <w:spacing w:before="1" w:line="228" w:lineRule="auto"/>
        <w:ind w:left="125"/>
        <w:outlineLvl w:val="0"/>
        <w:rPr>
          <w:rFonts w:ascii="黑体" w:hAnsi="黑体" w:eastAsia="黑体" w:cs="黑体"/>
          <w:sz w:val="31"/>
          <w:szCs w:val="31"/>
        </w:rPr>
      </w:pPr>
      <w:r>
        <w:rPr>
          <w:rFonts w:ascii="Times New Roman" w:hAnsi="Times New Roman" w:eastAsia="Times New Roman" w:cs="Times New Roman"/>
          <w:spacing w:val="5"/>
          <w:sz w:val="31"/>
          <w:szCs w:val="31"/>
        </w:rPr>
        <w:t>3</w:t>
      </w:r>
      <w:r>
        <w:rPr>
          <w:rFonts w:ascii="Times New Roman" w:hAnsi="Times New Roman" w:eastAsia="Times New Roman" w:cs="Times New Roman"/>
          <w:spacing w:val="26"/>
          <w:sz w:val="31"/>
          <w:szCs w:val="31"/>
        </w:rPr>
        <w:t xml:space="preserve"> </w:t>
      </w:r>
      <w:r>
        <w:rPr>
          <w:rFonts w:ascii="黑体" w:hAnsi="黑体" w:eastAsia="黑体" w:cs="黑体"/>
          <w:spacing w:val="5"/>
          <w:sz w:val="31"/>
          <w:szCs w:val="31"/>
        </w:rPr>
        <w:t>分析判定相关情况</w:t>
      </w:r>
    </w:p>
    <w:p w14:paraId="3342ECED">
      <w:pPr>
        <w:spacing w:before="232" w:line="221" w:lineRule="auto"/>
        <w:ind w:left="117"/>
        <w:outlineLvl w:val="1"/>
        <w:rPr>
          <w:rFonts w:ascii="宋体" w:hAnsi="宋体" w:eastAsia="宋体" w:cs="宋体"/>
          <w:sz w:val="28"/>
          <w:szCs w:val="28"/>
        </w:rPr>
      </w:pPr>
      <w:bookmarkStart w:id="7" w:name="bookmark9"/>
      <w:bookmarkEnd w:id="7"/>
      <w:bookmarkStart w:id="8" w:name="bookmark8"/>
      <w:bookmarkEnd w:id="8"/>
      <w:r>
        <w:rPr>
          <w:rFonts w:ascii="Times New Roman" w:hAnsi="Times New Roman" w:eastAsia="Times New Roman" w:cs="Times New Roman"/>
          <w:b/>
          <w:bCs/>
          <w:spacing w:val="-2"/>
          <w:sz w:val="28"/>
          <w:szCs w:val="28"/>
        </w:rPr>
        <w:t xml:space="preserve">3.1 </w:t>
      </w:r>
      <w:r>
        <w:rPr>
          <w:rFonts w:ascii="宋体" w:hAnsi="宋体" w:eastAsia="宋体" w:cs="宋体"/>
          <w:b/>
          <w:bCs/>
          <w:spacing w:val="-2"/>
          <w:sz w:val="28"/>
          <w:szCs w:val="28"/>
        </w:rPr>
        <w:t>风险源调查</w:t>
      </w:r>
    </w:p>
    <w:p w14:paraId="30592645">
      <w:pPr>
        <w:spacing w:before="211" w:line="359" w:lineRule="auto"/>
        <w:ind w:left="123" w:right="112" w:firstLine="560"/>
        <w:jc w:val="both"/>
        <w:rPr>
          <w:rFonts w:ascii="宋体" w:hAnsi="宋体" w:eastAsia="宋体" w:cs="宋体"/>
          <w:sz w:val="28"/>
          <w:szCs w:val="28"/>
        </w:rPr>
      </w:pPr>
      <w:r>
        <w:rPr>
          <w:rFonts w:ascii="宋体" w:hAnsi="宋体" w:eastAsia="宋体" w:cs="宋体"/>
          <w:spacing w:val="6"/>
          <w:sz w:val="28"/>
          <w:szCs w:val="28"/>
        </w:rPr>
        <w:t>本项目为鄂托克经济开发区棋盘井产业园危险化学品车辆专用</w:t>
      </w:r>
      <w:r>
        <w:rPr>
          <w:rFonts w:ascii="宋体" w:hAnsi="宋体" w:eastAsia="宋体" w:cs="宋体"/>
          <w:spacing w:val="12"/>
          <w:sz w:val="28"/>
          <w:szCs w:val="28"/>
        </w:rPr>
        <w:t xml:space="preserve"> </w:t>
      </w:r>
      <w:r>
        <w:rPr>
          <w:rFonts w:ascii="宋体" w:hAnsi="宋体" w:eastAsia="宋体" w:cs="宋体"/>
          <w:spacing w:val="-4"/>
          <w:sz w:val="28"/>
          <w:szCs w:val="28"/>
        </w:rPr>
        <w:t>停车场建设项目，可能发生的环境风险事故为运输车辆危险化学品泄</w:t>
      </w:r>
      <w:r>
        <w:rPr>
          <w:rFonts w:ascii="宋体" w:hAnsi="宋体" w:eastAsia="宋体" w:cs="宋体"/>
          <w:spacing w:val="14"/>
          <w:sz w:val="28"/>
          <w:szCs w:val="28"/>
        </w:rPr>
        <w:t xml:space="preserve"> </w:t>
      </w:r>
      <w:r>
        <w:rPr>
          <w:rFonts w:ascii="宋体" w:hAnsi="宋体" w:eastAsia="宋体" w:cs="宋体"/>
          <w:spacing w:val="-1"/>
          <w:sz w:val="28"/>
          <w:szCs w:val="28"/>
        </w:rPr>
        <w:t>漏、火灾、爆炸，主要风险单元为重载停车区。</w:t>
      </w:r>
    </w:p>
    <w:p w14:paraId="7370B44F">
      <w:pPr>
        <w:spacing w:line="359" w:lineRule="auto"/>
        <w:ind w:left="122" w:right="36" w:firstLine="560"/>
        <w:jc w:val="both"/>
        <w:rPr>
          <w:rFonts w:ascii="宋体" w:hAnsi="宋体" w:eastAsia="宋体" w:cs="宋体"/>
          <w:sz w:val="28"/>
          <w:szCs w:val="28"/>
        </w:rPr>
      </w:pPr>
      <w:r>
        <w:rPr>
          <w:rFonts w:ascii="宋体" w:hAnsi="宋体" w:eastAsia="宋体" w:cs="宋体"/>
          <w:spacing w:val="-4"/>
          <w:sz w:val="28"/>
          <w:szCs w:val="28"/>
        </w:rPr>
        <w:t>根据《鄂托克经济开发区棋盘井产业园危险化学品车辆专用停车</w:t>
      </w:r>
      <w:r>
        <w:rPr>
          <w:rFonts w:ascii="宋体" w:hAnsi="宋体" w:eastAsia="宋体" w:cs="宋体"/>
          <w:spacing w:val="7"/>
          <w:sz w:val="28"/>
          <w:szCs w:val="28"/>
        </w:rPr>
        <w:t xml:space="preserve"> </w:t>
      </w:r>
      <w:r>
        <w:rPr>
          <w:rFonts w:ascii="宋体" w:hAnsi="宋体" w:eastAsia="宋体" w:cs="宋体"/>
          <w:spacing w:val="-10"/>
          <w:sz w:val="28"/>
          <w:szCs w:val="28"/>
        </w:rPr>
        <w:t>场建设项目可行性研究报告》，危险货物运输车辆分为</w:t>
      </w:r>
      <w:r>
        <w:rPr>
          <w:rFonts w:ascii="宋体" w:hAnsi="宋体" w:eastAsia="宋体" w:cs="宋体"/>
          <w:spacing w:val="-59"/>
          <w:sz w:val="28"/>
          <w:szCs w:val="28"/>
        </w:rPr>
        <w:t xml:space="preserve"> </w:t>
      </w:r>
      <w:r>
        <w:rPr>
          <w:rFonts w:ascii="Times New Roman" w:hAnsi="Times New Roman" w:eastAsia="Times New Roman" w:cs="Times New Roman"/>
          <w:spacing w:val="-10"/>
          <w:sz w:val="28"/>
          <w:szCs w:val="28"/>
        </w:rPr>
        <w:t xml:space="preserve">4 </w:t>
      </w:r>
      <w:r>
        <w:rPr>
          <w:rFonts w:ascii="宋体" w:hAnsi="宋体" w:eastAsia="宋体" w:cs="宋体"/>
          <w:spacing w:val="-10"/>
          <w:sz w:val="28"/>
          <w:szCs w:val="28"/>
        </w:rPr>
        <w:t>类分别存放，</w:t>
      </w:r>
      <w:r>
        <w:rPr>
          <w:rFonts w:ascii="宋体" w:hAnsi="宋体" w:eastAsia="宋体" w:cs="宋体"/>
          <w:sz w:val="28"/>
          <w:szCs w:val="28"/>
        </w:rPr>
        <w:t xml:space="preserve"> </w:t>
      </w:r>
      <w:r>
        <w:rPr>
          <w:rFonts w:ascii="宋体" w:hAnsi="宋体" w:eastAsia="宋体" w:cs="宋体"/>
          <w:spacing w:val="-4"/>
          <w:sz w:val="28"/>
          <w:szCs w:val="28"/>
        </w:rPr>
        <w:t>其中易燃可燃液体、可燃固体区重车位</w:t>
      </w:r>
      <w:r>
        <w:rPr>
          <w:rFonts w:ascii="宋体" w:hAnsi="宋体" w:eastAsia="宋体" w:cs="宋体"/>
          <w:spacing w:val="-51"/>
          <w:sz w:val="28"/>
          <w:szCs w:val="28"/>
        </w:rPr>
        <w:t xml:space="preserve"> </w:t>
      </w:r>
      <w:r>
        <w:rPr>
          <w:rFonts w:ascii="Times New Roman" w:hAnsi="Times New Roman" w:eastAsia="Times New Roman" w:cs="Times New Roman"/>
          <w:spacing w:val="-4"/>
          <w:sz w:val="28"/>
          <w:szCs w:val="28"/>
        </w:rPr>
        <w:t xml:space="preserve">4 </w:t>
      </w:r>
      <w:r>
        <w:rPr>
          <w:rFonts w:ascii="宋体" w:hAnsi="宋体" w:eastAsia="宋体" w:cs="宋体"/>
          <w:spacing w:val="-4"/>
          <w:sz w:val="28"/>
          <w:szCs w:val="28"/>
        </w:rPr>
        <w:t>个；不燃气体、酸类、一般</w:t>
      </w:r>
      <w:r>
        <w:rPr>
          <w:rFonts w:ascii="宋体" w:hAnsi="宋体" w:eastAsia="宋体" w:cs="宋体"/>
          <w:sz w:val="28"/>
          <w:szCs w:val="28"/>
        </w:rPr>
        <w:t xml:space="preserve"> </w:t>
      </w:r>
      <w:r>
        <w:rPr>
          <w:rFonts w:ascii="宋体" w:hAnsi="宋体" w:eastAsia="宋体" w:cs="宋体"/>
          <w:spacing w:val="-4"/>
          <w:sz w:val="28"/>
          <w:szCs w:val="28"/>
        </w:rPr>
        <w:t>化学品区重车位</w:t>
      </w:r>
      <w:r>
        <w:rPr>
          <w:rFonts w:ascii="宋体" w:hAnsi="宋体" w:eastAsia="宋体" w:cs="宋体"/>
          <w:spacing w:val="-52"/>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个；可燃气体、碱类区重车位</w:t>
      </w:r>
      <w:r>
        <w:rPr>
          <w:rFonts w:ascii="宋体" w:hAnsi="宋体" w:eastAsia="宋体" w:cs="宋体"/>
          <w:spacing w:val="-65"/>
          <w:sz w:val="28"/>
          <w:szCs w:val="28"/>
        </w:rPr>
        <w:t xml:space="preserve"> </w:t>
      </w:r>
      <w:r>
        <w:rPr>
          <w:rFonts w:ascii="Times New Roman" w:hAnsi="Times New Roman" w:eastAsia="Times New Roman" w:cs="Times New Roman"/>
          <w:spacing w:val="-4"/>
          <w:sz w:val="28"/>
          <w:szCs w:val="28"/>
        </w:rPr>
        <w:t xml:space="preserve">2 </w:t>
      </w:r>
      <w:r>
        <w:rPr>
          <w:rFonts w:ascii="宋体" w:hAnsi="宋体" w:eastAsia="宋体" w:cs="宋体"/>
          <w:spacing w:val="-4"/>
          <w:sz w:val="28"/>
          <w:szCs w:val="28"/>
        </w:rPr>
        <w:t>个；遇水剧烈反应</w:t>
      </w:r>
      <w:r>
        <w:rPr>
          <w:rFonts w:ascii="宋体" w:hAnsi="宋体" w:eastAsia="宋体" w:cs="宋体"/>
          <w:sz w:val="28"/>
          <w:szCs w:val="28"/>
        </w:rPr>
        <w:t xml:space="preserve"> </w:t>
      </w:r>
      <w:r>
        <w:rPr>
          <w:rFonts w:ascii="宋体" w:hAnsi="宋体" w:eastAsia="宋体" w:cs="宋体"/>
          <w:spacing w:val="-2"/>
          <w:sz w:val="28"/>
          <w:szCs w:val="28"/>
        </w:rPr>
        <w:t>物质区重车位</w:t>
      </w:r>
      <w:r>
        <w:rPr>
          <w:rFonts w:ascii="宋体" w:hAnsi="宋体" w:eastAsia="宋体" w:cs="宋体"/>
          <w:spacing w:val="-58"/>
          <w:sz w:val="28"/>
          <w:szCs w:val="28"/>
        </w:rPr>
        <w:t xml:space="preserve"> </w:t>
      </w:r>
      <w:r>
        <w:rPr>
          <w:rFonts w:ascii="Times New Roman" w:hAnsi="Times New Roman" w:eastAsia="Times New Roman" w:cs="Times New Roman"/>
          <w:spacing w:val="-2"/>
          <w:sz w:val="28"/>
          <w:szCs w:val="28"/>
        </w:rPr>
        <w:t xml:space="preserve">2 </w:t>
      </w:r>
      <w:r>
        <w:rPr>
          <w:rFonts w:ascii="宋体" w:hAnsi="宋体" w:eastAsia="宋体" w:cs="宋体"/>
          <w:spacing w:val="-2"/>
          <w:sz w:val="28"/>
          <w:szCs w:val="28"/>
        </w:rPr>
        <w:t>个。槽罐车最大吨位为</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30t</w:t>
      </w:r>
      <w:r>
        <w:rPr>
          <w:rFonts w:ascii="Times New Roman" w:hAnsi="Times New Roman" w:eastAsia="Times New Roman" w:cs="Times New Roman"/>
          <w:spacing w:val="-38"/>
          <w:sz w:val="28"/>
          <w:szCs w:val="28"/>
        </w:rPr>
        <w:t xml:space="preserve"> </w:t>
      </w:r>
      <w:r>
        <w:rPr>
          <w:rFonts w:ascii="宋体" w:hAnsi="宋体" w:eastAsia="宋体" w:cs="宋体"/>
          <w:spacing w:val="-2"/>
          <w:sz w:val="28"/>
          <w:szCs w:val="28"/>
        </w:rPr>
        <w:t>，气瓶运输车最大吨位为</w:t>
      </w:r>
      <w:r>
        <w:rPr>
          <w:rFonts w:ascii="宋体" w:hAnsi="宋体" w:eastAsia="宋体" w:cs="宋体"/>
          <w:sz w:val="28"/>
          <w:szCs w:val="28"/>
        </w:rPr>
        <w:t xml:space="preserve"> </w:t>
      </w:r>
      <w:r>
        <w:rPr>
          <w:rFonts w:ascii="Times New Roman" w:hAnsi="Times New Roman" w:eastAsia="Times New Roman" w:cs="Times New Roman"/>
          <w:spacing w:val="3"/>
          <w:sz w:val="28"/>
          <w:szCs w:val="28"/>
        </w:rPr>
        <w:t>10</w:t>
      </w:r>
      <w:r>
        <w:rPr>
          <w:rFonts w:ascii="Times New Roman" w:hAnsi="Times New Roman" w:eastAsia="Times New Roman" w:cs="Times New Roman"/>
          <w:spacing w:val="25"/>
          <w:sz w:val="28"/>
          <w:szCs w:val="28"/>
        </w:rPr>
        <w:t xml:space="preserve"> </w:t>
      </w:r>
      <w:r>
        <w:rPr>
          <w:rFonts w:ascii="宋体" w:hAnsi="宋体" w:eastAsia="宋体" w:cs="宋体"/>
          <w:spacing w:val="3"/>
          <w:sz w:val="28"/>
          <w:szCs w:val="28"/>
        </w:rPr>
        <w:t>吨，按照最不利影响考虑即重载车位全部</w:t>
      </w:r>
      <w:r>
        <w:rPr>
          <w:rFonts w:ascii="宋体" w:hAnsi="宋体" w:eastAsia="宋体" w:cs="宋体"/>
          <w:spacing w:val="2"/>
          <w:sz w:val="28"/>
          <w:szCs w:val="28"/>
        </w:rPr>
        <w:t>停满，危险物质最大存</w:t>
      </w:r>
      <w:r>
        <w:rPr>
          <w:rFonts w:ascii="宋体" w:hAnsi="宋体" w:eastAsia="宋体" w:cs="宋体"/>
          <w:sz w:val="28"/>
          <w:szCs w:val="28"/>
        </w:rPr>
        <w:t xml:space="preserve"> </w:t>
      </w:r>
      <w:r>
        <w:rPr>
          <w:rFonts w:ascii="宋体" w:hAnsi="宋体" w:eastAsia="宋体" w:cs="宋体"/>
          <w:spacing w:val="-4"/>
          <w:sz w:val="28"/>
          <w:szCs w:val="28"/>
        </w:rPr>
        <w:t>在量为</w:t>
      </w:r>
      <w:r>
        <w:rPr>
          <w:rFonts w:ascii="宋体" w:hAnsi="宋体" w:eastAsia="宋体" w:cs="宋体"/>
          <w:spacing w:val="-55"/>
          <w:sz w:val="28"/>
          <w:szCs w:val="28"/>
        </w:rPr>
        <w:t xml:space="preserve"> </w:t>
      </w:r>
      <w:r>
        <w:rPr>
          <w:rFonts w:ascii="Times New Roman" w:hAnsi="Times New Roman" w:eastAsia="Times New Roman" w:cs="Times New Roman"/>
          <w:spacing w:val="-4"/>
          <w:sz w:val="28"/>
          <w:szCs w:val="28"/>
        </w:rPr>
        <w:t>300t</w:t>
      </w:r>
      <w:r>
        <w:rPr>
          <w:rFonts w:ascii="宋体" w:hAnsi="宋体" w:eastAsia="宋体" w:cs="宋体"/>
          <w:spacing w:val="-4"/>
          <w:sz w:val="28"/>
          <w:szCs w:val="28"/>
        </w:rPr>
        <w:t>。同时考虑运输车辆油箱为加满状态，每辆车油箱容积按</w:t>
      </w:r>
      <w:r>
        <w:rPr>
          <w:rFonts w:ascii="宋体" w:hAnsi="宋体" w:eastAsia="宋体" w:cs="宋体"/>
          <w:sz w:val="28"/>
          <w:szCs w:val="28"/>
        </w:rPr>
        <w:t xml:space="preserve"> </w:t>
      </w:r>
      <w:r>
        <w:rPr>
          <w:rFonts w:ascii="Times New Roman" w:hAnsi="Times New Roman" w:eastAsia="Times New Roman" w:cs="Times New Roman"/>
          <w:spacing w:val="-1"/>
          <w:sz w:val="28"/>
          <w:szCs w:val="28"/>
        </w:rPr>
        <w:t>0.4m</w:t>
      </w:r>
      <w:r>
        <w:rPr>
          <w:rFonts w:ascii="宋体" w:hAnsi="宋体" w:eastAsia="宋体" w:cs="宋体"/>
          <w:spacing w:val="-1"/>
          <w:sz w:val="28"/>
          <w:szCs w:val="28"/>
        </w:rPr>
        <w:t>³计，柴油密度按</w:t>
      </w:r>
      <w:r>
        <w:rPr>
          <w:rFonts w:ascii="宋体" w:hAnsi="宋体" w:eastAsia="宋体" w:cs="宋体"/>
          <w:spacing w:val="-53"/>
          <w:sz w:val="28"/>
          <w:szCs w:val="28"/>
        </w:rPr>
        <w:t xml:space="preserve"> </w:t>
      </w:r>
      <w:r>
        <w:rPr>
          <w:rFonts w:ascii="Times New Roman" w:hAnsi="Times New Roman" w:eastAsia="Times New Roman" w:cs="Times New Roman"/>
          <w:spacing w:val="-1"/>
          <w:sz w:val="28"/>
          <w:szCs w:val="28"/>
        </w:rPr>
        <w:t>0.85t/m</w:t>
      </w:r>
      <w:r>
        <w:rPr>
          <w:rFonts w:ascii="宋体" w:hAnsi="宋体" w:eastAsia="宋体" w:cs="宋体"/>
          <w:spacing w:val="-1"/>
          <w:sz w:val="28"/>
          <w:szCs w:val="28"/>
        </w:rPr>
        <w:t>³计，柴油最大存在量为</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31.28t</w:t>
      </w:r>
      <w:r>
        <w:rPr>
          <w:rFonts w:ascii="宋体" w:hAnsi="宋体" w:eastAsia="宋体" w:cs="宋体"/>
          <w:spacing w:val="-1"/>
          <w:sz w:val="28"/>
          <w:szCs w:val="28"/>
        </w:rPr>
        <w:t>。</w:t>
      </w:r>
    </w:p>
    <w:p w14:paraId="4D3BFF51">
      <w:pPr>
        <w:spacing w:before="1" w:line="219" w:lineRule="auto"/>
        <w:ind w:left="117"/>
        <w:outlineLvl w:val="1"/>
        <w:rPr>
          <w:rFonts w:ascii="宋体" w:hAnsi="宋体" w:eastAsia="宋体" w:cs="宋体"/>
          <w:sz w:val="28"/>
          <w:szCs w:val="28"/>
        </w:rPr>
      </w:pPr>
      <w:bookmarkStart w:id="9" w:name="bookmark10"/>
      <w:bookmarkEnd w:id="9"/>
      <w:r>
        <w:rPr>
          <w:rFonts w:ascii="Times New Roman" w:hAnsi="Times New Roman" w:eastAsia="Times New Roman" w:cs="Times New Roman"/>
          <w:b/>
          <w:bCs/>
          <w:spacing w:val="-2"/>
          <w:sz w:val="28"/>
          <w:szCs w:val="28"/>
        </w:rPr>
        <w:t xml:space="preserve">3.2 </w:t>
      </w:r>
      <w:r>
        <w:rPr>
          <w:rFonts w:ascii="宋体" w:hAnsi="宋体" w:eastAsia="宋体" w:cs="宋体"/>
          <w:b/>
          <w:bCs/>
          <w:spacing w:val="-2"/>
          <w:sz w:val="28"/>
          <w:szCs w:val="28"/>
        </w:rPr>
        <w:t>风险潜势初判</w:t>
      </w:r>
    </w:p>
    <w:p w14:paraId="1EFBD685">
      <w:pPr>
        <w:spacing w:line="219" w:lineRule="auto"/>
        <w:rPr>
          <w:rFonts w:ascii="宋体" w:hAnsi="宋体" w:eastAsia="宋体" w:cs="宋体"/>
          <w:sz w:val="28"/>
          <w:szCs w:val="28"/>
        </w:rPr>
        <w:sectPr>
          <w:footerReference r:id="rId95" w:type="default"/>
          <w:pgSz w:w="11906" w:h="16839"/>
          <w:pgMar w:top="400" w:right="1687" w:bottom="1257" w:left="1687" w:header="0" w:footer="1097" w:gutter="0"/>
          <w:cols w:space="720" w:num="1"/>
        </w:sectPr>
      </w:pPr>
    </w:p>
    <w:p w14:paraId="15EC2FD9">
      <w:pPr>
        <w:pStyle w:val="2"/>
        <w:spacing w:line="245" w:lineRule="auto"/>
      </w:pPr>
    </w:p>
    <w:p w14:paraId="17089C75">
      <w:pPr>
        <w:pStyle w:val="2"/>
        <w:spacing w:line="246" w:lineRule="auto"/>
      </w:pPr>
    </w:p>
    <w:p w14:paraId="4F0A0AE9">
      <w:pPr>
        <w:pStyle w:val="2"/>
        <w:spacing w:line="246" w:lineRule="auto"/>
      </w:pPr>
    </w:p>
    <w:p w14:paraId="4CECC1E8">
      <w:pPr>
        <w:pStyle w:val="2"/>
        <w:spacing w:line="246" w:lineRule="auto"/>
      </w:pPr>
    </w:p>
    <w:p w14:paraId="34124CC4">
      <w:pPr>
        <w:spacing w:before="91"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）环境风险潜势划分</w:t>
      </w:r>
    </w:p>
    <w:p w14:paraId="30807BAE">
      <w:pPr>
        <w:spacing w:before="212" w:line="358" w:lineRule="auto"/>
        <w:ind w:left="124" w:right="109" w:firstLine="561"/>
        <w:rPr>
          <w:rFonts w:ascii="宋体" w:hAnsi="宋体" w:eastAsia="宋体" w:cs="宋体"/>
          <w:sz w:val="28"/>
          <w:szCs w:val="28"/>
        </w:rPr>
      </w:pPr>
      <w:r>
        <w:rPr>
          <w:rFonts w:ascii="宋体" w:hAnsi="宋体" w:eastAsia="宋体" w:cs="宋体"/>
          <w:spacing w:val="-10"/>
          <w:sz w:val="28"/>
          <w:szCs w:val="28"/>
        </w:rPr>
        <w:t>建设项目环境风险潜势划分为</w:t>
      </w:r>
      <w:r>
        <w:rPr>
          <w:rFonts w:ascii="宋体" w:hAnsi="宋体" w:eastAsia="宋体" w:cs="宋体"/>
          <w:spacing w:val="-20"/>
          <w:sz w:val="28"/>
          <w:szCs w:val="28"/>
        </w:rPr>
        <w:t xml:space="preserve"> </w:t>
      </w:r>
      <w:r>
        <w:rPr>
          <w:rFonts w:ascii="宋体" w:hAnsi="宋体" w:eastAsia="宋体" w:cs="宋体"/>
          <w:spacing w:val="-10"/>
          <w:sz w:val="28"/>
          <w:szCs w:val="28"/>
        </w:rPr>
        <w:t>Ⅰ</w:t>
      </w:r>
      <w:r>
        <w:rPr>
          <w:rFonts w:ascii="宋体" w:hAnsi="宋体" w:eastAsia="宋体" w:cs="宋体"/>
          <w:spacing w:val="-110"/>
          <w:sz w:val="28"/>
          <w:szCs w:val="28"/>
        </w:rPr>
        <w:t xml:space="preserve"> </w:t>
      </w:r>
      <w:r>
        <w:rPr>
          <w:rFonts w:ascii="宋体" w:hAnsi="宋体" w:eastAsia="宋体" w:cs="宋体"/>
          <w:spacing w:val="-10"/>
          <w:sz w:val="28"/>
          <w:szCs w:val="28"/>
        </w:rPr>
        <w:t>、</w:t>
      </w:r>
      <w:r>
        <w:rPr>
          <w:rFonts w:ascii="宋体" w:hAnsi="宋体" w:eastAsia="宋体" w:cs="宋体"/>
          <w:spacing w:val="-95"/>
          <w:sz w:val="28"/>
          <w:szCs w:val="28"/>
        </w:rPr>
        <w:t xml:space="preserve"> </w:t>
      </w:r>
      <w:r>
        <w:rPr>
          <w:rFonts w:ascii="宋体" w:hAnsi="宋体" w:eastAsia="宋体" w:cs="宋体"/>
          <w:spacing w:val="-10"/>
          <w:sz w:val="28"/>
          <w:szCs w:val="28"/>
        </w:rPr>
        <w:t>Ⅱ</w:t>
      </w:r>
      <w:r>
        <w:rPr>
          <w:rFonts w:ascii="宋体" w:hAnsi="宋体" w:eastAsia="宋体" w:cs="宋体"/>
          <w:spacing w:val="-109"/>
          <w:sz w:val="28"/>
          <w:szCs w:val="28"/>
        </w:rPr>
        <w:t xml:space="preserve"> </w:t>
      </w:r>
      <w:r>
        <w:rPr>
          <w:rFonts w:ascii="宋体" w:hAnsi="宋体" w:eastAsia="宋体" w:cs="宋体"/>
          <w:spacing w:val="-10"/>
          <w:sz w:val="28"/>
          <w:szCs w:val="28"/>
        </w:rPr>
        <w:t>、Ⅲ、Ⅳ</w:t>
      </w:r>
      <w:r>
        <w:rPr>
          <w:rFonts w:ascii="Times New Roman" w:hAnsi="Times New Roman" w:eastAsia="Times New Roman" w:cs="Times New Roman"/>
          <w:spacing w:val="-10"/>
          <w:sz w:val="28"/>
          <w:szCs w:val="28"/>
        </w:rPr>
        <w:t>/</w:t>
      </w:r>
      <w:r>
        <w:rPr>
          <w:rFonts w:ascii="宋体" w:hAnsi="宋体" w:eastAsia="宋体" w:cs="宋体"/>
          <w:spacing w:val="-10"/>
          <w:sz w:val="28"/>
          <w:szCs w:val="28"/>
        </w:rPr>
        <w:t>Ⅳ</w:t>
      </w:r>
      <w:r>
        <w:rPr>
          <w:rFonts w:ascii="Times New Roman" w:hAnsi="Times New Roman" w:eastAsia="Times New Roman" w:cs="Times New Roman"/>
          <w:spacing w:val="-10"/>
          <w:sz w:val="28"/>
          <w:szCs w:val="28"/>
        </w:rPr>
        <w:t>+</w:t>
      </w:r>
      <w:r>
        <w:rPr>
          <w:rFonts w:ascii="宋体" w:hAnsi="宋体" w:eastAsia="宋体" w:cs="宋体"/>
          <w:spacing w:val="-10"/>
          <w:sz w:val="28"/>
          <w:szCs w:val="28"/>
        </w:rPr>
        <w:t>级。根据建设</w:t>
      </w:r>
      <w:r>
        <w:rPr>
          <w:rFonts w:ascii="宋体" w:hAnsi="宋体" w:eastAsia="宋体" w:cs="宋体"/>
          <w:sz w:val="28"/>
          <w:szCs w:val="28"/>
        </w:rPr>
        <w:t xml:space="preserve"> </w:t>
      </w:r>
      <w:r>
        <w:rPr>
          <w:rFonts w:ascii="宋体" w:hAnsi="宋体" w:eastAsia="宋体" w:cs="宋体"/>
          <w:spacing w:val="-4"/>
          <w:sz w:val="28"/>
          <w:szCs w:val="28"/>
        </w:rPr>
        <w:t>项目涉及的物质和工艺系统的危险性及其所在地的环境敏感程度，结</w:t>
      </w:r>
      <w:r>
        <w:rPr>
          <w:rFonts w:ascii="宋体" w:hAnsi="宋体" w:eastAsia="宋体" w:cs="宋体"/>
          <w:spacing w:val="13"/>
          <w:sz w:val="28"/>
          <w:szCs w:val="28"/>
        </w:rPr>
        <w:t xml:space="preserve"> </w:t>
      </w:r>
      <w:r>
        <w:rPr>
          <w:rFonts w:ascii="宋体" w:hAnsi="宋体" w:eastAsia="宋体" w:cs="宋体"/>
          <w:spacing w:val="-4"/>
          <w:sz w:val="28"/>
          <w:szCs w:val="28"/>
        </w:rPr>
        <w:t>合事故情形下环境影响途径，对建设项目潜在环境危害程度进行概化</w:t>
      </w:r>
      <w:r>
        <w:rPr>
          <w:rFonts w:ascii="宋体" w:hAnsi="宋体" w:eastAsia="宋体" w:cs="宋体"/>
          <w:spacing w:val="13"/>
          <w:sz w:val="28"/>
          <w:szCs w:val="28"/>
        </w:rPr>
        <w:t xml:space="preserve"> </w:t>
      </w:r>
      <w:r>
        <w:rPr>
          <w:rFonts w:ascii="宋体" w:hAnsi="宋体" w:eastAsia="宋体" w:cs="宋体"/>
          <w:spacing w:val="-1"/>
          <w:sz w:val="28"/>
          <w:szCs w:val="28"/>
        </w:rPr>
        <w:t>分析，按照下表确定环境风险潜势。</w:t>
      </w:r>
    </w:p>
    <w:p w14:paraId="4F884441">
      <w:pPr>
        <w:spacing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3.2-1    </w:t>
      </w:r>
      <w:r>
        <w:rPr>
          <w:rFonts w:ascii="宋体" w:hAnsi="宋体" w:eastAsia="宋体" w:cs="宋体"/>
          <w:b/>
          <w:bCs/>
          <w:spacing w:val="-2"/>
          <w:sz w:val="24"/>
          <w:szCs w:val="24"/>
        </w:rPr>
        <w:t>建设项目环境风险潜势划分表</w:t>
      </w:r>
    </w:p>
    <w:p w14:paraId="2DAC9A3F">
      <w:pPr>
        <w:spacing w:line="146"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8"/>
        <w:gridCol w:w="1386"/>
        <w:gridCol w:w="1556"/>
        <w:gridCol w:w="1560"/>
        <w:gridCol w:w="1573"/>
      </w:tblGrid>
      <w:tr w14:paraId="06657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448" w:type="dxa"/>
            <w:vMerge w:val="restart"/>
            <w:tcBorders>
              <w:bottom w:val="nil"/>
            </w:tcBorders>
            <w:vAlign w:val="top"/>
          </w:tcPr>
          <w:p w14:paraId="57058D32">
            <w:pPr>
              <w:spacing w:line="276" w:lineRule="auto"/>
              <w:rPr>
                <w:rFonts w:ascii="Arial"/>
                <w:sz w:val="21"/>
              </w:rPr>
            </w:pPr>
          </w:p>
          <w:p w14:paraId="6F90431E">
            <w:pPr>
              <w:pStyle w:val="6"/>
              <w:spacing w:before="78" w:line="219" w:lineRule="auto"/>
              <w:ind w:left="198"/>
              <w:rPr>
                <w:sz w:val="24"/>
                <w:szCs w:val="24"/>
              </w:rPr>
            </w:pPr>
            <w:r>
              <w:rPr>
                <w:spacing w:val="-2"/>
                <w:sz w:val="24"/>
                <w:szCs w:val="24"/>
              </w:rPr>
              <w:t>环境敏感程度（</w:t>
            </w:r>
            <w:r>
              <w:rPr>
                <w:rFonts w:ascii="Times New Roman" w:hAnsi="Times New Roman" w:eastAsia="Times New Roman" w:cs="Times New Roman"/>
                <w:spacing w:val="-2"/>
                <w:sz w:val="24"/>
                <w:szCs w:val="24"/>
              </w:rPr>
              <w:t>E</w:t>
            </w:r>
            <w:r>
              <w:rPr>
                <w:spacing w:val="-2"/>
                <w:sz w:val="24"/>
                <w:szCs w:val="24"/>
              </w:rPr>
              <w:t>）</w:t>
            </w:r>
          </w:p>
        </w:tc>
        <w:tc>
          <w:tcPr>
            <w:tcW w:w="6075" w:type="dxa"/>
            <w:gridSpan w:val="4"/>
            <w:vAlign w:val="top"/>
          </w:tcPr>
          <w:p w14:paraId="22FF8E86">
            <w:pPr>
              <w:pStyle w:val="6"/>
              <w:spacing w:before="41" w:line="207" w:lineRule="auto"/>
              <w:ind w:left="1298"/>
              <w:rPr>
                <w:sz w:val="24"/>
                <w:szCs w:val="24"/>
              </w:rPr>
            </w:pPr>
            <w:r>
              <w:rPr>
                <w:spacing w:val="-1"/>
                <w:sz w:val="24"/>
                <w:szCs w:val="24"/>
              </w:rPr>
              <w:t>危险物质及工艺系统危险性（</w:t>
            </w:r>
            <w:r>
              <w:rPr>
                <w:rFonts w:ascii="Times New Roman" w:hAnsi="Times New Roman" w:eastAsia="Times New Roman" w:cs="Times New Roman"/>
                <w:spacing w:val="-1"/>
                <w:sz w:val="24"/>
                <w:szCs w:val="24"/>
              </w:rPr>
              <w:t>P</w:t>
            </w:r>
            <w:r>
              <w:rPr>
                <w:spacing w:val="-1"/>
                <w:sz w:val="24"/>
                <w:szCs w:val="24"/>
              </w:rPr>
              <w:t>）</w:t>
            </w:r>
          </w:p>
        </w:tc>
      </w:tr>
      <w:tr w14:paraId="5D864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448" w:type="dxa"/>
            <w:vMerge w:val="continue"/>
            <w:tcBorders>
              <w:top w:val="nil"/>
            </w:tcBorders>
            <w:vAlign w:val="top"/>
          </w:tcPr>
          <w:p w14:paraId="5DB51941">
            <w:pPr>
              <w:rPr>
                <w:rFonts w:ascii="Arial"/>
                <w:sz w:val="21"/>
              </w:rPr>
            </w:pPr>
          </w:p>
        </w:tc>
        <w:tc>
          <w:tcPr>
            <w:tcW w:w="1386" w:type="dxa"/>
            <w:vAlign w:val="top"/>
          </w:tcPr>
          <w:p w14:paraId="10E75EEE">
            <w:pPr>
              <w:pStyle w:val="6"/>
              <w:spacing w:before="35" w:line="219" w:lineRule="auto"/>
              <w:ind w:left="220"/>
              <w:rPr>
                <w:sz w:val="24"/>
                <w:szCs w:val="24"/>
              </w:rPr>
            </w:pPr>
            <w:r>
              <w:rPr>
                <w:spacing w:val="-4"/>
                <w:sz w:val="24"/>
                <w:szCs w:val="24"/>
              </w:rPr>
              <w:t>极高危害</w:t>
            </w:r>
          </w:p>
          <w:p w14:paraId="35E86E65">
            <w:pPr>
              <w:pStyle w:val="6"/>
              <w:spacing w:before="27" w:line="207" w:lineRule="auto"/>
              <w:ind w:left="344"/>
              <w:rPr>
                <w:sz w:val="24"/>
                <w:szCs w:val="24"/>
              </w:rPr>
            </w:pPr>
            <w:r>
              <w:rPr>
                <w:spacing w:val="-5"/>
                <w:sz w:val="24"/>
                <w:szCs w:val="24"/>
              </w:rPr>
              <w:t>（</w:t>
            </w:r>
            <w:r>
              <w:rPr>
                <w:rFonts w:ascii="Times New Roman" w:hAnsi="Times New Roman" w:eastAsia="Times New Roman" w:cs="Times New Roman"/>
                <w:spacing w:val="-5"/>
                <w:sz w:val="24"/>
                <w:szCs w:val="24"/>
              </w:rPr>
              <w:t>P1</w:t>
            </w:r>
            <w:r>
              <w:rPr>
                <w:spacing w:val="-5"/>
                <w:sz w:val="24"/>
                <w:szCs w:val="24"/>
              </w:rPr>
              <w:t>）</w:t>
            </w:r>
          </w:p>
        </w:tc>
        <w:tc>
          <w:tcPr>
            <w:tcW w:w="1556" w:type="dxa"/>
            <w:vAlign w:val="top"/>
          </w:tcPr>
          <w:p w14:paraId="6A1060F9">
            <w:pPr>
              <w:pStyle w:val="6"/>
              <w:spacing w:before="35" w:line="219" w:lineRule="auto"/>
              <w:ind w:left="312"/>
              <w:rPr>
                <w:sz w:val="24"/>
                <w:szCs w:val="24"/>
              </w:rPr>
            </w:pPr>
            <w:r>
              <w:rPr>
                <w:spacing w:val="-4"/>
                <w:sz w:val="24"/>
                <w:szCs w:val="24"/>
              </w:rPr>
              <w:t>高度危害</w:t>
            </w:r>
          </w:p>
          <w:p w14:paraId="27E70D33">
            <w:pPr>
              <w:pStyle w:val="6"/>
              <w:spacing w:before="27" w:line="207" w:lineRule="auto"/>
              <w:ind w:left="429"/>
              <w:rPr>
                <w:sz w:val="24"/>
                <w:szCs w:val="24"/>
              </w:rPr>
            </w:pPr>
            <w:r>
              <w:rPr>
                <w:spacing w:val="-5"/>
                <w:sz w:val="24"/>
                <w:szCs w:val="24"/>
              </w:rPr>
              <w:t>（</w:t>
            </w:r>
            <w:r>
              <w:rPr>
                <w:rFonts w:ascii="Times New Roman" w:hAnsi="Times New Roman" w:eastAsia="Times New Roman" w:cs="Times New Roman"/>
                <w:spacing w:val="-5"/>
                <w:sz w:val="24"/>
                <w:szCs w:val="24"/>
              </w:rPr>
              <w:t>P2</w:t>
            </w:r>
            <w:r>
              <w:rPr>
                <w:spacing w:val="-5"/>
                <w:sz w:val="24"/>
                <w:szCs w:val="24"/>
              </w:rPr>
              <w:t>）</w:t>
            </w:r>
          </w:p>
        </w:tc>
        <w:tc>
          <w:tcPr>
            <w:tcW w:w="1560" w:type="dxa"/>
            <w:vAlign w:val="top"/>
          </w:tcPr>
          <w:p w14:paraId="7952AEEB">
            <w:pPr>
              <w:pStyle w:val="6"/>
              <w:spacing w:before="34" w:line="220" w:lineRule="auto"/>
              <w:ind w:left="329"/>
              <w:rPr>
                <w:sz w:val="24"/>
                <w:szCs w:val="24"/>
              </w:rPr>
            </w:pPr>
            <w:r>
              <w:rPr>
                <w:spacing w:val="-8"/>
                <w:sz w:val="24"/>
                <w:szCs w:val="24"/>
              </w:rPr>
              <w:t>中度危害</w:t>
            </w:r>
          </w:p>
          <w:p w14:paraId="1FA87775">
            <w:pPr>
              <w:pStyle w:val="6"/>
              <w:spacing w:before="26" w:line="207" w:lineRule="auto"/>
              <w:ind w:left="433"/>
              <w:rPr>
                <w:sz w:val="24"/>
                <w:szCs w:val="24"/>
              </w:rPr>
            </w:pPr>
            <w:r>
              <w:rPr>
                <w:spacing w:val="-5"/>
                <w:sz w:val="24"/>
                <w:szCs w:val="24"/>
              </w:rPr>
              <w:t>（</w:t>
            </w:r>
            <w:r>
              <w:rPr>
                <w:rFonts w:ascii="Times New Roman" w:hAnsi="Times New Roman" w:eastAsia="Times New Roman" w:cs="Times New Roman"/>
                <w:spacing w:val="-5"/>
                <w:sz w:val="24"/>
                <w:szCs w:val="24"/>
              </w:rPr>
              <w:t>P3</w:t>
            </w:r>
            <w:r>
              <w:rPr>
                <w:spacing w:val="-5"/>
                <w:sz w:val="24"/>
                <w:szCs w:val="24"/>
              </w:rPr>
              <w:t>）</w:t>
            </w:r>
          </w:p>
        </w:tc>
        <w:tc>
          <w:tcPr>
            <w:tcW w:w="1573" w:type="dxa"/>
            <w:vAlign w:val="top"/>
          </w:tcPr>
          <w:p w14:paraId="093A7AA4">
            <w:pPr>
              <w:pStyle w:val="6"/>
              <w:spacing w:before="35" w:line="219" w:lineRule="auto"/>
              <w:ind w:left="312"/>
              <w:rPr>
                <w:sz w:val="24"/>
                <w:szCs w:val="24"/>
              </w:rPr>
            </w:pPr>
            <w:r>
              <w:rPr>
                <w:spacing w:val="-3"/>
                <w:sz w:val="24"/>
                <w:szCs w:val="24"/>
              </w:rPr>
              <w:t>轻度危害</w:t>
            </w:r>
          </w:p>
          <w:p w14:paraId="51CE3E67">
            <w:pPr>
              <w:pStyle w:val="6"/>
              <w:spacing w:before="27" w:line="207" w:lineRule="auto"/>
              <w:ind w:left="438"/>
              <w:rPr>
                <w:sz w:val="24"/>
                <w:szCs w:val="24"/>
              </w:rPr>
            </w:pPr>
            <w:r>
              <w:rPr>
                <w:spacing w:val="-5"/>
                <w:sz w:val="24"/>
                <w:szCs w:val="24"/>
              </w:rPr>
              <w:t>（</w:t>
            </w:r>
            <w:r>
              <w:rPr>
                <w:rFonts w:ascii="Times New Roman" w:hAnsi="Times New Roman" w:eastAsia="Times New Roman" w:cs="Times New Roman"/>
                <w:spacing w:val="-5"/>
                <w:sz w:val="24"/>
                <w:szCs w:val="24"/>
              </w:rPr>
              <w:t>P4</w:t>
            </w:r>
            <w:r>
              <w:rPr>
                <w:spacing w:val="-5"/>
                <w:sz w:val="24"/>
                <w:szCs w:val="24"/>
              </w:rPr>
              <w:t>）</w:t>
            </w:r>
          </w:p>
        </w:tc>
      </w:tr>
      <w:tr w14:paraId="46FD6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448" w:type="dxa"/>
            <w:vAlign w:val="top"/>
          </w:tcPr>
          <w:p w14:paraId="0DCC8100">
            <w:pPr>
              <w:pStyle w:val="6"/>
              <w:spacing w:before="37" w:line="206" w:lineRule="auto"/>
              <w:jc w:val="right"/>
              <w:rPr>
                <w:sz w:val="24"/>
                <w:szCs w:val="24"/>
              </w:rPr>
            </w:pPr>
            <w:r>
              <w:rPr>
                <w:spacing w:val="-10"/>
                <w:sz w:val="24"/>
                <w:szCs w:val="24"/>
              </w:rPr>
              <w:t>环境高度敏感区（</w:t>
            </w:r>
            <w:r>
              <w:rPr>
                <w:rFonts w:ascii="Times New Roman" w:hAnsi="Times New Roman" w:eastAsia="Times New Roman" w:cs="Times New Roman"/>
                <w:spacing w:val="-10"/>
                <w:sz w:val="24"/>
                <w:szCs w:val="24"/>
              </w:rPr>
              <w:t>E1</w:t>
            </w:r>
            <w:r>
              <w:rPr>
                <w:spacing w:val="-10"/>
                <w:sz w:val="24"/>
                <w:szCs w:val="24"/>
              </w:rPr>
              <w:t>）</w:t>
            </w:r>
          </w:p>
        </w:tc>
        <w:tc>
          <w:tcPr>
            <w:tcW w:w="1386" w:type="dxa"/>
            <w:vAlign w:val="top"/>
          </w:tcPr>
          <w:p w14:paraId="0CD8BFAB">
            <w:pPr>
              <w:spacing w:before="82" w:line="185"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IV+</w:t>
            </w:r>
          </w:p>
        </w:tc>
        <w:tc>
          <w:tcPr>
            <w:tcW w:w="1556" w:type="dxa"/>
            <w:vAlign w:val="top"/>
          </w:tcPr>
          <w:p w14:paraId="0622E58A">
            <w:pPr>
              <w:spacing w:before="82" w:line="185" w:lineRule="auto"/>
              <w:ind w:left="65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IV</w:t>
            </w:r>
          </w:p>
        </w:tc>
        <w:tc>
          <w:tcPr>
            <w:tcW w:w="1560" w:type="dxa"/>
            <w:vAlign w:val="top"/>
          </w:tcPr>
          <w:p w14:paraId="7D9A55DA">
            <w:pPr>
              <w:spacing w:before="82" w:line="185" w:lineRule="auto"/>
              <w:ind w:left="66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73" w:type="dxa"/>
            <w:vAlign w:val="top"/>
          </w:tcPr>
          <w:p w14:paraId="19E2F296">
            <w:pPr>
              <w:spacing w:before="82" w:line="185" w:lineRule="auto"/>
              <w:ind w:left="66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r>
      <w:tr w14:paraId="0691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448" w:type="dxa"/>
            <w:vAlign w:val="top"/>
          </w:tcPr>
          <w:p w14:paraId="64300263">
            <w:pPr>
              <w:pStyle w:val="6"/>
              <w:spacing w:before="164" w:line="219" w:lineRule="auto"/>
              <w:jc w:val="right"/>
              <w:rPr>
                <w:sz w:val="24"/>
                <w:szCs w:val="24"/>
              </w:rPr>
            </w:pPr>
            <w:r>
              <w:rPr>
                <w:spacing w:val="-10"/>
                <w:sz w:val="24"/>
                <w:szCs w:val="24"/>
              </w:rPr>
              <w:t>环境中度敏感区（</w:t>
            </w:r>
            <w:r>
              <w:rPr>
                <w:rFonts w:ascii="Times New Roman" w:hAnsi="Times New Roman" w:eastAsia="Times New Roman" w:cs="Times New Roman"/>
                <w:spacing w:val="-10"/>
                <w:sz w:val="24"/>
                <w:szCs w:val="24"/>
              </w:rPr>
              <w:t>E2</w:t>
            </w:r>
            <w:r>
              <w:rPr>
                <w:spacing w:val="-10"/>
                <w:sz w:val="24"/>
                <w:szCs w:val="24"/>
              </w:rPr>
              <w:t>）</w:t>
            </w:r>
          </w:p>
        </w:tc>
        <w:tc>
          <w:tcPr>
            <w:tcW w:w="1386" w:type="dxa"/>
            <w:vAlign w:val="top"/>
          </w:tcPr>
          <w:p w14:paraId="4795DB59">
            <w:pPr>
              <w:spacing w:before="208" w:line="185" w:lineRule="auto"/>
              <w:ind w:left="5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IV</w:t>
            </w:r>
          </w:p>
        </w:tc>
        <w:tc>
          <w:tcPr>
            <w:tcW w:w="1556" w:type="dxa"/>
            <w:vAlign w:val="top"/>
          </w:tcPr>
          <w:p w14:paraId="6220593A">
            <w:pPr>
              <w:spacing w:before="208" w:line="185" w:lineRule="auto"/>
              <w:ind w:left="66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60" w:type="dxa"/>
            <w:vAlign w:val="top"/>
          </w:tcPr>
          <w:p w14:paraId="2E155E31">
            <w:pPr>
              <w:spacing w:before="208" w:line="185" w:lineRule="auto"/>
              <w:ind w:left="66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73" w:type="dxa"/>
            <w:vAlign w:val="top"/>
          </w:tcPr>
          <w:p w14:paraId="2943A8C0">
            <w:pPr>
              <w:spacing w:before="208" w:line="185" w:lineRule="auto"/>
              <w:ind w:left="7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r w14:paraId="5C93A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448" w:type="dxa"/>
            <w:vAlign w:val="top"/>
          </w:tcPr>
          <w:p w14:paraId="7CD6F5B9">
            <w:pPr>
              <w:pStyle w:val="6"/>
              <w:spacing w:before="38" w:line="206" w:lineRule="auto"/>
              <w:jc w:val="right"/>
              <w:rPr>
                <w:sz w:val="24"/>
                <w:szCs w:val="24"/>
              </w:rPr>
            </w:pPr>
            <w:r>
              <w:rPr>
                <w:spacing w:val="-10"/>
                <w:sz w:val="24"/>
                <w:szCs w:val="24"/>
              </w:rPr>
              <w:t>环境低度敏感区（</w:t>
            </w:r>
            <w:r>
              <w:rPr>
                <w:rFonts w:ascii="Times New Roman" w:hAnsi="Times New Roman" w:eastAsia="Times New Roman" w:cs="Times New Roman"/>
                <w:spacing w:val="-10"/>
                <w:sz w:val="24"/>
                <w:szCs w:val="24"/>
              </w:rPr>
              <w:t>E3</w:t>
            </w:r>
            <w:r>
              <w:rPr>
                <w:spacing w:val="-10"/>
                <w:sz w:val="24"/>
                <w:szCs w:val="24"/>
              </w:rPr>
              <w:t>）</w:t>
            </w:r>
          </w:p>
        </w:tc>
        <w:tc>
          <w:tcPr>
            <w:tcW w:w="1386" w:type="dxa"/>
            <w:vAlign w:val="top"/>
          </w:tcPr>
          <w:p w14:paraId="502E5628">
            <w:pPr>
              <w:spacing w:before="83" w:line="185" w:lineRule="auto"/>
              <w:ind w:left="57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56" w:type="dxa"/>
            <w:vAlign w:val="top"/>
          </w:tcPr>
          <w:p w14:paraId="33501427">
            <w:pPr>
              <w:spacing w:before="83" w:line="185" w:lineRule="auto"/>
              <w:ind w:left="66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c>
          <w:tcPr>
            <w:tcW w:w="1560" w:type="dxa"/>
            <w:vAlign w:val="top"/>
          </w:tcPr>
          <w:p w14:paraId="1622BF57">
            <w:pPr>
              <w:spacing w:before="83" w:line="185" w:lineRule="auto"/>
              <w:ind w:left="70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c>
          <w:tcPr>
            <w:tcW w:w="1573" w:type="dxa"/>
            <w:vAlign w:val="top"/>
          </w:tcPr>
          <w:p w14:paraId="4B5291FD">
            <w:pPr>
              <w:spacing w:before="83" w:line="185" w:lineRule="auto"/>
              <w:ind w:left="750"/>
              <w:rPr>
                <w:rFonts w:ascii="Times New Roman" w:hAnsi="Times New Roman" w:eastAsia="Times New Roman" w:cs="Times New Roman"/>
                <w:sz w:val="24"/>
                <w:szCs w:val="24"/>
              </w:rPr>
            </w:pPr>
            <w:r>
              <w:rPr>
                <w:rFonts w:ascii="Times New Roman" w:hAnsi="Times New Roman" w:eastAsia="Times New Roman" w:cs="Times New Roman"/>
                <w:sz w:val="24"/>
                <w:szCs w:val="24"/>
              </w:rPr>
              <w:t>I</w:t>
            </w:r>
          </w:p>
        </w:tc>
      </w:tr>
      <w:tr w14:paraId="3872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523" w:type="dxa"/>
            <w:gridSpan w:val="5"/>
            <w:vAlign w:val="top"/>
          </w:tcPr>
          <w:p w14:paraId="52D2FAC5">
            <w:pPr>
              <w:pStyle w:val="6"/>
              <w:spacing w:before="39" w:line="208" w:lineRule="auto"/>
              <w:ind w:left="117"/>
              <w:rPr>
                <w:sz w:val="24"/>
                <w:szCs w:val="24"/>
              </w:rPr>
            </w:pPr>
            <w:r>
              <w:rPr>
                <w:spacing w:val="-1"/>
                <w:sz w:val="24"/>
                <w:szCs w:val="24"/>
              </w:rPr>
              <w:t>注：</w:t>
            </w:r>
            <w:r>
              <w:rPr>
                <w:rFonts w:ascii="Times New Roman" w:hAnsi="Times New Roman" w:eastAsia="Times New Roman" w:cs="Times New Roman"/>
                <w:spacing w:val="-1"/>
                <w:sz w:val="24"/>
                <w:szCs w:val="24"/>
              </w:rPr>
              <w:t>IV+</w:t>
            </w:r>
            <w:r>
              <w:rPr>
                <w:spacing w:val="-1"/>
                <w:sz w:val="24"/>
                <w:szCs w:val="24"/>
              </w:rPr>
              <w:t>为极高环境风险。</w:t>
            </w:r>
          </w:p>
        </w:tc>
      </w:tr>
    </w:tbl>
    <w:p w14:paraId="45DD41B0">
      <w:pPr>
        <w:spacing w:before="196" w:line="221" w:lineRule="auto"/>
        <w:ind w:left="691"/>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）危险物质及工艺系统危险性（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w:t>
      </w:r>
    </w:p>
    <w:p w14:paraId="70865971">
      <w:pPr>
        <w:spacing w:before="212" w:line="359" w:lineRule="auto"/>
        <w:ind w:left="123" w:right="106" w:firstLine="552"/>
        <w:rPr>
          <w:rFonts w:ascii="宋体" w:hAnsi="宋体" w:eastAsia="宋体" w:cs="宋体"/>
          <w:sz w:val="28"/>
          <w:szCs w:val="28"/>
        </w:rPr>
      </w:pPr>
      <w:r>
        <w:rPr>
          <w:rFonts w:ascii="Times New Roman" w:hAnsi="Times New Roman" w:eastAsia="Times New Roman" w:cs="Times New Roman"/>
          <w:spacing w:val="-3"/>
          <w:sz w:val="28"/>
          <w:szCs w:val="28"/>
        </w:rPr>
        <w:t>P</w:t>
      </w:r>
      <w:r>
        <w:rPr>
          <w:rFonts w:ascii="Times New Roman" w:hAnsi="Times New Roman" w:eastAsia="Times New Roman" w:cs="Times New Roman"/>
          <w:spacing w:val="39"/>
          <w:w w:val="101"/>
          <w:sz w:val="28"/>
          <w:szCs w:val="28"/>
        </w:rPr>
        <w:t xml:space="preserve"> </w:t>
      </w:r>
      <w:r>
        <w:rPr>
          <w:rFonts w:ascii="宋体" w:hAnsi="宋体" w:eastAsia="宋体" w:cs="宋体"/>
          <w:spacing w:val="-3"/>
          <w:sz w:val="28"/>
          <w:szCs w:val="28"/>
        </w:rPr>
        <w:t>的分级确定：分析建设项目生产、使用、储存过程中涉及的有</w:t>
      </w:r>
      <w:r>
        <w:rPr>
          <w:rFonts w:ascii="宋体" w:hAnsi="宋体" w:eastAsia="宋体" w:cs="宋体"/>
          <w:sz w:val="28"/>
          <w:szCs w:val="28"/>
        </w:rPr>
        <w:t xml:space="preserve"> </w:t>
      </w:r>
      <w:r>
        <w:rPr>
          <w:rFonts w:ascii="宋体" w:hAnsi="宋体" w:eastAsia="宋体" w:cs="宋体"/>
          <w:spacing w:val="5"/>
          <w:sz w:val="28"/>
          <w:szCs w:val="28"/>
        </w:rPr>
        <w:t>毒有害、易燃易爆物质，参照《建设项目环境风险评价技术导则》</w:t>
      </w:r>
      <w:r>
        <w:rPr>
          <w:rFonts w:ascii="宋体" w:hAnsi="宋体" w:eastAsia="宋体" w:cs="宋体"/>
          <w:spacing w:val="18"/>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HJ169-2018</w:t>
      </w:r>
      <w:r>
        <w:rPr>
          <w:rFonts w:ascii="宋体" w:hAnsi="宋体" w:eastAsia="宋体" w:cs="宋体"/>
          <w:spacing w:val="-4"/>
          <w:sz w:val="28"/>
          <w:szCs w:val="28"/>
        </w:rPr>
        <w:t>）附录</w:t>
      </w:r>
      <w:r>
        <w:rPr>
          <w:rFonts w:ascii="宋体" w:hAnsi="宋体" w:eastAsia="宋体" w:cs="宋体"/>
          <w:spacing w:val="-63"/>
          <w:sz w:val="28"/>
          <w:szCs w:val="28"/>
        </w:rPr>
        <w:t xml:space="preserve"> </w:t>
      </w:r>
      <w:r>
        <w:rPr>
          <w:rFonts w:ascii="Times New Roman" w:hAnsi="Times New Roman" w:eastAsia="Times New Roman" w:cs="Times New Roman"/>
          <w:spacing w:val="-4"/>
          <w:sz w:val="28"/>
          <w:szCs w:val="28"/>
        </w:rPr>
        <w:t xml:space="preserve">B </w:t>
      </w:r>
      <w:r>
        <w:rPr>
          <w:rFonts w:ascii="宋体" w:hAnsi="宋体" w:eastAsia="宋体" w:cs="宋体"/>
          <w:spacing w:val="-4"/>
          <w:sz w:val="28"/>
          <w:szCs w:val="28"/>
        </w:rPr>
        <w:t>确定危险物质的临界量。定量分析危险物质数</w:t>
      </w:r>
      <w:r>
        <w:rPr>
          <w:rFonts w:ascii="宋体" w:hAnsi="宋体" w:eastAsia="宋体" w:cs="宋体"/>
          <w:sz w:val="28"/>
          <w:szCs w:val="28"/>
        </w:rPr>
        <w:t xml:space="preserve"> </w:t>
      </w:r>
      <w:r>
        <w:rPr>
          <w:rFonts w:ascii="宋体" w:hAnsi="宋体" w:eastAsia="宋体" w:cs="宋体"/>
          <w:spacing w:val="-1"/>
          <w:sz w:val="28"/>
          <w:szCs w:val="28"/>
        </w:rPr>
        <w:t>量与临界量的比值（</w:t>
      </w:r>
      <w:r>
        <w:rPr>
          <w:rFonts w:ascii="Times New Roman" w:hAnsi="Times New Roman" w:eastAsia="Times New Roman" w:cs="Times New Roman"/>
          <w:spacing w:val="-1"/>
          <w:sz w:val="28"/>
          <w:szCs w:val="28"/>
        </w:rPr>
        <w:t>Q</w:t>
      </w:r>
      <w:r>
        <w:rPr>
          <w:rFonts w:ascii="宋体" w:hAnsi="宋体" w:eastAsia="宋体" w:cs="宋体"/>
          <w:spacing w:val="-1"/>
          <w:sz w:val="28"/>
          <w:szCs w:val="28"/>
        </w:rPr>
        <w:t>）和所属行业及生产工艺特点（</w:t>
      </w:r>
      <w:r>
        <w:rPr>
          <w:rFonts w:ascii="Times New Roman" w:hAnsi="Times New Roman" w:eastAsia="Times New Roman" w:cs="Times New Roman"/>
          <w:spacing w:val="-1"/>
          <w:sz w:val="28"/>
          <w:szCs w:val="28"/>
        </w:rPr>
        <w:t>M</w:t>
      </w:r>
      <w:r>
        <w:rPr>
          <w:rFonts w:ascii="宋体" w:hAnsi="宋体" w:eastAsia="宋体" w:cs="宋体"/>
          <w:spacing w:val="16"/>
          <w:sz w:val="28"/>
          <w:szCs w:val="28"/>
        </w:rPr>
        <w:t>），</w:t>
      </w:r>
      <w:r>
        <w:rPr>
          <w:rFonts w:ascii="宋体" w:hAnsi="宋体" w:eastAsia="宋体" w:cs="宋体"/>
          <w:spacing w:val="-1"/>
          <w:sz w:val="28"/>
          <w:szCs w:val="28"/>
        </w:rPr>
        <w:t>按《建</w:t>
      </w:r>
      <w:r>
        <w:rPr>
          <w:rFonts w:ascii="宋体" w:hAnsi="宋体" w:eastAsia="宋体" w:cs="宋体"/>
          <w:spacing w:val="1"/>
          <w:sz w:val="28"/>
          <w:szCs w:val="28"/>
        </w:rPr>
        <w:t xml:space="preserve"> </w:t>
      </w:r>
      <w:r>
        <w:rPr>
          <w:rFonts w:ascii="宋体" w:hAnsi="宋体" w:eastAsia="宋体" w:cs="宋体"/>
          <w:spacing w:val="-4"/>
          <w:sz w:val="28"/>
          <w:szCs w:val="28"/>
        </w:rPr>
        <w:t>设项目环境风险评价技术导则》（</w:t>
      </w:r>
      <w:r>
        <w:rPr>
          <w:rFonts w:ascii="Times New Roman" w:hAnsi="Times New Roman" w:eastAsia="Times New Roman" w:cs="Times New Roman"/>
          <w:spacing w:val="-4"/>
          <w:sz w:val="28"/>
          <w:szCs w:val="28"/>
        </w:rPr>
        <w:t>HJ169-2018</w:t>
      </w:r>
      <w:r>
        <w:rPr>
          <w:rFonts w:ascii="宋体" w:hAnsi="宋体" w:eastAsia="宋体" w:cs="宋体"/>
          <w:spacing w:val="-4"/>
          <w:sz w:val="28"/>
          <w:szCs w:val="28"/>
        </w:rPr>
        <w:t>）附录</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 xml:space="preserve">C </w:t>
      </w:r>
      <w:r>
        <w:rPr>
          <w:rFonts w:ascii="宋体" w:hAnsi="宋体" w:eastAsia="宋体" w:cs="宋体"/>
          <w:spacing w:val="-4"/>
          <w:sz w:val="28"/>
          <w:szCs w:val="28"/>
        </w:rPr>
        <w:t>对危险</w:t>
      </w:r>
      <w:r>
        <w:rPr>
          <w:rFonts w:ascii="宋体" w:hAnsi="宋体" w:eastAsia="宋体" w:cs="宋体"/>
          <w:spacing w:val="-5"/>
          <w:sz w:val="28"/>
          <w:szCs w:val="28"/>
        </w:rPr>
        <w:t>物质及</w:t>
      </w:r>
      <w:r>
        <w:rPr>
          <w:rFonts w:ascii="宋体" w:hAnsi="宋体" w:eastAsia="宋体" w:cs="宋体"/>
          <w:sz w:val="28"/>
          <w:szCs w:val="28"/>
        </w:rPr>
        <w:t xml:space="preserve"> </w:t>
      </w:r>
      <w:r>
        <w:rPr>
          <w:rFonts w:ascii="宋体" w:hAnsi="宋体" w:eastAsia="宋体" w:cs="宋体"/>
          <w:spacing w:val="-1"/>
          <w:sz w:val="28"/>
          <w:szCs w:val="28"/>
        </w:rPr>
        <w:t>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）等级进行判断。</w:t>
      </w:r>
    </w:p>
    <w:p w14:paraId="24B39C3C">
      <w:pPr>
        <w:spacing w:line="211" w:lineRule="auto"/>
        <w:ind w:left="681"/>
        <w:rPr>
          <w:rFonts w:ascii="宋体" w:hAnsi="宋体" w:eastAsia="宋体" w:cs="宋体"/>
          <w:sz w:val="28"/>
          <w:szCs w:val="28"/>
        </w:rPr>
      </w:pPr>
      <w:r>
        <w:rPr>
          <w:rFonts w:ascii="宋体" w:hAnsi="宋体" w:eastAsia="宋体" w:cs="宋体"/>
          <w:spacing w:val="-1"/>
          <w:sz w:val="28"/>
          <w:szCs w:val="28"/>
        </w:rPr>
        <w:t>①危险物质数量与临界量的比值（</w:t>
      </w:r>
      <w:r>
        <w:rPr>
          <w:rFonts w:ascii="Times New Roman" w:hAnsi="Times New Roman" w:eastAsia="Times New Roman" w:cs="Times New Roman"/>
          <w:spacing w:val="-1"/>
          <w:sz w:val="28"/>
          <w:szCs w:val="28"/>
        </w:rPr>
        <w:t>Q</w:t>
      </w:r>
      <w:r>
        <w:rPr>
          <w:rFonts w:ascii="宋体" w:hAnsi="宋体" w:eastAsia="宋体" w:cs="宋体"/>
          <w:spacing w:val="-1"/>
          <w:sz w:val="28"/>
          <w:szCs w:val="28"/>
        </w:rPr>
        <w:t>）</w:t>
      </w:r>
    </w:p>
    <w:p w14:paraId="5A077631">
      <w:pPr>
        <w:spacing w:before="222" w:line="359" w:lineRule="auto"/>
        <w:ind w:left="124" w:right="109" w:firstLine="558"/>
        <w:rPr>
          <w:rFonts w:ascii="宋体" w:hAnsi="宋体" w:eastAsia="宋体" w:cs="宋体"/>
          <w:sz w:val="28"/>
          <w:szCs w:val="28"/>
        </w:rPr>
      </w:pPr>
      <w:r>
        <w:rPr>
          <w:rFonts w:ascii="宋体" w:hAnsi="宋体" w:eastAsia="宋体" w:cs="宋体"/>
          <w:spacing w:val="6"/>
          <w:sz w:val="28"/>
          <w:szCs w:val="28"/>
        </w:rPr>
        <w:t>计算所涉及的每种危险物质在厂界内的最大存在总量与其在附</w:t>
      </w:r>
      <w:r>
        <w:rPr>
          <w:rFonts w:ascii="宋体" w:hAnsi="宋体" w:eastAsia="宋体" w:cs="宋体"/>
          <w:spacing w:val="13"/>
          <w:sz w:val="28"/>
          <w:szCs w:val="28"/>
        </w:rPr>
        <w:t xml:space="preserve"> </w:t>
      </w:r>
      <w:r>
        <w:rPr>
          <w:rFonts w:ascii="宋体" w:hAnsi="宋体" w:eastAsia="宋体" w:cs="宋体"/>
          <w:spacing w:val="-7"/>
          <w:sz w:val="28"/>
          <w:szCs w:val="28"/>
        </w:rPr>
        <w:t>录</w:t>
      </w:r>
      <w:r>
        <w:rPr>
          <w:rFonts w:ascii="宋体" w:hAnsi="宋体" w:eastAsia="宋体" w:cs="宋体"/>
          <w:spacing w:val="-52"/>
          <w:sz w:val="28"/>
          <w:szCs w:val="28"/>
        </w:rPr>
        <w:t xml:space="preserve"> </w:t>
      </w:r>
      <w:r>
        <w:rPr>
          <w:rFonts w:ascii="Times New Roman" w:hAnsi="Times New Roman" w:eastAsia="Times New Roman" w:cs="Times New Roman"/>
          <w:spacing w:val="-7"/>
          <w:sz w:val="28"/>
          <w:szCs w:val="28"/>
        </w:rPr>
        <w:t>B</w:t>
      </w:r>
      <w:r>
        <w:rPr>
          <w:rFonts w:ascii="Times New Roman" w:hAnsi="Times New Roman" w:eastAsia="Times New Roman" w:cs="Times New Roman"/>
          <w:spacing w:val="34"/>
          <w:w w:val="101"/>
          <w:sz w:val="28"/>
          <w:szCs w:val="28"/>
        </w:rPr>
        <w:t xml:space="preserve"> </w:t>
      </w:r>
      <w:r>
        <w:rPr>
          <w:rFonts w:ascii="宋体" w:hAnsi="宋体" w:eastAsia="宋体" w:cs="宋体"/>
          <w:spacing w:val="-7"/>
          <w:sz w:val="28"/>
          <w:szCs w:val="28"/>
        </w:rPr>
        <w:t>中对应临界量的比值</w:t>
      </w:r>
      <w:r>
        <w:rPr>
          <w:rFonts w:ascii="宋体" w:hAnsi="宋体" w:eastAsia="宋体" w:cs="宋体"/>
          <w:spacing w:val="-59"/>
          <w:sz w:val="28"/>
          <w:szCs w:val="28"/>
        </w:rPr>
        <w:t xml:space="preserve"> </w:t>
      </w:r>
      <w:r>
        <w:rPr>
          <w:rFonts w:ascii="Times New Roman" w:hAnsi="Times New Roman" w:eastAsia="Times New Roman" w:cs="Times New Roman"/>
          <w:spacing w:val="-7"/>
          <w:sz w:val="28"/>
          <w:szCs w:val="28"/>
        </w:rPr>
        <w:t>Q</w:t>
      </w:r>
      <w:r>
        <w:rPr>
          <w:rFonts w:ascii="宋体" w:hAnsi="宋体" w:eastAsia="宋体" w:cs="宋体"/>
          <w:spacing w:val="-7"/>
          <w:sz w:val="28"/>
          <w:szCs w:val="28"/>
        </w:rPr>
        <w:t>。在不同厂区的同一种物质，按其在厂界</w:t>
      </w:r>
      <w:r>
        <w:rPr>
          <w:rFonts w:ascii="宋体" w:hAnsi="宋体" w:eastAsia="宋体" w:cs="宋体"/>
          <w:sz w:val="28"/>
          <w:szCs w:val="28"/>
        </w:rPr>
        <w:t xml:space="preserve"> </w:t>
      </w:r>
      <w:r>
        <w:rPr>
          <w:rFonts w:ascii="宋体" w:hAnsi="宋体" w:eastAsia="宋体" w:cs="宋体"/>
          <w:spacing w:val="-4"/>
          <w:sz w:val="28"/>
          <w:szCs w:val="28"/>
        </w:rPr>
        <w:t>内的最大存在总量计算。对于长输管线项目，按照两个截断阀室之间</w:t>
      </w:r>
      <w:r>
        <w:rPr>
          <w:rFonts w:ascii="宋体" w:hAnsi="宋体" w:eastAsia="宋体" w:cs="宋体"/>
          <w:spacing w:val="13"/>
          <w:sz w:val="28"/>
          <w:szCs w:val="28"/>
        </w:rPr>
        <w:t xml:space="preserve"> </w:t>
      </w:r>
      <w:r>
        <w:rPr>
          <w:rFonts w:ascii="宋体" w:hAnsi="宋体" w:eastAsia="宋体" w:cs="宋体"/>
          <w:spacing w:val="-1"/>
          <w:sz w:val="28"/>
          <w:szCs w:val="28"/>
        </w:rPr>
        <w:t>管段危险物质最大存在总量计算。</w:t>
      </w:r>
    </w:p>
    <w:p w14:paraId="38F133C8">
      <w:pPr>
        <w:spacing w:before="4" w:line="358" w:lineRule="auto"/>
        <w:ind w:left="144" w:right="78" w:firstLine="556"/>
        <w:rPr>
          <w:rFonts w:ascii="宋体" w:hAnsi="宋体" w:eastAsia="宋体" w:cs="宋体"/>
          <w:sz w:val="28"/>
          <w:szCs w:val="28"/>
        </w:rPr>
      </w:pPr>
      <w:r>
        <w:rPr>
          <w:rFonts w:ascii="宋体" w:hAnsi="宋体" w:eastAsia="宋体" w:cs="宋体"/>
          <w:spacing w:val="-3"/>
          <w:sz w:val="28"/>
          <w:szCs w:val="28"/>
        </w:rPr>
        <w:t>当只涉及一种危险物质时，计算该物质的总量</w:t>
      </w:r>
      <w:r>
        <w:rPr>
          <w:rFonts w:ascii="宋体" w:hAnsi="宋体" w:eastAsia="宋体" w:cs="宋体"/>
          <w:spacing w:val="-4"/>
          <w:sz w:val="28"/>
          <w:szCs w:val="28"/>
        </w:rPr>
        <w:t>与其临界量比值，</w:t>
      </w:r>
      <w:r>
        <w:rPr>
          <w:rFonts w:ascii="宋体" w:hAnsi="宋体" w:eastAsia="宋体" w:cs="宋体"/>
          <w:sz w:val="28"/>
          <w:szCs w:val="28"/>
        </w:rPr>
        <w:t xml:space="preserve"> </w:t>
      </w:r>
      <w:r>
        <w:rPr>
          <w:rFonts w:ascii="宋体" w:hAnsi="宋体" w:eastAsia="宋体" w:cs="宋体"/>
          <w:spacing w:val="-10"/>
          <w:sz w:val="28"/>
          <w:szCs w:val="28"/>
        </w:rPr>
        <w:t>即为</w:t>
      </w:r>
      <w:r>
        <w:rPr>
          <w:rFonts w:ascii="宋体" w:hAnsi="宋体" w:eastAsia="宋体" w:cs="宋体"/>
          <w:spacing w:val="-64"/>
          <w:sz w:val="28"/>
          <w:szCs w:val="28"/>
        </w:rPr>
        <w:t xml:space="preserve"> </w:t>
      </w:r>
      <w:r>
        <w:rPr>
          <w:rFonts w:ascii="Times New Roman" w:hAnsi="Times New Roman" w:eastAsia="Times New Roman" w:cs="Times New Roman"/>
          <w:spacing w:val="-10"/>
          <w:sz w:val="28"/>
          <w:szCs w:val="28"/>
        </w:rPr>
        <w:t>Q</w:t>
      </w:r>
      <w:r>
        <w:rPr>
          <w:rFonts w:ascii="宋体" w:hAnsi="宋体" w:eastAsia="宋体" w:cs="宋体"/>
          <w:spacing w:val="-10"/>
          <w:sz w:val="28"/>
          <w:szCs w:val="28"/>
        </w:rPr>
        <w:t>；</w:t>
      </w:r>
    </w:p>
    <w:p w14:paraId="1F666979">
      <w:pPr>
        <w:spacing w:before="3" w:line="220" w:lineRule="auto"/>
        <w:ind w:left="681"/>
        <w:rPr>
          <w:rFonts w:ascii="宋体" w:hAnsi="宋体" w:eastAsia="宋体" w:cs="宋体"/>
          <w:sz w:val="28"/>
          <w:szCs w:val="28"/>
        </w:rPr>
      </w:pPr>
      <w:r>
        <w:rPr>
          <w:rFonts w:ascii="宋体" w:hAnsi="宋体" w:eastAsia="宋体" w:cs="宋体"/>
          <w:spacing w:val="6"/>
          <w:sz w:val="28"/>
          <w:szCs w:val="28"/>
        </w:rPr>
        <w:t>存在多种危险物质时，则按下式计算物质总量与其临界量比值</w:t>
      </w:r>
    </w:p>
    <w:p w14:paraId="395D0FB9">
      <w:pPr>
        <w:spacing w:line="220" w:lineRule="auto"/>
        <w:rPr>
          <w:rFonts w:ascii="宋体" w:hAnsi="宋体" w:eastAsia="宋体" w:cs="宋体"/>
          <w:sz w:val="28"/>
          <w:szCs w:val="28"/>
        </w:rPr>
        <w:sectPr>
          <w:footerReference r:id="rId96" w:type="default"/>
          <w:pgSz w:w="11906" w:h="16839"/>
          <w:pgMar w:top="400" w:right="1690" w:bottom="1259" w:left="1687" w:header="0" w:footer="1097" w:gutter="0"/>
          <w:cols w:space="720" w:num="1"/>
        </w:sectPr>
      </w:pPr>
    </w:p>
    <w:p w14:paraId="3615AE63">
      <w:pPr>
        <w:pStyle w:val="2"/>
        <w:spacing w:line="245" w:lineRule="auto"/>
      </w:pPr>
    </w:p>
    <w:p w14:paraId="42E84C3F">
      <w:pPr>
        <w:pStyle w:val="2"/>
        <w:spacing w:line="246" w:lineRule="auto"/>
      </w:pPr>
    </w:p>
    <w:p w14:paraId="6310773C">
      <w:pPr>
        <w:pStyle w:val="2"/>
        <w:spacing w:line="246" w:lineRule="auto"/>
      </w:pPr>
    </w:p>
    <w:p w14:paraId="549F31B7">
      <w:pPr>
        <w:pStyle w:val="2"/>
        <w:spacing w:line="246" w:lineRule="auto"/>
      </w:pPr>
    </w:p>
    <w:p w14:paraId="23625932">
      <w:pPr>
        <w:spacing w:before="91" w:line="213" w:lineRule="auto"/>
        <w:ind w:left="131"/>
        <w:rPr>
          <w:rFonts w:ascii="宋体" w:hAnsi="宋体" w:eastAsia="宋体" w:cs="宋体"/>
          <w:sz w:val="28"/>
          <w:szCs w:val="28"/>
        </w:rPr>
      </w:pPr>
      <w:r>
        <w:rPr>
          <w:rFonts w:ascii="宋体" w:hAnsi="宋体" w:eastAsia="宋体" w:cs="宋体"/>
          <w:spacing w:val="-9"/>
          <w:sz w:val="28"/>
          <w:szCs w:val="28"/>
        </w:rPr>
        <w:t>（</w:t>
      </w:r>
      <w:r>
        <w:rPr>
          <w:rFonts w:ascii="Times New Roman" w:hAnsi="Times New Roman" w:eastAsia="Times New Roman" w:cs="Times New Roman"/>
          <w:spacing w:val="-9"/>
          <w:sz w:val="28"/>
          <w:szCs w:val="28"/>
        </w:rPr>
        <w:t>Q</w:t>
      </w:r>
      <w:r>
        <w:rPr>
          <w:rFonts w:ascii="宋体" w:hAnsi="宋体" w:eastAsia="宋体" w:cs="宋体"/>
          <w:spacing w:val="-1"/>
          <w:sz w:val="28"/>
          <w:szCs w:val="28"/>
        </w:rPr>
        <w:t>）：</w:t>
      </w:r>
    </w:p>
    <w:p w14:paraId="0B4287FC">
      <w:pPr>
        <w:pStyle w:val="2"/>
        <w:spacing w:line="299" w:lineRule="auto"/>
      </w:pPr>
    </w:p>
    <w:p w14:paraId="74FE8DCF">
      <w:pPr>
        <w:spacing w:line="572" w:lineRule="exact"/>
        <w:ind w:firstLine="3141"/>
      </w:pPr>
      <w:r>
        <w:rPr>
          <w:position w:val="-11"/>
        </w:rPr>
        <w:drawing>
          <wp:inline distT="0" distB="0" distL="0" distR="0">
            <wp:extent cx="1427480" cy="3625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9"/>
                    <a:stretch>
                      <a:fillRect/>
                    </a:stretch>
                  </pic:blipFill>
                  <pic:spPr>
                    <a:xfrm>
                      <a:off x="0" y="0"/>
                      <a:ext cx="1427988" cy="362711"/>
                    </a:xfrm>
                    <a:prstGeom prst="rect">
                      <a:avLst/>
                    </a:prstGeom>
                  </pic:spPr>
                </pic:pic>
              </a:graphicData>
            </a:graphic>
          </wp:inline>
        </w:drawing>
      </w:r>
    </w:p>
    <w:p w14:paraId="10298342">
      <w:pPr>
        <w:spacing w:before="160" w:line="213" w:lineRule="auto"/>
        <w:ind w:left="688"/>
        <w:rPr>
          <w:rFonts w:ascii="宋体" w:hAnsi="宋体" w:eastAsia="宋体" w:cs="宋体"/>
          <w:sz w:val="28"/>
          <w:szCs w:val="28"/>
        </w:rPr>
      </w:pPr>
      <w:r>
        <w:rPr>
          <w:rFonts w:ascii="宋体" w:hAnsi="宋体" w:eastAsia="宋体" w:cs="宋体"/>
          <w:spacing w:val="-4"/>
          <w:sz w:val="28"/>
          <w:szCs w:val="28"/>
        </w:rPr>
        <w:t>式中：</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position w:val="-2"/>
          <w:sz w:val="18"/>
          <w:szCs w:val="18"/>
        </w:rPr>
        <w:t>1</w:t>
      </w:r>
      <w:r>
        <w:rPr>
          <w:rFonts w:ascii="Times New Roman" w:hAnsi="Times New Roman" w:eastAsia="Times New Roman" w:cs="Times New Roman"/>
          <w:spacing w:val="2"/>
          <w:position w:val="-2"/>
          <w:sz w:val="18"/>
          <w:szCs w:val="1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position w:val="-2"/>
          <w:sz w:val="18"/>
          <w:szCs w:val="18"/>
        </w:rPr>
        <w:t>2</w:t>
      </w:r>
      <w:r>
        <w:rPr>
          <w:rFonts w:ascii="Times New Roman" w:hAnsi="Times New Roman" w:eastAsia="Times New Roman" w:cs="Times New Roman"/>
          <w:spacing w:val="-10"/>
          <w:position w:val="-2"/>
          <w:sz w:val="18"/>
          <w:szCs w:val="1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q</w:t>
      </w:r>
      <w:r>
        <w:rPr>
          <w:rFonts w:ascii="Times New Roman" w:hAnsi="Times New Roman" w:eastAsia="Times New Roman" w:cs="Times New Roman"/>
          <w:spacing w:val="-4"/>
          <w:sz w:val="18"/>
          <w:szCs w:val="18"/>
        </w:rPr>
        <w:t>n</w:t>
      </w:r>
      <w:r>
        <w:rPr>
          <w:rFonts w:ascii="Times New Roman" w:hAnsi="Times New Roman" w:eastAsia="Times New Roman" w:cs="Times New Roman"/>
          <w:spacing w:val="-4"/>
          <w:sz w:val="28"/>
          <w:szCs w:val="28"/>
        </w:rPr>
        <w:t>——</w:t>
      </w:r>
      <w:r>
        <w:rPr>
          <w:rFonts w:ascii="宋体" w:hAnsi="宋体" w:eastAsia="宋体" w:cs="宋体"/>
          <w:spacing w:val="-4"/>
          <w:sz w:val="28"/>
          <w:szCs w:val="28"/>
        </w:rPr>
        <w:t>每种危险物质的最大存在总量，</w:t>
      </w:r>
      <w:r>
        <w:rPr>
          <w:rFonts w:ascii="Times New Roman" w:hAnsi="Times New Roman" w:eastAsia="Times New Roman" w:cs="Times New Roman"/>
          <w:spacing w:val="-4"/>
          <w:sz w:val="28"/>
          <w:szCs w:val="28"/>
        </w:rPr>
        <w:t>t</w:t>
      </w:r>
      <w:r>
        <w:rPr>
          <w:rFonts w:ascii="宋体" w:hAnsi="宋体" w:eastAsia="宋体" w:cs="宋体"/>
          <w:spacing w:val="-4"/>
          <w:sz w:val="28"/>
          <w:szCs w:val="28"/>
        </w:rPr>
        <w:t>；</w:t>
      </w:r>
    </w:p>
    <w:p w14:paraId="1C008C0D">
      <w:pPr>
        <w:spacing w:before="221" w:line="213" w:lineRule="auto"/>
        <w:ind w:left="1521"/>
        <w:rPr>
          <w:rFonts w:ascii="宋体" w:hAnsi="宋体" w:eastAsia="宋体" w:cs="宋体"/>
          <w:sz w:val="28"/>
          <w:szCs w:val="28"/>
        </w:rPr>
      </w:pPr>
      <w:r>
        <w:rPr>
          <w:rFonts w:ascii="Times New Roman" w:hAnsi="Times New Roman" w:eastAsia="Times New Roman" w:cs="Times New Roman"/>
          <w:spacing w:val="-6"/>
          <w:sz w:val="28"/>
          <w:szCs w:val="28"/>
        </w:rPr>
        <w:t>Q</w:t>
      </w:r>
      <w:r>
        <w:rPr>
          <w:rFonts w:ascii="Times New Roman" w:hAnsi="Times New Roman" w:eastAsia="Times New Roman" w:cs="Times New Roman"/>
          <w:spacing w:val="-6"/>
          <w:position w:val="-2"/>
          <w:sz w:val="18"/>
          <w:szCs w:val="18"/>
        </w:rPr>
        <w:t>1</w:t>
      </w:r>
      <w:r>
        <w:rPr>
          <w:rFonts w:ascii="Times New Roman" w:hAnsi="Times New Roman" w:eastAsia="Times New Roman" w:cs="Times New Roman"/>
          <w:spacing w:val="-8"/>
          <w:position w:val="-2"/>
          <w:sz w:val="18"/>
          <w:szCs w:val="18"/>
        </w:rPr>
        <w:t xml:space="preserve"> </w:t>
      </w:r>
      <w:r>
        <w:rPr>
          <w:rFonts w:ascii="宋体" w:hAnsi="宋体" w:eastAsia="宋体" w:cs="宋体"/>
          <w:spacing w:val="-16"/>
          <w:sz w:val="28"/>
          <w:szCs w:val="28"/>
        </w:rPr>
        <w:t>，</w:t>
      </w:r>
      <w:r>
        <w:rPr>
          <w:rFonts w:ascii="Times New Roman" w:hAnsi="Times New Roman" w:eastAsia="Times New Roman" w:cs="Times New Roman"/>
          <w:spacing w:val="-16"/>
          <w:sz w:val="28"/>
          <w:szCs w:val="28"/>
        </w:rPr>
        <w:t>Q</w:t>
      </w:r>
      <w:r>
        <w:rPr>
          <w:rFonts w:ascii="Times New Roman" w:hAnsi="Times New Roman" w:eastAsia="Times New Roman" w:cs="Times New Roman"/>
          <w:spacing w:val="-9"/>
          <w:position w:val="-2"/>
          <w:sz w:val="18"/>
          <w:szCs w:val="18"/>
        </w:rPr>
        <w:t>2</w:t>
      </w:r>
      <w:r>
        <w:rPr>
          <w:rFonts w:ascii="Times New Roman" w:hAnsi="Times New Roman" w:eastAsia="Times New Roman" w:cs="Times New Roman"/>
          <w:spacing w:val="-10"/>
          <w:position w:val="-2"/>
          <w:sz w:val="18"/>
          <w:szCs w:val="18"/>
        </w:rPr>
        <w:t xml:space="preserve"> </w:t>
      </w:r>
      <w:r>
        <w:rPr>
          <w:rFonts w:ascii="宋体" w:hAnsi="宋体" w:eastAsia="宋体" w:cs="宋体"/>
          <w:spacing w:val="-9"/>
          <w:sz w:val="28"/>
          <w:szCs w:val="28"/>
        </w:rPr>
        <w:t>，</w:t>
      </w:r>
      <w:r>
        <w:rPr>
          <w:rFonts w:ascii="Times New Roman" w:hAnsi="Times New Roman" w:eastAsia="Times New Roman" w:cs="Times New Roman"/>
          <w:spacing w:val="-11"/>
          <w:sz w:val="28"/>
          <w:szCs w:val="28"/>
        </w:rPr>
        <w:t>...</w:t>
      </w:r>
      <w:r>
        <w:rPr>
          <w:rFonts w:ascii="Times New Roman" w:hAnsi="Times New Roman" w:eastAsia="Times New Roman" w:cs="Times New Roman"/>
          <w:spacing w:val="-34"/>
          <w:sz w:val="28"/>
          <w:szCs w:val="28"/>
        </w:rPr>
        <w:t xml:space="preserve"> </w:t>
      </w:r>
      <w:r>
        <w:rPr>
          <w:rFonts w:ascii="宋体" w:hAnsi="宋体" w:eastAsia="宋体" w:cs="宋体"/>
          <w:spacing w:val="-11"/>
          <w:sz w:val="28"/>
          <w:szCs w:val="28"/>
        </w:rPr>
        <w:t>，</w:t>
      </w:r>
      <w:r>
        <w:rPr>
          <w:rFonts w:ascii="Times New Roman" w:hAnsi="Times New Roman" w:eastAsia="Times New Roman" w:cs="Times New Roman"/>
          <w:spacing w:val="-11"/>
          <w:sz w:val="28"/>
          <w:szCs w:val="28"/>
        </w:rPr>
        <w:t>Q</w:t>
      </w:r>
      <w:r>
        <w:rPr>
          <w:rFonts w:ascii="Times New Roman" w:hAnsi="Times New Roman" w:eastAsia="Times New Roman" w:cs="Times New Roman"/>
          <w:sz w:val="18"/>
          <w:szCs w:val="18"/>
        </w:rPr>
        <w:t>n</w:t>
      </w:r>
      <w:r>
        <w:rPr>
          <w:rFonts w:ascii="Times New Roman" w:hAnsi="Times New Roman" w:eastAsia="Times New Roman" w:cs="Times New Roman"/>
          <w:sz w:val="28"/>
          <w:szCs w:val="28"/>
        </w:rPr>
        <w:t>——</w:t>
      </w:r>
      <w:r>
        <w:rPr>
          <w:rFonts w:ascii="宋体" w:hAnsi="宋体" w:eastAsia="宋体" w:cs="宋体"/>
          <w:sz w:val="28"/>
          <w:szCs w:val="28"/>
        </w:rPr>
        <w:t>每种危险物质的临界量，</w:t>
      </w:r>
      <w:r>
        <w:rPr>
          <w:rFonts w:ascii="Times New Roman" w:hAnsi="Times New Roman" w:eastAsia="Times New Roman" w:cs="Times New Roman"/>
          <w:sz w:val="28"/>
          <w:szCs w:val="28"/>
        </w:rPr>
        <w:t>t</w:t>
      </w:r>
      <w:r>
        <w:rPr>
          <w:rFonts w:ascii="宋体" w:hAnsi="宋体" w:eastAsia="宋体" w:cs="宋体"/>
          <w:sz w:val="28"/>
          <w:szCs w:val="28"/>
        </w:rPr>
        <w:t>。</w:t>
      </w:r>
    </w:p>
    <w:p w14:paraId="0A064D51">
      <w:pPr>
        <w:spacing w:before="221" w:line="213" w:lineRule="auto"/>
        <w:ind w:left="700"/>
        <w:rPr>
          <w:rFonts w:ascii="宋体" w:hAnsi="宋体" w:eastAsia="宋体" w:cs="宋体"/>
          <w:sz w:val="28"/>
          <w:szCs w:val="28"/>
        </w:rPr>
      </w:pPr>
      <w:r>
        <w:rPr>
          <w:rFonts w:ascii="宋体" w:hAnsi="宋体" w:eastAsia="宋体" w:cs="宋体"/>
          <w:spacing w:val="-4"/>
          <w:sz w:val="28"/>
          <w:szCs w:val="28"/>
        </w:rPr>
        <w:t>当</w:t>
      </w:r>
      <w:r>
        <w:rPr>
          <w:rFonts w:ascii="宋体" w:hAnsi="宋体" w:eastAsia="宋体" w:cs="宋体"/>
          <w:spacing w:val="-55"/>
          <w:sz w:val="28"/>
          <w:szCs w:val="28"/>
        </w:rPr>
        <w:t xml:space="preserve"> </w:t>
      </w:r>
      <w:r>
        <w:rPr>
          <w:rFonts w:ascii="Times New Roman" w:hAnsi="Times New Roman" w:eastAsia="Times New Roman" w:cs="Times New Roman"/>
          <w:spacing w:val="-4"/>
          <w:sz w:val="28"/>
          <w:szCs w:val="28"/>
        </w:rPr>
        <w:t>Q</w:t>
      </w:r>
      <w:r>
        <w:rPr>
          <w:rFonts w:ascii="宋体" w:hAnsi="宋体" w:eastAsia="宋体" w:cs="宋体"/>
          <w:spacing w:val="-4"/>
          <w:sz w:val="28"/>
          <w:szCs w:val="28"/>
        </w:rPr>
        <w:t>＜</w:t>
      </w:r>
      <w:r>
        <w:rPr>
          <w:rFonts w:ascii="Times New Roman" w:hAnsi="Times New Roman" w:eastAsia="Times New Roman" w:cs="Times New Roman"/>
          <w:spacing w:val="-4"/>
          <w:sz w:val="28"/>
          <w:szCs w:val="28"/>
        </w:rPr>
        <w:t>1</w:t>
      </w:r>
      <w:r>
        <w:rPr>
          <w:rFonts w:ascii="Times New Roman" w:hAnsi="Times New Roman" w:eastAsia="Times New Roman" w:cs="Times New Roman"/>
          <w:spacing w:val="22"/>
          <w:sz w:val="28"/>
          <w:szCs w:val="28"/>
        </w:rPr>
        <w:t xml:space="preserve"> </w:t>
      </w:r>
      <w:r>
        <w:rPr>
          <w:rFonts w:ascii="宋体" w:hAnsi="宋体" w:eastAsia="宋体" w:cs="宋体"/>
          <w:spacing w:val="-4"/>
          <w:sz w:val="28"/>
          <w:szCs w:val="28"/>
        </w:rPr>
        <w:t>时，该项目环境风险潜势为</w:t>
      </w:r>
      <w:r>
        <w:rPr>
          <w:rFonts w:ascii="宋体" w:hAnsi="宋体" w:eastAsia="宋体" w:cs="宋体"/>
          <w:spacing w:val="-63"/>
          <w:sz w:val="28"/>
          <w:szCs w:val="28"/>
        </w:rPr>
        <w:t xml:space="preserve"> </w:t>
      </w:r>
      <w:r>
        <w:rPr>
          <w:rFonts w:ascii="Times New Roman" w:hAnsi="Times New Roman" w:eastAsia="Times New Roman" w:cs="Times New Roman"/>
          <w:spacing w:val="-4"/>
          <w:sz w:val="28"/>
          <w:szCs w:val="28"/>
        </w:rPr>
        <w:t>I</w:t>
      </w:r>
      <w:r>
        <w:rPr>
          <w:rFonts w:ascii="宋体" w:hAnsi="宋体" w:eastAsia="宋体" w:cs="宋体"/>
          <w:spacing w:val="-4"/>
          <w:sz w:val="28"/>
          <w:szCs w:val="28"/>
        </w:rPr>
        <w:t>。</w:t>
      </w:r>
    </w:p>
    <w:p w14:paraId="523CAF0F">
      <w:pPr>
        <w:spacing w:before="222" w:line="211" w:lineRule="auto"/>
        <w:ind w:right="3"/>
        <w:jc w:val="right"/>
        <w:rPr>
          <w:rFonts w:ascii="宋体" w:hAnsi="宋体" w:eastAsia="宋体" w:cs="宋体"/>
          <w:sz w:val="28"/>
          <w:szCs w:val="28"/>
        </w:rPr>
      </w:pPr>
      <w:r>
        <w:rPr>
          <w:rFonts w:ascii="宋体" w:hAnsi="宋体" w:eastAsia="宋体" w:cs="宋体"/>
          <w:sz w:val="28"/>
          <w:szCs w:val="28"/>
        </w:rPr>
        <w:t>当</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Q≥1</w:t>
      </w:r>
      <w:r>
        <w:rPr>
          <w:rFonts w:ascii="Times New Roman" w:hAnsi="Times New Roman" w:eastAsia="Times New Roman" w:cs="Times New Roman"/>
          <w:spacing w:val="25"/>
          <w:sz w:val="28"/>
          <w:szCs w:val="28"/>
        </w:rPr>
        <w:t xml:space="preserve"> </w:t>
      </w:r>
      <w:r>
        <w:rPr>
          <w:rFonts w:ascii="宋体" w:hAnsi="宋体" w:eastAsia="宋体" w:cs="宋体"/>
          <w:sz w:val="28"/>
          <w:szCs w:val="28"/>
        </w:rPr>
        <w:t>时，将</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 xml:space="preserve">Q </w:t>
      </w:r>
      <w:r>
        <w:rPr>
          <w:rFonts w:ascii="宋体" w:hAnsi="宋体" w:eastAsia="宋体" w:cs="宋体"/>
          <w:sz w:val="28"/>
          <w:szCs w:val="28"/>
        </w:rPr>
        <w:t>值划分为</w:t>
      </w:r>
      <w:r>
        <w:rPr>
          <w:rFonts w:ascii="宋体" w:hAnsi="宋体" w:eastAsia="宋体" w:cs="宋体"/>
          <w:spacing w:val="-18"/>
          <w:sz w:val="28"/>
          <w:szCs w:val="28"/>
        </w:rPr>
        <w:t>：（</w:t>
      </w:r>
      <w:r>
        <w:rPr>
          <w:rFonts w:ascii="Times New Roman" w:hAnsi="Times New Roman" w:eastAsia="Times New Roman" w:cs="Times New Roman"/>
          <w:sz w:val="28"/>
          <w:szCs w:val="28"/>
        </w:rPr>
        <w:t>1</w:t>
      </w:r>
      <w:r>
        <w:rPr>
          <w:rFonts w:ascii="宋体" w:hAnsi="宋体" w:eastAsia="宋体" w:cs="宋体"/>
          <w:sz w:val="28"/>
          <w:szCs w:val="28"/>
        </w:rPr>
        <w:t>）</w:t>
      </w:r>
      <w:r>
        <w:rPr>
          <w:rFonts w:ascii="Times New Roman" w:hAnsi="Times New Roman" w:eastAsia="Times New Roman" w:cs="Times New Roman"/>
          <w:sz w:val="28"/>
          <w:szCs w:val="28"/>
        </w:rPr>
        <w:t>1≤Q</w:t>
      </w:r>
      <w:r>
        <w:rPr>
          <w:rFonts w:ascii="宋体" w:hAnsi="宋体" w:eastAsia="宋体" w:cs="宋体"/>
          <w:sz w:val="28"/>
          <w:szCs w:val="28"/>
        </w:rPr>
        <w:t>＜</w:t>
      </w:r>
      <w:r>
        <w:rPr>
          <w:rFonts w:ascii="Times New Roman" w:hAnsi="Times New Roman" w:eastAsia="Times New Roman" w:cs="Times New Roman"/>
          <w:sz w:val="28"/>
          <w:szCs w:val="28"/>
        </w:rPr>
        <w:t>10</w:t>
      </w:r>
      <w:r>
        <w:rPr>
          <w:rFonts w:ascii="宋体" w:hAnsi="宋体" w:eastAsia="宋体" w:cs="宋体"/>
          <w:spacing w:val="-18"/>
          <w:sz w:val="28"/>
          <w:szCs w:val="28"/>
        </w:rPr>
        <w:t>；（</w:t>
      </w:r>
      <w:r>
        <w:rPr>
          <w:rFonts w:ascii="Times New Roman" w:hAnsi="Times New Roman" w:eastAsia="Times New Roman" w:cs="Times New Roman"/>
          <w:sz w:val="28"/>
          <w:szCs w:val="28"/>
        </w:rPr>
        <w:t>2</w:t>
      </w:r>
      <w:r>
        <w:rPr>
          <w:rFonts w:ascii="宋体" w:hAnsi="宋体" w:eastAsia="宋体" w:cs="宋体"/>
          <w:sz w:val="28"/>
          <w:szCs w:val="28"/>
        </w:rPr>
        <w:t>）</w:t>
      </w:r>
      <w:r>
        <w:rPr>
          <w:rFonts w:ascii="Times New Roman" w:hAnsi="Times New Roman" w:eastAsia="Times New Roman" w:cs="Times New Roman"/>
          <w:sz w:val="28"/>
          <w:szCs w:val="28"/>
        </w:rPr>
        <w:t>10≤Q</w:t>
      </w:r>
      <w:r>
        <w:rPr>
          <w:rFonts w:ascii="宋体" w:hAnsi="宋体" w:eastAsia="宋体" w:cs="宋体"/>
          <w:sz w:val="28"/>
          <w:szCs w:val="28"/>
        </w:rPr>
        <w:t>＜</w:t>
      </w:r>
      <w:r>
        <w:rPr>
          <w:rFonts w:ascii="Times New Roman" w:hAnsi="Times New Roman" w:eastAsia="Times New Roman" w:cs="Times New Roman"/>
          <w:sz w:val="28"/>
          <w:szCs w:val="28"/>
        </w:rPr>
        <w:t>100</w:t>
      </w:r>
      <w:r>
        <w:rPr>
          <w:rFonts w:ascii="宋体" w:hAnsi="宋体" w:eastAsia="宋体" w:cs="宋体"/>
          <w:sz w:val="28"/>
          <w:szCs w:val="28"/>
        </w:rPr>
        <w:t>；</w:t>
      </w:r>
    </w:p>
    <w:p w14:paraId="7E022D6B">
      <w:pPr>
        <w:spacing w:before="224" w:line="213" w:lineRule="auto"/>
        <w:ind w:left="433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w:t>
      </w:r>
      <w:r>
        <w:rPr>
          <w:rFonts w:ascii="Times New Roman" w:hAnsi="Times New Roman" w:eastAsia="Times New Roman" w:cs="Times New Roman"/>
          <w:spacing w:val="-2"/>
          <w:sz w:val="28"/>
          <w:szCs w:val="28"/>
        </w:rPr>
        <w:t>Q≥100</w:t>
      </w:r>
      <w:r>
        <w:rPr>
          <w:rFonts w:ascii="宋体" w:hAnsi="宋体" w:eastAsia="宋体" w:cs="宋体"/>
          <w:spacing w:val="-2"/>
          <w:sz w:val="28"/>
          <w:szCs w:val="28"/>
        </w:rPr>
        <w:t>。</w:t>
      </w:r>
    </w:p>
    <w:p w14:paraId="4FF84F3A">
      <w:pPr>
        <w:spacing w:before="221" w:line="358" w:lineRule="auto"/>
        <w:ind w:left="117" w:right="107" w:firstLine="566"/>
        <w:jc w:val="both"/>
        <w:rPr>
          <w:rFonts w:ascii="宋体" w:hAnsi="宋体" w:eastAsia="宋体" w:cs="宋体"/>
          <w:sz w:val="28"/>
          <w:szCs w:val="28"/>
        </w:rPr>
      </w:pPr>
      <w:r>
        <w:rPr>
          <w:rFonts w:ascii="宋体" w:hAnsi="宋体" w:eastAsia="宋体" w:cs="宋体"/>
          <w:spacing w:val="-4"/>
          <w:sz w:val="28"/>
          <w:szCs w:val="28"/>
        </w:rPr>
        <w:t>本项目涉及运输的危险化学品种类较多，危险货物运输车辆分为</w:t>
      </w:r>
      <w:r>
        <w:rPr>
          <w:rFonts w:ascii="宋体" w:hAnsi="宋体" w:eastAsia="宋体" w:cs="宋体"/>
          <w:spacing w:val="6"/>
          <w:sz w:val="28"/>
          <w:szCs w:val="28"/>
        </w:rPr>
        <w:t xml:space="preserve"> </w:t>
      </w:r>
      <w:r>
        <w:rPr>
          <w:rFonts w:ascii="Times New Roman" w:hAnsi="Times New Roman" w:eastAsia="Times New Roman" w:cs="Times New Roman"/>
          <w:spacing w:val="-1"/>
          <w:sz w:val="28"/>
          <w:szCs w:val="28"/>
        </w:rPr>
        <w:t xml:space="preserve">4 </w:t>
      </w:r>
      <w:r>
        <w:rPr>
          <w:rFonts w:ascii="宋体" w:hAnsi="宋体" w:eastAsia="宋体" w:cs="宋体"/>
          <w:spacing w:val="-1"/>
          <w:sz w:val="28"/>
          <w:szCs w:val="28"/>
        </w:rPr>
        <w:t>类分别存放，根据园区危险化学品运输调查数据，重点关注的物质</w:t>
      </w:r>
      <w:r>
        <w:rPr>
          <w:rFonts w:ascii="宋体" w:hAnsi="宋体" w:eastAsia="宋体" w:cs="宋体"/>
          <w:spacing w:val="2"/>
          <w:sz w:val="28"/>
          <w:szCs w:val="28"/>
        </w:rPr>
        <w:t xml:space="preserve"> </w:t>
      </w:r>
      <w:r>
        <w:rPr>
          <w:rFonts w:ascii="宋体" w:hAnsi="宋体" w:eastAsia="宋体" w:cs="宋体"/>
          <w:spacing w:val="-3"/>
          <w:sz w:val="28"/>
          <w:szCs w:val="28"/>
        </w:rPr>
        <w:t>有液氯、甲醇、硫酸、苯、甲苯、二甲苯、次氯</w:t>
      </w:r>
      <w:r>
        <w:rPr>
          <w:rFonts w:ascii="宋体" w:hAnsi="宋体" w:eastAsia="宋体" w:cs="宋体"/>
          <w:spacing w:val="-4"/>
          <w:sz w:val="28"/>
          <w:szCs w:val="28"/>
        </w:rPr>
        <w:t>酸钠、二氯乙烷、甲</w:t>
      </w:r>
      <w:r>
        <w:rPr>
          <w:rFonts w:ascii="宋体" w:hAnsi="宋体" w:eastAsia="宋体" w:cs="宋体"/>
          <w:sz w:val="28"/>
          <w:szCs w:val="28"/>
        </w:rPr>
        <w:t xml:space="preserve"> </w:t>
      </w:r>
      <w:r>
        <w:rPr>
          <w:rFonts w:ascii="宋体" w:hAnsi="宋体" w:eastAsia="宋体" w:cs="宋体"/>
          <w:spacing w:val="-1"/>
          <w:sz w:val="28"/>
          <w:szCs w:val="28"/>
        </w:rPr>
        <w:t>醛、硝酸、盐酸和乙炔等，年运输量详见下表：</w:t>
      </w:r>
    </w:p>
    <w:p w14:paraId="0FBFC0AC">
      <w:pPr>
        <w:spacing w:before="1"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3.2-2    </w:t>
      </w:r>
      <w:r>
        <w:rPr>
          <w:rFonts w:ascii="宋体" w:hAnsi="宋体" w:eastAsia="宋体" w:cs="宋体"/>
          <w:b/>
          <w:bCs/>
          <w:spacing w:val="-2"/>
          <w:sz w:val="24"/>
          <w:szCs w:val="24"/>
        </w:rPr>
        <w:t>重点关注物质年运输量情况表</w:t>
      </w:r>
    </w:p>
    <w:p w14:paraId="634590C2">
      <w:pPr>
        <w:spacing w:line="148" w:lineRule="exact"/>
      </w:pPr>
    </w:p>
    <w:tbl>
      <w:tblPr>
        <w:tblStyle w:val="5"/>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179"/>
        <w:gridCol w:w="697"/>
        <w:gridCol w:w="1421"/>
        <w:gridCol w:w="1307"/>
        <w:gridCol w:w="1789"/>
        <w:gridCol w:w="1427"/>
      </w:tblGrid>
      <w:tr w14:paraId="0A660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01" w:type="dxa"/>
            <w:vAlign w:val="top"/>
          </w:tcPr>
          <w:p w14:paraId="57C30917">
            <w:pPr>
              <w:pStyle w:val="6"/>
              <w:spacing w:before="38" w:line="221" w:lineRule="auto"/>
              <w:ind w:left="116"/>
              <w:rPr>
                <w:sz w:val="24"/>
                <w:szCs w:val="24"/>
              </w:rPr>
            </w:pPr>
            <w:r>
              <w:rPr>
                <w:spacing w:val="-5"/>
                <w:sz w:val="24"/>
                <w:szCs w:val="24"/>
              </w:rPr>
              <w:t>序号</w:t>
            </w:r>
          </w:p>
        </w:tc>
        <w:tc>
          <w:tcPr>
            <w:tcW w:w="1179" w:type="dxa"/>
            <w:vAlign w:val="top"/>
          </w:tcPr>
          <w:p w14:paraId="716FD262">
            <w:pPr>
              <w:pStyle w:val="6"/>
              <w:spacing w:before="39" w:line="220" w:lineRule="auto"/>
              <w:ind w:left="114"/>
              <w:rPr>
                <w:sz w:val="24"/>
                <w:szCs w:val="24"/>
              </w:rPr>
            </w:pPr>
            <w:r>
              <w:rPr>
                <w:spacing w:val="-3"/>
                <w:sz w:val="24"/>
                <w:szCs w:val="24"/>
              </w:rPr>
              <w:t>物质名称</w:t>
            </w:r>
          </w:p>
        </w:tc>
        <w:tc>
          <w:tcPr>
            <w:tcW w:w="697" w:type="dxa"/>
            <w:vAlign w:val="top"/>
          </w:tcPr>
          <w:p w14:paraId="2F5E7D2A">
            <w:pPr>
              <w:pStyle w:val="6"/>
              <w:spacing w:before="195" w:line="221" w:lineRule="auto"/>
              <w:ind w:left="116"/>
              <w:rPr>
                <w:sz w:val="24"/>
                <w:szCs w:val="24"/>
              </w:rPr>
            </w:pPr>
            <w:r>
              <w:rPr>
                <w:spacing w:val="-7"/>
                <w:sz w:val="24"/>
                <w:szCs w:val="24"/>
              </w:rPr>
              <w:t>形态</w:t>
            </w:r>
          </w:p>
        </w:tc>
        <w:tc>
          <w:tcPr>
            <w:tcW w:w="1421" w:type="dxa"/>
            <w:vAlign w:val="top"/>
          </w:tcPr>
          <w:p w14:paraId="74709F2E">
            <w:pPr>
              <w:pStyle w:val="6"/>
              <w:spacing w:before="195" w:line="219" w:lineRule="auto"/>
              <w:ind w:left="237"/>
              <w:rPr>
                <w:sz w:val="24"/>
                <w:szCs w:val="24"/>
              </w:rPr>
            </w:pPr>
            <w:r>
              <w:rPr>
                <w:spacing w:val="-3"/>
                <w:sz w:val="24"/>
                <w:szCs w:val="24"/>
              </w:rPr>
              <w:t>运输方式</w:t>
            </w:r>
          </w:p>
        </w:tc>
        <w:tc>
          <w:tcPr>
            <w:tcW w:w="1307" w:type="dxa"/>
            <w:vAlign w:val="top"/>
          </w:tcPr>
          <w:p w14:paraId="3C53F8EE">
            <w:pPr>
              <w:pStyle w:val="6"/>
              <w:spacing w:before="39" w:line="219" w:lineRule="auto"/>
              <w:ind w:left="118"/>
              <w:rPr>
                <w:rFonts w:ascii="Times New Roman" w:hAnsi="Times New Roman" w:eastAsia="Times New Roman" w:cs="Times New Roman"/>
                <w:sz w:val="24"/>
                <w:szCs w:val="24"/>
              </w:rPr>
            </w:pPr>
            <w:r>
              <w:rPr>
                <w:spacing w:val="-3"/>
                <w:sz w:val="24"/>
                <w:szCs w:val="24"/>
              </w:rPr>
              <w:t>年运输量</w:t>
            </w:r>
            <w:r>
              <w:rPr>
                <w:spacing w:val="-54"/>
                <w:sz w:val="24"/>
                <w:szCs w:val="24"/>
              </w:rPr>
              <w:t xml:space="preserve"> </w:t>
            </w:r>
            <w:r>
              <w:rPr>
                <w:rFonts w:ascii="Times New Roman" w:hAnsi="Times New Roman" w:eastAsia="Times New Roman" w:cs="Times New Roman"/>
                <w:spacing w:val="-3"/>
                <w:sz w:val="24"/>
                <w:szCs w:val="24"/>
              </w:rPr>
              <w:t>t</w:t>
            </w:r>
          </w:p>
        </w:tc>
        <w:tc>
          <w:tcPr>
            <w:tcW w:w="1789" w:type="dxa"/>
            <w:vAlign w:val="top"/>
          </w:tcPr>
          <w:p w14:paraId="79BBB6C6">
            <w:pPr>
              <w:pStyle w:val="6"/>
              <w:spacing w:before="39" w:line="219" w:lineRule="auto"/>
              <w:ind w:left="117"/>
              <w:rPr>
                <w:rFonts w:ascii="Times New Roman" w:hAnsi="Times New Roman" w:eastAsia="Times New Roman" w:cs="Times New Roman"/>
                <w:sz w:val="24"/>
                <w:szCs w:val="24"/>
              </w:rPr>
            </w:pPr>
            <w:r>
              <w:rPr>
                <w:spacing w:val="-2"/>
                <w:sz w:val="24"/>
                <w:szCs w:val="24"/>
              </w:rPr>
              <w:t>平均日运输量</w:t>
            </w:r>
            <w:r>
              <w:rPr>
                <w:spacing w:val="-54"/>
                <w:sz w:val="24"/>
                <w:szCs w:val="24"/>
              </w:rPr>
              <w:t xml:space="preserve"> </w:t>
            </w:r>
            <w:r>
              <w:rPr>
                <w:rFonts w:ascii="Times New Roman" w:hAnsi="Times New Roman" w:eastAsia="Times New Roman" w:cs="Times New Roman"/>
                <w:spacing w:val="-2"/>
                <w:sz w:val="24"/>
                <w:szCs w:val="24"/>
              </w:rPr>
              <w:t>t</w:t>
            </w:r>
          </w:p>
        </w:tc>
        <w:tc>
          <w:tcPr>
            <w:tcW w:w="1427" w:type="dxa"/>
            <w:vAlign w:val="top"/>
          </w:tcPr>
          <w:p w14:paraId="6E0AADB9">
            <w:pPr>
              <w:pStyle w:val="6"/>
              <w:spacing w:before="39" w:line="219" w:lineRule="auto"/>
              <w:ind w:left="122"/>
              <w:rPr>
                <w:sz w:val="24"/>
                <w:szCs w:val="24"/>
              </w:rPr>
            </w:pPr>
            <w:r>
              <w:rPr>
                <w:spacing w:val="-3"/>
                <w:sz w:val="24"/>
                <w:szCs w:val="24"/>
              </w:rPr>
              <w:t>最大可储存</w:t>
            </w:r>
          </w:p>
          <w:p w14:paraId="2A80C5CE">
            <w:pPr>
              <w:pStyle w:val="6"/>
              <w:spacing w:before="26" w:line="208" w:lineRule="auto"/>
              <w:ind w:left="599"/>
              <w:rPr>
                <w:sz w:val="24"/>
                <w:szCs w:val="24"/>
              </w:rPr>
            </w:pPr>
            <w:r>
              <w:rPr>
                <w:sz w:val="24"/>
                <w:szCs w:val="24"/>
              </w:rPr>
              <w:t>量</w:t>
            </w:r>
          </w:p>
        </w:tc>
      </w:tr>
      <w:tr w14:paraId="155ED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039C81F6">
            <w:pPr>
              <w:spacing w:before="59" w:line="188" w:lineRule="auto"/>
              <w:ind w:left="31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79" w:type="dxa"/>
            <w:vAlign w:val="top"/>
          </w:tcPr>
          <w:p w14:paraId="4001D821">
            <w:pPr>
              <w:pStyle w:val="6"/>
              <w:spacing w:before="36" w:line="207" w:lineRule="auto"/>
              <w:ind w:left="356"/>
              <w:rPr>
                <w:sz w:val="24"/>
                <w:szCs w:val="24"/>
              </w:rPr>
            </w:pPr>
            <w:r>
              <w:rPr>
                <w:spacing w:val="-6"/>
                <w:sz w:val="24"/>
                <w:szCs w:val="24"/>
              </w:rPr>
              <w:t>液氯</w:t>
            </w:r>
          </w:p>
        </w:tc>
        <w:tc>
          <w:tcPr>
            <w:tcW w:w="697" w:type="dxa"/>
            <w:vAlign w:val="top"/>
          </w:tcPr>
          <w:p w14:paraId="3B639FD8">
            <w:pPr>
              <w:pStyle w:val="6"/>
              <w:spacing w:before="36" w:line="207" w:lineRule="auto"/>
              <w:ind w:left="115"/>
              <w:rPr>
                <w:sz w:val="24"/>
                <w:szCs w:val="24"/>
              </w:rPr>
            </w:pPr>
            <w:r>
              <w:rPr>
                <w:spacing w:val="-6"/>
                <w:sz w:val="24"/>
                <w:szCs w:val="24"/>
              </w:rPr>
              <w:t>液体</w:t>
            </w:r>
          </w:p>
        </w:tc>
        <w:tc>
          <w:tcPr>
            <w:tcW w:w="1421" w:type="dxa"/>
            <w:vAlign w:val="top"/>
          </w:tcPr>
          <w:p w14:paraId="451DF8C4">
            <w:pPr>
              <w:pStyle w:val="6"/>
              <w:spacing w:before="36" w:line="207" w:lineRule="auto"/>
              <w:ind w:left="479"/>
              <w:rPr>
                <w:sz w:val="24"/>
                <w:szCs w:val="24"/>
              </w:rPr>
            </w:pPr>
            <w:r>
              <w:rPr>
                <w:spacing w:val="-6"/>
                <w:sz w:val="24"/>
                <w:szCs w:val="24"/>
              </w:rPr>
              <w:t>罐车</w:t>
            </w:r>
          </w:p>
        </w:tc>
        <w:tc>
          <w:tcPr>
            <w:tcW w:w="1307" w:type="dxa"/>
            <w:vAlign w:val="top"/>
          </w:tcPr>
          <w:p w14:paraId="020F9AD8">
            <w:pPr>
              <w:spacing w:before="59"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300</w:t>
            </w:r>
          </w:p>
        </w:tc>
        <w:tc>
          <w:tcPr>
            <w:tcW w:w="1789" w:type="dxa"/>
            <w:vAlign w:val="top"/>
          </w:tcPr>
          <w:p w14:paraId="67AB890A">
            <w:pPr>
              <w:spacing w:before="78" w:line="188" w:lineRule="auto"/>
              <w:ind w:left="69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0.83</w:t>
            </w:r>
          </w:p>
        </w:tc>
        <w:tc>
          <w:tcPr>
            <w:tcW w:w="1427" w:type="dxa"/>
            <w:vAlign w:val="top"/>
          </w:tcPr>
          <w:p w14:paraId="13AFD532">
            <w:pPr>
              <w:spacing w:before="78"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76BA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40F97E1E">
            <w:pPr>
              <w:spacing w:before="60" w:line="188" w:lineRule="auto"/>
              <w:ind w:left="29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79" w:type="dxa"/>
            <w:vAlign w:val="top"/>
          </w:tcPr>
          <w:p w14:paraId="04B22F9D">
            <w:pPr>
              <w:pStyle w:val="6"/>
              <w:spacing w:before="36" w:line="207" w:lineRule="auto"/>
              <w:ind w:left="477"/>
              <w:rPr>
                <w:sz w:val="24"/>
                <w:szCs w:val="24"/>
              </w:rPr>
            </w:pPr>
            <w:r>
              <w:rPr>
                <w:sz w:val="24"/>
                <w:szCs w:val="24"/>
              </w:rPr>
              <w:t>苯</w:t>
            </w:r>
          </w:p>
        </w:tc>
        <w:tc>
          <w:tcPr>
            <w:tcW w:w="697" w:type="dxa"/>
            <w:vAlign w:val="top"/>
          </w:tcPr>
          <w:p w14:paraId="4B43B3BA">
            <w:pPr>
              <w:pStyle w:val="6"/>
              <w:spacing w:before="36" w:line="207" w:lineRule="auto"/>
              <w:ind w:left="115"/>
              <w:rPr>
                <w:sz w:val="24"/>
                <w:szCs w:val="24"/>
              </w:rPr>
            </w:pPr>
            <w:r>
              <w:rPr>
                <w:spacing w:val="-6"/>
                <w:sz w:val="24"/>
                <w:szCs w:val="24"/>
              </w:rPr>
              <w:t>液体</w:t>
            </w:r>
          </w:p>
        </w:tc>
        <w:tc>
          <w:tcPr>
            <w:tcW w:w="1421" w:type="dxa"/>
            <w:vAlign w:val="top"/>
          </w:tcPr>
          <w:p w14:paraId="475D1CA7">
            <w:pPr>
              <w:pStyle w:val="6"/>
              <w:spacing w:before="36" w:line="207" w:lineRule="auto"/>
              <w:ind w:left="479"/>
              <w:rPr>
                <w:sz w:val="24"/>
                <w:szCs w:val="24"/>
              </w:rPr>
            </w:pPr>
            <w:r>
              <w:rPr>
                <w:spacing w:val="-6"/>
                <w:sz w:val="24"/>
                <w:szCs w:val="24"/>
              </w:rPr>
              <w:t>罐车</w:t>
            </w:r>
          </w:p>
        </w:tc>
        <w:tc>
          <w:tcPr>
            <w:tcW w:w="1307" w:type="dxa"/>
            <w:vAlign w:val="top"/>
          </w:tcPr>
          <w:p w14:paraId="24698D06">
            <w:pPr>
              <w:spacing w:before="59"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135480</w:t>
            </w:r>
          </w:p>
        </w:tc>
        <w:tc>
          <w:tcPr>
            <w:tcW w:w="1789" w:type="dxa"/>
            <w:vAlign w:val="top"/>
          </w:tcPr>
          <w:p w14:paraId="290A409E">
            <w:pPr>
              <w:spacing w:before="76" w:line="188"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376.33</w:t>
            </w:r>
          </w:p>
        </w:tc>
        <w:tc>
          <w:tcPr>
            <w:tcW w:w="1427" w:type="dxa"/>
            <w:vAlign w:val="top"/>
          </w:tcPr>
          <w:p w14:paraId="7CE0DE34">
            <w:pPr>
              <w:spacing w:before="76"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00578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2CB438F">
            <w:pPr>
              <w:spacing w:before="60" w:line="188"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79" w:type="dxa"/>
            <w:vAlign w:val="top"/>
          </w:tcPr>
          <w:p w14:paraId="52B3E855">
            <w:pPr>
              <w:pStyle w:val="6"/>
              <w:spacing w:before="35" w:line="208" w:lineRule="auto"/>
              <w:ind w:left="385"/>
              <w:rPr>
                <w:sz w:val="24"/>
                <w:szCs w:val="24"/>
              </w:rPr>
            </w:pPr>
            <w:r>
              <w:rPr>
                <w:spacing w:val="-21"/>
                <w:sz w:val="24"/>
                <w:szCs w:val="24"/>
              </w:rPr>
              <w:t>甲苯</w:t>
            </w:r>
          </w:p>
        </w:tc>
        <w:tc>
          <w:tcPr>
            <w:tcW w:w="697" w:type="dxa"/>
            <w:vAlign w:val="top"/>
          </w:tcPr>
          <w:p w14:paraId="25AD9292">
            <w:pPr>
              <w:pStyle w:val="6"/>
              <w:spacing w:before="35" w:line="208" w:lineRule="auto"/>
              <w:ind w:left="115"/>
              <w:rPr>
                <w:sz w:val="24"/>
                <w:szCs w:val="24"/>
              </w:rPr>
            </w:pPr>
            <w:r>
              <w:rPr>
                <w:spacing w:val="-6"/>
                <w:sz w:val="24"/>
                <w:szCs w:val="24"/>
              </w:rPr>
              <w:t>液体</w:t>
            </w:r>
          </w:p>
        </w:tc>
        <w:tc>
          <w:tcPr>
            <w:tcW w:w="1421" w:type="dxa"/>
            <w:vAlign w:val="top"/>
          </w:tcPr>
          <w:p w14:paraId="747CB147">
            <w:pPr>
              <w:pStyle w:val="6"/>
              <w:spacing w:before="35" w:line="208" w:lineRule="auto"/>
              <w:ind w:left="479"/>
              <w:rPr>
                <w:sz w:val="24"/>
                <w:szCs w:val="24"/>
              </w:rPr>
            </w:pPr>
            <w:r>
              <w:rPr>
                <w:spacing w:val="-6"/>
                <w:sz w:val="24"/>
                <w:szCs w:val="24"/>
              </w:rPr>
              <w:t>罐车</w:t>
            </w:r>
          </w:p>
        </w:tc>
        <w:tc>
          <w:tcPr>
            <w:tcW w:w="1307" w:type="dxa"/>
            <w:vAlign w:val="top"/>
          </w:tcPr>
          <w:p w14:paraId="42D30F2E">
            <w:pPr>
              <w:spacing w:before="60" w:line="188" w:lineRule="auto"/>
              <w:ind w:left="35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29202</w:t>
            </w:r>
          </w:p>
        </w:tc>
        <w:tc>
          <w:tcPr>
            <w:tcW w:w="1789" w:type="dxa"/>
            <w:vAlign w:val="top"/>
          </w:tcPr>
          <w:p w14:paraId="61092F9D">
            <w:pPr>
              <w:spacing w:before="77"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81.12</w:t>
            </w:r>
          </w:p>
        </w:tc>
        <w:tc>
          <w:tcPr>
            <w:tcW w:w="1427" w:type="dxa"/>
            <w:vAlign w:val="top"/>
          </w:tcPr>
          <w:p w14:paraId="00FC1618">
            <w:pPr>
              <w:spacing w:before="77"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067BE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7178952C">
            <w:pPr>
              <w:spacing w:before="61" w:line="188" w:lineRule="auto"/>
              <w:ind w:left="29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79" w:type="dxa"/>
            <w:vAlign w:val="top"/>
          </w:tcPr>
          <w:p w14:paraId="2745CFB7">
            <w:pPr>
              <w:pStyle w:val="6"/>
              <w:spacing w:before="38" w:line="206" w:lineRule="auto"/>
              <w:ind w:left="238"/>
              <w:rPr>
                <w:sz w:val="24"/>
                <w:szCs w:val="24"/>
              </w:rPr>
            </w:pPr>
            <w:r>
              <w:rPr>
                <w:spacing w:val="-5"/>
                <w:sz w:val="24"/>
                <w:szCs w:val="24"/>
              </w:rPr>
              <w:t>二甲苯</w:t>
            </w:r>
          </w:p>
        </w:tc>
        <w:tc>
          <w:tcPr>
            <w:tcW w:w="697" w:type="dxa"/>
            <w:vAlign w:val="top"/>
          </w:tcPr>
          <w:p w14:paraId="7A33CFE7">
            <w:pPr>
              <w:pStyle w:val="6"/>
              <w:spacing w:before="38" w:line="206" w:lineRule="auto"/>
              <w:ind w:left="115"/>
              <w:rPr>
                <w:sz w:val="24"/>
                <w:szCs w:val="24"/>
              </w:rPr>
            </w:pPr>
            <w:r>
              <w:rPr>
                <w:spacing w:val="-6"/>
                <w:sz w:val="24"/>
                <w:szCs w:val="24"/>
              </w:rPr>
              <w:t>液体</w:t>
            </w:r>
          </w:p>
        </w:tc>
        <w:tc>
          <w:tcPr>
            <w:tcW w:w="1421" w:type="dxa"/>
            <w:vAlign w:val="top"/>
          </w:tcPr>
          <w:p w14:paraId="1BA6EEC9">
            <w:pPr>
              <w:pStyle w:val="6"/>
              <w:spacing w:before="38" w:line="206" w:lineRule="auto"/>
              <w:ind w:left="479"/>
              <w:rPr>
                <w:sz w:val="24"/>
                <w:szCs w:val="24"/>
              </w:rPr>
            </w:pPr>
            <w:r>
              <w:rPr>
                <w:spacing w:val="-6"/>
                <w:sz w:val="24"/>
                <w:szCs w:val="24"/>
              </w:rPr>
              <w:t>罐车</w:t>
            </w:r>
          </w:p>
        </w:tc>
        <w:tc>
          <w:tcPr>
            <w:tcW w:w="1307" w:type="dxa"/>
            <w:vAlign w:val="top"/>
          </w:tcPr>
          <w:p w14:paraId="751FED61">
            <w:pPr>
              <w:spacing w:before="61"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7640</w:t>
            </w:r>
          </w:p>
        </w:tc>
        <w:tc>
          <w:tcPr>
            <w:tcW w:w="1789" w:type="dxa"/>
            <w:vAlign w:val="top"/>
          </w:tcPr>
          <w:p w14:paraId="58307295">
            <w:pPr>
              <w:spacing w:before="77" w:line="188"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21.22</w:t>
            </w:r>
          </w:p>
        </w:tc>
        <w:tc>
          <w:tcPr>
            <w:tcW w:w="1427" w:type="dxa"/>
            <w:vAlign w:val="top"/>
          </w:tcPr>
          <w:p w14:paraId="6B7DB35C">
            <w:pPr>
              <w:spacing w:before="77"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7F7FA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1" w:type="dxa"/>
            <w:vAlign w:val="top"/>
          </w:tcPr>
          <w:p w14:paraId="5AC2EEDA">
            <w:pPr>
              <w:spacing w:before="65" w:line="185" w:lineRule="auto"/>
              <w:ind w:left="29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79" w:type="dxa"/>
            <w:vAlign w:val="top"/>
          </w:tcPr>
          <w:p w14:paraId="0792245E">
            <w:pPr>
              <w:pStyle w:val="6"/>
              <w:spacing w:before="36" w:line="208" w:lineRule="auto"/>
              <w:ind w:left="121"/>
              <w:rPr>
                <w:sz w:val="24"/>
                <w:szCs w:val="24"/>
              </w:rPr>
            </w:pPr>
            <w:r>
              <w:rPr>
                <w:spacing w:val="-4"/>
                <w:sz w:val="24"/>
                <w:szCs w:val="24"/>
              </w:rPr>
              <w:t>次氯酸钠</w:t>
            </w:r>
          </w:p>
        </w:tc>
        <w:tc>
          <w:tcPr>
            <w:tcW w:w="697" w:type="dxa"/>
            <w:vAlign w:val="top"/>
          </w:tcPr>
          <w:p w14:paraId="0C7639E9">
            <w:pPr>
              <w:pStyle w:val="6"/>
              <w:spacing w:before="36" w:line="208" w:lineRule="auto"/>
              <w:ind w:left="115"/>
              <w:rPr>
                <w:sz w:val="24"/>
                <w:szCs w:val="24"/>
              </w:rPr>
            </w:pPr>
            <w:r>
              <w:rPr>
                <w:spacing w:val="-6"/>
                <w:sz w:val="24"/>
                <w:szCs w:val="24"/>
              </w:rPr>
              <w:t>液体</w:t>
            </w:r>
          </w:p>
        </w:tc>
        <w:tc>
          <w:tcPr>
            <w:tcW w:w="1421" w:type="dxa"/>
            <w:vAlign w:val="top"/>
          </w:tcPr>
          <w:p w14:paraId="76B34EA0">
            <w:pPr>
              <w:pStyle w:val="6"/>
              <w:spacing w:before="36" w:line="208" w:lineRule="auto"/>
              <w:ind w:left="479"/>
              <w:rPr>
                <w:sz w:val="24"/>
                <w:szCs w:val="24"/>
              </w:rPr>
            </w:pPr>
            <w:r>
              <w:rPr>
                <w:spacing w:val="-6"/>
                <w:sz w:val="24"/>
                <w:szCs w:val="24"/>
              </w:rPr>
              <w:t>罐车</w:t>
            </w:r>
          </w:p>
        </w:tc>
        <w:tc>
          <w:tcPr>
            <w:tcW w:w="1307" w:type="dxa"/>
            <w:vAlign w:val="top"/>
          </w:tcPr>
          <w:p w14:paraId="7FE278FB">
            <w:pPr>
              <w:spacing w:before="61" w:line="188" w:lineRule="auto"/>
              <w:ind w:left="3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c>
          <w:tcPr>
            <w:tcW w:w="1789" w:type="dxa"/>
            <w:vAlign w:val="top"/>
          </w:tcPr>
          <w:p w14:paraId="429F4AE1">
            <w:pPr>
              <w:spacing w:before="78"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1427" w:type="dxa"/>
            <w:vAlign w:val="top"/>
          </w:tcPr>
          <w:p w14:paraId="30702650">
            <w:pPr>
              <w:spacing w:before="78"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0B1B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782553AF">
            <w:pPr>
              <w:spacing w:before="61" w:line="188"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179" w:type="dxa"/>
            <w:vAlign w:val="top"/>
          </w:tcPr>
          <w:p w14:paraId="3C62A8CA">
            <w:pPr>
              <w:pStyle w:val="6"/>
              <w:spacing w:before="36" w:line="207" w:lineRule="auto"/>
              <w:ind w:left="118"/>
              <w:rPr>
                <w:sz w:val="24"/>
                <w:szCs w:val="24"/>
              </w:rPr>
            </w:pPr>
            <w:r>
              <w:rPr>
                <w:spacing w:val="-4"/>
                <w:sz w:val="24"/>
                <w:szCs w:val="24"/>
              </w:rPr>
              <w:t>二氯乙烷</w:t>
            </w:r>
          </w:p>
        </w:tc>
        <w:tc>
          <w:tcPr>
            <w:tcW w:w="697" w:type="dxa"/>
            <w:vAlign w:val="top"/>
          </w:tcPr>
          <w:p w14:paraId="0B303C80">
            <w:pPr>
              <w:pStyle w:val="6"/>
              <w:spacing w:before="36" w:line="207" w:lineRule="auto"/>
              <w:ind w:left="115"/>
              <w:rPr>
                <w:sz w:val="24"/>
                <w:szCs w:val="24"/>
              </w:rPr>
            </w:pPr>
            <w:r>
              <w:rPr>
                <w:spacing w:val="-6"/>
                <w:sz w:val="24"/>
                <w:szCs w:val="24"/>
              </w:rPr>
              <w:t>液体</w:t>
            </w:r>
          </w:p>
        </w:tc>
        <w:tc>
          <w:tcPr>
            <w:tcW w:w="1421" w:type="dxa"/>
            <w:vAlign w:val="top"/>
          </w:tcPr>
          <w:p w14:paraId="67106D60">
            <w:pPr>
              <w:pStyle w:val="6"/>
              <w:spacing w:before="36" w:line="207" w:lineRule="auto"/>
              <w:ind w:left="479"/>
              <w:rPr>
                <w:sz w:val="24"/>
                <w:szCs w:val="24"/>
              </w:rPr>
            </w:pPr>
            <w:r>
              <w:rPr>
                <w:spacing w:val="-6"/>
                <w:sz w:val="24"/>
                <w:szCs w:val="24"/>
              </w:rPr>
              <w:t>罐车</w:t>
            </w:r>
          </w:p>
        </w:tc>
        <w:tc>
          <w:tcPr>
            <w:tcW w:w="1307" w:type="dxa"/>
            <w:vAlign w:val="top"/>
          </w:tcPr>
          <w:p w14:paraId="18346489">
            <w:pPr>
              <w:spacing w:before="61"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7700</w:t>
            </w:r>
          </w:p>
        </w:tc>
        <w:tc>
          <w:tcPr>
            <w:tcW w:w="1789" w:type="dxa"/>
            <w:vAlign w:val="top"/>
          </w:tcPr>
          <w:p w14:paraId="32659D19">
            <w:pPr>
              <w:spacing w:before="78" w:line="188" w:lineRule="auto"/>
              <w:ind w:left="62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21.39</w:t>
            </w:r>
          </w:p>
        </w:tc>
        <w:tc>
          <w:tcPr>
            <w:tcW w:w="1427" w:type="dxa"/>
            <w:vAlign w:val="top"/>
          </w:tcPr>
          <w:p w14:paraId="502E297E">
            <w:pPr>
              <w:spacing w:before="78"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46CE5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01" w:type="dxa"/>
            <w:vAlign w:val="top"/>
          </w:tcPr>
          <w:p w14:paraId="4F622779">
            <w:pPr>
              <w:spacing w:before="63" w:line="185" w:lineRule="auto"/>
              <w:ind w:left="29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179" w:type="dxa"/>
            <w:vAlign w:val="top"/>
          </w:tcPr>
          <w:p w14:paraId="3F642DDA">
            <w:pPr>
              <w:pStyle w:val="6"/>
              <w:spacing w:before="37" w:line="206" w:lineRule="auto"/>
              <w:ind w:left="385"/>
              <w:rPr>
                <w:sz w:val="24"/>
                <w:szCs w:val="24"/>
              </w:rPr>
            </w:pPr>
            <w:r>
              <w:rPr>
                <w:spacing w:val="-21"/>
                <w:sz w:val="24"/>
                <w:szCs w:val="24"/>
              </w:rPr>
              <w:t>甲醛</w:t>
            </w:r>
          </w:p>
        </w:tc>
        <w:tc>
          <w:tcPr>
            <w:tcW w:w="697" w:type="dxa"/>
            <w:vAlign w:val="top"/>
          </w:tcPr>
          <w:p w14:paraId="19535401">
            <w:pPr>
              <w:pStyle w:val="6"/>
              <w:spacing w:before="37" w:line="206" w:lineRule="auto"/>
              <w:ind w:left="114"/>
              <w:rPr>
                <w:sz w:val="24"/>
                <w:szCs w:val="24"/>
              </w:rPr>
            </w:pPr>
            <w:r>
              <w:rPr>
                <w:spacing w:val="-6"/>
                <w:sz w:val="24"/>
                <w:szCs w:val="24"/>
              </w:rPr>
              <w:t>气体</w:t>
            </w:r>
          </w:p>
        </w:tc>
        <w:tc>
          <w:tcPr>
            <w:tcW w:w="1421" w:type="dxa"/>
            <w:vAlign w:val="top"/>
          </w:tcPr>
          <w:p w14:paraId="5B67E542">
            <w:pPr>
              <w:pStyle w:val="6"/>
              <w:spacing w:before="37" w:line="206" w:lineRule="auto"/>
              <w:ind w:left="118"/>
              <w:rPr>
                <w:sz w:val="24"/>
                <w:szCs w:val="24"/>
              </w:rPr>
            </w:pPr>
            <w:r>
              <w:rPr>
                <w:spacing w:val="-3"/>
                <w:sz w:val="24"/>
                <w:szCs w:val="24"/>
              </w:rPr>
              <w:t>气瓶运输车</w:t>
            </w:r>
          </w:p>
        </w:tc>
        <w:tc>
          <w:tcPr>
            <w:tcW w:w="1307" w:type="dxa"/>
            <w:vAlign w:val="top"/>
          </w:tcPr>
          <w:p w14:paraId="2F4CEB53">
            <w:pPr>
              <w:spacing w:before="59" w:line="188"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7136</w:t>
            </w:r>
          </w:p>
        </w:tc>
        <w:tc>
          <w:tcPr>
            <w:tcW w:w="1789" w:type="dxa"/>
            <w:vAlign w:val="top"/>
          </w:tcPr>
          <w:p w14:paraId="141BFAAA">
            <w:pPr>
              <w:spacing w:before="76" w:line="188" w:lineRule="auto"/>
              <w:ind w:left="65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19.82</w:t>
            </w:r>
          </w:p>
        </w:tc>
        <w:tc>
          <w:tcPr>
            <w:tcW w:w="1427" w:type="dxa"/>
            <w:vAlign w:val="top"/>
          </w:tcPr>
          <w:p w14:paraId="3BD2851C">
            <w:pPr>
              <w:spacing w:before="76" w:line="188"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r>
      <w:tr w14:paraId="3D787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3801989">
            <w:pPr>
              <w:spacing w:before="63" w:line="188" w:lineRule="auto"/>
              <w:ind w:left="30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179" w:type="dxa"/>
            <w:vAlign w:val="top"/>
          </w:tcPr>
          <w:p w14:paraId="3EAD0ADA">
            <w:pPr>
              <w:pStyle w:val="6"/>
              <w:spacing w:before="38" w:line="206" w:lineRule="auto"/>
              <w:ind w:left="356"/>
              <w:rPr>
                <w:sz w:val="24"/>
                <w:szCs w:val="24"/>
              </w:rPr>
            </w:pPr>
            <w:r>
              <w:rPr>
                <w:spacing w:val="-6"/>
                <w:sz w:val="24"/>
                <w:szCs w:val="24"/>
              </w:rPr>
              <w:t>硝酸</w:t>
            </w:r>
          </w:p>
        </w:tc>
        <w:tc>
          <w:tcPr>
            <w:tcW w:w="697" w:type="dxa"/>
            <w:vAlign w:val="top"/>
          </w:tcPr>
          <w:p w14:paraId="45306A65">
            <w:pPr>
              <w:pStyle w:val="6"/>
              <w:spacing w:before="38" w:line="206" w:lineRule="auto"/>
              <w:ind w:left="115"/>
              <w:rPr>
                <w:sz w:val="24"/>
                <w:szCs w:val="24"/>
              </w:rPr>
            </w:pPr>
            <w:r>
              <w:rPr>
                <w:spacing w:val="-6"/>
                <w:sz w:val="24"/>
                <w:szCs w:val="24"/>
              </w:rPr>
              <w:t>液体</w:t>
            </w:r>
          </w:p>
        </w:tc>
        <w:tc>
          <w:tcPr>
            <w:tcW w:w="1421" w:type="dxa"/>
            <w:vAlign w:val="top"/>
          </w:tcPr>
          <w:p w14:paraId="399D260C">
            <w:pPr>
              <w:pStyle w:val="6"/>
              <w:spacing w:before="38" w:line="206" w:lineRule="auto"/>
              <w:ind w:left="479"/>
              <w:rPr>
                <w:sz w:val="24"/>
                <w:szCs w:val="24"/>
              </w:rPr>
            </w:pPr>
            <w:r>
              <w:rPr>
                <w:spacing w:val="-6"/>
                <w:sz w:val="24"/>
                <w:szCs w:val="24"/>
              </w:rPr>
              <w:t>罐车</w:t>
            </w:r>
          </w:p>
        </w:tc>
        <w:tc>
          <w:tcPr>
            <w:tcW w:w="1307" w:type="dxa"/>
            <w:vAlign w:val="top"/>
          </w:tcPr>
          <w:p w14:paraId="5B87C31A">
            <w:pPr>
              <w:spacing w:before="63" w:line="188" w:lineRule="auto"/>
              <w:ind w:left="41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4160</w:t>
            </w:r>
          </w:p>
        </w:tc>
        <w:tc>
          <w:tcPr>
            <w:tcW w:w="1789" w:type="dxa"/>
            <w:vAlign w:val="top"/>
          </w:tcPr>
          <w:p w14:paraId="43B10970">
            <w:pPr>
              <w:spacing w:before="80" w:line="188" w:lineRule="auto"/>
              <w:ind w:left="6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11.56</w:t>
            </w:r>
          </w:p>
        </w:tc>
        <w:tc>
          <w:tcPr>
            <w:tcW w:w="1427" w:type="dxa"/>
            <w:vAlign w:val="top"/>
          </w:tcPr>
          <w:p w14:paraId="1C3B4DEF">
            <w:pPr>
              <w:spacing w:before="80"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7BE58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6178904B">
            <w:pPr>
              <w:spacing w:before="61" w:line="188"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179" w:type="dxa"/>
            <w:vAlign w:val="top"/>
          </w:tcPr>
          <w:p w14:paraId="4B6AA3B0">
            <w:pPr>
              <w:pStyle w:val="6"/>
              <w:spacing w:before="39" w:line="205" w:lineRule="auto"/>
              <w:ind w:left="356"/>
              <w:rPr>
                <w:sz w:val="24"/>
                <w:szCs w:val="24"/>
              </w:rPr>
            </w:pPr>
            <w:r>
              <w:rPr>
                <w:spacing w:val="-6"/>
                <w:sz w:val="24"/>
                <w:szCs w:val="24"/>
              </w:rPr>
              <w:t>盐酸</w:t>
            </w:r>
          </w:p>
        </w:tc>
        <w:tc>
          <w:tcPr>
            <w:tcW w:w="697" w:type="dxa"/>
            <w:vAlign w:val="top"/>
          </w:tcPr>
          <w:p w14:paraId="310A78A6">
            <w:pPr>
              <w:pStyle w:val="6"/>
              <w:spacing w:before="39" w:line="205" w:lineRule="auto"/>
              <w:ind w:left="115"/>
              <w:rPr>
                <w:sz w:val="24"/>
                <w:szCs w:val="24"/>
              </w:rPr>
            </w:pPr>
            <w:r>
              <w:rPr>
                <w:spacing w:val="-6"/>
                <w:sz w:val="24"/>
                <w:szCs w:val="24"/>
              </w:rPr>
              <w:t>液体</w:t>
            </w:r>
          </w:p>
        </w:tc>
        <w:tc>
          <w:tcPr>
            <w:tcW w:w="1421" w:type="dxa"/>
            <w:vAlign w:val="top"/>
          </w:tcPr>
          <w:p w14:paraId="26F60852">
            <w:pPr>
              <w:pStyle w:val="6"/>
              <w:spacing w:before="39" w:line="205" w:lineRule="auto"/>
              <w:ind w:left="479"/>
              <w:rPr>
                <w:sz w:val="24"/>
                <w:szCs w:val="24"/>
              </w:rPr>
            </w:pPr>
            <w:r>
              <w:rPr>
                <w:spacing w:val="-6"/>
                <w:sz w:val="24"/>
                <w:szCs w:val="24"/>
              </w:rPr>
              <w:t>罐车</w:t>
            </w:r>
          </w:p>
        </w:tc>
        <w:tc>
          <w:tcPr>
            <w:tcW w:w="1307" w:type="dxa"/>
            <w:vAlign w:val="top"/>
          </w:tcPr>
          <w:p w14:paraId="06D7B830">
            <w:pPr>
              <w:spacing w:before="61"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600</w:t>
            </w:r>
          </w:p>
        </w:tc>
        <w:tc>
          <w:tcPr>
            <w:tcW w:w="1789" w:type="dxa"/>
            <w:vAlign w:val="top"/>
          </w:tcPr>
          <w:p w14:paraId="68CF922E">
            <w:pPr>
              <w:spacing w:before="78" w:line="188" w:lineRule="auto"/>
              <w:ind w:left="71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1.67</w:t>
            </w:r>
          </w:p>
        </w:tc>
        <w:tc>
          <w:tcPr>
            <w:tcW w:w="1427" w:type="dxa"/>
            <w:vAlign w:val="top"/>
          </w:tcPr>
          <w:p w14:paraId="3FCF3A32">
            <w:pPr>
              <w:spacing w:before="78"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5FF1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41227A32">
            <w:pPr>
              <w:spacing w:before="62"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79" w:type="dxa"/>
            <w:vAlign w:val="top"/>
          </w:tcPr>
          <w:p w14:paraId="4B0FDA3C">
            <w:pPr>
              <w:pStyle w:val="6"/>
              <w:spacing w:before="39" w:line="205" w:lineRule="auto"/>
              <w:ind w:left="378"/>
              <w:rPr>
                <w:sz w:val="24"/>
                <w:szCs w:val="24"/>
              </w:rPr>
            </w:pPr>
            <w:r>
              <w:rPr>
                <w:spacing w:val="-17"/>
                <w:sz w:val="24"/>
                <w:szCs w:val="24"/>
              </w:rPr>
              <w:t>乙炔</w:t>
            </w:r>
          </w:p>
        </w:tc>
        <w:tc>
          <w:tcPr>
            <w:tcW w:w="697" w:type="dxa"/>
            <w:vAlign w:val="top"/>
          </w:tcPr>
          <w:p w14:paraId="0CAA1EA5">
            <w:pPr>
              <w:pStyle w:val="6"/>
              <w:spacing w:before="39" w:line="205" w:lineRule="auto"/>
              <w:ind w:left="114"/>
              <w:rPr>
                <w:sz w:val="24"/>
                <w:szCs w:val="24"/>
              </w:rPr>
            </w:pPr>
            <w:r>
              <w:rPr>
                <w:spacing w:val="-6"/>
                <w:sz w:val="24"/>
                <w:szCs w:val="24"/>
              </w:rPr>
              <w:t>气体</w:t>
            </w:r>
          </w:p>
        </w:tc>
        <w:tc>
          <w:tcPr>
            <w:tcW w:w="1421" w:type="dxa"/>
            <w:vAlign w:val="top"/>
          </w:tcPr>
          <w:p w14:paraId="51200496">
            <w:pPr>
              <w:pStyle w:val="6"/>
              <w:spacing w:before="39" w:line="205" w:lineRule="auto"/>
              <w:ind w:left="118"/>
              <w:rPr>
                <w:sz w:val="24"/>
                <w:szCs w:val="24"/>
              </w:rPr>
            </w:pPr>
            <w:r>
              <w:rPr>
                <w:spacing w:val="-3"/>
                <w:sz w:val="24"/>
                <w:szCs w:val="24"/>
              </w:rPr>
              <w:t>气瓶运输车</w:t>
            </w:r>
          </w:p>
        </w:tc>
        <w:tc>
          <w:tcPr>
            <w:tcW w:w="1307" w:type="dxa"/>
            <w:vAlign w:val="top"/>
          </w:tcPr>
          <w:p w14:paraId="41A83608">
            <w:pPr>
              <w:spacing w:before="62" w:line="188" w:lineRule="auto"/>
              <w:ind w:left="3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c>
          <w:tcPr>
            <w:tcW w:w="1789" w:type="dxa"/>
            <w:vAlign w:val="top"/>
          </w:tcPr>
          <w:p w14:paraId="74531FB6">
            <w:pPr>
              <w:spacing w:before="79" w:line="188" w:lineRule="auto"/>
              <w:ind w:left="60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1427" w:type="dxa"/>
            <w:vAlign w:val="top"/>
          </w:tcPr>
          <w:p w14:paraId="5F64B5C0">
            <w:pPr>
              <w:spacing w:before="79" w:line="188" w:lineRule="auto"/>
              <w:ind w:left="5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r>
      <w:tr w14:paraId="17E1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01" w:type="dxa"/>
            <w:vAlign w:val="top"/>
          </w:tcPr>
          <w:p w14:paraId="233DBF3A">
            <w:pPr>
              <w:spacing w:before="63" w:line="188" w:lineRule="auto"/>
              <w:ind w:left="2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179" w:type="dxa"/>
            <w:vAlign w:val="top"/>
          </w:tcPr>
          <w:p w14:paraId="0D5FDC5E">
            <w:pPr>
              <w:pStyle w:val="6"/>
              <w:spacing w:before="38" w:line="206" w:lineRule="auto"/>
              <w:ind w:left="385"/>
              <w:rPr>
                <w:sz w:val="24"/>
                <w:szCs w:val="24"/>
              </w:rPr>
            </w:pPr>
            <w:r>
              <w:rPr>
                <w:spacing w:val="-21"/>
                <w:sz w:val="24"/>
                <w:szCs w:val="24"/>
              </w:rPr>
              <w:t>甲醇</w:t>
            </w:r>
          </w:p>
        </w:tc>
        <w:tc>
          <w:tcPr>
            <w:tcW w:w="697" w:type="dxa"/>
            <w:vAlign w:val="top"/>
          </w:tcPr>
          <w:p w14:paraId="74403A5C">
            <w:pPr>
              <w:pStyle w:val="6"/>
              <w:spacing w:before="38" w:line="206" w:lineRule="auto"/>
              <w:ind w:left="115"/>
              <w:rPr>
                <w:sz w:val="24"/>
                <w:szCs w:val="24"/>
              </w:rPr>
            </w:pPr>
            <w:r>
              <w:rPr>
                <w:spacing w:val="-6"/>
                <w:sz w:val="24"/>
                <w:szCs w:val="24"/>
              </w:rPr>
              <w:t>液体</w:t>
            </w:r>
          </w:p>
        </w:tc>
        <w:tc>
          <w:tcPr>
            <w:tcW w:w="1421" w:type="dxa"/>
            <w:vAlign w:val="top"/>
          </w:tcPr>
          <w:p w14:paraId="5C547002">
            <w:pPr>
              <w:pStyle w:val="6"/>
              <w:spacing w:before="38" w:line="206" w:lineRule="auto"/>
              <w:ind w:left="479"/>
              <w:rPr>
                <w:sz w:val="24"/>
                <w:szCs w:val="24"/>
              </w:rPr>
            </w:pPr>
            <w:r>
              <w:rPr>
                <w:spacing w:val="-6"/>
                <w:sz w:val="24"/>
                <w:szCs w:val="24"/>
              </w:rPr>
              <w:t>罐车</w:t>
            </w:r>
          </w:p>
        </w:tc>
        <w:tc>
          <w:tcPr>
            <w:tcW w:w="1307" w:type="dxa"/>
            <w:vAlign w:val="top"/>
          </w:tcPr>
          <w:p w14:paraId="35A2C7B9">
            <w:pPr>
              <w:spacing w:before="62"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129160</w:t>
            </w:r>
          </w:p>
        </w:tc>
        <w:tc>
          <w:tcPr>
            <w:tcW w:w="1789" w:type="dxa"/>
            <w:vAlign w:val="top"/>
          </w:tcPr>
          <w:p w14:paraId="1F6BE64C">
            <w:pPr>
              <w:spacing w:before="79" w:line="188" w:lineRule="auto"/>
              <w:ind w:left="5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358.78</w:t>
            </w:r>
          </w:p>
        </w:tc>
        <w:tc>
          <w:tcPr>
            <w:tcW w:w="1427" w:type="dxa"/>
            <w:vAlign w:val="top"/>
          </w:tcPr>
          <w:p w14:paraId="7FC92D93">
            <w:pPr>
              <w:spacing w:before="79"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552A9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01" w:type="dxa"/>
            <w:vAlign w:val="top"/>
          </w:tcPr>
          <w:p w14:paraId="3FE195C2">
            <w:pPr>
              <w:spacing w:before="63"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179" w:type="dxa"/>
            <w:vAlign w:val="top"/>
          </w:tcPr>
          <w:p w14:paraId="2AE1CDA2">
            <w:pPr>
              <w:pStyle w:val="6"/>
              <w:spacing w:before="38" w:line="205" w:lineRule="auto"/>
              <w:ind w:left="353"/>
              <w:rPr>
                <w:sz w:val="24"/>
                <w:szCs w:val="24"/>
              </w:rPr>
            </w:pPr>
            <w:r>
              <w:rPr>
                <w:spacing w:val="-5"/>
                <w:sz w:val="24"/>
                <w:szCs w:val="24"/>
              </w:rPr>
              <w:t>硫酸</w:t>
            </w:r>
          </w:p>
        </w:tc>
        <w:tc>
          <w:tcPr>
            <w:tcW w:w="697" w:type="dxa"/>
            <w:vAlign w:val="top"/>
          </w:tcPr>
          <w:p w14:paraId="6E16CF05">
            <w:pPr>
              <w:pStyle w:val="6"/>
              <w:spacing w:before="38" w:line="205" w:lineRule="auto"/>
              <w:ind w:left="115"/>
              <w:rPr>
                <w:sz w:val="24"/>
                <w:szCs w:val="24"/>
              </w:rPr>
            </w:pPr>
            <w:r>
              <w:rPr>
                <w:spacing w:val="-6"/>
                <w:sz w:val="24"/>
                <w:szCs w:val="24"/>
              </w:rPr>
              <w:t>液体</w:t>
            </w:r>
          </w:p>
        </w:tc>
        <w:tc>
          <w:tcPr>
            <w:tcW w:w="1421" w:type="dxa"/>
            <w:vAlign w:val="top"/>
          </w:tcPr>
          <w:p w14:paraId="52245523">
            <w:pPr>
              <w:pStyle w:val="6"/>
              <w:spacing w:before="38" w:line="205" w:lineRule="auto"/>
              <w:ind w:left="479"/>
              <w:rPr>
                <w:sz w:val="24"/>
                <w:szCs w:val="24"/>
              </w:rPr>
            </w:pPr>
            <w:r>
              <w:rPr>
                <w:spacing w:val="-6"/>
                <w:sz w:val="24"/>
                <w:szCs w:val="24"/>
              </w:rPr>
              <w:t>罐车</w:t>
            </w:r>
          </w:p>
        </w:tc>
        <w:tc>
          <w:tcPr>
            <w:tcW w:w="1307" w:type="dxa"/>
            <w:vAlign w:val="top"/>
          </w:tcPr>
          <w:p w14:paraId="0D2E7E4D">
            <w:pPr>
              <w:spacing w:before="63"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64768</w:t>
            </w:r>
          </w:p>
        </w:tc>
        <w:tc>
          <w:tcPr>
            <w:tcW w:w="1789" w:type="dxa"/>
            <w:vAlign w:val="top"/>
          </w:tcPr>
          <w:p w14:paraId="77BAF65E">
            <w:pPr>
              <w:spacing w:before="80" w:line="188" w:lineRule="auto"/>
              <w:ind w:left="742"/>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tc>
        <w:tc>
          <w:tcPr>
            <w:tcW w:w="1427" w:type="dxa"/>
            <w:vAlign w:val="top"/>
          </w:tcPr>
          <w:p w14:paraId="5DD16429">
            <w:pPr>
              <w:spacing w:before="80"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A0BB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1" w:type="dxa"/>
            <w:vAlign w:val="top"/>
          </w:tcPr>
          <w:p w14:paraId="5E682FD5">
            <w:pPr>
              <w:spacing w:before="65"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179" w:type="dxa"/>
            <w:vAlign w:val="top"/>
          </w:tcPr>
          <w:p w14:paraId="0EB78633">
            <w:pPr>
              <w:pStyle w:val="6"/>
              <w:spacing w:before="40" w:line="205" w:lineRule="auto"/>
              <w:ind w:left="354"/>
              <w:rPr>
                <w:sz w:val="24"/>
                <w:szCs w:val="24"/>
              </w:rPr>
            </w:pPr>
            <w:r>
              <w:rPr>
                <w:spacing w:val="-5"/>
                <w:sz w:val="24"/>
                <w:szCs w:val="24"/>
              </w:rPr>
              <w:t>氨水</w:t>
            </w:r>
          </w:p>
        </w:tc>
        <w:tc>
          <w:tcPr>
            <w:tcW w:w="697" w:type="dxa"/>
            <w:vAlign w:val="top"/>
          </w:tcPr>
          <w:p w14:paraId="7D1D5EE7">
            <w:pPr>
              <w:pStyle w:val="6"/>
              <w:spacing w:before="40" w:line="205" w:lineRule="auto"/>
              <w:ind w:left="115"/>
              <w:rPr>
                <w:sz w:val="24"/>
                <w:szCs w:val="24"/>
              </w:rPr>
            </w:pPr>
            <w:r>
              <w:rPr>
                <w:spacing w:val="-6"/>
                <w:sz w:val="24"/>
                <w:szCs w:val="24"/>
              </w:rPr>
              <w:t>液体</w:t>
            </w:r>
          </w:p>
        </w:tc>
        <w:tc>
          <w:tcPr>
            <w:tcW w:w="1421" w:type="dxa"/>
            <w:vAlign w:val="top"/>
          </w:tcPr>
          <w:p w14:paraId="1D7B2D20">
            <w:pPr>
              <w:pStyle w:val="6"/>
              <w:spacing w:before="40" w:line="205" w:lineRule="auto"/>
              <w:ind w:left="479"/>
              <w:rPr>
                <w:sz w:val="24"/>
                <w:szCs w:val="24"/>
              </w:rPr>
            </w:pPr>
            <w:r>
              <w:rPr>
                <w:spacing w:val="-6"/>
                <w:sz w:val="24"/>
                <w:szCs w:val="24"/>
              </w:rPr>
              <w:t>罐车</w:t>
            </w:r>
          </w:p>
        </w:tc>
        <w:tc>
          <w:tcPr>
            <w:tcW w:w="1307" w:type="dxa"/>
            <w:vAlign w:val="top"/>
          </w:tcPr>
          <w:p w14:paraId="77D3C289">
            <w:pPr>
              <w:spacing w:before="65"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3520</w:t>
            </w:r>
          </w:p>
        </w:tc>
        <w:tc>
          <w:tcPr>
            <w:tcW w:w="1789" w:type="dxa"/>
            <w:vAlign w:val="top"/>
          </w:tcPr>
          <w:p w14:paraId="773E5ECE">
            <w:pPr>
              <w:spacing w:before="81" w:line="188" w:lineRule="auto"/>
              <w:ind w:left="75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w:t>
            </w:r>
          </w:p>
        </w:tc>
        <w:tc>
          <w:tcPr>
            <w:tcW w:w="1427" w:type="dxa"/>
            <w:vAlign w:val="top"/>
          </w:tcPr>
          <w:p w14:paraId="20552CC2">
            <w:pPr>
              <w:spacing w:before="81"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r w14:paraId="6AE28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01" w:type="dxa"/>
            <w:vAlign w:val="top"/>
          </w:tcPr>
          <w:p w14:paraId="0FC873B9">
            <w:pPr>
              <w:spacing w:before="62"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179" w:type="dxa"/>
            <w:vAlign w:val="top"/>
          </w:tcPr>
          <w:p w14:paraId="62ABF8DC">
            <w:pPr>
              <w:pStyle w:val="6"/>
              <w:spacing w:before="39" w:line="208" w:lineRule="auto"/>
              <w:ind w:left="356"/>
              <w:rPr>
                <w:sz w:val="24"/>
                <w:szCs w:val="24"/>
              </w:rPr>
            </w:pPr>
            <w:r>
              <w:rPr>
                <w:spacing w:val="-6"/>
                <w:sz w:val="24"/>
                <w:szCs w:val="24"/>
              </w:rPr>
              <w:t>液氨</w:t>
            </w:r>
          </w:p>
        </w:tc>
        <w:tc>
          <w:tcPr>
            <w:tcW w:w="697" w:type="dxa"/>
            <w:vAlign w:val="top"/>
          </w:tcPr>
          <w:p w14:paraId="1041C486">
            <w:pPr>
              <w:pStyle w:val="6"/>
              <w:spacing w:before="39" w:line="208" w:lineRule="auto"/>
              <w:ind w:left="115"/>
              <w:rPr>
                <w:sz w:val="24"/>
                <w:szCs w:val="24"/>
              </w:rPr>
            </w:pPr>
            <w:r>
              <w:rPr>
                <w:spacing w:val="-6"/>
                <w:sz w:val="24"/>
                <w:szCs w:val="24"/>
              </w:rPr>
              <w:t>液体</w:t>
            </w:r>
          </w:p>
        </w:tc>
        <w:tc>
          <w:tcPr>
            <w:tcW w:w="1421" w:type="dxa"/>
            <w:vAlign w:val="top"/>
          </w:tcPr>
          <w:p w14:paraId="756CE375">
            <w:pPr>
              <w:pStyle w:val="6"/>
              <w:spacing w:before="39" w:line="208" w:lineRule="auto"/>
              <w:ind w:left="479"/>
              <w:rPr>
                <w:sz w:val="24"/>
                <w:szCs w:val="24"/>
              </w:rPr>
            </w:pPr>
            <w:r>
              <w:rPr>
                <w:spacing w:val="-6"/>
                <w:sz w:val="24"/>
                <w:szCs w:val="24"/>
              </w:rPr>
              <w:t>罐车</w:t>
            </w:r>
          </w:p>
        </w:tc>
        <w:tc>
          <w:tcPr>
            <w:tcW w:w="1307" w:type="dxa"/>
            <w:vAlign w:val="top"/>
          </w:tcPr>
          <w:p w14:paraId="458F5784">
            <w:pPr>
              <w:spacing w:before="62"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90000</w:t>
            </w:r>
          </w:p>
        </w:tc>
        <w:tc>
          <w:tcPr>
            <w:tcW w:w="1789" w:type="dxa"/>
            <w:vAlign w:val="top"/>
          </w:tcPr>
          <w:p w14:paraId="5C2061E8">
            <w:pPr>
              <w:spacing w:before="81" w:line="188" w:lineRule="auto"/>
              <w:ind w:left="7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1427" w:type="dxa"/>
            <w:vAlign w:val="top"/>
          </w:tcPr>
          <w:p w14:paraId="69A559AF">
            <w:pPr>
              <w:spacing w:before="81" w:line="188" w:lineRule="auto"/>
              <w:ind w:left="6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r>
    </w:tbl>
    <w:p w14:paraId="1390CCEB">
      <w:pPr>
        <w:spacing w:before="198" w:line="360" w:lineRule="auto"/>
        <w:ind w:left="129" w:right="9" w:firstLine="560"/>
        <w:jc w:val="both"/>
        <w:rPr>
          <w:rFonts w:ascii="宋体" w:hAnsi="宋体" w:eastAsia="宋体" w:cs="宋体"/>
          <w:sz w:val="28"/>
          <w:szCs w:val="28"/>
        </w:rPr>
      </w:pPr>
      <w:r>
        <w:rPr>
          <w:rFonts w:ascii="宋体" w:hAnsi="宋体" w:eastAsia="宋体" w:cs="宋体"/>
          <w:spacing w:val="-4"/>
          <w:sz w:val="28"/>
          <w:szCs w:val="28"/>
        </w:rPr>
        <w:t>结合危险物质运输情况，按照每类停车区停满车时，以运输的危</w:t>
      </w:r>
      <w:r>
        <w:rPr>
          <w:rFonts w:ascii="宋体" w:hAnsi="宋体" w:eastAsia="宋体" w:cs="宋体"/>
          <w:sz w:val="28"/>
          <w:szCs w:val="28"/>
        </w:rPr>
        <w:t xml:space="preserve"> </w:t>
      </w:r>
      <w:r>
        <w:rPr>
          <w:rFonts w:ascii="宋体" w:hAnsi="宋体" w:eastAsia="宋体" w:cs="宋体"/>
          <w:spacing w:val="-4"/>
          <w:sz w:val="28"/>
          <w:szCs w:val="28"/>
        </w:rPr>
        <w:t>险品量最大或临界量最小的物质计算最大存在量。根据风险源调查结</w:t>
      </w:r>
      <w:r>
        <w:rPr>
          <w:rFonts w:ascii="宋体" w:hAnsi="宋体" w:eastAsia="宋体" w:cs="宋体"/>
          <w:spacing w:val="8"/>
          <w:sz w:val="28"/>
          <w:szCs w:val="28"/>
        </w:rPr>
        <w:t xml:space="preserve"> </w:t>
      </w:r>
      <w:r>
        <w:rPr>
          <w:rFonts w:ascii="宋体" w:hAnsi="宋体" w:eastAsia="宋体" w:cs="宋体"/>
          <w:spacing w:val="-7"/>
          <w:sz w:val="28"/>
          <w:szCs w:val="28"/>
        </w:rPr>
        <w:t>果，对照《建设项目环境风险评价技术导则》（</w:t>
      </w:r>
      <w:r>
        <w:rPr>
          <w:rFonts w:ascii="Times New Roman" w:hAnsi="Times New Roman" w:eastAsia="Times New Roman" w:cs="Times New Roman"/>
          <w:spacing w:val="-7"/>
          <w:sz w:val="28"/>
          <w:szCs w:val="28"/>
        </w:rPr>
        <w:t>HJ169-20</w:t>
      </w:r>
      <w:r>
        <w:rPr>
          <w:rFonts w:ascii="Times New Roman" w:hAnsi="Times New Roman" w:eastAsia="Times New Roman" w:cs="Times New Roman"/>
          <w:spacing w:val="-8"/>
          <w:sz w:val="28"/>
          <w:szCs w:val="28"/>
        </w:rPr>
        <w:t>18</w:t>
      </w:r>
      <w:r>
        <w:rPr>
          <w:rFonts w:ascii="宋体" w:hAnsi="宋体" w:eastAsia="宋体" w:cs="宋体"/>
          <w:spacing w:val="-8"/>
          <w:sz w:val="28"/>
          <w:szCs w:val="28"/>
        </w:rPr>
        <w:t>）附录</w:t>
      </w:r>
      <w:r>
        <w:rPr>
          <w:rFonts w:ascii="宋体" w:hAnsi="宋体" w:eastAsia="宋体" w:cs="宋体"/>
          <w:spacing w:val="-66"/>
          <w:sz w:val="28"/>
          <w:szCs w:val="28"/>
        </w:rPr>
        <w:t xml:space="preserve"> </w:t>
      </w:r>
      <w:r>
        <w:rPr>
          <w:rFonts w:ascii="Times New Roman" w:hAnsi="Times New Roman" w:eastAsia="Times New Roman" w:cs="Times New Roman"/>
          <w:spacing w:val="-8"/>
          <w:sz w:val="28"/>
          <w:szCs w:val="28"/>
        </w:rPr>
        <w:t>B</w:t>
      </w:r>
      <w:r>
        <w:rPr>
          <w:rFonts w:ascii="宋体" w:hAnsi="宋体" w:eastAsia="宋体" w:cs="宋体"/>
          <w:spacing w:val="-8"/>
          <w:sz w:val="28"/>
          <w:szCs w:val="28"/>
        </w:rPr>
        <w:t>、</w:t>
      </w:r>
    </w:p>
    <w:p w14:paraId="77565562">
      <w:pPr>
        <w:spacing w:line="360" w:lineRule="auto"/>
        <w:rPr>
          <w:rFonts w:ascii="宋体" w:hAnsi="宋体" w:eastAsia="宋体" w:cs="宋体"/>
          <w:sz w:val="28"/>
          <w:szCs w:val="28"/>
        </w:rPr>
        <w:sectPr>
          <w:footerReference r:id="rId97" w:type="default"/>
          <w:pgSz w:w="11906" w:h="16839"/>
          <w:pgMar w:top="400" w:right="1692" w:bottom="1259" w:left="1687" w:header="0" w:footer="1097" w:gutter="0"/>
          <w:cols w:space="720" w:num="1"/>
        </w:sectPr>
      </w:pPr>
    </w:p>
    <w:p w14:paraId="6FB0872D">
      <w:pPr>
        <w:pStyle w:val="2"/>
        <w:spacing w:line="245" w:lineRule="auto"/>
      </w:pPr>
    </w:p>
    <w:p w14:paraId="6BD7D5B2">
      <w:pPr>
        <w:pStyle w:val="2"/>
        <w:spacing w:line="246" w:lineRule="auto"/>
      </w:pPr>
    </w:p>
    <w:p w14:paraId="18655910">
      <w:pPr>
        <w:pStyle w:val="2"/>
        <w:spacing w:line="246" w:lineRule="auto"/>
      </w:pPr>
    </w:p>
    <w:p w14:paraId="5CB79778">
      <w:pPr>
        <w:pStyle w:val="2"/>
        <w:spacing w:line="246" w:lineRule="auto"/>
      </w:pPr>
    </w:p>
    <w:p w14:paraId="45BDF1D6">
      <w:pPr>
        <w:spacing w:before="91" w:line="219" w:lineRule="auto"/>
        <w:ind w:left="145"/>
        <w:rPr>
          <w:rFonts w:ascii="宋体" w:hAnsi="宋体" w:eastAsia="宋体" w:cs="宋体"/>
          <w:sz w:val="28"/>
          <w:szCs w:val="28"/>
        </w:rPr>
      </w:pPr>
      <w:r>
        <w:rPr>
          <w:rFonts w:ascii="宋体" w:hAnsi="宋体" w:eastAsia="宋体" w:cs="宋体"/>
          <w:spacing w:val="-4"/>
          <w:sz w:val="28"/>
          <w:szCs w:val="28"/>
        </w:rPr>
        <w:t>附录</w:t>
      </w:r>
      <w:r>
        <w:rPr>
          <w:rFonts w:ascii="宋体" w:hAnsi="宋体" w:eastAsia="宋体" w:cs="宋体"/>
          <w:spacing w:val="-58"/>
          <w:sz w:val="28"/>
          <w:szCs w:val="28"/>
        </w:rPr>
        <w:t xml:space="preserve"> </w:t>
      </w:r>
      <w:r>
        <w:rPr>
          <w:rFonts w:ascii="Times New Roman" w:hAnsi="Times New Roman" w:eastAsia="Times New Roman" w:cs="Times New Roman"/>
          <w:spacing w:val="-4"/>
          <w:sz w:val="28"/>
          <w:szCs w:val="28"/>
        </w:rPr>
        <w:t>C</w:t>
      </w:r>
      <w:r>
        <w:rPr>
          <w:rFonts w:ascii="Times New Roman" w:hAnsi="Times New Roman" w:eastAsia="Times New Roman" w:cs="Times New Roman"/>
          <w:spacing w:val="-36"/>
          <w:sz w:val="28"/>
          <w:szCs w:val="28"/>
        </w:rPr>
        <w:t xml:space="preserve"> </w:t>
      </w:r>
      <w:r>
        <w:rPr>
          <w:rFonts w:ascii="宋体" w:hAnsi="宋体" w:eastAsia="宋体" w:cs="宋体"/>
          <w:spacing w:val="-4"/>
          <w:sz w:val="28"/>
          <w:szCs w:val="28"/>
        </w:rPr>
        <w:t>，危险物质及临界量比值计算见下表。</w:t>
      </w:r>
    </w:p>
    <w:p w14:paraId="795FFD1F">
      <w:pPr>
        <w:spacing w:before="206" w:line="212" w:lineRule="auto"/>
        <w:ind w:left="137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2"/>
          <w:sz w:val="24"/>
          <w:szCs w:val="24"/>
        </w:rPr>
        <w:t xml:space="preserve">3.2-3    </w:t>
      </w:r>
      <w:r>
        <w:rPr>
          <w:rFonts w:ascii="宋体" w:hAnsi="宋体" w:eastAsia="宋体" w:cs="宋体"/>
          <w:b/>
          <w:bCs/>
          <w:spacing w:val="-2"/>
          <w:sz w:val="24"/>
          <w:szCs w:val="24"/>
        </w:rPr>
        <w:t>危险物质数量与临界量的比值（</w:t>
      </w:r>
      <w:r>
        <w:rPr>
          <w:rFonts w:ascii="Times New Roman" w:hAnsi="Times New Roman" w:eastAsia="Times New Roman" w:cs="Times New Roman"/>
          <w:b/>
          <w:bCs/>
          <w:spacing w:val="-2"/>
          <w:sz w:val="24"/>
          <w:szCs w:val="24"/>
        </w:rPr>
        <w:t>Q</w:t>
      </w:r>
      <w:r>
        <w:rPr>
          <w:rFonts w:ascii="宋体" w:hAnsi="宋体" w:eastAsia="宋体" w:cs="宋体"/>
          <w:b/>
          <w:bCs/>
          <w:spacing w:val="-2"/>
          <w:sz w:val="24"/>
          <w:szCs w:val="24"/>
        </w:rPr>
        <w:t>）计算情况</w:t>
      </w:r>
    </w:p>
    <w:p w14:paraId="0DF1ABCB">
      <w:pPr>
        <w:spacing w:line="15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6"/>
        <w:gridCol w:w="808"/>
        <w:gridCol w:w="1329"/>
        <w:gridCol w:w="2077"/>
        <w:gridCol w:w="1639"/>
        <w:gridCol w:w="1126"/>
        <w:gridCol w:w="1001"/>
      </w:tblGrid>
      <w:tr w14:paraId="4CF88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6" w:type="dxa"/>
            <w:textDirection w:val="tbRlV"/>
            <w:vAlign w:val="top"/>
          </w:tcPr>
          <w:p w14:paraId="1CC8DB8A">
            <w:pPr>
              <w:pStyle w:val="6"/>
              <w:spacing w:before="149" w:line="210" w:lineRule="auto"/>
              <w:ind w:left="40"/>
              <w:rPr>
                <w:sz w:val="24"/>
                <w:szCs w:val="24"/>
              </w:rPr>
            </w:pPr>
            <w:r>
              <w:rPr>
                <w:spacing w:val="34"/>
                <w:sz w:val="24"/>
                <w:szCs w:val="24"/>
              </w:rPr>
              <w:t>序号</w:t>
            </w:r>
          </w:p>
        </w:tc>
        <w:tc>
          <w:tcPr>
            <w:tcW w:w="808" w:type="dxa"/>
            <w:vAlign w:val="top"/>
          </w:tcPr>
          <w:p w14:paraId="0E1BC8EC">
            <w:pPr>
              <w:pStyle w:val="6"/>
              <w:spacing w:before="40" w:line="220" w:lineRule="auto"/>
              <w:ind w:left="168"/>
              <w:rPr>
                <w:sz w:val="24"/>
                <w:szCs w:val="24"/>
              </w:rPr>
            </w:pPr>
            <w:r>
              <w:rPr>
                <w:spacing w:val="-5"/>
                <w:sz w:val="24"/>
                <w:szCs w:val="24"/>
              </w:rPr>
              <w:t>物质</w:t>
            </w:r>
          </w:p>
          <w:p w14:paraId="65FD7B41">
            <w:pPr>
              <w:pStyle w:val="6"/>
              <w:spacing w:before="22" w:line="209" w:lineRule="auto"/>
              <w:ind w:left="171"/>
              <w:rPr>
                <w:sz w:val="24"/>
                <w:szCs w:val="24"/>
              </w:rPr>
            </w:pPr>
            <w:r>
              <w:rPr>
                <w:spacing w:val="-7"/>
                <w:sz w:val="24"/>
                <w:szCs w:val="24"/>
              </w:rPr>
              <w:t>名称</w:t>
            </w:r>
          </w:p>
        </w:tc>
        <w:tc>
          <w:tcPr>
            <w:tcW w:w="1329" w:type="dxa"/>
            <w:vAlign w:val="top"/>
          </w:tcPr>
          <w:p w14:paraId="61FC9C57">
            <w:pPr>
              <w:pStyle w:val="6"/>
              <w:spacing w:before="40" w:line="220" w:lineRule="auto"/>
              <w:ind w:left="190"/>
              <w:rPr>
                <w:sz w:val="24"/>
                <w:szCs w:val="24"/>
              </w:rPr>
            </w:pPr>
            <w:r>
              <w:rPr>
                <w:spacing w:val="-3"/>
                <w:sz w:val="24"/>
                <w:szCs w:val="24"/>
              </w:rPr>
              <w:t>平均日运</w:t>
            </w:r>
          </w:p>
          <w:p w14:paraId="49B2A079">
            <w:pPr>
              <w:pStyle w:val="6"/>
              <w:spacing w:before="22" w:line="209" w:lineRule="auto"/>
              <w:ind w:left="365"/>
              <w:rPr>
                <w:rFonts w:ascii="Times New Roman" w:hAnsi="Times New Roman" w:eastAsia="Times New Roman" w:cs="Times New Roman"/>
                <w:sz w:val="24"/>
                <w:szCs w:val="24"/>
              </w:rPr>
            </w:pPr>
            <w:r>
              <w:rPr>
                <w:spacing w:val="-3"/>
                <w:sz w:val="24"/>
                <w:szCs w:val="24"/>
              </w:rPr>
              <w:t>输量</w:t>
            </w:r>
            <w:r>
              <w:rPr>
                <w:spacing w:val="-58"/>
                <w:sz w:val="24"/>
                <w:szCs w:val="24"/>
              </w:rPr>
              <w:t xml:space="preserve"> </w:t>
            </w:r>
            <w:r>
              <w:rPr>
                <w:rFonts w:ascii="Times New Roman" w:hAnsi="Times New Roman" w:eastAsia="Times New Roman" w:cs="Times New Roman"/>
                <w:spacing w:val="-3"/>
                <w:sz w:val="24"/>
                <w:szCs w:val="24"/>
              </w:rPr>
              <w:t>t</w:t>
            </w:r>
          </w:p>
        </w:tc>
        <w:tc>
          <w:tcPr>
            <w:tcW w:w="2077" w:type="dxa"/>
            <w:vAlign w:val="top"/>
          </w:tcPr>
          <w:p w14:paraId="0D505548">
            <w:pPr>
              <w:pStyle w:val="6"/>
              <w:spacing w:before="41" w:line="223" w:lineRule="auto"/>
              <w:ind w:left="448" w:right="195" w:hanging="239"/>
              <w:rPr>
                <w:sz w:val="24"/>
                <w:szCs w:val="24"/>
              </w:rPr>
            </w:pPr>
            <w:r>
              <w:rPr>
                <w:spacing w:val="-2"/>
                <w:sz w:val="24"/>
                <w:szCs w:val="24"/>
              </w:rPr>
              <w:t>最大可停放车位</w:t>
            </w:r>
            <w:r>
              <w:rPr>
                <w:sz w:val="24"/>
                <w:szCs w:val="24"/>
              </w:rPr>
              <w:t xml:space="preserve"> </w:t>
            </w:r>
            <w:r>
              <w:rPr>
                <w:spacing w:val="-3"/>
                <w:sz w:val="24"/>
                <w:szCs w:val="24"/>
              </w:rPr>
              <w:t>数量（个）</w:t>
            </w:r>
          </w:p>
        </w:tc>
        <w:tc>
          <w:tcPr>
            <w:tcW w:w="1639" w:type="dxa"/>
            <w:vAlign w:val="top"/>
          </w:tcPr>
          <w:p w14:paraId="09AA483A">
            <w:pPr>
              <w:pStyle w:val="6"/>
              <w:spacing w:before="40" w:line="219" w:lineRule="auto"/>
              <w:ind w:left="229"/>
              <w:rPr>
                <w:sz w:val="24"/>
                <w:szCs w:val="24"/>
              </w:rPr>
            </w:pPr>
            <w:r>
              <w:rPr>
                <w:spacing w:val="-3"/>
                <w:sz w:val="24"/>
                <w:szCs w:val="24"/>
              </w:rPr>
              <w:t>综合最大储</w:t>
            </w:r>
          </w:p>
          <w:p w14:paraId="236A54CA">
            <w:pPr>
              <w:pStyle w:val="6"/>
              <w:spacing w:before="23" w:line="209" w:lineRule="auto"/>
              <w:ind w:left="312"/>
              <w:rPr>
                <w:sz w:val="24"/>
                <w:szCs w:val="24"/>
              </w:rPr>
            </w:pPr>
            <w:r>
              <w:rPr>
                <w:spacing w:val="-2"/>
                <w:sz w:val="24"/>
                <w:szCs w:val="24"/>
              </w:rPr>
              <w:t>存量（</w:t>
            </w:r>
            <w:r>
              <w:rPr>
                <w:rFonts w:ascii="Times New Roman" w:hAnsi="Times New Roman" w:eastAsia="Times New Roman" w:cs="Times New Roman"/>
                <w:spacing w:val="-2"/>
                <w:sz w:val="24"/>
                <w:szCs w:val="24"/>
              </w:rPr>
              <w:t>t</w:t>
            </w:r>
            <w:r>
              <w:rPr>
                <w:spacing w:val="-2"/>
                <w:sz w:val="24"/>
                <w:szCs w:val="24"/>
              </w:rPr>
              <w:t>）</w:t>
            </w:r>
          </w:p>
        </w:tc>
        <w:tc>
          <w:tcPr>
            <w:tcW w:w="1126" w:type="dxa"/>
            <w:vAlign w:val="top"/>
          </w:tcPr>
          <w:p w14:paraId="20C563B4">
            <w:pPr>
              <w:pStyle w:val="6"/>
              <w:spacing w:before="40" w:line="219" w:lineRule="auto"/>
              <w:ind w:left="223"/>
              <w:rPr>
                <w:sz w:val="24"/>
                <w:szCs w:val="24"/>
              </w:rPr>
            </w:pPr>
            <w:r>
              <w:rPr>
                <w:spacing w:val="-8"/>
                <w:sz w:val="24"/>
                <w:szCs w:val="24"/>
              </w:rPr>
              <w:t>临界量</w:t>
            </w:r>
          </w:p>
          <w:p w14:paraId="5A64C8A3">
            <w:pPr>
              <w:pStyle w:val="6"/>
              <w:spacing w:before="23" w:line="209" w:lineRule="auto"/>
              <w:ind w:left="310"/>
              <w:rPr>
                <w:sz w:val="24"/>
                <w:szCs w:val="24"/>
              </w:rPr>
            </w:pPr>
            <w:r>
              <w:rPr>
                <w:spacing w:val="-7"/>
                <w:sz w:val="24"/>
                <w:szCs w:val="24"/>
              </w:rPr>
              <w:t>（</w:t>
            </w:r>
            <w:r>
              <w:rPr>
                <w:rFonts w:ascii="Times New Roman" w:hAnsi="Times New Roman" w:eastAsia="Times New Roman" w:cs="Times New Roman"/>
                <w:spacing w:val="-7"/>
                <w:sz w:val="24"/>
                <w:szCs w:val="24"/>
              </w:rPr>
              <w:t>t</w:t>
            </w:r>
            <w:r>
              <w:rPr>
                <w:spacing w:val="-7"/>
                <w:sz w:val="24"/>
                <w:szCs w:val="24"/>
              </w:rPr>
              <w:t>）</w:t>
            </w:r>
          </w:p>
        </w:tc>
        <w:tc>
          <w:tcPr>
            <w:tcW w:w="1001" w:type="dxa"/>
            <w:vAlign w:val="top"/>
          </w:tcPr>
          <w:p w14:paraId="6754C3CE">
            <w:pPr>
              <w:pStyle w:val="6"/>
              <w:spacing w:before="193" w:line="212" w:lineRule="auto"/>
              <w:ind w:left="271"/>
              <w:rPr>
                <w:sz w:val="24"/>
                <w:szCs w:val="24"/>
              </w:rPr>
            </w:pPr>
            <w:r>
              <w:rPr>
                <w:rFonts w:ascii="Times New Roman" w:hAnsi="Times New Roman" w:eastAsia="Times New Roman" w:cs="Times New Roman"/>
                <w:spacing w:val="-5"/>
                <w:sz w:val="24"/>
                <w:szCs w:val="24"/>
              </w:rPr>
              <w:t>Q</w:t>
            </w:r>
            <w:r>
              <w:rPr>
                <w:rFonts w:ascii="Times New Roman" w:hAnsi="Times New Roman" w:eastAsia="Times New Roman" w:cs="Times New Roman"/>
                <w:spacing w:val="9"/>
                <w:sz w:val="24"/>
                <w:szCs w:val="24"/>
              </w:rPr>
              <w:t xml:space="preserve"> </w:t>
            </w:r>
            <w:r>
              <w:rPr>
                <w:spacing w:val="-5"/>
                <w:sz w:val="24"/>
                <w:szCs w:val="24"/>
              </w:rPr>
              <w:t>值</w:t>
            </w:r>
          </w:p>
        </w:tc>
      </w:tr>
      <w:tr w14:paraId="7EB23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D2B02B3">
            <w:pPr>
              <w:spacing w:before="77" w:line="188" w:lineRule="auto"/>
              <w:ind w:left="23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08" w:type="dxa"/>
            <w:vAlign w:val="top"/>
          </w:tcPr>
          <w:p w14:paraId="2541C99F">
            <w:pPr>
              <w:pStyle w:val="6"/>
              <w:spacing w:before="38" w:line="206" w:lineRule="auto"/>
              <w:ind w:left="170"/>
              <w:rPr>
                <w:sz w:val="24"/>
                <w:szCs w:val="24"/>
              </w:rPr>
            </w:pPr>
            <w:r>
              <w:rPr>
                <w:spacing w:val="-6"/>
                <w:sz w:val="24"/>
                <w:szCs w:val="24"/>
              </w:rPr>
              <w:t>液氯</w:t>
            </w:r>
          </w:p>
        </w:tc>
        <w:tc>
          <w:tcPr>
            <w:tcW w:w="1329" w:type="dxa"/>
            <w:vAlign w:val="top"/>
          </w:tcPr>
          <w:p w14:paraId="328BFE97">
            <w:pPr>
              <w:spacing w:before="77" w:line="188" w:lineRule="auto"/>
              <w:ind w:left="4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0.83</w:t>
            </w:r>
          </w:p>
        </w:tc>
        <w:tc>
          <w:tcPr>
            <w:tcW w:w="2077" w:type="dxa"/>
            <w:vAlign w:val="top"/>
          </w:tcPr>
          <w:p w14:paraId="69437A2A">
            <w:pPr>
              <w:spacing w:before="77"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1064550">
            <w:pPr>
              <w:spacing w:before="77"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1B175D40">
            <w:pPr>
              <w:spacing w:before="77" w:line="188" w:lineRule="auto"/>
              <w:ind w:left="52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01" w:type="dxa"/>
            <w:vAlign w:val="top"/>
          </w:tcPr>
          <w:p w14:paraId="3BECDFDA">
            <w:pPr>
              <w:spacing w:before="77" w:line="188" w:lineRule="auto"/>
              <w:ind w:left="346"/>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r>
      <w:tr w14:paraId="43AA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7E47831E">
            <w:pPr>
              <w:spacing w:before="77" w:line="188" w:lineRule="auto"/>
              <w:ind w:left="21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08" w:type="dxa"/>
            <w:vAlign w:val="top"/>
          </w:tcPr>
          <w:p w14:paraId="15D05C3D">
            <w:pPr>
              <w:pStyle w:val="6"/>
              <w:spacing w:before="35" w:line="208" w:lineRule="auto"/>
              <w:ind w:left="291"/>
              <w:rPr>
                <w:sz w:val="24"/>
                <w:szCs w:val="24"/>
              </w:rPr>
            </w:pPr>
            <w:r>
              <w:rPr>
                <w:sz w:val="24"/>
                <w:szCs w:val="24"/>
              </w:rPr>
              <w:t>苯</w:t>
            </w:r>
          </w:p>
        </w:tc>
        <w:tc>
          <w:tcPr>
            <w:tcW w:w="1329" w:type="dxa"/>
            <w:vAlign w:val="top"/>
          </w:tcPr>
          <w:p w14:paraId="6FA9637C">
            <w:pPr>
              <w:spacing w:before="77" w:line="188" w:lineRule="auto"/>
              <w:ind w:left="3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376.33</w:t>
            </w:r>
          </w:p>
        </w:tc>
        <w:tc>
          <w:tcPr>
            <w:tcW w:w="2077" w:type="dxa"/>
            <w:vAlign w:val="top"/>
          </w:tcPr>
          <w:p w14:paraId="36E52F14">
            <w:pPr>
              <w:spacing w:before="77"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0E8B7695">
            <w:pPr>
              <w:spacing w:before="77"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6EF8457E">
            <w:pPr>
              <w:spacing w:before="77"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00B774E5">
            <w:pPr>
              <w:spacing w:before="77"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2D625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57466552">
            <w:pPr>
              <w:spacing w:before="78" w:line="188" w:lineRule="auto"/>
              <w:ind w:left="220"/>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08" w:type="dxa"/>
            <w:vAlign w:val="top"/>
          </w:tcPr>
          <w:p w14:paraId="4F2AEB61">
            <w:pPr>
              <w:pStyle w:val="6"/>
              <w:spacing w:before="36" w:line="207" w:lineRule="auto"/>
              <w:ind w:left="199"/>
              <w:rPr>
                <w:sz w:val="24"/>
                <w:szCs w:val="24"/>
              </w:rPr>
            </w:pPr>
            <w:r>
              <w:rPr>
                <w:spacing w:val="-21"/>
                <w:sz w:val="24"/>
                <w:szCs w:val="24"/>
              </w:rPr>
              <w:t>甲苯</w:t>
            </w:r>
          </w:p>
        </w:tc>
        <w:tc>
          <w:tcPr>
            <w:tcW w:w="1329" w:type="dxa"/>
            <w:vAlign w:val="top"/>
          </w:tcPr>
          <w:p w14:paraId="38D21AF4">
            <w:pPr>
              <w:spacing w:before="78"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81.12</w:t>
            </w:r>
          </w:p>
        </w:tc>
        <w:tc>
          <w:tcPr>
            <w:tcW w:w="2077" w:type="dxa"/>
            <w:vAlign w:val="top"/>
          </w:tcPr>
          <w:p w14:paraId="146FF962">
            <w:pPr>
              <w:spacing w:before="78"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8DBC83C">
            <w:pPr>
              <w:spacing w:before="78"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34CDEEEA">
            <w:pPr>
              <w:spacing w:before="78"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7F5A1EA6">
            <w:pPr>
              <w:spacing w:before="78"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01339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46" w:type="dxa"/>
            <w:vAlign w:val="top"/>
          </w:tcPr>
          <w:p w14:paraId="093FA7E6">
            <w:pPr>
              <w:spacing w:before="232" w:line="188" w:lineRule="auto"/>
              <w:ind w:left="214"/>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08" w:type="dxa"/>
            <w:vAlign w:val="top"/>
          </w:tcPr>
          <w:p w14:paraId="502084DF">
            <w:pPr>
              <w:pStyle w:val="6"/>
              <w:spacing w:before="36" w:line="223" w:lineRule="auto"/>
              <w:ind w:left="291" w:right="163" w:hanging="119"/>
              <w:rPr>
                <w:sz w:val="24"/>
                <w:szCs w:val="24"/>
              </w:rPr>
            </w:pPr>
            <w:r>
              <w:rPr>
                <w:spacing w:val="-7"/>
                <w:sz w:val="24"/>
                <w:szCs w:val="24"/>
              </w:rPr>
              <w:t>二甲</w:t>
            </w:r>
            <w:r>
              <w:rPr>
                <w:sz w:val="24"/>
                <w:szCs w:val="24"/>
              </w:rPr>
              <w:t xml:space="preserve"> 苯</w:t>
            </w:r>
          </w:p>
        </w:tc>
        <w:tc>
          <w:tcPr>
            <w:tcW w:w="1329" w:type="dxa"/>
            <w:vAlign w:val="top"/>
          </w:tcPr>
          <w:p w14:paraId="0F478098">
            <w:pPr>
              <w:spacing w:before="232" w:line="188"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21.22</w:t>
            </w:r>
          </w:p>
        </w:tc>
        <w:tc>
          <w:tcPr>
            <w:tcW w:w="2077" w:type="dxa"/>
            <w:vAlign w:val="top"/>
          </w:tcPr>
          <w:p w14:paraId="6247E5E6">
            <w:pPr>
              <w:spacing w:before="232"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06BF7E28">
            <w:pPr>
              <w:spacing w:before="232"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30F88F6C">
            <w:pPr>
              <w:spacing w:before="232"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2DD3699B">
            <w:pPr>
              <w:spacing w:before="232"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38663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46" w:type="dxa"/>
            <w:vAlign w:val="top"/>
          </w:tcPr>
          <w:p w14:paraId="753794C8">
            <w:pPr>
              <w:spacing w:before="238" w:line="185"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08" w:type="dxa"/>
            <w:vAlign w:val="top"/>
          </w:tcPr>
          <w:p w14:paraId="630C9F3C">
            <w:pPr>
              <w:pStyle w:val="6"/>
              <w:spacing w:before="40" w:line="219" w:lineRule="auto"/>
              <w:ind w:left="175"/>
              <w:rPr>
                <w:sz w:val="24"/>
                <w:szCs w:val="24"/>
              </w:rPr>
            </w:pPr>
            <w:r>
              <w:rPr>
                <w:spacing w:val="-8"/>
                <w:sz w:val="24"/>
                <w:szCs w:val="24"/>
              </w:rPr>
              <w:t>次氯</w:t>
            </w:r>
          </w:p>
          <w:p w14:paraId="06C843CF">
            <w:pPr>
              <w:pStyle w:val="6"/>
              <w:spacing w:before="24" w:line="206" w:lineRule="auto"/>
              <w:ind w:left="169"/>
              <w:rPr>
                <w:sz w:val="24"/>
                <w:szCs w:val="24"/>
              </w:rPr>
            </w:pPr>
            <w:r>
              <w:rPr>
                <w:spacing w:val="-6"/>
                <w:sz w:val="24"/>
                <w:szCs w:val="24"/>
              </w:rPr>
              <w:t>酸钠</w:t>
            </w:r>
          </w:p>
        </w:tc>
        <w:tc>
          <w:tcPr>
            <w:tcW w:w="1329" w:type="dxa"/>
            <w:vAlign w:val="top"/>
          </w:tcPr>
          <w:p w14:paraId="3455FCE9">
            <w:pPr>
              <w:spacing w:before="235" w:line="188" w:lineRule="auto"/>
              <w:ind w:left="3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2077" w:type="dxa"/>
            <w:vAlign w:val="top"/>
          </w:tcPr>
          <w:p w14:paraId="5FE96B66">
            <w:pPr>
              <w:spacing w:before="235"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6AA90921">
            <w:pPr>
              <w:spacing w:before="235"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9092286">
            <w:pPr>
              <w:spacing w:before="238" w:line="185" w:lineRule="auto"/>
              <w:ind w:left="512"/>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001" w:type="dxa"/>
            <w:vAlign w:val="top"/>
          </w:tcPr>
          <w:p w14:paraId="48B7BC58">
            <w:pPr>
              <w:spacing w:before="235"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0DA99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46" w:type="dxa"/>
            <w:vAlign w:val="top"/>
          </w:tcPr>
          <w:p w14:paraId="0583BB9C">
            <w:pPr>
              <w:spacing w:before="234" w:line="188" w:lineRule="auto"/>
              <w:ind w:left="221"/>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08" w:type="dxa"/>
            <w:vAlign w:val="top"/>
          </w:tcPr>
          <w:p w14:paraId="0360B014">
            <w:pPr>
              <w:pStyle w:val="6"/>
              <w:spacing w:before="39" w:line="219" w:lineRule="auto"/>
              <w:ind w:left="172"/>
              <w:rPr>
                <w:sz w:val="24"/>
                <w:szCs w:val="24"/>
              </w:rPr>
            </w:pPr>
            <w:r>
              <w:rPr>
                <w:spacing w:val="-7"/>
                <w:sz w:val="24"/>
                <w:szCs w:val="24"/>
              </w:rPr>
              <w:t>二氯</w:t>
            </w:r>
          </w:p>
          <w:p w14:paraId="77BE89E5">
            <w:pPr>
              <w:pStyle w:val="6"/>
              <w:spacing w:before="24" w:line="206" w:lineRule="auto"/>
              <w:ind w:left="192"/>
              <w:rPr>
                <w:sz w:val="24"/>
                <w:szCs w:val="24"/>
              </w:rPr>
            </w:pPr>
            <w:r>
              <w:rPr>
                <w:spacing w:val="-17"/>
                <w:sz w:val="24"/>
                <w:szCs w:val="24"/>
              </w:rPr>
              <w:t>乙烷</w:t>
            </w:r>
          </w:p>
        </w:tc>
        <w:tc>
          <w:tcPr>
            <w:tcW w:w="1329" w:type="dxa"/>
            <w:vAlign w:val="top"/>
          </w:tcPr>
          <w:p w14:paraId="26C3E864">
            <w:pPr>
              <w:spacing w:before="234" w:line="188" w:lineRule="auto"/>
              <w:ind w:left="39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21.39</w:t>
            </w:r>
          </w:p>
        </w:tc>
        <w:tc>
          <w:tcPr>
            <w:tcW w:w="2077" w:type="dxa"/>
            <w:vAlign w:val="top"/>
          </w:tcPr>
          <w:p w14:paraId="018B5731">
            <w:pPr>
              <w:spacing w:before="234"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11209167">
            <w:pPr>
              <w:spacing w:before="234"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2CCDFB48">
            <w:pPr>
              <w:spacing w:before="237"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11172F3C">
            <w:pPr>
              <w:spacing w:before="234"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r>
      <w:tr w14:paraId="3F976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vAlign w:val="top"/>
          </w:tcPr>
          <w:p w14:paraId="5D75E9D7">
            <w:pPr>
              <w:spacing w:before="84" w:line="185" w:lineRule="auto"/>
              <w:ind w:left="219"/>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08" w:type="dxa"/>
            <w:vAlign w:val="top"/>
          </w:tcPr>
          <w:p w14:paraId="4B3DDEC9">
            <w:pPr>
              <w:pStyle w:val="6"/>
              <w:spacing w:before="41" w:line="204" w:lineRule="auto"/>
              <w:ind w:left="199"/>
              <w:rPr>
                <w:sz w:val="24"/>
                <w:szCs w:val="24"/>
              </w:rPr>
            </w:pPr>
            <w:r>
              <w:rPr>
                <w:spacing w:val="-21"/>
                <w:sz w:val="24"/>
                <w:szCs w:val="24"/>
              </w:rPr>
              <w:t>甲醛</w:t>
            </w:r>
          </w:p>
        </w:tc>
        <w:tc>
          <w:tcPr>
            <w:tcW w:w="1329" w:type="dxa"/>
            <w:vAlign w:val="top"/>
          </w:tcPr>
          <w:p w14:paraId="3D0F7B33">
            <w:pPr>
              <w:spacing w:before="80" w:line="188" w:lineRule="auto"/>
              <w:ind w:left="41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19.82</w:t>
            </w:r>
          </w:p>
        </w:tc>
        <w:tc>
          <w:tcPr>
            <w:tcW w:w="2077" w:type="dxa"/>
            <w:vAlign w:val="top"/>
          </w:tcPr>
          <w:p w14:paraId="1090ACBA">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18727FED">
            <w:pPr>
              <w:spacing w:before="80"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126" w:type="dxa"/>
            <w:vAlign w:val="top"/>
          </w:tcPr>
          <w:p w14:paraId="6C9673D3">
            <w:pPr>
              <w:spacing w:before="80"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1001" w:type="dxa"/>
            <w:vAlign w:val="top"/>
          </w:tcPr>
          <w:p w14:paraId="5E330C0A">
            <w:pPr>
              <w:spacing w:before="80"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r>
      <w:tr w14:paraId="1B347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F0B241E">
            <w:pPr>
              <w:spacing w:before="80" w:line="188" w:lineRule="auto"/>
              <w:ind w:left="225"/>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08" w:type="dxa"/>
            <w:vAlign w:val="top"/>
          </w:tcPr>
          <w:p w14:paraId="1C624F4A">
            <w:pPr>
              <w:pStyle w:val="6"/>
              <w:spacing w:before="38" w:line="206" w:lineRule="auto"/>
              <w:ind w:left="170"/>
              <w:rPr>
                <w:sz w:val="24"/>
                <w:szCs w:val="24"/>
              </w:rPr>
            </w:pPr>
            <w:r>
              <w:rPr>
                <w:spacing w:val="-6"/>
                <w:sz w:val="24"/>
                <w:szCs w:val="24"/>
              </w:rPr>
              <w:t>硝酸</w:t>
            </w:r>
          </w:p>
        </w:tc>
        <w:tc>
          <w:tcPr>
            <w:tcW w:w="1329" w:type="dxa"/>
            <w:vAlign w:val="top"/>
          </w:tcPr>
          <w:p w14:paraId="1088E829">
            <w:pPr>
              <w:spacing w:before="80" w:line="188" w:lineRule="auto"/>
              <w:ind w:left="42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11.56</w:t>
            </w:r>
          </w:p>
        </w:tc>
        <w:tc>
          <w:tcPr>
            <w:tcW w:w="2077" w:type="dxa"/>
            <w:vAlign w:val="top"/>
          </w:tcPr>
          <w:p w14:paraId="19125CE7">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2373CE03">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8B403C5">
            <w:pPr>
              <w:spacing w:before="84"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3B27020E">
            <w:pPr>
              <w:spacing w:before="80" w:line="188" w:lineRule="auto"/>
              <w:ind w:left="45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r>
      <w:tr w14:paraId="1C451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4E77AD90">
            <w:pPr>
              <w:spacing w:before="81" w:line="188" w:lineRule="auto"/>
              <w:ind w:left="220"/>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08" w:type="dxa"/>
            <w:vAlign w:val="top"/>
          </w:tcPr>
          <w:p w14:paraId="51B27F02">
            <w:pPr>
              <w:pStyle w:val="6"/>
              <w:spacing w:before="39" w:line="205" w:lineRule="auto"/>
              <w:ind w:left="170"/>
              <w:rPr>
                <w:sz w:val="24"/>
                <w:szCs w:val="24"/>
              </w:rPr>
            </w:pPr>
            <w:r>
              <w:rPr>
                <w:spacing w:val="-6"/>
                <w:sz w:val="24"/>
                <w:szCs w:val="24"/>
              </w:rPr>
              <w:t>盐酸</w:t>
            </w:r>
          </w:p>
        </w:tc>
        <w:tc>
          <w:tcPr>
            <w:tcW w:w="1329" w:type="dxa"/>
            <w:vAlign w:val="top"/>
          </w:tcPr>
          <w:p w14:paraId="3E6AA009">
            <w:pPr>
              <w:spacing w:before="81" w:line="188"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1.67</w:t>
            </w:r>
          </w:p>
        </w:tc>
        <w:tc>
          <w:tcPr>
            <w:tcW w:w="2077" w:type="dxa"/>
            <w:vAlign w:val="top"/>
          </w:tcPr>
          <w:p w14:paraId="67770D94">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39C4203A">
            <w:pPr>
              <w:spacing w:before="81"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74FD607E">
            <w:pPr>
              <w:spacing w:before="84" w:line="185"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w:t>
            </w:r>
          </w:p>
        </w:tc>
        <w:tc>
          <w:tcPr>
            <w:tcW w:w="1001" w:type="dxa"/>
            <w:vAlign w:val="top"/>
          </w:tcPr>
          <w:p w14:paraId="458CF642">
            <w:pPr>
              <w:spacing w:before="81" w:line="188" w:lineRule="auto"/>
              <w:ind w:left="45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r>
      <w:tr w14:paraId="5CC7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682F26FE">
            <w:pPr>
              <w:spacing w:before="81"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08" w:type="dxa"/>
            <w:vAlign w:val="top"/>
          </w:tcPr>
          <w:p w14:paraId="1AA16FB1">
            <w:pPr>
              <w:pStyle w:val="6"/>
              <w:spacing w:before="39" w:line="205" w:lineRule="auto"/>
              <w:ind w:left="192"/>
              <w:rPr>
                <w:sz w:val="24"/>
                <w:szCs w:val="24"/>
              </w:rPr>
            </w:pPr>
            <w:r>
              <w:rPr>
                <w:spacing w:val="-17"/>
                <w:sz w:val="24"/>
                <w:szCs w:val="24"/>
              </w:rPr>
              <w:t>乙炔</w:t>
            </w:r>
          </w:p>
        </w:tc>
        <w:tc>
          <w:tcPr>
            <w:tcW w:w="1329" w:type="dxa"/>
            <w:vAlign w:val="top"/>
          </w:tcPr>
          <w:p w14:paraId="2A1E39C7">
            <w:pPr>
              <w:spacing w:before="81" w:line="188" w:lineRule="auto"/>
              <w:ind w:left="3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111.11</w:t>
            </w:r>
          </w:p>
        </w:tc>
        <w:tc>
          <w:tcPr>
            <w:tcW w:w="2077" w:type="dxa"/>
            <w:vAlign w:val="top"/>
          </w:tcPr>
          <w:p w14:paraId="29977338">
            <w:pPr>
              <w:spacing w:before="81"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008BFA48">
            <w:pPr>
              <w:spacing w:before="81"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126" w:type="dxa"/>
            <w:vAlign w:val="top"/>
          </w:tcPr>
          <w:p w14:paraId="62A768BA">
            <w:pPr>
              <w:spacing w:before="81"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7932A635">
            <w:pPr>
              <w:spacing w:before="81" w:line="188" w:lineRule="auto"/>
              <w:ind w:left="443"/>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14:paraId="63BF2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46" w:type="dxa"/>
            <w:vAlign w:val="top"/>
          </w:tcPr>
          <w:p w14:paraId="4E9A0272">
            <w:pPr>
              <w:spacing w:before="8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808" w:type="dxa"/>
            <w:vAlign w:val="top"/>
          </w:tcPr>
          <w:p w14:paraId="3BBE82CC">
            <w:pPr>
              <w:pStyle w:val="6"/>
              <w:spacing w:before="40" w:line="205" w:lineRule="auto"/>
              <w:ind w:left="199"/>
              <w:rPr>
                <w:sz w:val="24"/>
                <w:szCs w:val="24"/>
              </w:rPr>
            </w:pPr>
            <w:r>
              <w:rPr>
                <w:spacing w:val="-21"/>
                <w:sz w:val="24"/>
                <w:szCs w:val="24"/>
              </w:rPr>
              <w:t>甲醇</w:t>
            </w:r>
          </w:p>
        </w:tc>
        <w:tc>
          <w:tcPr>
            <w:tcW w:w="1329" w:type="dxa"/>
            <w:vAlign w:val="top"/>
          </w:tcPr>
          <w:p w14:paraId="1F321E44">
            <w:pPr>
              <w:spacing w:before="82" w:line="188" w:lineRule="auto"/>
              <w:ind w:left="3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358.78</w:t>
            </w:r>
          </w:p>
        </w:tc>
        <w:tc>
          <w:tcPr>
            <w:tcW w:w="2077" w:type="dxa"/>
            <w:vAlign w:val="top"/>
          </w:tcPr>
          <w:p w14:paraId="2DA16DC3">
            <w:pPr>
              <w:spacing w:before="82" w:line="188" w:lineRule="auto"/>
              <w:ind w:left="98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39" w:type="dxa"/>
            <w:vAlign w:val="top"/>
          </w:tcPr>
          <w:p w14:paraId="328EDDA2">
            <w:pPr>
              <w:spacing w:before="82" w:line="188" w:lineRule="auto"/>
              <w:ind w:left="66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120</w:t>
            </w:r>
          </w:p>
        </w:tc>
        <w:tc>
          <w:tcPr>
            <w:tcW w:w="1126" w:type="dxa"/>
            <w:vAlign w:val="top"/>
          </w:tcPr>
          <w:p w14:paraId="220464C2">
            <w:pPr>
              <w:spacing w:before="82"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687AC3BB">
            <w:pPr>
              <w:spacing w:before="82" w:line="188" w:lineRule="auto"/>
              <w:ind w:left="406"/>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r>
      <w:tr w14:paraId="3C85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3ACB3F9B">
            <w:pPr>
              <w:spacing w:before="79"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808" w:type="dxa"/>
            <w:vAlign w:val="top"/>
          </w:tcPr>
          <w:p w14:paraId="3229F693">
            <w:pPr>
              <w:pStyle w:val="6"/>
              <w:spacing w:before="40" w:line="204" w:lineRule="auto"/>
              <w:ind w:left="167"/>
              <w:rPr>
                <w:sz w:val="24"/>
                <w:szCs w:val="24"/>
              </w:rPr>
            </w:pPr>
            <w:r>
              <w:rPr>
                <w:spacing w:val="-5"/>
                <w:sz w:val="24"/>
                <w:szCs w:val="24"/>
              </w:rPr>
              <w:t>硫酸</w:t>
            </w:r>
          </w:p>
        </w:tc>
        <w:tc>
          <w:tcPr>
            <w:tcW w:w="1329" w:type="dxa"/>
            <w:vAlign w:val="top"/>
          </w:tcPr>
          <w:p w14:paraId="321ABEA0">
            <w:pPr>
              <w:spacing w:before="79" w:line="188"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180</w:t>
            </w:r>
          </w:p>
        </w:tc>
        <w:tc>
          <w:tcPr>
            <w:tcW w:w="2077" w:type="dxa"/>
            <w:vAlign w:val="top"/>
          </w:tcPr>
          <w:p w14:paraId="300C6ED1">
            <w:pPr>
              <w:spacing w:before="79"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313B5713">
            <w:pPr>
              <w:spacing w:before="79"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1BB921A5">
            <w:pPr>
              <w:spacing w:before="79"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098175B0">
            <w:pPr>
              <w:spacing w:before="79"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5CB9B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76034703">
            <w:pPr>
              <w:spacing w:before="80"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808" w:type="dxa"/>
            <w:vAlign w:val="top"/>
          </w:tcPr>
          <w:p w14:paraId="2C16EF07">
            <w:pPr>
              <w:pStyle w:val="6"/>
              <w:spacing w:before="40" w:line="204" w:lineRule="auto"/>
              <w:ind w:left="168"/>
              <w:rPr>
                <w:sz w:val="24"/>
                <w:szCs w:val="24"/>
              </w:rPr>
            </w:pPr>
            <w:r>
              <w:rPr>
                <w:spacing w:val="-5"/>
                <w:sz w:val="24"/>
                <w:szCs w:val="24"/>
              </w:rPr>
              <w:t>氨水</w:t>
            </w:r>
          </w:p>
        </w:tc>
        <w:tc>
          <w:tcPr>
            <w:tcW w:w="1329" w:type="dxa"/>
            <w:vAlign w:val="top"/>
          </w:tcPr>
          <w:p w14:paraId="751C7C61">
            <w:pPr>
              <w:spacing w:before="80" w:line="188" w:lineRule="auto"/>
              <w:ind w:left="52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9.8</w:t>
            </w:r>
          </w:p>
        </w:tc>
        <w:tc>
          <w:tcPr>
            <w:tcW w:w="2077" w:type="dxa"/>
            <w:vAlign w:val="top"/>
          </w:tcPr>
          <w:p w14:paraId="6F6A0632">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722BC0F8">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61070259">
            <w:pPr>
              <w:spacing w:before="80"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185DCDEC">
            <w:pPr>
              <w:spacing w:before="80"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56FA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46" w:type="dxa"/>
            <w:vAlign w:val="top"/>
          </w:tcPr>
          <w:p w14:paraId="69BD703E">
            <w:pPr>
              <w:spacing w:before="80"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808" w:type="dxa"/>
            <w:vAlign w:val="top"/>
          </w:tcPr>
          <w:p w14:paraId="60E71C6E">
            <w:pPr>
              <w:pStyle w:val="6"/>
              <w:spacing w:before="40" w:line="204" w:lineRule="auto"/>
              <w:ind w:left="170"/>
              <w:rPr>
                <w:sz w:val="24"/>
                <w:szCs w:val="24"/>
              </w:rPr>
            </w:pPr>
            <w:r>
              <w:rPr>
                <w:spacing w:val="-6"/>
                <w:sz w:val="24"/>
                <w:szCs w:val="24"/>
              </w:rPr>
              <w:t>液氨</w:t>
            </w:r>
          </w:p>
        </w:tc>
        <w:tc>
          <w:tcPr>
            <w:tcW w:w="1329" w:type="dxa"/>
            <w:vAlign w:val="top"/>
          </w:tcPr>
          <w:p w14:paraId="35E3A7B5">
            <w:pPr>
              <w:spacing w:before="80" w:line="188" w:lineRule="auto"/>
              <w:ind w:left="48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w:t>
            </w:r>
          </w:p>
        </w:tc>
        <w:tc>
          <w:tcPr>
            <w:tcW w:w="2077" w:type="dxa"/>
            <w:vAlign w:val="top"/>
          </w:tcPr>
          <w:p w14:paraId="1EADF814">
            <w:pPr>
              <w:spacing w:before="80" w:line="188" w:lineRule="auto"/>
              <w:ind w:left="98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39" w:type="dxa"/>
            <w:vAlign w:val="top"/>
          </w:tcPr>
          <w:p w14:paraId="4D2DD00B">
            <w:pPr>
              <w:spacing w:before="80" w:line="188" w:lineRule="auto"/>
              <w:ind w:left="70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60</w:t>
            </w:r>
          </w:p>
        </w:tc>
        <w:tc>
          <w:tcPr>
            <w:tcW w:w="1126" w:type="dxa"/>
            <w:vAlign w:val="top"/>
          </w:tcPr>
          <w:p w14:paraId="2E9385BF">
            <w:pPr>
              <w:spacing w:before="80" w:line="188" w:lineRule="auto"/>
              <w:ind w:left="468"/>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01" w:type="dxa"/>
            <w:vAlign w:val="top"/>
          </w:tcPr>
          <w:p w14:paraId="15134883">
            <w:pPr>
              <w:spacing w:before="80" w:line="188" w:lineRule="auto"/>
              <w:ind w:left="448"/>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14:paraId="6905A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46" w:type="dxa"/>
            <w:vAlign w:val="top"/>
          </w:tcPr>
          <w:p w14:paraId="3D40B6E9">
            <w:pPr>
              <w:spacing w:before="81" w:line="188" w:lineRule="auto"/>
              <w:ind w:left="1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08" w:type="dxa"/>
            <w:vAlign w:val="top"/>
          </w:tcPr>
          <w:p w14:paraId="27D52605">
            <w:pPr>
              <w:pStyle w:val="6"/>
              <w:spacing w:before="39" w:line="209" w:lineRule="auto"/>
              <w:ind w:left="168"/>
              <w:rPr>
                <w:sz w:val="24"/>
                <w:szCs w:val="24"/>
              </w:rPr>
            </w:pPr>
            <w:r>
              <w:rPr>
                <w:spacing w:val="-5"/>
                <w:sz w:val="24"/>
                <w:szCs w:val="24"/>
              </w:rPr>
              <w:t>柴油</w:t>
            </w:r>
          </w:p>
        </w:tc>
        <w:tc>
          <w:tcPr>
            <w:tcW w:w="1329" w:type="dxa"/>
            <w:vAlign w:val="top"/>
          </w:tcPr>
          <w:p w14:paraId="1225F288">
            <w:pPr>
              <w:spacing w:before="76" w:line="192" w:lineRule="auto"/>
              <w:ind w:left="626"/>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077" w:type="dxa"/>
            <w:vAlign w:val="top"/>
          </w:tcPr>
          <w:p w14:paraId="51E119FC">
            <w:pPr>
              <w:spacing w:before="76" w:line="192" w:lineRule="auto"/>
              <w:ind w:left="100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639" w:type="dxa"/>
            <w:vAlign w:val="top"/>
          </w:tcPr>
          <w:p w14:paraId="62E1F34C">
            <w:pPr>
              <w:spacing w:before="81" w:line="188" w:lineRule="auto"/>
              <w:ind w:left="5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31.28</w:t>
            </w:r>
          </w:p>
        </w:tc>
        <w:tc>
          <w:tcPr>
            <w:tcW w:w="1126" w:type="dxa"/>
            <w:vAlign w:val="top"/>
          </w:tcPr>
          <w:p w14:paraId="0888B234">
            <w:pPr>
              <w:spacing w:before="81" w:line="188"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2500</w:t>
            </w:r>
          </w:p>
        </w:tc>
        <w:tc>
          <w:tcPr>
            <w:tcW w:w="1001" w:type="dxa"/>
            <w:vAlign w:val="top"/>
          </w:tcPr>
          <w:p w14:paraId="20A73B44">
            <w:pPr>
              <w:spacing w:before="81" w:line="188" w:lineRule="auto"/>
              <w:ind w:left="2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0.013</w:t>
            </w:r>
          </w:p>
        </w:tc>
      </w:tr>
    </w:tbl>
    <w:p w14:paraId="03F51B3C">
      <w:pPr>
        <w:spacing w:before="197" w:line="359" w:lineRule="auto"/>
        <w:ind w:left="126" w:right="112" w:firstLine="556"/>
        <w:rPr>
          <w:rFonts w:ascii="宋体" w:hAnsi="宋体" w:eastAsia="宋体" w:cs="宋体"/>
          <w:sz w:val="28"/>
          <w:szCs w:val="28"/>
        </w:rPr>
      </w:pPr>
      <w:r>
        <w:rPr>
          <w:rFonts w:ascii="宋体" w:hAnsi="宋体" w:eastAsia="宋体" w:cs="宋体"/>
          <w:spacing w:val="-4"/>
          <w:sz w:val="28"/>
          <w:szCs w:val="28"/>
        </w:rPr>
        <w:t>根据计算结果，本项目停车场停放重载车最不利情况下危险物质</w:t>
      </w:r>
      <w:r>
        <w:rPr>
          <w:rFonts w:ascii="宋体" w:hAnsi="宋体" w:eastAsia="宋体" w:cs="宋体"/>
          <w:spacing w:val="7"/>
          <w:sz w:val="28"/>
          <w:szCs w:val="28"/>
        </w:rPr>
        <w:t xml:space="preserve"> </w:t>
      </w:r>
      <w:r>
        <w:rPr>
          <w:rFonts w:ascii="宋体" w:hAnsi="宋体" w:eastAsia="宋体" w:cs="宋体"/>
          <w:spacing w:val="-3"/>
          <w:sz w:val="28"/>
          <w:szCs w:val="28"/>
        </w:rPr>
        <w:t>数量与临界量的比值</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 xml:space="preserve">Q </w:t>
      </w:r>
      <w:r>
        <w:rPr>
          <w:rFonts w:ascii="宋体" w:hAnsi="宋体" w:eastAsia="宋体" w:cs="宋体"/>
          <w:spacing w:val="-3"/>
          <w:sz w:val="28"/>
          <w:szCs w:val="28"/>
        </w:rPr>
        <w:t>最大值为</w:t>
      </w:r>
      <w:r>
        <w:rPr>
          <w:rFonts w:ascii="宋体" w:hAnsi="宋体" w:eastAsia="宋体" w:cs="宋体"/>
          <w:spacing w:val="-38"/>
          <w:sz w:val="28"/>
          <w:szCs w:val="28"/>
        </w:rPr>
        <w:t xml:space="preserve"> </w:t>
      </w:r>
      <w:r>
        <w:rPr>
          <w:rFonts w:ascii="Times New Roman" w:hAnsi="Times New Roman" w:eastAsia="Times New Roman" w:cs="Times New Roman"/>
          <w:spacing w:val="-3"/>
          <w:sz w:val="28"/>
          <w:szCs w:val="28"/>
        </w:rPr>
        <w:t>180.013</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Q</w:t>
      </w:r>
      <w:r>
        <w:rPr>
          <w:rFonts w:ascii="宋体" w:hAnsi="宋体" w:eastAsia="宋体" w:cs="宋体"/>
          <w:spacing w:val="-3"/>
          <w:sz w:val="28"/>
          <w:szCs w:val="28"/>
        </w:rPr>
        <w:t>＞</w:t>
      </w:r>
      <w:r>
        <w:rPr>
          <w:rFonts w:ascii="Times New Roman" w:hAnsi="Times New Roman" w:eastAsia="Times New Roman" w:cs="Times New Roman"/>
          <w:spacing w:val="-3"/>
          <w:sz w:val="28"/>
          <w:szCs w:val="28"/>
        </w:rPr>
        <w:t>100</w:t>
      </w:r>
      <w:r>
        <w:rPr>
          <w:rFonts w:ascii="宋体" w:hAnsi="宋体" w:eastAsia="宋体" w:cs="宋体"/>
          <w:spacing w:val="-3"/>
          <w:sz w:val="28"/>
          <w:szCs w:val="28"/>
        </w:rPr>
        <w:t>。</w:t>
      </w:r>
    </w:p>
    <w:p w14:paraId="5F539459">
      <w:pPr>
        <w:spacing w:before="1" w:line="217" w:lineRule="auto"/>
        <w:ind w:left="680"/>
        <w:rPr>
          <w:rFonts w:ascii="宋体" w:hAnsi="宋体" w:eastAsia="宋体" w:cs="宋体"/>
          <w:sz w:val="28"/>
          <w:szCs w:val="28"/>
        </w:rPr>
      </w:pPr>
      <w:r>
        <w:rPr>
          <w:rFonts w:ascii="宋体" w:hAnsi="宋体" w:eastAsia="宋体" w:cs="宋体"/>
          <w:spacing w:val="-1"/>
          <w:sz w:val="28"/>
          <w:szCs w:val="28"/>
        </w:rPr>
        <w:t>②所属行业及生产工艺特点（</w:t>
      </w:r>
      <w:r>
        <w:rPr>
          <w:rFonts w:ascii="Times New Roman" w:hAnsi="Times New Roman" w:eastAsia="Times New Roman" w:cs="Times New Roman"/>
          <w:spacing w:val="-1"/>
          <w:sz w:val="28"/>
          <w:szCs w:val="28"/>
        </w:rPr>
        <w:t>M</w:t>
      </w:r>
      <w:r>
        <w:rPr>
          <w:rFonts w:ascii="宋体" w:hAnsi="宋体" w:eastAsia="宋体" w:cs="宋体"/>
          <w:spacing w:val="-1"/>
          <w:sz w:val="28"/>
          <w:szCs w:val="28"/>
        </w:rPr>
        <w:t>）</w:t>
      </w:r>
    </w:p>
    <w:p w14:paraId="2F211A66">
      <w:pPr>
        <w:spacing w:before="216" w:line="351" w:lineRule="auto"/>
        <w:ind w:left="117" w:right="112" w:firstLine="568"/>
        <w:rPr>
          <w:rFonts w:ascii="宋体" w:hAnsi="宋体" w:eastAsia="宋体" w:cs="宋体"/>
          <w:sz w:val="28"/>
          <w:szCs w:val="28"/>
        </w:rPr>
      </w:pPr>
      <w:r>
        <w:rPr>
          <w:rFonts w:ascii="宋体" w:hAnsi="宋体" w:eastAsia="宋体" w:cs="宋体"/>
          <w:spacing w:val="-4"/>
          <w:sz w:val="28"/>
          <w:szCs w:val="28"/>
        </w:rPr>
        <w:t>分析项目所属行业及生产工艺特点，评估生产工艺情况。具有多</w:t>
      </w:r>
      <w:r>
        <w:rPr>
          <w:rFonts w:ascii="宋体" w:hAnsi="宋体" w:eastAsia="宋体" w:cs="宋体"/>
          <w:spacing w:val="4"/>
          <w:sz w:val="28"/>
          <w:szCs w:val="28"/>
        </w:rPr>
        <w:t xml:space="preserve"> </w:t>
      </w:r>
      <w:r>
        <w:rPr>
          <w:rFonts w:ascii="宋体" w:hAnsi="宋体" w:eastAsia="宋体" w:cs="宋体"/>
          <w:spacing w:val="2"/>
          <w:sz w:val="28"/>
          <w:szCs w:val="28"/>
        </w:rPr>
        <w:t>套工艺单元的项目，对每套生产工艺分别评分并求和。将</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 xml:space="preserve">M </w:t>
      </w:r>
      <w:r>
        <w:rPr>
          <w:rFonts w:ascii="宋体" w:hAnsi="宋体" w:eastAsia="宋体" w:cs="宋体"/>
          <w:spacing w:val="2"/>
          <w:sz w:val="28"/>
          <w:szCs w:val="28"/>
        </w:rPr>
        <w:t>划分为</w:t>
      </w:r>
      <w:r>
        <w:rPr>
          <w:rFonts w:ascii="宋体" w:hAnsi="宋体" w:eastAsia="宋体" w:cs="宋体"/>
          <w:sz w:val="28"/>
          <w:szCs w:val="28"/>
        </w:rPr>
        <w:t xml:space="preserve"> </w:t>
      </w:r>
      <w:r>
        <w:rPr>
          <w:rFonts w:ascii="宋体" w:hAnsi="宋体" w:eastAsia="宋体" w:cs="宋体"/>
          <w:spacing w:val="4"/>
          <w:sz w:val="28"/>
          <w:szCs w:val="28"/>
        </w:rPr>
        <w:t>（</w:t>
      </w:r>
      <w:r>
        <w:rPr>
          <w:rFonts w:ascii="Times New Roman" w:hAnsi="Times New Roman" w:eastAsia="Times New Roman" w:cs="Times New Roman"/>
          <w:spacing w:val="4"/>
          <w:sz w:val="28"/>
          <w:szCs w:val="28"/>
        </w:rPr>
        <w:t>1</w:t>
      </w:r>
      <w:r>
        <w:rPr>
          <w:rFonts w:ascii="宋体" w:hAnsi="宋体" w:eastAsia="宋体" w:cs="宋体"/>
          <w:spacing w:val="4"/>
          <w:sz w:val="28"/>
          <w:szCs w:val="28"/>
        </w:rPr>
        <w:t>）</w:t>
      </w:r>
      <w:r>
        <w:rPr>
          <w:rFonts w:ascii="Times New Roman" w:hAnsi="Times New Roman" w:eastAsia="Times New Roman" w:cs="Times New Roman"/>
          <w:spacing w:val="4"/>
          <w:sz w:val="28"/>
          <w:szCs w:val="28"/>
        </w:rPr>
        <w:t>M&gt;20</w:t>
      </w:r>
      <w:r>
        <w:rPr>
          <w:rFonts w:ascii="宋体" w:hAnsi="宋体" w:eastAsia="宋体" w:cs="宋体"/>
          <w:spacing w:val="-14"/>
          <w:sz w:val="28"/>
          <w:szCs w:val="28"/>
        </w:rPr>
        <w:t>；（</w:t>
      </w:r>
      <w:r>
        <w:rPr>
          <w:rFonts w:ascii="Times New Roman" w:hAnsi="Times New Roman" w:eastAsia="Times New Roman" w:cs="Times New Roman"/>
          <w:spacing w:val="4"/>
          <w:sz w:val="28"/>
          <w:szCs w:val="28"/>
        </w:rPr>
        <w:t>2</w:t>
      </w:r>
      <w:r>
        <w:rPr>
          <w:rFonts w:ascii="宋体" w:hAnsi="宋体" w:eastAsia="宋体" w:cs="宋体"/>
          <w:spacing w:val="4"/>
          <w:sz w:val="28"/>
          <w:szCs w:val="28"/>
        </w:rPr>
        <w:t>）</w:t>
      </w:r>
      <w:r>
        <w:rPr>
          <w:rFonts w:ascii="Times New Roman" w:hAnsi="Times New Roman" w:eastAsia="Times New Roman" w:cs="Times New Roman"/>
          <w:spacing w:val="4"/>
          <w:sz w:val="28"/>
          <w:szCs w:val="28"/>
        </w:rPr>
        <w:t>10</w:t>
      </w:r>
      <w:r>
        <w:rPr>
          <w:rFonts w:ascii="宋体" w:hAnsi="宋体" w:eastAsia="宋体" w:cs="宋体"/>
          <w:spacing w:val="4"/>
          <w:sz w:val="28"/>
          <w:szCs w:val="28"/>
        </w:rPr>
        <w:t>＜</w:t>
      </w:r>
      <w:r>
        <w:rPr>
          <w:rFonts w:ascii="Times New Roman" w:hAnsi="Times New Roman" w:eastAsia="Times New Roman" w:cs="Times New Roman"/>
          <w:spacing w:val="4"/>
          <w:sz w:val="28"/>
          <w:szCs w:val="28"/>
        </w:rPr>
        <w:t>M≤20</w:t>
      </w:r>
      <w:r>
        <w:rPr>
          <w:rFonts w:ascii="宋体" w:hAnsi="宋体" w:eastAsia="宋体" w:cs="宋体"/>
          <w:spacing w:val="-14"/>
          <w:sz w:val="28"/>
          <w:szCs w:val="28"/>
        </w:rPr>
        <w:t>；（</w:t>
      </w:r>
      <w:r>
        <w:rPr>
          <w:rFonts w:ascii="Times New Roman" w:hAnsi="Times New Roman" w:eastAsia="Times New Roman" w:cs="Times New Roman"/>
          <w:spacing w:val="4"/>
          <w:sz w:val="28"/>
          <w:szCs w:val="28"/>
        </w:rPr>
        <w:t>3</w:t>
      </w:r>
      <w:r>
        <w:rPr>
          <w:rFonts w:ascii="宋体" w:hAnsi="宋体" w:eastAsia="宋体" w:cs="宋体"/>
          <w:spacing w:val="4"/>
          <w:sz w:val="28"/>
          <w:szCs w:val="28"/>
        </w:rPr>
        <w:t>）</w:t>
      </w:r>
      <w:r>
        <w:rPr>
          <w:rFonts w:ascii="Times New Roman" w:hAnsi="Times New Roman" w:eastAsia="Times New Roman" w:cs="Times New Roman"/>
          <w:spacing w:val="4"/>
          <w:sz w:val="28"/>
          <w:szCs w:val="28"/>
        </w:rPr>
        <w:t>5&lt;M≤10</w:t>
      </w:r>
      <w:r>
        <w:rPr>
          <w:rFonts w:ascii="宋体" w:hAnsi="宋体" w:eastAsia="宋体" w:cs="宋体"/>
          <w:spacing w:val="-14"/>
          <w:sz w:val="28"/>
          <w:szCs w:val="28"/>
        </w:rPr>
        <w:t>；（</w:t>
      </w:r>
      <w:r>
        <w:rPr>
          <w:rFonts w:ascii="Times New Roman" w:hAnsi="Times New Roman" w:eastAsia="Times New Roman" w:cs="Times New Roman"/>
          <w:spacing w:val="4"/>
          <w:sz w:val="28"/>
          <w:szCs w:val="28"/>
        </w:rPr>
        <w:t>4</w:t>
      </w:r>
      <w:r>
        <w:rPr>
          <w:rFonts w:ascii="宋体" w:hAnsi="宋体" w:eastAsia="宋体" w:cs="宋体"/>
          <w:spacing w:val="4"/>
          <w:sz w:val="28"/>
          <w:szCs w:val="28"/>
        </w:rPr>
        <w:t>）</w:t>
      </w:r>
      <w:r>
        <w:rPr>
          <w:rFonts w:ascii="Times New Roman" w:hAnsi="Times New Roman" w:eastAsia="Times New Roman" w:cs="Times New Roman"/>
          <w:spacing w:val="4"/>
          <w:sz w:val="28"/>
          <w:szCs w:val="28"/>
        </w:rPr>
        <w:t>M=5</w:t>
      </w:r>
      <w:r>
        <w:rPr>
          <w:rFonts w:ascii="Times New Roman" w:hAnsi="Times New Roman" w:eastAsia="Times New Roman" w:cs="Times New Roman"/>
          <w:spacing w:val="-35"/>
          <w:sz w:val="28"/>
          <w:szCs w:val="28"/>
        </w:rPr>
        <w:t xml:space="preserve"> </w:t>
      </w:r>
      <w:r>
        <w:rPr>
          <w:rFonts w:ascii="宋体" w:hAnsi="宋体" w:eastAsia="宋体" w:cs="宋体"/>
          <w:spacing w:val="4"/>
          <w:sz w:val="28"/>
          <w:szCs w:val="28"/>
        </w:rPr>
        <w:t>，分别以</w:t>
      </w:r>
      <w:r>
        <w:rPr>
          <w:rFonts w:ascii="宋体" w:hAnsi="宋体" w:eastAsia="宋体" w:cs="宋体"/>
          <w:sz w:val="28"/>
          <w:szCs w:val="28"/>
        </w:rPr>
        <w:t xml:space="preserve"> </w:t>
      </w:r>
      <w:r>
        <w:rPr>
          <w:rFonts w:ascii="Times New Roman" w:hAnsi="Times New Roman" w:eastAsia="Times New Roman" w:cs="Times New Roman"/>
          <w:spacing w:val="-3"/>
          <w:sz w:val="28"/>
          <w:szCs w:val="28"/>
        </w:rPr>
        <w:t>M1</w:t>
      </w:r>
      <w:r>
        <w:rPr>
          <w:rFonts w:ascii="Times New Roman" w:hAnsi="Times New Roman" w:eastAsia="Times New Roman" w:cs="Times New Roman"/>
          <w:spacing w:val="-26"/>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M2</w:t>
      </w:r>
      <w:r>
        <w:rPr>
          <w:rFonts w:ascii="Times New Roman" w:hAnsi="Times New Roman" w:eastAsia="Times New Roman" w:cs="Times New Roman"/>
          <w:spacing w:val="-41"/>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 xml:space="preserve">M3 </w:t>
      </w:r>
      <w:r>
        <w:rPr>
          <w:rFonts w:ascii="宋体" w:hAnsi="宋体" w:eastAsia="宋体" w:cs="宋体"/>
          <w:spacing w:val="-3"/>
          <w:sz w:val="28"/>
          <w:szCs w:val="28"/>
        </w:rPr>
        <w:t>和</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 xml:space="preserve">M4 </w:t>
      </w:r>
      <w:r>
        <w:rPr>
          <w:rFonts w:ascii="宋体" w:hAnsi="宋体" w:eastAsia="宋体" w:cs="宋体"/>
          <w:spacing w:val="-3"/>
          <w:sz w:val="28"/>
          <w:szCs w:val="28"/>
        </w:rPr>
        <w:t>所示。项目评估得分情况见下表。</w:t>
      </w:r>
    </w:p>
    <w:p w14:paraId="3960613C">
      <w:pPr>
        <w:spacing w:before="42" w:line="218" w:lineRule="auto"/>
        <w:ind w:left="170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3.2-4    </w:t>
      </w:r>
      <w:r>
        <w:rPr>
          <w:rFonts w:ascii="宋体" w:hAnsi="宋体" w:eastAsia="宋体" w:cs="宋体"/>
          <w:b/>
          <w:bCs/>
          <w:spacing w:val="-2"/>
          <w:sz w:val="24"/>
          <w:szCs w:val="24"/>
        </w:rPr>
        <w:t>所属行业及生产工艺特点评估得分情况</w:t>
      </w:r>
    </w:p>
    <w:p w14:paraId="0BBA0256">
      <w:pPr>
        <w:spacing w:line="14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5082"/>
        <w:gridCol w:w="1093"/>
        <w:gridCol w:w="1121"/>
      </w:tblGrid>
      <w:tr w14:paraId="777DA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30" w:type="dxa"/>
            <w:vAlign w:val="top"/>
          </w:tcPr>
          <w:p w14:paraId="40FA058C">
            <w:pPr>
              <w:pStyle w:val="6"/>
              <w:spacing w:before="195" w:line="220" w:lineRule="auto"/>
              <w:ind w:left="385"/>
              <w:rPr>
                <w:sz w:val="24"/>
                <w:szCs w:val="24"/>
              </w:rPr>
            </w:pPr>
            <w:r>
              <w:rPr>
                <w:spacing w:val="-7"/>
                <w:sz w:val="24"/>
                <w:szCs w:val="24"/>
              </w:rPr>
              <w:t>行业</w:t>
            </w:r>
          </w:p>
        </w:tc>
        <w:tc>
          <w:tcPr>
            <w:tcW w:w="5082" w:type="dxa"/>
            <w:vAlign w:val="top"/>
          </w:tcPr>
          <w:p w14:paraId="2034ED6E">
            <w:pPr>
              <w:pStyle w:val="6"/>
              <w:spacing w:before="194" w:line="218" w:lineRule="auto"/>
              <w:ind w:left="2066"/>
              <w:rPr>
                <w:sz w:val="24"/>
                <w:szCs w:val="24"/>
              </w:rPr>
            </w:pPr>
            <w:r>
              <w:rPr>
                <w:spacing w:val="-3"/>
                <w:sz w:val="24"/>
                <w:szCs w:val="24"/>
              </w:rPr>
              <w:t>评估依据</w:t>
            </w:r>
          </w:p>
        </w:tc>
        <w:tc>
          <w:tcPr>
            <w:tcW w:w="1093" w:type="dxa"/>
            <w:vAlign w:val="top"/>
          </w:tcPr>
          <w:p w14:paraId="4C4D9115">
            <w:pPr>
              <w:pStyle w:val="6"/>
              <w:spacing w:before="41" w:line="223" w:lineRule="auto"/>
              <w:ind w:left="435" w:right="183" w:hanging="239"/>
              <w:rPr>
                <w:sz w:val="24"/>
                <w:szCs w:val="24"/>
              </w:rPr>
            </w:pPr>
            <w:r>
              <w:rPr>
                <w:spacing w:val="-5"/>
                <w:sz w:val="24"/>
                <w:szCs w:val="24"/>
              </w:rPr>
              <w:t>分值标</w:t>
            </w:r>
            <w:r>
              <w:rPr>
                <w:spacing w:val="1"/>
                <w:sz w:val="24"/>
                <w:szCs w:val="24"/>
              </w:rPr>
              <w:t xml:space="preserve"> </w:t>
            </w:r>
            <w:r>
              <w:rPr>
                <w:sz w:val="24"/>
                <w:szCs w:val="24"/>
              </w:rPr>
              <w:t>准</w:t>
            </w:r>
          </w:p>
        </w:tc>
        <w:tc>
          <w:tcPr>
            <w:tcW w:w="1121" w:type="dxa"/>
            <w:vAlign w:val="top"/>
          </w:tcPr>
          <w:p w14:paraId="244390E2">
            <w:pPr>
              <w:pStyle w:val="6"/>
              <w:spacing w:before="41" w:line="219" w:lineRule="auto"/>
              <w:ind w:left="208"/>
              <w:rPr>
                <w:sz w:val="24"/>
                <w:szCs w:val="24"/>
              </w:rPr>
            </w:pPr>
            <w:r>
              <w:rPr>
                <w:spacing w:val="-4"/>
                <w:sz w:val="24"/>
                <w:szCs w:val="24"/>
              </w:rPr>
              <w:t>得分情</w:t>
            </w:r>
          </w:p>
          <w:p w14:paraId="0CC392B5">
            <w:pPr>
              <w:pStyle w:val="6"/>
              <w:spacing w:before="24" w:line="208" w:lineRule="auto"/>
              <w:ind w:left="449"/>
              <w:rPr>
                <w:sz w:val="24"/>
                <w:szCs w:val="24"/>
              </w:rPr>
            </w:pPr>
            <w:r>
              <w:rPr>
                <w:sz w:val="24"/>
                <w:szCs w:val="24"/>
              </w:rPr>
              <w:t>况</w:t>
            </w:r>
          </w:p>
        </w:tc>
      </w:tr>
      <w:tr w14:paraId="316BF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30" w:type="dxa"/>
            <w:vAlign w:val="top"/>
          </w:tcPr>
          <w:p w14:paraId="5311881D">
            <w:pPr>
              <w:pStyle w:val="6"/>
              <w:spacing w:before="37" w:line="231" w:lineRule="auto"/>
              <w:ind w:left="120" w:right="26" w:firstLine="22"/>
              <w:jc w:val="both"/>
              <w:rPr>
                <w:sz w:val="24"/>
                <w:szCs w:val="24"/>
              </w:rPr>
            </w:pPr>
            <w:r>
              <w:rPr>
                <w:spacing w:val="-3"/>
                <w:sz w:val="24"/>
                <w:szCs w:val="24"/>
              </w:rPr>
              <w:t>石化、化</w:t>
            </w:r>
            <w:r>
              <w:rPr>
                <w:sz w:val="24"/>
                <w:szCs w:val="24"/>
              </w:rPr>
              <w:t xml:space="preserve">  </w:t>
            </w:r>
            <w:r>
              <w:rPr>
                <w:spacing w:val="-25"/>
                <w:sz w:val="24"/>
                <w:szCs w:val="24"/>
              </w:rPr>
              <w:t>工、医药、</w:t>
            </w:r>
            <w:r>
              <w:rPr>
                <w:spacing w:val="2"/>
                <w:sz w:val="24"/>
                <w:szCs w:val="24"/>
              </w:rPr>
              <w:t xml:space="preserve"> 轻工、化</w:t>
            </w:r>
            <w:r>
              <w:rPr>
                <w:spacing w:val="1"/>
                <w:sz w:val="24"/>
                <w:szCs w:val="24"/>
              </w:rPr>
              <w:t xml:space="preserve">  </w:t>
            </w:r>
            <w:r>
              <w:rPr>
                <w:spacing w:val="-25"/>
                <w:sz w:val="24"/>
                <w:szCs w:val="24"/>
              </w:rPr>
              <w:t>纤、有色、</w:t>
            </w:r>
          </w:p>
        </w:tc>
        <w:tc>
          <w:tcPr>
            <w:tcW w:w="5082" w:type="dxa"/>
            <w:vAlign w:val="top"/>
          </w:tcPr>
          <w:p w14:paraId="56C5021B">
            <w:pPr>
              <w:pStyle w:val="6"/>
              <w:spacing w:before="37" w:line="231" w:lineRule="auto"/>
              <w:ind w:left="114" w:right="23" w:firstLine="34"/>
              <w:rPr>
                <w:sz w:val="24"/>
                <w:szCs w:val="24"/>
              </w:rPr>
            </w:pPr>
            <w:r>
              <w:rPr>
                <w:sz w:val="24"/>
                <w:szCs w:val="24"/>
              </w:rPr>
              <w:t>涉及光气及光气化工艺、电解工艺（氯碱）、</w:t>
            </w:r>
            <w:r>
              <w:rPr>
                <w:spacing w:val="13"/>
                <w:sz w:val="24"/>
                <w:szCs w:val="24"/>
              </w:rPr>
              <w:t xml:space="preserve"> </w:t>
            </w:r>
            <w:r>
              <w:rPr>
                <w:spacing w:val="1"/>
                <w:sz w:val="24"/>
                <w:szCs w:val="24"/>
              </w:rPr>
              <w:t xml:space="preserve">氯化工艺、硝化工艺、合成氨工艺、裂解（裂  </w:t>
            </w:r>
            <w:r>
              <w:rPr>
                <w:spacing w:val="-5"/>
                <w:sz w:val="24"/>
                <w:szCs w:val="24"/>
              </w:rPr>
              <w:t>化）工艺、氟化工艺、加氢工艺、重氮化工艺、</w:t>
            </w:r>
            <w:r>
              <w:rPr>
                <w:spacing w:val="3"/>
                <w:sz w:val="24"/>
                <w:szCs w:val="24"/>
              </w:rPr>
              <w:t xml:space="preserve"> </w:t>
            </w:r>
            <w:r>
              <w:rPr>
                <w:spacing w:val="1"/>
                <w:sz w:val="24"/>
                <w:szCs w:val="24"/>
              </w:rPr>
              <w:t>氧化工艺、过氧化工艺、胺基化工艺、磺化工</w:t>
            </w:r>
          </w:p>
        </w:tc>
        <w:tc>
          <w:tcPr>
            <w:tcW w:w="1093" w:type="dxa"/>
            <w:vAlign w:val="top"/>
          </w:tcPr>
          <w:p w14:paraId="1ED0A540">
            <w:pPr>
              <w:spacing w:line="421" w:lineRule="auto"/>
              <w:rPr>
                <w:rFonts w:ascii="Arial"/>
                <w:sz w:val="21"/>
              </w:rPr>
            </w:pPr>
          </w:p>
          <w:p w14:paraId="7A117557">
            <w:pPr>
              <w:pStyle w:val="6"/>
              <w:spacing w:before="78" w:line="218" w:lineRule="auto"/>
              <w:ind w:left="179"/>
              <w:rPr>
                <w:sz w:val="24"/>
                <w:szCs w:val="24"/>
              </w:rPr>
            </w:pPr>
            <w:r>
              <w:rPr>
                <w:rFonts w:ascii="Times New Roman" w:hAnsi="Times New Roman" w:eastAsia="Times New Roman" w:cs="Times New Roman"/>
                <w:spacing w:val="-6"/>
                <w:sz w:val="24"/>
                <w:szCs w:val="24"/>
              </w:rPr>
              <w:t>10/</w:t>
            </w:r>
            <w:r>
              <w:rPr>
                <w:spacing w:val="-6"/>
                <w:sz w:val="24"/>
                <w:szCs w:val="24"/>
              </w:rPr>
              <w:t>每套</w:t>
            </w:r>
          </w:p>
        </w:tc>
        <w:tc>
          <w:tcPr>
            <w:tcW w:w="1121" w:type="dxa"/>
            <w:vAlign w:val="top"/>
          </w:tcPr>
          <w:p w14:paraId="7FB6B40F">
            <w:pPr>
              <w:spacing w:line="472" w:lineRule="auto"/>
              <w:rPr>
                <w:rFonts w:ascii="Arial"/>
                <w:sz w:val="21"/>
              </w:rPr>
            </w:pPr>
          </w:p>
          <w:p w14:paraId="19AB7470">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bl>
    <w:p w14:paraId="2E7E4F79">
      <w:pPr>
        <w:pStyle w:val="2"/>
      </w:pPr>
    </w:p>
    <w:p w14:paraId="2F211E30">
      <w:pPr>
        <w:sectPr>
          <w:footerReference r:id="rId98" w:type="default"/>
          <w:pgSz w:w="11906" w:h="16839"/>
          <w:pgMar w:top="400" w:right="1687" w:bottom="1259" w:left="1687" w:header="0" w:footer="1097" w:gutter="0"/>
          <w:cols w:space="720" w:num="1"/>
        </w:sectPr>
      </w:pPr>
    </w:p>
    <w:p w14:paraId="39197D00">
      <w:pPr>
        <w:spacing w:before="19"/>
      </w:pPr>
    </w:p>
    <w:p w14:paraId="735F79DF">
      <w:pPr>
        <w:spacing w:before="19"/>
      </w:pPr>
    </w:p>
    <w:p w14:paraId="3A40D5D4">
      <w:pPr>
        <w:spacing w:before="18"/>
      </w:pPr>
    </w:p>
    <w:p w14:paraId="6DBCB5AA">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5082"/>
        <w:gridCol w:w="1093"/>
        <w:gridCol w:w="1121"/>
      </w:tblGrid>
      <w:tr w14:paraId="74A9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230" w:type="dxa"/>
            <w:vAlign w:val="top"/>
          </w:tcPr>
          <w:p w14:paraId="1CA71C1A">
            <w:pPr>
              <w:pStyle w:val="6"/>
              <w:spacing w:before="195" w:line="220" w:lineRule="auto"/>
              <w:ind w:left="385"/>
              <w:rPr>
                <w:sz w:val="24"/>
                <w:szCs w:val="24"/>
              </w:rPr>
            </w:pPr>
            <w:r>
              <w:rPr>
                <w:spacing w:val="-7"/>
                <w:sz w:val="24"/>
                <w:szCs w:val="24"/>
              </w:rPr>
              <w:t>行业</w:t>
            </w:r>
          </w:p>
        </w:tc>
        <w:tc>
          <w:tcPr>
            <w:tcW w:w="5082" w:type="dxa"/>
            <w:vAlign w:val="top"/>
          </w:tcPr>
          <w:p w14:paraId="0F66159E">
            <w:pPr>
              <w:pStyle w:val="6"/>
              <w:spacing w:before="195" w:line="218" w:lineRule="auto"/>
              <w:ind w:left="2066"/>
              <w:rPr>
                <w:sz w:val="24"/>
                <w:szCs w:val="24"/>
              </w:rPr>
            </w:pPr>
            <w:r>
              <w:rPr>
                <w:spacing w:val="-3"/>
                <w:sz w:val="24"/>
                <w:szCs w:val="24"/>
              </w:rPr>
              <w:t>评估依据</w:t>
            </w:r>
          </w:p>
        </w:tc>
        <w:tc>
          <w:tcPr>
            <w:tcW w:w="1093" w:type="dxa"/>
            <w:vAlign w:val="top"/>
          </w:tcPr>
          <w:p w14:paraId="77633428">
            <w:pPr>
              <w:pStyle w:val="6"/>
              <w:spacing w:before="42" w:line="223" w:lineRule="auto"/>
              <w:ind w:left="435" w:right="183" w:hanging="239"/>
              <w:rPr>
                <w:sz w:val="24"/>
                <w:szCs w:val="24"/>
              </w:rPr>
            </w:pPr>
            <w:r>
              <w:rPr>
                <w:spacing w:val="-5"/>
                <w:sz w:val="24"/>
                <w:szCs w:val="24"/>
              </w:rPr>
              <w:t>分值标</w:t>
            </w:r>
            <w:r>
              <w:rPr>
                <w:spacing w:val="1"/>
                <w:sz w:val="24"/>
                <w:szCs w:val="24"/>
              </w:rPr>
              <w:t xml:space="preserve"> </w:t>
            </w:r>
            <w:r>
              <w:rPr>
                <w:sz w:val="24"/>
                <w:szCs w:val="24"/>
              </w:rPr>
              <w:t>准</w:t>
            </w:r>
          </w:p>
        </w:tc>
        <w:tc>
          <w:tcPr>
            <w:tcW w:w="1121" w:type="dxa"/>
            <w:vAlign w:val="top"/>
          </w:tcPr>
          <w:p w14:paraId="46342EB6">
            <w:pPr>
              <w:pStyle w:val="6"/>
              <w:spacing w:before="42" w:line="219" w:lineRule="auto"/>
              <w:ind w:left="208"/>
              <w:rPr>
                <w:sz w:val="24"/>
                <w:szCs w:val="24"/>
              </w:rPr>
            </w:pPr>
            <w:r>
              <w:rPr>
                <w:spacing w:val="-4"/>
                <w:sz w:val="24"/>
                <w:szCs w:val="24"/>
              </w:rPr>
              <w:t>得分情</w:t>
            </w:r>
          </w:p>
          <w:p w14:paraId="5BBCF96B">
            <w:pPr>
              <w:pStyle w:val="6"/>
              <w:spacing w:before="24" w:line="208" w:lineRule="auto"/>
              <w:ind w:left="449"/>
              <w:rPr>
                <w:sz w:val="24"/>
                <w:szCs w:val="24"/>
              </w:rPr>
            </w:pPr>
            <w:r>
              <w:rPr>
                <w:sz w:val="24"/>
                <w:szCs w:val="24"/>
              </w:rPr>
              <w:t>况</w:t>
            </w:r>
          </w:p>
        </w:tc>
      </w:tr>
      <w:tr w14:paraId="49262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230" w:type="dxa"/>
            <w:vMerge w:val="restart"/>
            <w:tcBorders>
              <w:bottom w:val="nil"/>
            </w:tcBorders>
            <w:vAlign w:val="top"/>
          </w:tcPr>
          <w:p w14:paraId="28E5C86D">
            <w:pPr>
              <w:pStyle w:val="6"/>
              <w:spacing w:before="36" w:line="219" w:lineRule="auto"/>
              <w:ind w:left="264"/>
              <w:rPr>
                <w:sz w:val="24"/>
                <w:szCs w:val="24"/>
              </w:rPr>
            </w:pPr>
            <w:r>
              <w:rPr>
                <w:spacing w:val="-5"/>
                <w:sz w:val="24"/>
                <w:szCs w:val="24"/>
              </w:rPr>
              <w:t>冶炼等</w:t>
            </w:r>
          </w:p>
        </w:tc>
        <w:tc>
          <w:tcPr>
            <w:tcW w:w="5082" w:type="dxa"/>
            <w:vAlign w:val="top"/>
          </w:tcPr>
          <w:p w14:paraId="181A918E">
            <w:pPr>
              <w:pStyle w:val="6"/>
              <w:spacing w:before="36" w:line="220" w:lineRule="auto"/>
              <w:jc w:val="right"/>
              <w:rPr>
                <w:sz w:val="24"/>
                <w:szCs w:val="24"/>
              </w:rPr>
            </w:pPr>
            <w:r>
              <w:rPr>
                <w:spacing w:val="-5"/>
                <w:sz w:val="24"/>
                <w:szCs w:val="24"/>
              </w:rPr>
              <w:t>艺、聚合工艺、烷基化工艺、新型煤化工工</w:t>
            </w:r>
            <w:r>
              <w:rPr>
                <w:spacing w:val="-6"/>
                <w:sz w:val="24"/>
                <w:szCs w:val="24"/>
              </w:rPr>
              <w:t>艺、</w:t>
            </w:r>
          </w:p>
          <w:p w14:paraId="019F75CC">
            <w:pPr>
              <w:pStyle w:val="6"/>
              <w:spacing w:before="23" w:line="208" w:lineRule="auto"/>
              <w:ind w:left="1135"/>
              <w:rPr>
                <w:sz w:val="24"/>
                <w:szCs w:val="24"/>
              </w:rPr>
            </w:pPr>
            <w:r>
              <w:rPr>
                <w:spacing w:val="-4"/>
                <w:sz w:val="24"/>
                <w:szCs w:val="24"/>
              </w:rPr>
              <w:t>电石生产工艺、偶氮化工艺</w:t>
            </w:r>
          </w:p>
        </w:tc>
        <w:tc>
          <w:tcPr>
            <w:tcW w:w="1093" w:type="dxa"/>
            <w:vAlign w:val="top"/>
          </w:tcPr>
          <w:p w14:paraId="7F68AAFF">
            <w:pPr>
              <w:rPr>
                <w:rFonts w:ascii="Arial"/>
                <w:sz w:val="21"/>
              </w:rPr>
            </w:pPr>
          </w:p>
        </w:tc>
        <w:tc>
          <w:tcPr>
            <w:tcW w:w="1121" w:type="dxa"/>
            <w:vAlign w:val="top"/>
          </w:tcPr>
          <w:p w14:paraId="18F0DEBA">
            <w:pPr>
              <w:rPr>
                <w:rFonts w:ascii="Arial"/>
                <w:sz w:val="21"/>
              </w:rPr>
            </w:pPr>
          </w:p>
        </w:tc>
      </w:tr>
      <w:tr w14:paraId="32741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Merge w:val="continue"/>
            <w:tcBorders>
              <w:top w:val="nil"/>
              <w:bottom w:val="nil"/>
            </w:tcBorders>
            <w:vAlign w:val="top"/>
          </w:tcPr>
          <w:p w14:paraId="7E5552BF">
            <w:pPr>
              <w:rPr>
                <w:rFonts w:ascii="Arial"/>
                <w:sz w:val="21"/>
              </w:rPr>
            </w:pPr>
          </w:p>
        </w:tc>
        <w:tc>
          <w:tcPr>
            <w:tcW w:w="5082" w:type="dxa"/>
            <w:vAlign w:val="top"/>
          </w:tcPr>
          <w:p w14:paraId="3FD84002">
            <w:pPr>
              <w:pStyle w:val="6"/>
              <w:spacing w:before="50" w:line="219" w:lineRule="auto"/>
              <w:ind w:left="1109"/>
              <w:rPr>
                <w:sz w:val="24"/>
                <w:szCs w:val="24"/>
              </w:rPr>
            </w:pPr>
            <w:r>
              <w:rPr>
                <w:spacing w:val="-1"/>
                <w:sz w:val="24"/>
                <w:szCs w:val="24"/>
              </w:rPr>
              <w:t>无机酸制酸工艺、焦化工艺</w:t>
            </w:r>
          </w:p>
        </w:tc>
        <w:tc>
          <w:tcPr>
            <w:tcW w:w="1093" w:type="dxa"/>
            <w:vAlign w:val="top"/>
          </w:tcPr>
          <w:p w14:paraId="7F7C988F">
            <w:pPr>
              <w:pStyle w:val="6"/>
              <w:spacing w:before="50" w:line="219" w:lineRule="auto"/>
              <w:ind w:left="222"/>
              <w:rPr>
                <w:sz w:val="24"/>
                <w:szCs w:val="24"/>
              </w:rPr>
            </w:pPr>
            <w:r>
              <w:rPr>
                <w:rFonts w:ascii="Times New Roman" w:hAnsi="Times New Roman" w:eastAsia="Times New Roman" w:cs="Times New Roman"/>
                <w:spacing w:val="-3"/>
                <w:sz w:val="24"/>
                <w:szCs w:val="24"/>
              </w:rPr>
              <w:t>5/</w:t>
            </w:r>
            <w:r>
              <w:rPr>
                <w:spacing w:val="-3"/>
                <w:sz w:val="24"/>
                <w:szCs w:val="24"/>
              </w:rPr>
              <w:t>每套</w:t>
            </w:r>
          </w:p>
        </w:tc>
        <w:tc>
          <w:tcPr>
            <w:tcW w:w="1121" w:type="dxa"/>
            <w:vAlign w:val="top"/>
          </w:tcPr>
          <w:p w14:paraId="648540C8">
            <w:pPr>
              <w:spacing w:before="92"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1278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230" w:type="dxa"/>
            <w:vMerge w:val="continue"/>
            <w:tcBorders>
              <w:top w:val="nil"/>
            </w:tcBorders>
            <w:vAlign w:val="top"/>
          </w:tcPr>
          <w:p w14:paraId="37AF0F4F">
            <w:pPr>
              <w:rPr>
                <w:rFonts w:ascii="Arial"/>
                <w:sz w:val="21"/>
              </w:rPr>
            </w:pPr>
          </w:p>
        </w:tc>
        <w:tc>
          <w:tcPr>
            <w:tcW w:w="5082" w:type="dxa"/>
            <w:vAlign w:val="top"/>
          </w:tcPr>
          <w:p w14:paraId="3CF05D0E">
            <w:pPr>
              <w:pStyle w:val="6"/>
              <w:spacing w:before="37" w:line="219" w:lineRule="auto"/>
              <w:ind w:left="148"/>
              <w:rPr>
                <w:sz w:val="24"/>
                <w:szCs w:val="24"/>
              </w:rPr>
            </w:pPr>
            <w:r>
              <w:rPr>
                <w:spacing w:val="-1"/>
                <w:sz w:val="24"/>
                <w:szCs w:val="24"/>
              </w:rPr>
              <w:t>其他高温或高压，且涉及危险物质的工艺过程</w:t>
            </w:r>
          </w:p>
          <w:p w14:paraId="357581A3">
            <w:pPr>
              <w:pStyle w:val="6"/>
              <w:spacing w:before="27" w:line="206" w:lineRule="auto"/>
              <w:ind w:left="1413"/>
              <w:rPr>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31"/>
                <w:sz w:val="24"/>
                <w:szCs w:val="24"/>
              </w:rPr>
              <w:t xml:space="preserve"> </w:t>
            </w:r>
            <w:r>
              <w:rPr>
                <w:spacing w:val="-4"/>
                <w:sz w:val="24"/>
                <w:szCs w:val="24"/>
              </w:rPr>
              <w:t>，危险物质贮存罐区</w:t>
            </w:r>
          </w:p>
        </w:tc>
        <w:tc>
          <w:tcPr>
            <w:tcW w:w="1093" w:type="dxa"/>
            <w:vAlign w:val="top"/>
          </w:tcPr>
          <w:p w14:paraId="351CD3EF">
            <w:pPr>
              <w:pStyle w:val="6"/>
              <w:spacing w:before="37" w:line="219" w:lineRule="auto"/>
              <w:ind w:left="222"/>
              <w:rPr>
                <w:sz w:val="24"/>
                <w:szCs w:val="24"/>
              </w:rPr>
            </w:pPr>
            <w:r>
              <w:rPr>
                <w:rFonts w:ascii="Times New Roman" w:hAnsi="Times New Roman" w:eastAsia="Times New Roman" w:cs="Times New Roman"/>
                <w:spacing w:val="-3"/>
                <w:sz w:val="24"/>
                <w:szCs w:val="24"/>
              </w:rPr>
              <w:t>5/</w:t>
            </w:r>
            <w:r>
              <w:rPr>
                <w:spacing w:val="-3"/>
                <w:sz w:val="24"/>
                <w:szCs w:val="24"/>
              </w:rPr>
              <w:t>每套</w:t>
            </w:r>
          </w:p>
          <w:p w14:paraId="5FCC9569">
            <w:pPr>
              <w:pStyle w:val="6"/>
              <w:spacing w:before="27" w:line="206" w:lineRule="auto"/>
              <w:ind w:right="20"/>
              <w:jc w:val="right"/>
              <w:rPr>
                <w:sz w:val="24"/>
                <w:szCs w:val="24"/>
              </w:rPr>
            </w:pPr>
            <w:r>
              <w:rPr>
                <w:spacing w:val="-6"/>
                <w:sz w:val="24"/>
                <w:szCs w:val="24"/>
              </w:rPr>
              <w:t>（罐区）</w:t>
            </w:r>
          </w:p>
        </w:tc>
        <w:tc>
          <w:tcPr>
            <w:tcW w:w="1121" w:type="dxa"/>
            <w:vAlign w:val="top"/>
          </w:tcPr>
          <w:p w14:paraId="3DB90A11">
            <w:pPr>
              <w:spacing w:before="234"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4BDE0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230" w:type="dxa"/>
            <w:vAlign w:val="top"/>
          </w:tcPr>
          <w:p w14:paraId="7E160FA7">
            <w:pPr>
              <w:pStyle w:val="6"/>
              <w:spacing w:before="38" w:line="219" w:lineRule="auto"/>
              <w:ind w:left="146"/>
              <w:rPr>
                <w:sz w:val="24"/>
                <w:szCs w:val="24"/>
              </w:rPr>
            </w:pPr>
            <w:r>
              <w:rPr>
                <w:spacing w:val="-2"/>
                <w:sz w:val="24"/>
                <w:szCs w:val="24"/>
              </w:rPr>
              <w:t>管道、港</w:t>
            </w:r>
          </w:p>
          <w:p w14:paraId="124906E3">
            <w:pPr>
              <w:pStyle w:val="6"/>
              <w:spacing w:before="24" w:line="219" w:lineRule="auto"/>
              <w:ind w:left="264"/>
              <w:rPr>
                <w:sz w:val="24"/>
                <w:szCs w:val="24"/>
              </w:rPr>
            </w:pPr>
            <w:r>
              <w:rPr>
                <w:spacing w:val="-12"/>
                <w:sz w:val="24"/>
                <w:szCs w:val="24"/>
              </w:rPr>
              <w:t>口</w:t>
            </w:r>
            <w:r>
              <w:rPr>
                <w:rFonts w:ascii="Times New Roman" w:hAnsi="Times New Roman" w:eastAsia="Times New Roman" w:cs="Times New Roman"/>
                <w:spacing w:val="-12"/>
                <w:sz w:val="24"/>
                <w:szCs w:val="24"/>
              </w:rPr>
              <w:t>/</w:t>
            </w:r>
            <w:r>
              <w:rPr>
                <w:spacing w:val="-12"/>
                <w:sz w:val="24"/>
                <w:szCs w:val="24"/>
              </w:rPr>
              <w:t>码头</w:t>
            </w:r>
          </w:p>
          <w:p w14:paraId="2D3666D4">
            <w:pPr>
              <w:pStyle w:val="6"/>
              <w:spacing w:before="26" w:line="206" w:lineRule="auto"/>
              <w:ind w:left="503"/>
              <w:rPr>
                <w:sz w:val="24"/>
                <w:szCs w:val="24"/>
              </w:rPr>
            </w:pPr>
            <w:r>
              <w:rPr>
                <w:sz w:val="24"/>
                <w:szCs w:val="24"/>
              </w:rPr>
              <w:t>等</w:t>
            </w:r>
          </w:p>
        </w:tc>
        <w:tc>
          <w:tcPr>
            <w:tcW w:w="5082" w:type="dxa"/>
            <w:vAlign w:val="top"/>
          </w:tcPr>
          <w:p w14:paraId="69548600">
            <w:pPr>
              <w:spacing w:line="268" w:lineRule="auto"/>
              <w:rPr>
                <w:rFonts w:ascii="Arial"/>
                <w:sz w:val="21"/>
              </w:rPr>
            </w:pPr>
          </w:p>
          <w:p w14:paraId="0E631CBB">
            <w:pPr>
              <w:pStyle w:val="6"/>
              <w:spacing w:before="78" w:line="219" w:lineRule="auto"/>
              <w:ind w:left="355"/>
              <w:rPr>
                <w:sz w:val="24"/>
                <w:szCs w:val="24"/>
              </w:rPr>
            </w:pPr>
            <w:r>
              <w:rPr>
                <w:spacing w:val="-1"/>
                <w:sz w:val="24"/>
                <w:szCs w:val="24"/>
              </w:rPr>
              <w:t>涉及危险物质管道运输项目、港口</w:t>
            </w:r>
            <w:r>
              <w:rPr>
                <w:rFonts w:ascii="Times New Roman" w:hAnsi="Times New Roman" w:eastAsia="Times New Roman" w:cs="Times New Roman"/>
                <w:spacing w:val="-1"/>
                <w:sz w:val="24"/>
                <w:szCs w:val="24"/>
              </w:rPr>
              <w:t>/</w:t>
            </w:r>
            <w:r>
              <w:rPr>
                <w:spacing w:val="-1"/>
                <w:sz w:val="24"/>
                <w:szCs w:val="24"/>
              </w:rPr>
              <w:t>码头等</w:t>
            </w:r>
          </w:p>
        </w:tc>
        <w:tc>
          <w:tcPr>
            <w:tcW w:w="1093" w:type="dxa"/>
            <w:vAlign w:val="top"/>
          </w:tcPr>
          <w:p w14:paraId="1A85CD80">
            <w:pPr>
              <w:spacing w:line="318" w:lineRule="auto"/>
              <w:rPr>
                <w:rFonts w:ascii="Arial"/>
                <w:sz w:val="21"/>
              </w:rPr>
            </w:pPr>
          </w:p>
          <w:p w14:paraId="43C08D46">
            <w:pPr>
              <w:spacing w:before="69" w:line="188"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21" w:type="dxa"/>
            <w:vAlign w:val="top"/>
          </w:tcPr>
          <w:p w14:paraId="67B0400A">
            <w:pPr>
              <w:spacing w:line="318" w:lineRule="auto"/>
              <w:rPr>
                <w:rFonts w:ascii="Arial"/>
                <w:sz w:val="21"/>
              </w:rPr>
            </w:pPr>
          </w:p>
          <w:p w14:paraId="62939084">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6DCEB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230" w:type="dxa"/>
            <w:vAlign w:val="top"/>
          </w:tcPr>
          <w:p w14:paraId="6AC088DA">
            <w:pPr>
              <w:pStyle w:val="6"/>
              <w:spacing w:before="195" w:line="220" w:lineRule="auto"/>
              <w:ind w:left="142"/>
              <w:rPr>
                <w:sz w:val="24"/>
                <w:szCs w:val="24"/>
              </w:rPr>
            </w:pPr>
            <w:r>
              <w:rPr>
                <w:spacing w:val="-3"/>
                <w:sz w:val="24"/>
                <w:szCs w:val="24"/>
              </w:rPr>
              <w:t>石油天燃</w:t>
            </w:r>
          </w:p>
          <w:p w14:paraId="77CC56D2">
            <w:pPr>
              <w:pStyle w:val="6"/>
              <w:spacing w:before="23" w:line="221" w:lineRule="auto"/>
              <w:ind w:left="502"/>
              <w:rPr>
                <w:sz w:val="24"/>
                <w:szCs w:val="24"/>
              </w:rPr>
            </w:pPr>
            <w:r>
              <w:rPr>
                <w:sz w:val="24"/>
                <w:szCs w:val="24"/>
              </w:rPr>
              <w:t>气</w:t>
            </w:r>
          </w:p>
        </w:tc>
        <w:tc>
          <w:tcPr>
            <w:tcW w:w="5082" w:type="dxa"/>
            <w:vAlign w:val="top"/>
          </w:tcPr>
          <w:p w14:paraId="66D82A2D">
            <w:pPr>
              <w:pStyle w:val="6"/>
              <w:spacing w:before="38" w:line="219" w:lineRule="auto"/>
              <w:ind w:left="148"/>
              <w:rPr>
                <w:sz w:val="24"/>
                <w:szCs w:val="24"/>
              </w:rPr>
            </w:pPr>
            <w:r>
              <w:rPr>
                <w:spacing w:val="-2"/>
                <w:sz w:val="24"/>
                <w:szCs w:val="24"/>
              </w:rPr>
              <w:t>石油、天</w:t>
            </w:r>
            <w:r>
              <w:rPr>
                <w:rFonts w:hint="eastAsia"/>
                <w:spacing w:val="-2"/>
                <w:sz w:val="24"/>
                <w:szCs w:val="24"/>
                <w:lang w:val="en-US" w:eastAsia="zh-CN"/>
              </w:rPr>
              <w:t>然</w:t>
            </w:r>
            <w:r>
              <w:rPr>
                <w:spacing w:val="-2"/>
                <w:sz w:val="24"/>
                <w:szCs w:val="24"/>
              </w:rPr>
              <w:t>气、页岩气开采（含净化</w:t>
            </w:r>
            <w:r>
              <w:rPr>
                <w:spacing w:val="12"/>
                <w:sz w:val="24"/>
                <w:szCs w:val="24"/>
              </w:rPr>
              <w:t>），</w:t>
            </w:r>
            <w:r>
              <w:rPr>
                <w:spacing w:val="-2"/>
                <w:sz w:val="24"/>
                <w:szCs w:val="24"/>
              </w:rPr>
              <w:t>气库</w:t>
            </w:r>
          </w:p>
          <w:p w14:paraId="4391C5B5">
            <w:pPr>
              <w:pStyle w:val="6"/>
              <w:spacing w:before="28" w:line="219" w:lineRule="auto"/>
              <w:ind w:left="158"/>
              <w:rPr>
                <w:sz w:val="24"/>
                <w:szCs w:val="24"/>
              </w:rPr>
            </w:pPr>
            <w:r>
              <w:rPr>
                <w:spacing w:val="-2"/>
                <w:sz w:val="24"/>
                <w:szCs w:val="24"/>
              </w:rPr>
              <w:t>（不含加气站的气库</w:t>
            </w:r>
            <w:r>
              <w:rPr>
                <w:spacing w:val="7"/>
                <w:sz w:val="24"/>
                <w:szCs w:val="24"/>
              </w:rPr>
              <w:t>），</w:t>
            </w:r>
            <w:r>
              <w:rPr>
                <w:spacing w:val="-2"/>
                <w:sz w:val="24"/>
                <w:szCs w:val="24"/>
              </w:rPr>
              <w:t>油库（不含加气站的</w:t>
            </w:r>
          </w:p>
          <w:p w14:paraId="30DBD20F">
            <w:pPr>
              <w:pStyle w:val="6"/>
              <w:spacing w:before="24" w:line="205" w:lineRule="auto"/>
              <w:ind w:left="299"/>
              <w:rPr>
                <w:sz w:val="24"/>
                <w:szCs w:val="24"/>
              </w:rPr>
            </w:pPr>
            <w:r>
              <w:rPr>
                <w:spacing w:val="-1"/>
                <w:sz w:val="24"/>
                <w:szCs w:val="24"/>
              </w:rPr>
              <w:t>油库）、油气管线</w:t>
            </w:r>
            <w:r>
              <w:rPr>
                <w:spacing w:val="-56"/>
                <w:sz w:val="24"/>
                <w:szCs w:val="24"/>
              </w:rPr>
              <w:t xml:space="preserve"> </w:t>
            </w:r>
            <w:r>
              <w:rPr>
                <w:rFonts w:ascii="Times New Roman" w:hAnsi="Times New Roman" w:eastAsia="Times New Roman" w:cs="Times New Roman"/>
                <w:spacing w:val="-1"/>
                <w:sz w:val="24"/>
                <w:szCs w:val="24"/>
              </w:rPr>
              <w:t>b</w:t>
            </w:r>
            <w:r>
              <w:rPr>
                <w:spacing w:val="-1"/>
                <w:sz w:val="24"/>
                <w:szCs w:val="24"/>
              </w:rPr>
              <w:t>（不含城镇燃气管线）</w:t>
            </w:r>
          </w:p>
        </w:tc>
        <w:tc>
          <w:tcPr>
            <w:tcW w:w="1093" w:type="dxa"/>
            <w:vAlign w:val="top"/>
          </w:tcPr>
          <w:p w14:paraId="1AD8A217">
            <w:pPr>
              <w:spacing w:line="319" w:lineRule="auto"/>
              <w:rPr>
                <w:rFonts w:ascii="Arial"/>
                <w:sz w:val="21"/>
              </w:rPr>
            </w:pPr>
          </w:p>
          <w:p w14:paraId="1F4A2B36">
            <w:pPr>
              <w:spacing w:before="69" w:line="188"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121" w:type="dxa"/>
            <w:vAlign w:val="top"/>
          </w:tcPr>
          <w:p w14:paraId="3FDA0A50">
            <w:pPr>
              <w:spacing w:line="319" w:lineRule="auto"/>
              <w:rPr>
                <w:rFonts w:ascii="Arial"/>
                <w:sz w:val="21"/>
              </w:rPr>
            </w:pPr>
          </w:p>
          <w:p w14:paraId="312E4F38">
            <w:pPr>
              <w:spacing w:before="69" w:line="188" w:lineRule="auto"/>
              <w:ind w:left="50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14:paraId="2775E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230" w:type="dxa"/>
            <w:vAlign w:val="top"/>
          </w:tcPr>
          <w:p w14:paraId="22727A22">
            <w:pPr>
              <w:pStyle w:val="6"/>
              <w:spacing w:before="54" w:line="216" w:lineRule="auto"/>
              <w:ind w:left="382"/>
              <w:rPr>
                <w:sz w:val="24"/>
                <w:szCs w:val="24"/>
              </w:rPr>
            </w:pPr>
            <w:r>
              <w:rPr>
                <w:spacing w:val="-6"/>
                <w:sz w:val="24"/>
                <w:szCs w:val="24"/>
              </w:rPr>
              <w:t>其他</w:t>
            </w:r>
          </w:p>
        </w:tc>
        <w:tc>
          <w:tcPr>
            <w:tcW w:w="5082" w:type="dxa"/>
            <w:vAlign w:val="top"/>
          </w:tcPr>
          <w:p w14:paraId="27DBEBE2">
            <w:pPr>
              <w:pStyle w:val="6"/>
              <w:spacing w:before="54" w:line="216" w:lineRule="auto"/>
              <w:ind w:left="869"/>
              <w:rPr>
                <w:sz w:val="24"/>
                <w:szCs w:val="24"/>
              </w:rPr>
            </w:pPr>
            <w:r>
              <w:rPr>
                <w:spacing w:val="-1"/>
                <w:sz w:val="24"/>
                <w:szCs w:val="24"/>
              </w:rPr>
              <w:t>涉及危险物质使用、贮存的项目</w:t>
            </w:r>
          </w:p>
        </w:tc>
        <w:tc>
          <w:tcPr>
            <w:tcW w:w="1093" w:type="dxa"/>
            <w:vAlign w:val="top"/>
          </w:tcPr>
          <w:p w14:paraId="5132ECBC">
            <w:pPr>
              <w:spacing w:before="99" w:line="185" w:lineRule="auto"/>
              <w:ind w:left="4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21" w:type="dxa"/>
            <w:vAlign w:val="top"/>
          </w:tcPr>
          <w:p w14:paraId="218703A9">
            <w:pPr>
              <w:spacing w:before="99" w:line="185"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14:paraId="1282D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405" w:type="dxa"/>
            <w:gridSpan w:val="3"/>
            <w:vAlign w:val="top"/>
          </w:tcPr>
          <w:p w14:paraId="14B04A57">
            <w:pPr>
              <w:pStyle w:val="6"/>
              <w:spacing w:before="54" w:line="216" w:lineRule="auto"/>
              <w:ind w:left="3470"/>
              <w:rPr>
                <w:sz w:val="24"/>
                <w:szCs w:val="24"/>
              </w:rPr>
            </w:pPr>
            <w:r>
              <w:rPr>
                <w:spacing w:val="-6"/>
                <w:sz w:val="24"/>
                <w:szCs w:val="24"/>
              </w:rPr>
              <w:t>合计</w:t>
            </w:r>
          </w:p>
        </w:tc>
        <w:tc>
          <w:tcPr>
            <w:tcW w:w="1121" w:type="dxa"/>
            <w:vAlign w:val="top"/>
          </w:tcPr>
          <w:p w14:paraId="62D3D6F9">
            <w:pPr>
              <w:spacing w:before="99" w:line="185" w:lineRule="auto"/>
              <w:ind w:left="50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14:paraId="62EF8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26" w:type="dxa"/>
            <w:gridSpan w:val="4"/>
            <w:vAlign w:val="top"/>
          </w:tcPr>
          <w:p w14:paraId="68A86DB1">
            <w:pPr>
              <w:pStyle w:val="6"/>
              <w:spacing w:before="39" w:line="224" w:lineRule="auto"/>
              <w:ind w:left="107" w:right="931" w:firstLine="8"/>
              <w:rPr>
                <w:sz w:val="24"/>
                <w:szCs w:val="24"/>
              </w:rPr>
            </w:pPr>
            <w:r>
              <w:rPr>
                <w:rFonts w:ascii="Times New Roman" w:hAnsi="Times New Roman" w:eastAsia="Times New Roman" w:cs="Times New Roman"/>
                <w:spacing w:val="-5"/>
                <w:sz w:val="24"/>
                <w:szCs w:val="24"/>
              </w:rPr>
              <w:t>a</w:t>
            </w:r>
            <w:r>
              <w:rPr>
                <w:rFonts w:ascii="Times New Roman" w:hAnsi="Times New Roman" w:eastAsia="Times New Roman" w:cs="Times New Roman"/>
                <w:spacing w:val="20"/>
                <w:w w:val="101"/>
                <w:sz w:val="24"/>
                <w:szCs w:val="24"/>
              </w:rPr>
              <w:t xml:space="preserve"> </w:t>
            </w:r>
            <w:r>
              <w:rPr>
                <w:spacing w:val="-5"/>
                <w:sz w:val="24"/>
                <w:szCs w:val="24"/>
              </w:rPr>
              <w:t>高温指工艺温度</w:t>
            </w:r>
            <w:r>
              <w:rPr>
                <w:rFonts w:ascii="Times New Roman" w:hAnsi="Times New Roman" w:eastAsia="Times New Roman" w:cs="Times New Roman"/>
                <w:spacing w:val="-5"/>
                <w:sz w:val="24"/>
                <w:szCs w:val="24"/>
              </w:rPr>
              <w:t>≥300</w:t>
            </w:r>
            <w:r>
              <w:rPr>
                <w:spacing w:val="-5"/>
                <w:sz w:val="24"/>
                <w:szCs w:val="24"/>
              </w:rPr>
              <w:t>℃</w:t>
            </w:r>
            <w:r>
              <w:rPr>
                <w:spacing w:val="-91"/>
                <w:sz w:val="24"/>
                <w:szCs w:val="24"/>
              </w:rPr>
              <w:t xml:space="preserve"> </w:t>
            </w:r>
            <w:r>
              <w:rPr>
                <w:spacing w:val="-5"/>
                <w:sz w:val="24"/>
                <w:szCs w:val="24"/>
              </w:rPr>
              <w:t>,</w:t>
            </w:r>
            <w:r>
              <w:rPr>
                <w:spacing w:val="69"/>
                <w:sz w:val="24"/>
                <w:szCs w:val="24"/>
              </w:rPr>
              <w:t xml:space="preserve"> </w:t>
            </w:r>
            <w:r>
              <w:rPr>
                <w:spacing w:val="-5"/>
                <w:sz w:val="24"/>
                <w:szCs w:val="24"/>
              </w:rPr>
              <w:t>高压指压力容器的设计压力（</w:t>
            </w:r>
            <w:r>
              <w:rPr>
                <w:rFonts w:ascii="Times New Roman" w:hAnsi="Times New Roman" w:eastAsia="Times New Roman" w:cs="Times New Roman"/>
                <w:spacing w:val="-5"/>
                <w:sz w:val="24"/>
                <w:szCs w:val="24"/>
              </w:rPr>
              <w:t>p</w:t>
            </w:r>
            <w:r>
              <w:rPr>
                <w:spacing w:val="-5"/>
                <w:sz w:val="24"/>
                <w:szCs w:val="24"/>
              </w:rPr>
              <w:t>）</w:t>
            </w:r>
            <w:r>
              <w:rPr>
                <w:rFonts w:ascii="Times New Roman" w:hAnsi="Times New Roman" w:eastAsia="Times New Roman" w:cs="Times New Roman"/>
                <w:spacing w:val="-5"/>
                <w:sz w:val="24"/>
                <w:szCs w:val="24"/>
              </w:rPr>
              <w:t>≥10.0MPa</w:t>
            </w:r>
            <w:r>
              <w:rPr>
                <w:spacing w:val="-5"/>
                <w:sz w:val="24"/>
                <w:szCs w:val="24"/>
              </w:rPr>
              <w:t>；</w:t>
            </w:r>
            <w:r>
              <w:rPr>
                <w:sz w:val="24"/>
                <w:szCs w:val="24"/>
              </w:rPr>
              <w:t xml:space="preserve"> </w:t>
            </w:r>
            <w:r>
              <w:rPr>
                <w:rFonts w:ascii="Times New Roman" w:hAnsi="Times New Roman" w:eastAsia="Times New Roman" w:cs="Times New Roman"/>
                <w:sz w:val="24"/>
                <w:szCs w:val="24"/>
              </w:rPr>
              <w:t xml:space="preserve">b </w:t>
            </w:r>
            <w:r>
              <w:rPr>
                <w:sz w:val="24"/>
                <w:szCs w:val="24"/>
              </w:rPr>
              <w:t>长输管道运输项目应按站场、管线分段进行评价。</w:t>
            </w:r>
          </w:p>
        </w:tc>
      </w:tr>
    </w:tbl>
    <w:p w14:paraId="61FF74B1">
      <w:pPr>
        <w:spacing w:before="199" w:line="358" w:lineRule="auto"/>
        <w:ind w:left="134" w:right="112" w:firstLine="549"/>
        <w:rPr>
          <w:rFonts w:ascii="宋体" w:hAnsi="宋体" w:eastAsia="宋体" w:cs="宋体"/>
          <w:sz w:val="28"/>
          <w:szCs w:val="28"/>
        </w:rPr>
      </w:pPr>
      <w:r>
        <w:rPr>
          <w:rFonts w:ascii="宋体" w:hAnsi="宋体" w:eastAsia="宋体" w:cs="宋体"/>
          <w:spacing w:val="-4"/>
          <w:sz w:val="28"/>
          <w:szCs w:val="28"/>
        </w:rPr>
        <w:t>本项目主要从事园区危险品运输车辆集中停车维护管理服务，公</w:t>
      </w:r>
      <w:r>
        <w:rPr>
          <w:rFonts w:ascii="宋体" w:hAnsi="宋体" w:eastAsia="宋体" w:cs="宋体"/>
          <w:spacing w:val="6"/>
          <w:sz w:val="28"/>
          <w:szCs w:val="28"/>
        </w:rPr>
        <w:t xml:space="preserve"> </w:t>
      </w:r>
      <w:r>
        <w:rPr>
          <w:rFonts w:ascii="宋体" w:hAnsi="宋体" w:eastAsia="宋体" w:cs="宋体"/>
          <w:spacing w:val="-3"/>
          <w:sz w:val="28"/>
          <w:szCs w:val="28"/>
        </w:rPr>
        <w:t>司行业及生产工艺值</w:t>
      </w:r>
      <w:r>
        <w:rPr>
          <w:rFonts w:ascii="宋体" w:hAnsi="宋体" w:eastAsia="宋体" w:cs="宋体"/>
          <w:spacing w:val="-62"/>
          <w:sz w:val="28"/>
          <w:szCs w:val="28"/>
        </w:rPr>
        <w:t xml:space="preserve"> </w:t>
      </w:r>
      <w:r>
        <w:rPr>
          <w:rFonts w:ascii="Times New Roman" w:hAnsi="Times New Roman" w:eastAsia="Times New Roman" w:cs="Times New Roman"/>
          <w:spacing w:val="-3"/>
          <w:sz w:val="28"/>
          <w:szCs w:val="28"/>
        </w:rPr>
        <w:t>M=5</w:t>
      </w:r>
      <w:r>
        <w:rPr>
          <w:rFonts w:ascii="Times New Roman" w:hAnsi="Times New Roman" w:eastAsia="Times New Roman" w:cs="Times New Roman"/>
          <w:spacing w:val="-34"/>
          <w:sz w:val="28"/>
          <w:szCs w:val="28"/>
        </w:rPr>
        <w:t xml:space="preserve"> </w:t>
      </w:r>
      <w:r>
        <w:rPr>
          <w:rFonts w:ascii="宋体" w:hAnsi="宋体" w:eastAsia="宋体" w:cs="宋体"/>
          <w:spacing w:val="-3"/>
          <w:sz w:val="28"/>
          <w:szCs w:val="28"/>
        </w:rPr>
        <w:t>，生产工艺情况为</w:t>
      </w:r>
      <w:r>
        <w:rPr>
          <w:rFonts w:ascii="宋体" w:hAnsi="宋体" w:eastAsia="宋体" w:cs="宋体"/>
          <w:spacing w:val="-69"/>
          <w:sz w:val="28"/>
          <w:szCs w:val="28"/>
        </w:rPr>
        <w:t xml:space="preserve"> </w:t>
      </w:r>
      <w:r>
        <w:rPr>
          <w:rFonts w:ascii="Times New Roman" w:hAnsi="Times New Roman" w:eastAsia="Times New Roman" w:cs="Times New Roman"/>
          <w:spacing w:val="-3"/>
          <w:sz w:val="28"/>
          <w:szCs w:val="28"/>
        </w:rPr>
        <w:t>M4</w:t>
      </w:r>
      <w:r>
        <w:rPr>
          <w:rFonts w:ascii="宋体" w:hAnsi="宋体" w:eastAsia="宋体" w:cs="宋体"/>
          <w:spacing w:val="-3"/>
          <w:sz w:val="28"/>
          <w:szCs w:val="28"/>
        </w:rPr>
        <w:t>。</w:t>
      </w:r>
    </w:p>
    <w:p w14:paraId="08E897C2">
      <w:pPr>
        <w:spacing w:before="1" w:line="217" w:lineRule="auto"/>
        <w:ind w:left="680"/>
        <w:rPr>
          <w:rFonts w:ascii="宋体" w:hAnsi="宋体" w:eastAsia="宋体" w:cs="宋体"/>
          <w:sz w:val="28"/>
          <w:szCs w:val="28"/>
        </w:rPr>
      </w:pPr>
      <w:r>
        <w:rPr>
          <w:rFonts w:ascii="宋体" w:hAnsi="宋体" w:eastAsia="宋体" w:cs="宋体"/>
          <w:spacing w:val="-1"/>
          <w:sz w:val="28"/>
          <w:szCs w:val="28"/>
        </w:rPr>
        <w:t>③危险物质及工艺系统危险性（</w:t>
      </w:r>
      <w:r>
        <w:rPr>
          <w:rFonts w:ascii="Times New Roman" w:hAnsi="Times New Roman" w:eastAsia="Times New Roman" w:cs="Times New Roman"/>
          <w:spacing w:val="-1"/>
          <w:sz w:val="28"/>
          <w:szCs w:val="28"/>
        </w:rPr>
        <w:t>P</w:t>
      </w:r>
      <w:r>
        <w:rPr>
          <w:rFonts w:ascii="宋体" w:hAnsi="宋体" w:eastAsia="宋体" w:cs="宋体"/>
          <w:spacing w:val="-1"/>
          <w:sz w:val="28"/>
          <w:szCs w:val="28"/>
        </w:rPr>
        <w:t>）</w:t>
      </w:r>
    </w:p>
    <w:p w14:paraId="795E6408">
      <w:pPr>
        <w:spacing w:before="214" w:line="358" w:lineRule="auto"/>
        <w:ind w:left="122" w:right="36" w:firstLine="560"/>
        <w:rPr>
          <w:rFonts w:ascii="宋体" w:hAnsi="宋体" w:eastAsia="宋体" w:cs="宋体"/>
          <w:sz w:val="28"/>
          <w:szCs w:val="28"/>
        </w:rPr>
      </w:pPr>
      <w:r>
        <w:rPr>
          <w:rFonts w:ascii="宋体" w:hAnsi="宋体" w:eastAsia="宋体" w:cs="宋体"/>
          <w:spacing w:val="-4"/>
          <w:sz w:val="28"/>
          <w:szCs w:val="28"/>
        </w:rPr>
        <w:t>根据危险物质数量与临界量比值（</w:t>
      </w:r>
      <w:r>
        <w:rPr>
          <w:rFonts w:ascii="Times New Roman" w:hAnsi="Times New Roman" w:eastAsia="Times New Roman" w:cs="Times New Roman"/>
          <w:spacing w:val="-4"/>
          <w:sz w:val="28"/>
          <w:szCs w:val="28"/>
        </w:rPr>
        <w:t>Q</w:t>
      </w:r>
      <w:r>
        <w:rPr>
          <w:rFonts w:ascii="宋体" w:hAnsi="宋体" w:eastAsia="宋体" w:cs="宋体"/>
          <w:spacing w:val="-4"/>
          <w:sz w:val="28"/>
          <w:szCs w:val="28"/>
        </w:rPr>
        <w:t>）和行业及生产工艺（</w:t>
      </w:r>
      <w:r>
        <w:rPr>
          <w:rFonts w:ascii="Times New Roman" w:hAnsi="Times New Roman" w:eastAsia="Times New Roman" w:cs="Times New Roman"/>
          <w:spacing w:val="-4"/>
          <w:sz w:val="28"/>
          <w:szCs w:val="28"/>
        </w:rPr>
        <w:t>M</w:t>
      </w:r>
      <w:r>
        <w:rPr>
          <w:rFonts w:ascii="宋体" w:hAnsi="宋体" w:eastAsia="宋体" w:cs="宋体"/>
          <w:spacing w:val="-46"/>
          <w:sz w:val="28"/>
          <w:szCs w:val="28"/>
        </w:rPr>
        <w:t>），</w:t>
      </w:r>
      <w:r>
        <w:rPr>
          <w:rFonts w:ascii="宋体" w:hAnsi="宋体" w:eastAsia="宋体" w:cs="宋体"/>
          <w:sz w:val="28"/>
          <w:szCs w:val="28"/>
        </w:rPr>
        <w:t xml:space="preserve"> </w:t>
      </w:r>
      <w:r>
        <w:rPr>
          <w:rFonts w:ascii="宋体" w:hAnsi="宋体" w:eastAsia="宋体" w:cs="宋体"/>
          <w:spacing w:val="-5"/>
          <w:sz w:val="28"/>
          <w:szCs w:val="28"/>
        </w:rPr>
        <w:t>确定危险物质及工艺系统危险性等级（</w:t>
      </w:r>
      <w:r>
        <w:rPr>
          <w:rFonts w:ascii="Times New Roman" w:hAnsi="Times New Roman" w:eastAsia="Times New Roman" w:cs="Times New Roman"/>
          <w:spacing w:val="-5"/>
          <w:sz w:val="28"/>
          <w:szCs w:val="28"/>
        </w:rPr>
        <w:t>P</w:t>
      </w:r>
      <w:r>
        <w:rPr>
          <w:rFonts w:ascii="宋体" w:hAnsi="宋体" w:eastAsia="宋体" w:cs="宋体"/>
          <w:spacing w:val="-9"/>
          <w:sz w:val="28"/>
          <w:szCs w:val="28"/>
        </w:rPr>
        <w:t>），</w:t>
      </w:r>
      <w:r>
        <w:rPr>
          <w:rFonts w:ascii="宋体" w:hAnsi="宋体" w:eastAsia="宋体" w:cs="宋体"/>
          <w:spacing w:val="-5"/>
          <w:sz w:val="28"/>
          <w:szCs w:val="28"/>
        </w:rPr>
        <w:t>分别以</w:t>
      </w:r>
      <w:r>
        <w:rPr>
          <w:rFonts w:ascii="宋体" w:hAnsi="宋体" w:eastAsia="宋体" w:cs="宋体"/>
          <w:spacing w:val="-65"/>
          <w:sz w:val="28"/>
          <w:szCs w:val="28"/>
        </w:rPr>
        <w:t xml:space="preserve"> </w:t>
      </w:r>
      <w:r>
        <w:rPr>
          <w:rFonts w:ascii="Times New Roman" w:hAnsi="Times New Roman" w:eastAsia="Times New Roman" w:cs="Times New Roman"/>
          <w:spacing w:val="-5"/>
          <w:sz w:val="28"/>
          <w:szCs w:val="28"/>
        </w:rPr>
        <w:t>P1</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P2</w:t>
      </w:r>
      <w:r>
        <w:rPr>
          <w:rFonts w:ascii="Times New Roman" w:hAnsi="Times New Roman" w:eastAsia="Times New Roman" w:cs="Times New Roman"/>
          <w:spacing w:val="-41"/>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P3</w:t>
      </w:r>
      <w:r>
        <w:rPr>
          <w:rFonts w:ascii="宋体" w:hAnsi="宋体" w:eastAsia="宋体" w:cs="宋体"/>
          <w:spacing w:val="-5"/>
          <w:sz w:val="28"/>
          <w:szCs w:val="28"/>
        </w:rPr>
        <w:t>、</w:t>
      </w:r>
      <w:r>
        <w:rPr>
          <w:rFonts w:ascii="Times New Roman" w:hAnsi="Times New Roman" w:eastAsia="Times New Roman" w:cs="Times New Roman"/>
          <w:spacing w:val="-5"/>
          <w:sz w:val="28"/>
          <w:szCs w:val="28"/>
        </w:rPr>
        <w:t>P4</w:t>
      </w:r>
      <w:r>
        <w:rPr>
          <w:rFonts w:ascii="Times New Roman" w:hAnsi="Times New Roman" w:eastAsia="Times New Roman" w:cs="Times New Roman"/>
          <w:sz w:val="28"/>
          <w:szCs w:val="28"/>
        </w:rPr>
        <w:t xml:space="preserve">  </w:t>
      </w:r>
      <w:r>
        <w:rPr>
          <w:rFonts w:ascii="宋体" w:hAnsi="宋体" w:eastAsia="宋体" w:cs="宋体"/>
          <w:spacing w:val="-1"/>
          <w:sz w:val="28"/>
          <w:szCs w:val="28"/>
        </w:rPr>
        <w:t>表示。判定条件如下：</w:t>
      </w:r>
    </w:p>
    <w:p w14:paraId="74D13747">
      <w:pPr>
        <w:spacing w:line="219" w:lineRule="auto"/>
        <w:ind w:left="1270"/>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 xml:space="preserve">3.2-5    </w:t>
      </w:r>
      <w:r>
        <w:rPr>
          <w:rFonts w:ascii="宋体" w:hAnsi="宋体" w:eastAsia="宋体" w:cs="宋体"/>
          <w:b/>
          <w:bCs/>
          <w:spacing w:val="-2"/>
          <w:sz w:val="24"/>
          <w:szCs w:val="24"/>
        </w:rPr>
        <w:t>危险物质及工艺系统危险性等级（</w:t>
      </w:r>
      <w:r>
        <w:rPr>
          <w:rFonts w:ascii="Times New Roman" w:hAnsi="Times New Roman" w:eastAsia="Times New Roman" w:cs="Times New Roman"/>
          <w:b/>
          <w:bCs/>
          <w:spacing w:val="-2"/>
          <w:sz w:val="24"/>
          <w:szCs w:val="24"/>
        </w:rPr>
        <w:t>P</w:t>
      </w:r>
      <w:r>
        <w:rPr>
          <w:rFonts w:ascii="宋体" w:hAnsi="宋体" w:eastAsia="宋体" w:cs="宋体"/>
          <w:b/>
          <w:bCs/>
          <w:spacing w:val="-2"/>
          <w:sz w:val="24"/>
          <w:szCs w:val="24"/>
        </w:rPr>
        <w:t>）等级判定</w:t>
      </w:r>
    </w:p>
    <w:p w14:paraId="6924C1FC">
      <w:pPr>
        <w:spacing w:line="147" w:lineRule="exact"/>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7"/>
        <w:gridCol w:w="1049"/>
        <w:gridCol w:w="1049"/>
        <w:gridCol w:w="1050"/>
        <w:gridCol w:w="1059"/>
      </w:tblGrid>
      <w:tr w14:paraId="5A45A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4317" w:type="dxa"/>
            <w:vMerge w:val="restart"/>
            <w:tcBorders>
              <w:bottom w:val="nil"/>
            </w:tcBorders>
            <w:vAlign w:val="top"/>
          </w:tcPr>
          <w:p w14:paraId="0546A237">
            <w:pPr>
              <w:pStyle w:val="6"/>
              <w:spacing w:before="241" w:line="212" w:lineRule="auto"/>
              <w:ind w:left="402"/>
              <w:rPr>
                <w:sz w:val="24"/>
                <w:szCs w:val="24"/>
              </w:rPr>
            </w:pPr>
            <w:r>
              <w:rPr>
                <w:spacing w:val="-1"/>
                <w:sz w:val="24"/>
                <w:szCs w:val="24"/>
              </w:rPr>
              <w:t>危险物质数量与临界量比值（</w:t>
            </w:r>
            <w:r>
              <w:rPr>
                <w:rFonts w:ascii="Times New Roman" w:hAnsi="Times New Roman" w:eastAsia="Times New Roman" w:cs="Times New Roman"/>
                <w:spacing w:val="-1"/>
                <w:sz w:val="24"/>
                <w:szCs w:val="24"/>
              </w:rPr>
              <w:t>Q</w:t>
            </w:r>
            <w:r>
              <w:rPr>
                <w:spacing w:val="-1"/>
                <w:sz w:val="24"/>
                <w:szCs w:val="24"/>
              </w:rPr>
              <w:t>）</w:t>
            </w:r>
          </w:p>
        </w:tc>
        <w:tc>
          <w:tcPr>
            <w:tcW w:w="4207" w:type="dxa"/>
            <w:gridSpan w:val="4"/>
            <w:vAlign w:val="top"/>
          </w:tcPr>
          <w:p w14:paraId="5F34D814">
            <w:pPr>
              <w:pStyle w:val="6"/>
              <w:spacing w:before="39" w:line="208" w:lineRule="auto"/>
              <w:ind w:left="927"/>
              <w:rPr>
                <w:sz w:val="24"/>
                <w:szCs w:val="24"/>
              </w:rPr>
            </w:pPr>
            <w:r>
              <w:rPr>
                <w:spacing w:val="-2"/>
                <w:sz w:val="24"/>
                <w:szCs w:val="24"/>
              </w:rPr>
              <w:t>行业及生产工艺（</w:t>
            </w:r>
            <w:r>
              <w:rPr>
                <w:rFonts w:ascii="Times New Roman" w:hAnsi="Times New Roman" w:eastAsia="Times New Roman" w:cs="Times New Roman"/>
                <w:spacing w:val="-2"/>
                <w:sz w:val="24"/>
                <w:szCs w:val="24"/>
              </w:rPr>
              <w:t>M</w:t>
            </w:r>
            <w:r>
              <w:rPr>
                <w:spacing w:val="-2"/>
                <w:sz w:val="24"/>
                <w:szCs w:val="24"/>
              </w:rPr>
              <w:t>）</w:t>
            </w:r>
          </w:p>
        </w:tc>
      </w:tr>
      <w:tr w14:paraId="2A9AA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Merge w:val="continue"/>
            <w:tcBorders>
              <w:top w:val="nil"/>
            </w:tcBorders>
            <w:vAlign w:val="top"/>
          </w:tcPr>
          <w:p w14:paraId="510CCF62">
            <w:pPr>
              <w:rPr>
                <w:rFonts w:ascii="Arial"/>
                <w:sz w:val="21"/>
              </w:rPr>
            </w:pPr>
          </w:p>
        </w:tc>
        <w:tc>
          <w:tcPr>
            <w:tcW w:w="1049" w:type="dxa"/>
            <w:vAlign w:val="top"/>
          </w:tcPr>
          <w:p w14:paraId="62F943DD">
            <w:pPr>
              <w:spacing w:before="119"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M1</w:t>
            </w:r>
          </w:p>
        </w:tc>
        <w:tc>
          <w:tcPr>
            <w:tcW w:w="1049" w:type="dxa"/>
            <w:vAlign w:val="top"/>
          </w:tcPr>
          <w:p w14:paraId="12E209D8">
            <w:pPr>
              <w:spacing w:before="119"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M2</w:t>
            </w:r>
          </w:p>
        </w:tc>
        <w:tc>
          <w:tcPr>
            <w:tcW w:w="1050" w:type="dxa"/>
            <w:vAlign w:val="top"/>
          </w:tcPr>
          <w:p w14:paraId="09922806">
            <w:pPr>
              <w:spacing w:before="119" w:line="188" w:lineRule="auto"/>
              <w:ind w:left="36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M3</w:t>
            </w:r>
          </w:p>
        </w:tc>
        <w:tc>
          <w:tcPr>
            <w:tcW w:w="1059" w:type="dxa"/>
            <w:vAlign w:val="top"/>
          </w:tcPr>
          <w:p w14:paraId="2E2FB5B7">
            <w:pPr>
              <w:spacing w:before="119" w:line="188"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M4</w:t>
            </w:r>
          </w:p>
        </w:tc>
      </w:tr>
      <w:tr w14:paraId="73AF4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Align w:val="top"/>
          </w:tcPr>
          <w:p w14:paraId="4F46DAA2">
            <w:pPr>
              <w:spacing w:before="121" w:line="188" w:lineRule="auto"/>
              <w:ind w:left="183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Q≥100</w:t>
            </w:r>
          </w:p>
        </w:tc>
        <w:tc>
          <w:tcPr>
            <w:tcW w:w="1049" w:type="dxa"/>
            <w:vAlign w:val="top"/>
          </w:tcPr>
          <w:p w14:paraId="442B8970">
            <w:pPr>
              <w:spacing w:before="121"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49" w:type="dxa"/>
            <w:vAlign w:val="top"/>
          </w:tcPr>
          <w:p w14:paraId="336EC8C7">
            <w:pPr>
              <w:spacing w:before="121"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50" w:type="dxa"/>
            <w:vAlign w:val="top"/>
          </w:tcPr>
          <w:p w14:paraId="1D3A55EF">
            <w:pPr>
              <w:spacing w:before="121"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59" w:type="dxa"/>
            <w:vAlign w:val="top"/>
          </w:tcPr>
          <w:p w14:paraId="3C97413F">
            <w:pPr>
              <w:spacing w:before="121"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r>
      <w:tr w14:paraId="52F0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317" w:type="dxa"/>
            <w:vAlign w:val="top"/>
          </w:tcPr>
          <w:p w14:paraId="7A0563FD">
            <w:pPr>
              <w:pStyle w:val="6"/>
              <w:spacing w:before="79" w:line="212" w:lineRule="auto"/>
              <w:ind w:left="1613"/>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10≤Q</w:t>
            </w:r>
            <w:r>
              <w:rPr>
                <w:spacing w:val="-4"/>
                <w:sz w:val="24"/>
                <w:szCs w:val="24"/>
              </w:rPr>
              <w:t>＜</w:t>
            </w:r>
            <w:r>
              <w:rPr>
                <w:rFonts w:ascii="Times New Roman" w:hAnsi="Times New Roman" w:eastAsia="Times New Roman" w:cs="Times New Roman"/>
                <w:spacing w:val="-4"/>
                <w:sz w:val="24"/>
                <w:szCs w:val="24"/>
              </w:rPr>
              <w:t>100</w:t>
            </w:r>
          </w:p>
        </w:tc>
        <w:tc>
          <w:tcPr>
            <w:tcW w:w="1049" w:type="dxa"/>
            <w:vAlign w:val="top"/>
          </w:tcPr>
          <w:p w14:paraId="067D9824">
            <w:pPr>
              <w:spacing w:before="120"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P1</w:t>
            </w:r>
          </w:p>
        </w:tc>
        <w:tc>
          <w:tcPr>
            <w:tcW w:w="1049" w:type="dxa"/>
            <w:vAlign w:val="top"/>
          </w:tcPr>
          <w:p w14:paraId="4DCE5FC5">
            <w:pPr>
              <w:spacing w:before="120"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50" w:type="dxa"/>
            <w:vAlign w:val="top"/>
          </w:tcPr>
          <w:p w14:paraId="0863EEA1">
            <w:pPr>
              <w:spacing w:before="120"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059" w:type="dxa"/>
            <w:vAlign w:val="top"/>
          </w:tcPr>
          <w:p w14:paraId="6C87B0B6">
            <w:pPr>
              <w:spacing w:before="120"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r>
      <w:tr w14:paraId="049D7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317" w:type="dxa"/>
            <w:vAlign w:val="top"/>
          </w:tcPr>
          <w:p w14:paraId="01A8C5E1">
            <w:pPr>
              <w:pStyle w:val="6"/>
              <w:spacing w:before="81" w:line="210" w:lineRule="auto"/>
              <w:ind w:left="173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1≤Q</w:t>
            </w:r>
            <w:r>
              <w:rPr>
                <w:spacing w:val="-5"/>
                <w:sz w:val="24"/>
                <w:szCs w:val="24"/>
              </w:rPr>
              <w:t>＜</w:t>
            </w:r>
            <w:r>
              <w:rPr>
                <w:rFonts w:ascii="Times New Roman" w:hAnsi="Times New Roman" w:eastAsia="Times New Roman" w:cs="Times New Roman"/>
                <w:spacing w:val="-5"/>
                <w:sz w:val="24"/>
                <w:szCs w:val="24"/>
              </w:rPr>
              <w:t>10</w:t>
            </w:r>
          </w:p>
        </w:tc>
        <w:tc>
          <w:tcPr>
            <w:tcW w:w="1049" w:type="dxa"/>
            <w:vAlign w:val="top"/>
          </w:tcPr>
          <w:p w14:paraId="4DA22E36">
            <w:pPr>
              <w:spacing w:before="122"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P2</w:t>
            </w:r>
          </w:p>
        </w:tc>
        <w:tc>
          <w:tcPr>
            <w:tcW w:w="1049" w:type="dxa"/>
            <w:vAlign w:val="top"/>
          </w:tcPr>
          <w:p w14:paraId="6805DF6F">
            <w:pPr>
              <w:spacing w:before="122"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050" w:type="dxa"/>
            <w:vAlign w:val="top"/>
          </w:tcPr>
          <w:p w14:paraId="75590394">
            <w:pPr>
              <w:spacing w:before="122" w:line="188" w:lineRule="auto"/>
              <w:ind w:left="4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c>
          <w:tcPr>
            <w:tcW w:w="1059" w:type="dxa"/>
            <w:vAlign w:val="top"/>
          </w:tcPr>
          <w:p w14:paraId="583DF5C0">
            <w:pPr>
              <w:spacing w:before="122" w:line="188" w:lineRule="auto"/>
              <w:ind w:left="4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P4</w:t>
            </w:r>
          </w:p>
        </w:tc>
      </w:tr>
    </w:tbl>
    <w:p w14:paraId="3580CE24">
      <w:pPr>
        <w:spacing w:before="197" w:line="219" w:lineRule="auto"/>
        <w:ind w:left="686"/>
        <w:rPr>
          <w:rFonts w:ascii="宋体" w:hAnsi="宋体" w:eastAsia="宋体" w:cs="宋体"/>
          <w:sz w:val="28"/>
          <w:szCs w:val="28"/>
        </w:rPr>
      </w:pPr>
      <w:r>
        <w:rPr>
          <w:rFonts w:ascii="宋体" w:hAnsi="宋体" w:eastAsia="宋体" w:cs="宋体"/>
          <w:spacing w:val="-1"/>
          <w:sz w:val="28"/>
          <w:szCs w:val="28"/>
        </w:rPr>
        <w:t>综上所述，本项目危险物质及工艺系统危险性为</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P3</w:t>
      </w:r>
      <w:r>
        <w:rPr>
          <w:rFonts w:ascii="宋体" w:hAnsi="宋体" w:eastAsia="宋体" w:cs="宋体"/>
          <w:spacing w:val="-1"/>
          <w:sz w:val="28"/>
          <w:szCs w:val="28"/>
        </w:rPr>
        <w:t>。</w:t>
      </w:r>
    </w:p>
    <w:p w14:paraId="64E98025">
      <w:pPr>
        <w:spacing w:before="212"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）环境敏感程度（</w:t>
      </w:r>
      <w:r>
        <w:rPr>
          <w:rFonts w:ascii="Times New Roman" w:hAnsi="Times New Roman" w:eastAsia="Times New Roman" w:cs="Times New Roman"/>
          <w:spacing w:val="-2"/>
          <w:sz w:val="28"/>
          <w:szCs w:val="28"/>
        </w:rPr>
        <w:t>E</w:t>
      </w:r>
      <w:r>
        <w:rPr>
          <w:rFonts w:ascii="宋体" w:hAnsi="宋体" w:eastAsia="宋体" w:cs="宋体"/>
          <w:spacing w:val="-2"/>
          <w:sz w:val="28"/>
          <w:szCs w:val="28"/>
        </w:rPr>
        <w:t>）</w:t>
      </w:r>
    </w:p>
    <w:p w14:paraId="4684222B">
      <w:pPr>
        <w:spacing w:before="209" w:line="361" w:lineRule="auto"/>
        <w:ind w:left="127" w:right="30" w:firstLine="550"/>
        <w:rPr>
          <w:rFonts w:ascii="宋体" w:hAnsi="宋体" w:eastAsia="宋体" w:cs="宋体"/>
          <w:sz w:val="28"/>
          <w:szCs w:val="28"/>
        </w:rPr>
      </w:pPr>
      <w:r>
        <w:rPr>
          <w:rFonts w:ascii="Times New Roman" w:hAnsi="Times New Roman" w:eastAsia="Times New Roman" w:cs="Times New Roman"/>
          <w:spacing w:val="-4"/>
          <w:sz w:val="28"/>
          <w:szCs w:val="28"/>
        </w:rPr>
        <w:t>E</w:t>
      </w:r>
      <w:r>
        <w:rPr>
          <w:rFonts w:ascii="Times New Roman" w:hAnsi="Times New Roman" w:eastAsia="Times New Roman" w:cs="Times New Roman"/>
          <w:spacing w:val="51"/>
          <w:sz w:val="28"/>
          <w:szCs w:val="28"/>
        </w:rPr>
        <w:t xml:space="preserve"> </w:t>
      </w:r>
      <w:r>
        <w:rPr>
          <w:rFonts w:ascii="宋体" w:hAnsi="宋体" w:eastAsia="宋体" w:cs="宋体"/>
          <w:spacing w:val="-4"/>
          <w:sz w:val="28"/>
          <w:szCs w:val="28"/>
        </w:rPr>
        <w:t>的分级确定：分析危险物质在事故情形下的环境影响途径，如</w:t>
      </w:r>
      <w:r>
        <w:rPr>
          <w:rFonts w:ascii="宋体" w:hAnsi="宋体" w:eastAsia="宋体" w:cs="宋体"/>
          <w:sz w:val="28"/>
          <w:szCs w:val="28"/>
        </w:rPr>
        <w:t xml:space="preserve"> </w:t>
      </w:r>
      <w:r>
        <w:rPr>
          <w:rFonts w:ascii="宋体" w:hAnsi="宋体" w:eastAsia="宋体" w:cs="宋体"/>
          <w:spacing w:val="-1"/>
          <w:sz w:val="28"/>
          <w:szCs w:val="28"/>
        </w:rPr>
        <w:t>大气、地表水、地下水等，按照《建设项目环境风险评价技术导则》</w:t>
      </w:r>
    </w:p>
    <w:p w14:paraId="235A4244">
      <w:pPr>
        <w:spacing w:line="361" w:lineRule="auto"/>
        <w:rPr>
          <w:rFonts w:ascii="宋体" w:hAnsi="宋体" w:eastAsia="宋体" w:cs="宋体"/>
          <w:sz w:val="28"/>
          <w:szCs w:val="28"/>
        </w:rPr>
        <w:sectPr>
          <w:footerReference r:id="rId99" w:type="default"/>
          <w:pgSz w:w="11906" w:h="16839"/>
          <w:pgMar w:top="400" w:right="1687" w:bottom="1259" w:left="1687" w:header="0" w:footer="1097" w:gutter="0"/>
          <w:cols w:space="720" w:num="1"/>
        </w:sectPr>
      </w:pPr>
    </w:p>
    <w:p w14:paraId="4FEEDDCD">
      <w:pPr>
        <w:pStyle w:val="2"/>
        <w:spacing w:line="245" w:lineRule="auto"/>
      </w:pPr>
    </w:p>
    <w:p w14:paraId="134A3CE5">
      <w:pPr>
        <w:pStyle w:val="2"/>
        <w:spacing w:line="246" w:lineRule="auto"/>
      </w:pPr>
    </w:p>
    <w:p w14:paraId="52D9ABCA">
      <w:pPr>
        <w:pStyle w:val="2"/>
        <w:spacing w:line="246" w:lineRule="auto"/>
      </w:pPr>
    </w:p>
    <w:p w14:paraId="136D9DBA">
      <w:pPr>
        <w:pStyle w:val="2"/>
        <w:spacing w:line="246" w:lineRule="auto"/>
      </w:pPr>
    </w:p>
    <w:p w14:paraId="27C124B7">
      <w:pPr>
        <w:spacing w:before="91" w:line="359" w:lineRule="auto"/>
        <w:ind w:left="128" w:right="112" w:firstLine="3"/>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HJ169-2018</w:t>
      </w:r>
      <w:r>
        <w:rPr>
          <w:rFonts w:ascii="宋体" w:hAnsi="宋体" w:eastAsia="宋体" w:cs="宋体"/>
          <w:spacing w:val="-2"/>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2"/>
          <w:sz w:val="28"/>
          <w:szCs w:val="28"/>
        </w:rPr>
        <w:t xml:space="preserve">D </w:t>
      </w:r>
      <w:r>
        <w:rPr>
          <w:rFonts w:ascii="宋体" w:hAnsi="宋体" w:eastAsia="宋体" w:cs="宋体"/>
          <w:spacing w:val="-2"/>
          <w:sz w:val="28"/>
          <w:szCs w:val="28"/>
        </w:rPr>
        <w:t>对建设项目各要素环境敏感程度（</w:t>
      </w:r>
      <w:r>
        <w:rPr>
          <w:rFonts w:ascii="Times New Roman" w:hAnsi="Times New Roman" w:eastAsia="Times New Roman" w:cs="Times New Roman"/>
          <w:spacing w:val="-2"/>
          <w:sz w:val="28"/>
          <w:szCs w:val="28"/>
        </w:rPr>
        <w:t>E</w:t>
      </w:r>
      <w:r>
        <w:rPr>
          <w:rFonts w:ascii="宋体" w:hAnsi="宋体" w:eastAsia="宋体" w:cs="宋体"/>
          <w:spacing w:val="-2"/>
          <w:sz w:val="28"/>
          <w:szCs w:val="28"/>
        </w:rPr>
        <w:t>）等级进</w:t>
      </w:r>
      <w:r>
        <w:rPr>
          <w:rFonts w:ascii="宋体" w:hAnsi="宋体" w:eastAsia="宋体" w:cs="宋体"/>
          <w:sz w:val="28"/>
          <w:szCs w:val="28"/>
        </w:rPr>
        <w:t xml:space="preserve"> </w:t>
      </w:r>
      <w:r>
        <w:rPr>
          <w:rFonts w:ascii="宋体" w:hAnsi="宋体" w:eastAsia="宋体" w:cs="宋体"/>
          <w:spacing w:val="-4"/>
          <w:sz w:val="28"/>
          <w:szCs w:val="28"/>
        </w:rPr>
        <w:t>行判断。</w:t>
      </w:r>
    </w:p>
    <w:p w14:paraId="5FDB88DF">
      <w:pPr>
        <w:spacing w:before="1" w:line="217" w:lineRule="auto"/>
        <w:ind w:left="681"/>
        <w:rPr>
          <w:rFonts w:ascii="宋体" w:hAnsi="宋体" w:eastAsia="宋体" w:cs="宋体"/>
          <w:sz w:val="28"/>
          <w:szCs w:val="28"/>
        </w:rPr>
      </w:pPr>
      <w:r>
        <w:rPr>
          <w:rFonts w:ascii="宋体" w:hAnsi="宋体" w:eastAsia="宋体" w:cs="宋体"/>
          <w:spacing w:val="-2"/>
          <w:sz w:val="28"/>
          <w:szCs w:val="28"/>
        </w:rPr>
        <w:t>①大气环境</w:t>
      </w:r>
    </w:p>
    <w:p w14:paraId="4AB9FA79">
      <w:pPr>
        <w:spacing w:before="214" w:line="358" w:lineRule="auto"/>
        <w:ind w:left="118" w:right="36" w:firstLine="566"/>
        <w:rPr>
          <w:rFonts w:ascii="宋体" w:hAnsi="宋体" w:eastAsia="宋体" w:cs="宋体"/>
          <w:sz w:val="28"/>
          <w:szCs w:val="28"/>
        </w:rPr>
      </w:pPr>
      <w:r>
        <w:rPr>
          <w:rFonts w:ascii="宋体" w:hAnsi="宋体" w:eastAsia="宋体" w:cs="宋体"/>
          <w:spacing w:val="6"/>
          <w:sz w:val="28"/>
          <w:szCs w:val="28"/>
        </w:rPr>
        <w:t>依据环境敏感目标环境敏感性及人口密度划分环境风险受体的</w:t>
      </w:r>
      <w:r>
        <w:rPr>
          <w:rFonts w:ascii="宋体" w:hAnsi="宋体" w:eastAsia="宋体" w:cs="宋体"/>
          <w:spacing w:val="11"/>
          <w:sz w:val="28"/>
          <w:szCs w:val="28"/>
        </w:rPr>
        <w:t xml:space="preserve"> </w:t>
      </w:r>
      <w:r>
        <w:rPr>
          <w:rFonts w:ascii="宋体" w:hAnsi="宋体" w:eastAsia="宋体" w:cs="宋体"/>
          <w:spacing w:val="-7"/>
          <w:sz w:val="28"/>
          <w:szCs w:val="28"/>
        </w:rPr>
        <w:t>敏感性，共分三种类型，</w:t>
      </w:r>
      <w:r>
        <w:rPr>
          <w:rFonts w:ascii="Times New Roman" w:hAnsi="Times New Roman" w:eastAsia="Times New Roman" w:cs="Times New Roman"/>
          <w:spacing w:val="-7"/>
          <w:sz w:val="28"/>
          <w:szCs w:val="28"/>
        </w:rPr>
        <w:t xml:space="preserve">E1 </w:t>
      </w:r>
      <w:r>
        <w:rPr>
          <w:rFonts w:ascii="宋体" w:hAnsi="宋体" w:eastAsia="宋体" w:cs="宋体"/>
          <w:spacing w:val="-7"/>
          <w:sz w:val="28"/>
          <w:szCs w:val="28"/>
        </w:rPr>
        <w:t>为环境高敏感区，</w:t>
      </w:r>
      <w:r>
        <w:rPr>
          <w:rFonts w:ascii="Times New Roman" w:hAnsi="Times New Roman" w:eastAsia="Times New Roman" w:cs="Times New Roman"/>
          <w:spacing w:val="-7"/>
          <w:sz w:val="28"/>
          <w:szCs w:val="28"/>
        </w:rPr>
        <w:t xml:space="preserve">E2 </w:t>
      </w:r>
      <w:r>
        <w:rPr>
          <w:rFonts w:ascii="宋体" w:hAnsi="宋体" w:eastAsia="宋体" w:cs="宋体"/>
          <w:spacing w:val="-7"/>
          <w:sz w:val="28"/>
          <w:szCs w:val="28"/>
        </w:rPr>
        <w:t>为环境中度敏感区，</w:t>
      </w:r>
      <w:r>
        <w:rPr>
          <w:rFonts w:ascii="宋体" w:hAnsi="宋体" w:eastAsia="宋体" w:cs="宋体"/>
          <w:spacing w:val="11"/>
          <w:sz w:val="28"/>
          <w:szCs w:val="28"/>
        </w:rPr>
        <w:t xml:space="preserve"> </w:t>
      </w:r>
      <w:r>
        <w:rPr>
          <w:rFonts w:ascii="Times New Roman" w:hAnsi="Times New Roman" w:eastAsia="Times New Roman" w:cs="Times New Roman"/>
          <w:sz w:val="28"/>
          <w:szCs w:val="28"/>
        </w:rPr>
        <w:t xml:space="preserve">E3 </w:t>
      </w:r>
      <w:r>
        <w:rPr>
          <w:rFonts w:ascii="宋体" w:hAnsi="宋体" w:eastAsia="宋体" w:cs="宋体"/>
          <w:sz w:val="28"/>
          <w:szCs w:val="28"/>
        </w:rPr>
        <w:t>为环境低度敏感区，本项目大气环境敏感程度</w:t>
      </w:r>
      <w:r>
        <w:rPr>
          <w:rFonts w:ascii="宋体" w:hAnsi="宋体" w:eastAsia="宋体" w:cs="宋体"/>
          <w:spacing w:val="-1"/>
          <w:sz w:val="28"/>
          <w:szCs w:val="28"/>
        </w:rPr>
        <w:t>分级见下表。</w:t>
      </w:r>
    </w:p>
    <w:p w14:paraId="5B4878AD">
      <w:pPr>
        <w:spacing w:line="219" w:lineRule="auto"/>
        <w:ind w:left="254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3.2-6    </w:t>
      </w:r>
      <w:r>
        <w:rPr>
          <w:rFonts w:ascii="宋体" w:hAnsi="宋体" w:eastAsia="宋体" w:cs="宋体"/>
          <w:b/>
          <w:bCs/>
          <w:spacing w:val="-2"/>
          <w:sz w:val="24"/>
          <w:szCs w:val="24"/>
        </w:rPr>
        <w:t>大气环境敏感程度分级</w:t>
      </w:r>
    </w:p>
    <w:p w14:paraId="130ACEA6">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5795"/>
        <w:gridCol w:w="1979"/>
      </w:tblGrid>
      <w:tr w14:paraId="41A72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52" w:type="dxa"/>
            <w:vAlign w:val="top"/>
          </w:tcPr>
          <w:p w14:paraId="1863FA47">
            <w:pPr>
              <w:pStyle w:val="6"/>
              <w:spacing w:before="40" w:line="207" w:lineRule="auto"/>
              <w:ind w:left="146"/>
              <w:rPr>
                <w:sz w:val="24"/>
                <w:szCs w:val="24"/>
              </w:rPr>
            </w:pPr>
            <w:r>
              <w:rPr>
                <w:spacing w:val="-7"/>
                <w:sz w:val="24"/>
                <w:szCs w:val="24"/>
              </w:rPr>
              <w:t>分级</w:t>
            </w:r>
          </w:p>
        </w:tc>
        <w:tc>
          <w:tcPr>
            <w:tcW w:w="5795" w:type="dxa"/>
            <w:vAlign w:val="top"/>
          </w:tcPr>
          <w:p w14:paraId="55808D9B">
            <w:pPr>
              <w:pStyle w:val="6"/>
              <w:spacing w:before="40" w:line="207" w:lineRule="auto"/>
              <w:ind w:left="2068"/>
              <w:rPr>
                <w:sz w:val="24"/>
                <w:szCs w:val="24"/>
              </w:rPr>
            </w:pPr>
            <w:r>
              <w:rPr>
                <w:spacing w:val="-2"/>
                <w:sz w:val="24"/>
                <w:szCs w:val="24"/>
              </w:rPr>
              <w:t>大气环境敏感性</w:t>
            </w:r>
          </w:p>
        </w:tc>
        <w:tc>
          <w:tcPr>
            <w:tcW w:w="1979" w:type="dxa"/>
            <w:vAlign w:val="top"/>
          </w:tcPr>
          <w:p w14:paraId="151E9E5C">
            <w:pPr>
              <w:pStyle w:val="6"/>
              <w:spacing w:before="40" w:line="207" w:lineRule="auto"/>
              <w:ind w:left="636"/>
              <w:rPr>
                <w:sz w:val="24"/>
                <w:szCs w:val="24"/>
              </w:rPr>
            </w:pPr>
            <w:r>
              <w:rPr>
                <w:spacing w:val="-4"/>
                <w:sz w:val="24"/>
                <w:szCs w:val="24"/>
              </w:rPr>
              <w:t>本项目</w:t>
            </w:r>
          </w:p>
        </w:tc>
      </w:tr>
      <w:tr w14:paraId="5D333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52" w:type="dxa"/>
            <w:vAlign w:val="top"/>
          </w:tcPr>
          <w:p w14:paraId="4E9F0A9C">
            <w:pPr>
              <w:spacing w:line="314" w:lineRule="auto"/>
              <w:rPr>
                <w:rFonts w:ascii="Arial"/>
                <w:sz w:val="21"/>
              </w:rPr>
            </w:pPr>
          </w:p>
          <w:p w14:paraId="124E11E7">
            <w:pPr>
              <w:spacing w:line="314" w:lineRule="auto"/>
              <w:rPr>
                <w:rFonts w:ascii="Arial"/>
                <w:sz w:val="21"/>
              </w:rPr>
            </w:pPr>
          </w:p>
          <w:p w14:paraId="4DACE1AB">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5795" w:type="dxa"/>
            <w:vAlign w:val="top"/>
          </w:tcPr>
          <w:p w14:paraId="3D821916">
            <w:pPr>
              <w:pStyle w:val="6"/>
              <w:spacing w:before="37" w:line="219" w:lineRule="auto"/>
              <w:jc w:val="right"/>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p>
          <w:p w14:paraId="4684C607">
            <w:pPr>
              <w:pStyle w:val="6"/>
              <w:spacing w:before="24" w:line="219" w:lineRule="auto"/>
              <w:ind w:left="149"/>
              <w:rPr>
                <w:sz w:val="24"/>
                <w:szCs w:val="24"/>
              </w:rPr>
            </w:pPr>
            <w:r>
              <w:rPr>
                <w:spacing w:val="-2"/>
                <w:sz w:val="24"/>
                <w:szCs w:val="24"/>
              </w:rPr>
              <w:t>行政办公等机构人口总数大于</w:t>
            </w:r>
            <w:r>
              <w:rPr>
                <w:spacing w:val="-44"/>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w w:val="101"/>
                <w:sz w:val="24"/>
                <w:szCs w:val="24"/>
              </w:rPr>
              <w:t xml:space="preserve"> </w:t>
            </w:r>
            <w:r>
              <w:rPr>
                <w:spacing w:val="-2"/>
                <w:sz w:val="24"/>
                <w:szCs w:val="24"/>
              </w:rPr>
              <w:t>万人，或其他需要特</w:t>
            </w:r>
          </w:p>
          <w:p w14:paraId="129FE692">
            <w:pPr>
              <w:pStyle w:val="6"/>
              <w:spacing w:before="28" w:line="219" w:lineRule="auto"/>
              <w:ind w:left="113"/>
              <w:rPr>
                <w:rFonts w:ascii="Times New Roman" w:hAnsi="Times New Roman" w:eastAsia="Times New Roman" w:cs="Times New Roman"/>
                <w:sz w:val="24"/>
                <w:szCs w:val="24"/>
              </w:rPr>
            </w:pPr>
            <w:r>
              <w:rPr>
                <w:spacing w:val="-2"/>
                <w:sz w:val="24"/>
                <w:szCs w:val="24"/>
              </w:rPr>
              <w:t>殊保护区域；或周边</w:t>
            </w:r>
            <w:r>
              <w:rPr>
                <w:spacing w:val="-47"/>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范围内人口总数大于</w:t>
            </w:r>
            <w:r>
              <w:rPr>
                <w:spacing w:val="-32"/>
                <w:sz w:val="24"/>
                <w:szCs w:val="24"/>
              </w:rPr>
              <w:t xml:space="preserve"> </w:t>
            </w:r>
            <w:r>
              <w:rPr>
                <w:rFonts w:ascii="Times New Roman" w:hAnsi="Times New Roman" w:eastAsia="Times New Roman" w:cs="Times New Roman"/>
                <w:spacing w:val="-2"/>
                <w:sz w:val="24"/>
                <w:szCs w:val="24"/>
              </w:rPr>
              <w:t>1000</w:t>
            </w:r>
          </w:p>
          <w:p w14:paraId="3EB703FD">
            <w:pPr>
              <w:pStyle w:val="6"/>
              <w:spacing w:before="24" w:line="219" w:lineRule="auto"/>
              <w:ind w:left="173"/>
              <w:rPr>
                <w:sz w:val="24"/>
                <w:szCs w:val="24"/>
              </w:rPr>
            </w:pPr>
            <w:r>
              <w:rPr>
                <w:spacing w:val="-1"/>
                <w:sz w:val="24"/>
                <w:szCs w:val="24"/>
              </w:rPr>
              <w:t>人；油气、化学品输送管线管段周边</w:t>
            </w:r>
            <w:r>
              <w:rPr>
                <w:spacing w:val="-50"/>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w:t>
            </w:r>
          </w:p>
          <w:p w14:paraId="6F762B09">
            <w:pPr>
              <w:pStyle w:val="6"/>
              <w:spacing w:before="27" w:line="207" w:lineRule="auto"/>
              <w:ind w:left="1345"/>
              <w:rPr>
                <w:sz w:val="24"/>
                <w:szCs w:val="24"/>
              </w:rPr>
            </w:pPr>
            <w:r>
              <w:rPr>
                <w:spacing w:val="-1"/>
                <w:sz w:val="24"/>
                <w:szCs w:val="24"/>
              </w:rPr>
              <w:t>每千米管段人口数大于</w:t>
            </w:r>
            <w:r>
              <w:rPr>
                <w:spacing w:val="-45"/>
                <w:sz w:val="24"/>
                <w:szCs w:val="24"/>
              </w:rPr>
              <w:t xml:space="preserve"> </w:t>
            </w:r>
            <w:r>
              <w:rPr>
                <w:rFonts w:ascii="Times New Roman" w:hAnsi="Times New Roman" w:eastAsia="Times New Roman" w:cs="Times New Roman"/>
                <w:spacing w:val="-1"/>
                <w:sz w:val="24"/>
                <w:szCs w:val="24"/>
              </w:rPr>
              <w:t xml:space="preserve">200 </w:t>
            </w:r>
            <w:r>
              <w:rPr>
                <w:spacing w:val="-1"/>
                <w:sz w:val="24"/>
                <w:szCs w:val="24"/>
              </w:rPr>
              <w:t>人</w:t>
            </w:r>
          </w:p>
        </w:tc>
        <w:tc>
          <w:tcPr>
            <w:tcW w:w="1979" w:type="dxa"/>
            <w:vMerge w:val="restart"/>
            <w:tcBorders>
              <w:bottom w:val="nil"/>
            </w:tcBorders>
            <w:vAlign w:val="top"/>
          </w:tcPr>
          <w:p w14:paraId="60CA448D">
            <w:pPr>
              <w:spacing w:line="293" w:lineRule="auto"/>
              <w:rPr>
                <w:rFonts w:ascii="Arial"/>
                <w:sz w:val="21"/>
              </w:rPr>
            </w:pPr>
          </w:p>
          <w:p w14:paraId="226139AB">
            <w:pPr>
              <w:spacing w:line="293" w:lineRule="auto"/>
              <w:rPr>
                <w:rFonts w:ascii="Arial"/>
                <w:sz w:val="21"/>
              </w:rPr>
            </w:pPr>
          </w:p>
          <w:p w14:paraId="2396E1F7">
            <w:pPr>
              <w:pStyle w:val="6"/>
              <w:spacing w:before="78" w:line="219" w:lineRule="auto"/>
              <w:ind w:left="156"/>
              <w:rPr>
                <w:sz w:val="24"/>
                <w:szCs w:val="24"/>
              </w:rPr>
            </w:pPr>
            <w:r>
              <w:rPr>
                <w:spacing w:val="-2"/>
                <w:sz w:val="24"/>
                <w:szCs w:val="24"/>
              </w:rPr>
              <w:t>本项目位于棋盘</w:t>
            </w:r>
          </w:p>
          <w:p w14:paraId="7804D789">
            <w:pPr>
              <w:pStyle w:val="6"/>
              <w:spacing w:before="25" w:line="220" w:lineRule="auto"/>
              <w:ind w:left="155"/>
              <w:rPr>
                <w:sz w:val="24"/>
                <w:szCs w:val="24"/>
              </w:rPr>
            </w:pPr>
            <w:r>
              <w:rPr>
                <w:spacing w:val="-2"/>
                <w:sz w:val="24"/>
                <w:szCs w:val="24"/>
              </w:rPr>
              <w:t>井工业园棋西项</w:t>
            </w:r>
          </w:p>
          <w:p w14:paraId="0994A112">
            <w:pPr>
              <w:pStyle w:val="6"/>
              <w:spacing w:before="25" w:line="219" w:lineRule="auto"/>
              <w:ind w:left="201"/>
              <w:rPr>
                <w:sz w:val="24"/>
                <w:szCs w:val="24"/>
              </w:rPr>
            </w:pPr>
            <w:r>
              <w:rPr>
                <w:spacing w:val="-8"/>
                <w:sz w:val="24"/>
                <w:szCs w:val="24"/>
              </w:rPr>
              <w:t>目区，拟建场址</w:t>
            </w:r>
          </w:p>
          <w:p w14:paraId="0E92EB61">
            <w:pPr>
              <w:pStyle w:val="6"/>
              <w:spacing w:before="27" w:line="221" w:lineRule="auto"/>
              <w:ind w:left="156"/>
              <w:rPr>
                <w:sz w:val="24"/>
                <w:szCs w:val="24"/>
              </w:rPr>
            </w:pPr>
            <w:r>
              <w:rPr>
                <w:spacing w:val="-2"/>
                <w:sz w:val="24"/>
                <w:szCs w:val="24"/>
              </w:rPr>
              <w:t>周边多为空地、</w:t>
            </w:r>
          </w:p>
          <w:p w14:paraId="68EAC44E">
            <w:pPr>
              <w:pStyle w:val="6"/>
              <w:spacing w:before="25" w:line="220" w:lineRule="auto"/>
              <w:ind w:left="156"/>
              <w:rPr>
                <w:sz w:val="24"/>
                <w:szCs w:val="24"/>
              </w:rPr>
            </w:pPr>
            <w:r>
              <w:rPr>
                <w:spacing w:val="-2"/>
                <w:sz w:val="24"/>
                <w:szCs w:val="24"/>
              </w:rPr>
              <w:t>其他工业企业，</w:t>
            </w:r>
          </w:p>
          <w:p w14:paraId="0EC24A9E">
            <w:pPr>
              <w:pStyle w:val="6"/>
              <w:spacing w:before="24" w:line="220" w:lineRule="auto"/>
              <w:ind w:left="154"/>
              <w:rPr>
                <w:sz w:val="24"/>
                <w:szCs w:val="24"/>
              </w:rPr>
            </w:pPr>
            <w:r>
              <w:rPr>
                <w:spacing w:val="-2"/>
                <w:sz w:val="24"/>
                <w:szCs w:val="24"/>
              </w:rPr>
              <w:t>距离西鄂尔多斯</w:t>
            </w:r>
          </w:p>
          <w:p w14:paraId="6FB6228E">
            <w:pPr>
              <w:pStyle w:val="6"/>
              <w:spacing w:before="26" w:line="220" w:lineRule="auto"/>
              <w:ind w:left="195"/>
              <w:rPr>
                <w:sz w:val="24"/>
                <w:szCs w:val="24"/>
              </w:rPr>
            </w:pPr>
            <w:r>
              <w:rPr>
                <w:spacing w:val="-7"/>
                <w:sz w:val="24"/>
                <w:szCs w:val="24"/>
              </w:rPr>
              <w:t>自然保护区实验</w:t>
            </w:r>
          </w:p>
          <w:p w14:paraId="2A1A16E5">
            <w:pPr>
              <w:pStyle w:val="6"/>
              <w:spacing w:before="23" w:line="219" w:lineRule="auto"/>
              <w:ind w:left="293"/>
              <w:rPr>
                <w:sz w:val="24"/>
                <w:szCs w:val="24"/>
              </w:rPr>
            </w:pPr>
            <w:r>
              <w:rPr>
                <w:spacing w:val="-5"/>
                <w:sz w:val="24"/>
                <w:szCs w:val="24"/>
              </w:rPr>
              <w:t>区最近距离为</w:t>
            </w:r>
          </w:p>
          <w:p w14:paraId="17712332">
            <w:pPr>
              <w:pStyle w:val="6"/>
              <w:spacing w:before="27" w:line="220" w:lineRule="auto"/>
              <w:ind w:left="172"/>
              <w:rPr>
                <w:sz w:val="24"/>
                <w:szCs w:val="24"/>
              </w:rPr>
            </w:pPr>
            <w:r>
              <w:rPr>
                <w:rFonts w:ascii="Times New Roman" w:hAnsi="Times New Roman" w:eastAsia="Times New Roman" w:cs="Times New Roman"/>
                <w:spacing w:val="-6"/>
                <w:sz w:val="24"/>
                <w:szCs w:val="24"/>
              </w:rPr>
              <w:t>1.85km</w:t>
            </w:r>
            <w:r>
              <w:rPr>
                <w:rFonts w:ascii="Times New Roman" w:hAnsi="Times New Roman" w:eastAsia="Times New Roman" w:cs="Times New Roman"/>
                <w:spacing w:val="-31"/>
                <w:sz w:val="24"/>
                <w:szCs w:val="24"/>
              </w:rPr>
              <w:t xml:space="preserve"> </w:t>
            </w:r>
            <w:r>
              <w:rPr>
                <w:spacing w:val="-6"/>
                <w:sz w:val="24"/>
                <w:szCs w:val="24"/>
              </w:rPr>
              <w:t>，大气环</w:t>
            </w:r>
          </w:p>
          <w:p w14:paraId="4824E7A5">
            <w:pPr>
              <w:pStyle w:val="6"/>
              <w:spacing w:before="27" w:line="219" w:lineRule="auto"/>
              <w:ind w:left="118"/>
              <w:rPr>
                <w:sz w:val="24"/>
                <w:szCs w:val="24"/>
              </w:rPr>
            </w:pPr>
            <w:r>
              <w:rPr>
                <w:spacing w:val="-2"/>
                <w:sz w:val="24"/>
                <w:szCs w:val="24"/>
              </w:rPr>
              <w:t>境敏感性为</w:t>
            </w:r>
            <w:r>
              <w:rPr>
                <w:spacing w:val="-55"/>
                <w:sz w:val="24"/>
                <w:szCs w:val="24"/>
              </w:rPr>
              <w:t xml:space="preserve"> </w:t>
            </w:r>
            <w:r>
              <w:rPr>
                <w:rFonts w:ascii="Times New Roman" w:hAnsi="Times New Roman" w:eastAsia="Times New Roman" w:cs="Times New Roman"/>
                <w:spacing w:val="-2"/>
                <w:sz w:val="24"/>
                <w:szCs w:val="24"/>
              </w:rPr>
              <w:t>E1</w:t>
            </w:r>
            <w:r>
              <w:rPr>
                <w:spacing w:val="-2"/>
                <w:sz w:val="24"/>
                <w:szCs w:val="24"/>
              </w:rPr>
              <w:t>。</w:t>
            </w:r>
          </w:p>
        </w:tc>
      </w:tr>
      <w:tr w14:paraId="2F9E8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9" w:hRule="atLeast"/>
        </w:trPr>
        <w:tc>
          <w:tcPr>
            <w:tcW w:w="752" w:type="dxa"/>
            <w:vAlign w:val="top"/>
          </w:tcPr>
          <w:p w14:paraId="622C1D14">
            <w:pPr>
              <w:spacing w:line="314" w:lineRule="auto"/>
              <w:rPr>
                <w:rFonts w:ascii="Arial"/>
                <w:sz w:val="21"/>
              </w:rPr>
            </w:pPr>
          </w:p>
          <w:p w14:paraId="2B98105B">
            <w:pPr>
              <w:spacing w:line="314" w:lineRule="auto"/>
              <w:rPr>
                <w:rFonts w:ascii="Arial"/>
                <w:sz w:val="21"/>
              </w:rPr>
            </w:pPr>
          </w:p>
          <w:p w14:paraId="33A0CAA2">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5795" w:type="dxa"/>
            <w:vAlign w:val="top"/>
          </w:tcPr>
          <w:p w14:paraId="1DC42542">
            <w:pPr>
              <w:pStyle w:val="6"/>
              <w:spacing w:before="37" w:line="219" w:lineRule="auto"/>
              <w:jc w:val="right"/>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p>
          <w:p w14:paraId="4C27C55A">
            <w:pPr>
              <w:pStyle w:val="6"/>
              <w:spacing w:before="27" w:line="219" w:lineRule="auto"/>
              <w:ind w:left="149"/>
              <w:rPr>
                <w:sz w:val="24"/>
                <w:szCs w:val="24"/>
              </w:rPr>
            </w:pPr>
            <w:r>
              <w:rPr>
                <w:spacing w:val="-4"/>
                <w:sz w:val="24"/>
                <w:szCs w:val="24"/>
              </w:rPr>
              <w:t>行政办公等机构人口总数大于</w:t>
            </w:r>
            <w:r>
              <w:rPr>
                <w:spacing w:val="-24"/>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spacing w:val="-4"/>
                <w:sz w:val="24"/>
                <w:szCs w:val="24"/>
              </w:rPr>
              <w:t>万人，小于</w:t>
            </w:r>
            <w:r>
              <w:rPr>
                <w:spacing w:val="-49"/>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w w:val="101"/>
                <w:sz w:val="24"/>
                <w:szCs w:val="24"/>
              </w:rPr>
              <w:t xml:space="preserve"> </w:t>
            </w:r>
            <w:r>
              <w:rPr>
                <w:spacing w:val="-4"/>
                <w:sz w:val="24"/>
                <w:szCs w:val="24"/>
              </w:rPr>
              <w:t>万人；</w:t>
            </w:r>
          </w:p>
          <w:p w14:paraId="756E6519">
            <w:pPr>
              <w:pStyle w:val="6"/>
              <w:spacing w:before="25" w:line="219" w:lineRule="auto"/>
              <w:ind w:left="116"/>
              <w:rPr>
                <w:rFonts w:ascii="Times New Roman" w:hAnsi="Times New Roman" w:eastAsia="Times New Roman" w:cs="Times New Roman"/>
                <w:sz w:val="24"/>
                <w:szCs w:val="24"/>
              </w:rPr>
            </w:pPr>
            <w:r>
              <w:rPr>
                <w:spacing w:val="-2"/>
                <w:sz w:val="24"/>
                <w:szCs w:val="24"/>
              </w:rPr>
              <w:t>或周边</w:t>
            </w:r>
            <w:r>
              <w:rPr>
                <w:spacing w:val="-48"/>
                <w:sz w:val="24"/>
                <w:szCs w:val="24"/>
              </w:rPr>
              <w:t xml:space="preserve"> </w:t>
            </w:r>
            <w:r>
              <w:rPr>
                <w:rFonts w:ascii="Times New Roman" w:hAnsi="Times New Roman" w:eastAsia="Times New Roman" w:cs="Times New Roman"/>
                <w:spacing w:val="-2"/>
                <w:sz w:val="24"/>
                <w:szCs w:val="24"/>
              </w:rPr>
              <w:t xml:space="preserve">500m </w:t>
            </w:r>
            <w:r>
              <w:rPr>
                <w:spacing w:val="-2"/>
                <w:sz w:val="24"/>
                <w:szCs w:val="24"/>
              </w:rPr>
              <w:t>范围内人口总数大于</w:t>
            </w:r>
            <w:r>
              <w:rPr>
                <w:spacing w:val="-49"/>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pacing w:val="-3"/>
                <w:sz w:val="24"/>
                <w:szCs w:val="24"/>
              </w:rPr>
              <w:t xml:space="preserve"> </w:t>
            </w:r>
            <w:r>
              <w:rPr>
                <w:spacing w:val="-3"/>
                <w:sz w:val="24"/>
                <w:szCs w:val="24"/>
              </w:rPr>
              <w:t>人，小于</w:t>
            </w:r>
            <w:r>
              <w:rPr>
                <w:spacing w:val="-32"/>
                <w:sz w:val="24"/>
                <w:szCs w:val="24"/>
              </w:rPr>
              <w:t xml:space="preserve"> </w:t>
            </w:r>
            <w:r>
              <w:rPr>
                <w:rFonts w:ascii="Times New Roman" w:hAnsi="Times New Roman" w:eastAsia="Times New Roman" w:cs="Times New Roman"/>
                <w:spacing w:val="-3"/>
                <w:sz w:val="24"/>
                <w:szCs w:val="24"/>
              </w:rPr>
              <w:t>1000</w:t>
            </w:r>
          </w:p>
          <w:p w14:paraId="0303C304">
            <w:pPr>
              <w:pStyle w:val="6"/>
              <w:spacing w:before="27" w:line="219" w:lineRule="auto"/>
              <w:ind w:left="173"/>
              <w:rPr>
                <w:sz w:val="24"/>
                <w:szCs w:val="24"/>
              </w:rPr>
            </w:pPr>
            <w:r>
              <w:rPr>
                <w:spacing w:val="-1"/>
                <w:sz w:val="24"/>
                <w:szCs w:val="24"/>
              </w:rPr>
              <w:t>人；油气、化学品输送管线管段周边</w:t>
            </w:r>
            <w:r>
              <w:rPr>
                <w:spacing w:val="-50"/>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w:t>
            </w:r>
          </w:p>
          <w:p w14:paraId="1B48F998">
            <w:pPr>
              <w:pStyle w:val="6"/>
              <w:spacing w:before="27" w:line="204" w:lineRule="auto"/>
              <w:ind w:left="625"/>
              <w:rPr>
                <w:sz w:val="24"/>
                <w:szCs w:val="24"/>
              </w:rPr>
            </w:pPr>
            <w:r>
              <w:rPr>
                <w:spacing w:val="-2"/>
                <w:sz w:val="24"/>
                <w:szCs w:val="24"/>
              </w:rPr>
              <w:t>每千米管段人口数大于</w:t>
            </w:r>
            <w:r>
              <w:rPr>
                <w:spacing w:val="-19"/>
                <w:sz w:val="24"/>
                <w:szCs w:val="24"/>
              </w:rPr>
              <w:t xml:space="preserve"> </w:t>
            </w:r>
            <w:r>
              <w:rPr>
                <w:rFonts w:ascii="Times New Roman" w:hAnsi="Times New Roman" w:eastAsia="Times New Roman" w:cs="Times New Roman"/>
                <w:spacing w:val="-2"/>
                <w:sz w:val="24"/>
                <w:szCs w:val="24"/>
              </w:rPr>
              <w:t xml:space="preserve">100 </w:t>
            </w:r>
            <w:r>
              <w:rPr>
                <w:spacing w:val="-2"/>
                <w:sz w:val="24"/>
                <w:szCs w:val="24"/>
              </w:rPr>
              <w:t>人，小于</w:t>
            </w:r>
            <w:r>
              <w:rPr>
                <w:spacing w:val="-55"/>
                <w:sz w:val="24"/>
                <w:szCs w:val="24"/>
              </w:rPr>
              <w:t xml:space="preserve"> </w:t>
            </w:r>
            <w:r>
              <w:rPr>
                <w:rFonts w:ascii="Times New Roman" w:hAnsi="Times New Roman" w:eastAsia="Times New Roman" w:cs="Times New Roman"/>
                <w:spacing w:val="-2"/>
                <w:sz w:val="24"/>
                <w:szCs w:val="24"/>
              </w:rPr>
              <w:t xml:space="preserve">200 </w:t>
            </w:r>
            <w:r>
              <w:rPr>
                <w:spacing w:val="-2"/>
                <w:sz w:val="24"/>
                <w:szCs w:val="24"/>
              </w:rPr>
              <w:t>人</w:t>
            </w:r>
          </w:p>
        </w:tc>
        <w:tc>
          <w:tcPr>
            <w:tcW w:w="1979" w:type="dxa"/>
            <w:vMerge w:val="continue"/>
            <w:tcBorders>
              <w:top w:val="nil"/>
              <w:bottom w:val="nil"/>
            </w:tcBorders>
            <w:vAlign w:val="top"/>
          </w:tcPr>
          <w:p w14:paraId="391807CF">
            <w:pPr>
              <w:rPr>
                <w:rFonts w:ascii="Arial"/>
                <w:sz w:val="21"/>
              </w:rPr>
            </w:pPr>
          </w:p>
        </w:tc>
      </w:tr>
      <w:tr w14:paraId="3924C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752" w:type="dxa"/>
            <w:vAlign w:val="top"/>
          </w:tcPr>
          <w:p w14:paraId="115FC910">
            <w:pPr>
              <w:spacing w:line="476" w:lineRule="auto"/>
              <w:rPr>
                <w:rFonts w:ascii="Arial"/>
                <w:sz w:val="21"/>
              </w:rPr>
            </w:pPr>
          </w:p>
          <w:p w14:paraId="1BE0EEE4">
            <w:pPr>
              <w:spacing w:before="69" w:line="188" w:lineRule="auto"/>
              <w:ind w:left="24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5795" w:type="dxa"/>
            <w:vAlign w:val="top"/>
          </w:tcPr>
          <w:p w14:paraId="5A44E7E9">
            <w:pPr>
              <w:pStyle w:val="6"/>
              <w:spacing w:before="42" w:line="231" w:lineRule="auto"/>
              <w:ind w:left="116" w:right="22" w:hanging="2"/>
              <w:jc w:val="both"/>
              <w:rPr>
                <w:sz w:val="24"/>
                <w:szCs w:val="24"/>
              </w:rPr>
            </w:pPr>
            <w:r>
              <w:rPr>
                <w:spacing w:val="-8"/>
                <w:sz w:val="24"/>
                <w:szCs w:val="24"/>
              </w:rPr>
              <w:t>周边</w:t>
            </w:r>
            <w:r>
              <w:rPr>
                <w:spacing w:val="-49"/>
                <w:sz w:val="24"/>
                <w:szCs w:val="24"/>
              </w:rPr>
              <w:t xml:space="preserve"> </w:t>
            </w:r>
            <w:r>
              <w:rPr>
                <w:rFonts w:ascii="Times New Roman" w:hAnsi="Times New Roman" w:eastAsia="Times New Roman" w:cs="Times New Roman"/>
                <w:spacing w:val="-8"/>
                <w:sz w:val="24"/>
                <w:szCs w:val="24"/>
              </w:rPr>
              <w:t>5km</w:t>
            </w:r>
            <w:r>
              <w:rPr>
                <w:rFonts w:ascii="Times New Roman" w:hAnsi="Times New Roman" w:eastAsia="Times New Roman" w:cs="Times New Roman"/>
                <w:spacing w:val="13"/>
                <w:sz w:val="24"/>
                <w:szCs w:val="24"/>
              </w:rPr>
              <w:t xml:space="preserve"> </w:t>
            </w:r>
            <w:r>
              <w:rPr>
                <w:spacing w:val="-8"/>
                <w:sz w:val="24"/>
                <w:szCs w:val="24"/>
              </w:rPr>
              <w:t>范围内居住区、医疗卫生、文化教育、科研、</w:t>
            </w:r>
            <w:r>
              <w:rPr>
                <w:sz w:val="24"/>
                <w:szCs w:val="24"/>
              </w:rPr>
              <w:t xml:space="preserve"> </w:t>
            </w:r>
            <w:r>
              <w:rPr>
                <w:spacing w:val="-8"/>
                <w:sz w:val="24"/>
                <w:szCs w:val="24"/>
              </w:rPr>
              <w:t>行政办公等机构人口总数小于</w:t>
            </w:r>
            <w:r>
              <w:rPr>
                <w:spacing w:val="-34"/>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sz w:val="24"/>
                <w:szCs w:val="24"/>
              </w:rPr>
              <w:t xml:space="preserve"> </w:t>
            </w:r>
            <w:r>
              <w:rPr>
                <w:spacing w:val="-8"/>
                <w:sz w:val="24"/>
                <w:szCs w:val="24"/>
              </w:rPr>
              <w:t>万人；或周边</w:t>
            </w:r>
            <w:r>
              <w:rPr>
                <w:spacing w:val="-51"/>
                <w:sz w:val="24"/>
                <w:szCs w:val="24"/>
              </w:rPr>
              <w:t xml:space="preserve"> </w:t>
            </w:r>
            <w:r>
              <w:rPr>
                <w:rFonts w:ascii="Times New Roman" w:hAnsi="Times New Roman" w:eastAsia="Times New Roman" w:cs="Times New Roman"/>
                <w:spacing w:val="-9"/>
                <w:sz w:val="24"/>
                <w:szCs w:val="24"/>
              </w:rPr>
              <w:t>500m</w:t>
            </w:r>
            <w:r>
              <w:rPr>
                <w:rFonts w:ascii="Times New Roman" w:hAnsi="Times New Roman" w:eastAsia="Times New Roman" w:cs="Times New Roman"/>
                <w:spacing w:val="16"/>
                <w:sz w:val="24"/>
                <w:szCs w:val="24"/>
              </w:rPr>
              <w:t xml:space="preserve"> </w:t>
            </w:r>
            <w:r>
              <w:rPr>
                <w:spacing w:val="-9"/>
                <w:sz w:val="24"/>
                <w:szCs w:val="24"/>
              </w:rPr>
              <w:t>范</w:t>
            </w:r>
            <w:r>
              <w:rPr>
                <w:sz w:val="24"/>
                <w:szCs w:val="24"/>
              </w:rPr>
              <w:t xml:space="preserve"> </w:t>
            </w:r>
            <w:r>
              <w:rPr>
                <w:spacing w:val="3"/>
                <w:sz w:val="24"/>
                <w:szCs w:val="24"/>
              </w:rPr>
              <w:t>围内人口总数小于</w:t>
            </w:r>
            <w:r>
              <w:rPr>
                <w:rFonts w:ascii="Times New Roman" w:hAnsi="Times New Roman" w:eastAsia="Times New Roman" w:cs="Times New Roman"/>
                <w:spacing w:val="3"/>
                <w:sz w:val="24"/>
                <w:szCs w:val="24"/>
              </w:rPr>
              <w:t xml:space="preserve">500 </w:t>
            </w:r>
            <w:r>
              <w:rPr>
                <w:spacing w:val="3"/>
                <w:sz w:val="24"/>
                <w:szCs w:val="24"/>
              </w:rPr>
              <w:t>人；油气、化学品输送管线管</w:t>
            </w:r>
            <w:r>
              <w:rPr>
                <w:sz w:val="24"/>
                <w:szCs w:val="24"/>
              </w:rPr>
              <w:t xml:space="preserve">  </w:t>
            </w:r>
            <w:r>
              <w:rPr>
                <w:spacing w:val="1"/>
                <w:sz w:val="24"/>
                <w:szCs w:val="24"/>
              </w:rPr>
              <w:t>段周边</w:t>
            </w:r>
            <w:r>
              <w:rPr>
                <w:spacing w:val="-55"/>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范围内，每千米管段人口</w:t>
            </w:r>
            <w:r>
              <w:rPr>
                <w:sz w:val="24"/>
                <w:szCs w:val="24"/>
              </w:rPr>
              <w:t>数小于</w:t>
            </w:r>
            <w:r>
              <w:rPr>
                <w:spacing w:val="-32"/>
                <w:sz w:val="24"/>
                <w:szCs w:val="24"/>
              </w:rPr>
              <w:t xml:space="preserve"> </w:t>
            </w:r>
            <w:r>
              <w:rPr>
                <w:rFonts w:ascii="Times New Roman" w:hAnsi="Times New Roman" w:eastAsia="Times New Roman" w:cs="Times New Roman"/>
                <w:sz w:val="24"/>
                <w:szCs w:val="24"/>
              </w:rPr>
              <w:t xml:space="preserve">100 </w:t>
            </w:r>
            <w:r>
              <w:rPr>
                <w:sz w:val="24"/>
                <w:szCs w:val="24"/>
              </w:rPr>
              <w:t>人</w:t>
            </w:r>
          </w:p>
        </w:tc>
        <w:tc>
          <w:tcPr>
            <w:tcW w:w="1979" w:type="dxa"/>
            <w:vMerge w:val="continue"/>
            <w:tcBorders>
              <w:top w:val="nil"/>
            </w:tcBorders>
            <w:vAlign w:val="top"/>
          </w:tcPr>
          <w:p w14:paraId="2FB52938">
            <w:pPr>
              <w:rPr>
                <w:rFonts w:ascii="Arial"/>
                <w:sz w:val="21"/>
              </w:rPr>
            </w:pPr>
          </w:p>
        </w:tc>
      </w:tr>
    </w:tbl>
    <w:p w14:paraId="0E70B861">
      <w:pPr>
        <w:spacing w:before="198" w:line="218" w:lineRule="auto"/>
        <w:ind w:left="680"/>
        <w:rPr>
          <w:rFonts w:ascii="宋体" w:hAnsi="宋体" w:eastAsia="宋体" w:cs="宋体"/>
          <w:sz w:val="28"/>
          <w:szCs w:val="28"/>
        </w:rPr>
      </w:pPr>
      <w:r>
        <w:rPr>
          <w:rFonts w:ascii="宋体" w:hAnsi="宋体" w:eastAsia="宋体" w:cs="宋体"/>
          <w:spacing w:val="-2"/>
          <w:sz w:val="28"/>
          <w:szCs w:val="28"/>
        </w:rPr>
        <w:t>②地表水环境</w:t>
      </w:r>
    </w:p>
    <w:p w14:paraId="28BA8968">
      <w:pPr>
        <w:spacing w:before="213" w:line="358" w:lineRule="auto"/>
        <w:ind w:left="124" w:right="59" w:firstLine="560"/>
        <w:rPr>
          <w:rFonts w:ascii="宋体" w:hAnsi="宋体" w:eastAsia="宋体" w:cs="宋体"/>
          <w:sz w:val="28"/>
          <w:szCs w:val="28"/>
        </w:rPr>
      </w:pPr>
      <w:r>
        <w:rPr>
          <w:rFonts w:ascii="宋体" w:hAnsi="宋体" w:eastAsia="宋体" w:cs="宋体"/>
          <w:spacing w:val="6"/>
          <w:sz w:val="28"/>
          <w:szCs w:val="28"/>
        </w:rPr>
        <w:t>依据事故情况下危险物质泄漏到水体的排放点受纳地表水体功</w:t>
      </w:r>
      <w:r>
        <w:rPr>
          <w:rFonts w:ascii="宋体" w:hAnsi="宋体" w:eastAsia="宋体" w:cs="宋体"/>
          <w:spacing w:val="11"/>
          <w:sz w:val="28"/>
          <w:szCs w:val="28"/>
        </w:rPr>
        <w:t xml:space="preserve"> </w:t>
      </w:r>
      <w:r>
        <w:rPr>
          <w:rFonts w:ascii="宋体" w:hAnsi="宋体" w:eastAsia="宋体" w:cs="宋体"/>
          <w:spacing w:val="2"/>
          <w:sz w:val="28"/>
          <w:szCs w:val="28"/>
        </w:rPr>
        <w:t>能敏感性，与下游环境敏感目标情况，共分为三级类型，</w:t>
      </w:r>
      <w:r>
        <w:rPr>
          <w:rFonts w:ascii="Times New Roman" w:hAnsi="Times New Roman" w:eastAsia="Times New Roman" w:cs="Times New Roman"/>
          <w:spacing w:val="2"/>
          <w:sz w:val="28"/>
          <w:szCs w:val="28"/>
        </w:rPr>
        <w:t xml:space="preserve">E1 </w:t>
      </w:r>
      <w:r>
        <w:rPr>
          <w:rFonts w:ascii="宋体" w:hAnsi="宋体" w:eastAsia="宋体" w:cs="宋体"/>
          <w:spacing w:val="2"/>
          <w:sz w:val="28"/>
          <w:szCs w:val="28"/>
        </w:rPr>
        <w:t>为环境</w:t>
      </w:r>
      <w:r>
        <w:rPr>
          <w:rFonts w:ascii="宋体" w:hAnsi="宋体" w:eastAsia="宋体" w:cs="宋体"/>
          <w:spacing w:val="10"/>
          <w:sz w:val="28"/>
          <w:szCs w:val="28"/>
        </w:rPr>
        <w:t xml:space="preserve"> </w:t>
      </w:r>
      <w:r>
        <w:rPr>
          <w:rFonts w:ascii="宋体" w:hAnsi="宋体" w:eastAsia="宋体" w:cs="宋体"/>
          <w:spacing w:val="-1"/>
          <w:sz w:val="28"/>
          <w:szCs w:val="28"/>
        </w:rPr>
        <w:t>高敏感区，</w:t>
      </w:r>
      <w:r>
        <w:rPr>
          <w:rFonts w:ascii="Times New Roman" w:hAnsi="Times New Roman" w:eastAsia="Times New Roman" w:cs="Times New Roman"/>
          <w:spacing w:val="-1"/>
          <w:sz w:val="28"/>
          <w:szCs w:val="28"/>
        </w:rPr>
        <w:t xml:space="preserve">E2 </w:t>
      </w:r>
      <w:r>
        <w:rPr>
          <w:rFonts w:ascii="宋体" w:hAnsi="宋体" w:eastAsia="宋体" w:cs="宋体"/>
          <w:spacing w:val="-1"/>
          <w:sz w:val="28"/>
          <w:szCs w:val="28"/>
        </w:rPr>
        <w:t>为环境中度敏感区，</w:t>
      </w:r>
      <w:r>
        <w:rPr>
          <w:rFonts w:ascii="Times New Roman" w:hAnsi="Times New Roman" w:eastAsia="Times New Roman" w:cs="Times New Roman"/>
          <w:spacing w:val="-1"/>
          <w:sz w:val="28"/>
          <w:szCs w:val="28"/>
        </w:rPr>
        <w:t xml:space="preserve">E3 </w:t>
      </w:r>
      <w:r>
        <w:rPr>
          <w:rFonts w:ascii="宋体" w:hAnsi="宋体" w:eastAsia="宋体" w:cs="宋体"/>
          <w:spacing w:val="-1"/>
          <w:sz w:val="28"/>
          <w:szCs w:val="28"/>
        </w:rPr>
        <w:t>为环境低敏感区，地表水环境</w:t>
      </w:r>
      <w:r>
        <w:rPr>
          <w:rFonts w:ascii="宋体" w:hAnsi="宋体" w:eastAsia="宋体" w:cs="宋体"/>
          <w:spacing w:val="4"/>
          <w:sz w:val="28"/>
          <w:szCs w:val="28"/>
        </w:rPr>
        <w:t xml:space="preserve"> </w:t>
      </w:r>
      <w:r>
        <w:rPr>
          <w:rFonts w:ascii="宋体" w:hAnsi="宋体" w:eastAsia="宋体" w:cs="宋体"/>
          <w:spacing w:val="-2"/>
          <w:sz w:val="28"/>
          <w:szCs w:val="28"/>
        </w:rPr>
        <w:t>敏感程度分级、地表水功能敏感性分区和环境敏感目标分级见下表。</w:t>
      </w:r>
    </w:p>
    <w:p w14:paraId="162C87E2">
      <w:pPr>
        <w:spacing w:before="1" w:line="219"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3.2-7    </w:t>
      </w:r>
      <w:r>
        <w:rPr>
          <w:rFonts w:ascii="宋体" w:hAnsi="宋体" w:eastAsia="宋体" w:cs="宋体"/>
          <w:b/>
          <w:bCs/>
          <w:spacing w:val="-2"/>
          <w:sz w:val="24"/>
          <w:szCs w:val="24"/>
        </w:rPr>
        <w:t>地表水环境敏感程度分级</w:t>
      </w:r>
    </w:p>
    <w:p w14:paraId="3C2F7D21">
      <w:pPr>
        <w:spacing w:line="147" w:lineRule="exact"/>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2"/>
        <w:gridCol w:w="1983"/>
        <w:gridCol w:w="2266"/>
        <w:gridCol w:w="2323"/>
      </w:tblGrid>
      <w:tr w14:paraId="2C7F5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952" w:type="dxa"/>
            <w:vMerge w:val="restart"/>
            <w:tcBorders>
              <w:bottom w:val="nil"/>
            </w:tcBorders>
            <w:vAlign w:val="top"/>
          </w:tcPr>
          <w:p w14:paraId="31CD8F60">
            <w:pPr>
              <w:pStyle w:val="6"/>
              <w:spacing w:before="182" w:line="219" w:lineRule="auto"/>
              <w:ind w:left="262"/>
              <w:rPr>
                <w:sz w:val="24"/>
                <w:szCs w:val="24"/>
              </w:rPr>
            </w:pPr>
            <w:r>
              <w:rPr>
                <w:spacing w:val="-2"/>
                <w:sz w:val="24"/>
                <w:szCs w:val="24"/>
              </w:rPr>
              <w:t>环境敏感目标</w:t>
            </w:r>
          </w:p>
        </w:tc>
        <w:tc>
          <w:tcPr>
            <w:tcW w:w="6572" w:type="dxa"/>
            <w:gridSpan w:val="3"/>
            <w:vAlign w:val="top"/>
          </w:tcPr>
          <w:p w14:paraId="567DFBC5">
            <w:pPr>
              <w:pStyle w:val="6"/>
              <w:spacing w:before="39" w:line="207" w:lineRule="auto"/>
              <w:ind w:left="2330"/>
              <w:rPr>
                <w:sz w:val="24"/>
                <w:szCs w:val="24"/>
              </w:rPr>
            </w:pPr>
            <w:r>
              <w:rPr>
                <w:spacing w:val="-2"/>
                <w:sz w:val="24"/>
                <w:szCs w:val="24"/>
              </w:rPr>
              <w:t>地表水功能敏感性</w:t>
            </w:r>
          </w:p>
        </w:tc>
      </w:tr>
      <w:tr w14:paraId="57976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Merge w:val="continue"/>
            <w:tcBorders>
              <w:top w:val="nil"/>
            </w:tcBorders>
            <w:vAlign w:val="top"/>
          </w:tcPr>
          <w:p w14:paraId="441726C0">
            <w:pPr>
              <w:rPr>
                <w:rFonts w:ascii="Arial"/>
                <w:sz w:val="21"/>
              </w:rPr>
            </w:pPr>
          </w:p>
        </w:tc>
        <w:tc>
          <w:tcPr>
            <w:tcW w:w="1983" w:type="dxa"/>
            <w:vAlign w:val="top"/>
          </w:tcPr>
          <w:p w14:paraId="350B135D">
            <w:pPr>
              <w:spacing w:before="60" w:line="182" w:lineRule="auto"/>
              <w:ind w:left="8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F1</w:t>
            </w:r>
          </w:p>
        </w:tc>
        <w:tc>
          <w:tcPr>
            <w:tcW w:w="2266" w:type="dxa"/>
            <w:vAlign w:val="top"/>
          </w:tcPr>
          <w:p w14:paraId="6BEEACA9">
            <w:pPr>
              <w:spacing w:before="60" w:line="182" w:lineRule="auto"/>
              <w:ind w:left="100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F2</w:t>
            </w:r>
          </w:p>
        </w:tc>
        <w:tc>
          <w:tcPr>
            <w:tcW w:w="2323" w:type="dxa"/>
            <w:vAlign w:val="top"/>
          </w:tcPr>
          <w:p w14:paraId="5CEF4050">
            <w:pPr>
              <w:spacing w:before="60" w:line="182" w:lineRule="auto"/>
              <w:ind w:left="10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F3</w:t>
            </w:r>
          </w:p>
        </w:tc>
      </w:tr>
      <w:tr w14:paraId="0BC2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Align w:val="top"/>
          </w:tcPr>
          <w:p w14:paraId="430C1715">
            <w:pPr>
              <w:spacing w:before="63" w:line="180"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S1</w:t>
            </w:r>
          </w:p>
        </w:tc>
        <w:tc>
          <w:tcPr>
            <w:tcW w:w="1983" w:type="dxa"/>
            <w:vAlign w:val="top"/>
          </w:tcPr>
          <w:p w14:paraId="3AD331CE">
            <w:pPr>
              <w:spacing w:before="63" w:line="180"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3FAED2DF">
            <w:pPr>
              <w:spacing w:before="63" w:line="180"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323" w:type="dxa"/>
            <w:vAlign w:val="top"/>
          </w:tcPr>
          <w:p w14:paraId="562D4871">
            <w:pPr>
              <w:spacing w:before="63" w:line="180"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r>
      <w:tr w14:paraId="6037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952" w:type="dxa"/>
            <w:vAlign w:val="top"/>
          </w:tcPr>
          <w:p w14:paraId="08EDE002">
            <w:pPr>
              <w:spacing w:before="63" w:line="180"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S2</w:t>
            </w:r>
          </w:p>
        </w:tc>
        <w:tc>
          <w:tcPr>
            <w:tcW w:w="1983" w:type="dxa"/>
            <w:vAlign w:val="top"/>
          </w:tcPr>
          <w:p w14:paraId="0C3D1FA3">
            <w:pPr>
              <w:spacing w:before="64" w:line="179"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37E6B410">
            <w:pPr>
              <w:spacing w:before="64" w:line="179"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2323" w:type="dxa"/>
            <w:vAlign w:val="top"/>
          </w:tcPr>
          <w:p w14:paraId="7E6170E4">
            <w:pPr>
              <w:spacing w:before="64" w:line="179"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r w14:paraId="66296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952" w:type="dxa"/>
            <w:vAlign w:val="top"/>
          </w:tcPr>
          <w:p w14:paraId="44B54095">
            <w:pPr>
              <w:spacing w:before="64" w:line="183" w:lineRule="auto"/>
              <w:ind w:left="86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S3</w:t>
            </w:r>
          </w:p>
        </w:tc>
        <w:tc>
          <w:tcPr>
            <w:tcW w:w="1983" w:type="dxa"/>
            <w:vAlign w:val="top"/>
          </w:tcPr>
          <w:p w14:paraId="146807FD">
            <w:pPr>
              <w:spacing w:before="64" w:line="183" w:lineRule="auto"/>
              <w:ind w:left="85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266" w:type="dxa"/>
            <w:vAlign w:val="top"/>
          </w:tcPr>
          <w:p w14:paraId="1D6A6FDE">
            <w:pPr>
              <w:spacing w:before="64" w:line="183" w:lineRule="auto"/>
              <w:ind w:left="10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2323" w:type="dxa"/>
            <w:vAlign w:val="top"/>
          </w:tcPr>
          <w:p w14:paraId="25A1811F">
            <w:pPr>
              <w:spacing w:before="64" w:line="183" w:lineRule="auto"/>
              <w:ind w:left="10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bl>
    <w:p w14:paraId="4593A942">
      <w:pPr>
        <w:spacing w:before="193" w:line="219" w:lineRule="auto"/>
        <w:ind w:left="254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3.2-8    </w:t>
      </w:r>
      <w:r>
        <w:rPr>
          <w:rFonts w:ascii="宋体" w:hAnsi="宋体" w:eastAsia="宋体" w:cs="宋体"/>
          <w:b/>
          <w:bCs/>
          <w:spacing w:val="-2"/>
          <w:sz w:val="24"/>
          <w:szCs w:val="24"/>
        </w:rPr>
        <w:t>地表水功能敏感性分区</w:t>
      </w:r>
    </w:p>
    <w:p w14:paraId="0804D60E">
      <w:pPr>
        <w:spacing w:line="219" w:lineRule="auto"/>
        <w:rPr>
          <w:rFonts w:ascii="宋体" w:hAnsi="宋体" w:eastAsia="宋体" w:cs="宋体"/>
          <w:sz w:val="24"/>
          <w:szCs w:val="24"/>
        </w:rPr>
        <w:sectPr>
          <w:footerReference r:id="rId100" w:type="default"/>
          <w:pgSz w:w="11906" w:h="16839"/>
          <w:pgMar w:top="400" w:right="1687" w:bottom="1259" w:left="1687" w:header="0" w:footer="1097" w:gutter="0"/>
          <w:cols w:space="720" w:num="1"/>
        </w:sectPr>
      </w:pPr>
    </w:p>
    <w:p w14:paraId="54BA96A5">
      <w:pPr>
        <w:spacing w:before="19"/>
      </w:pPr>
    </w:p>
    <w:p w14:paraId="75AE2072">
      <w:pPr>
        <w:spacing w:before="19"/>
      </w:pPr>
    </w:p>
    <w:p w14:paraId="19B1B29A">
      <w:pPr>
        <w:spacing w:before="18"/>
      </w:pPr>
    </w:p>
    <w:p w14:paraId="0C13F807">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6615"/>
        <w:gridCol w:w="971"/>
      </w:tblGrid>
      <w:tr w14:paraId="72522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940" w:type="dxa"/>
            <w:vAlign w:val="top"/>
          </w:tcPr>
          <w:p w14:paraId="0AB32B24">
            <w:pPr>
              <w:pStyle w:val="6"/>
              <w:spacing w:before="42" w:line="206" w:lineRule="auto"/>
              <w:ind w:left="118"/>
              <w:rPr>
                <w:sz w:val="24"/>
                <w:szCs w:val="24"/>
              </w:rPr>
            </w:pPr>
            <w:r>
              <w:rPr>
                <w:spacing w:val="-4"/>
                <w:sz w:val="24"/>
                <w:szCs w:val="24"/>
              </w:rPr>
              <w:t>敏感性</w:t>
            </w:r>
          </w:p>
        </w:tc>
        <w:tc>
          <w:tcPr>
            <w:tcW w:w="6615" w:type="dxa"/>
            <w:vAlign w:val="top"/>
          </w:tcPr>
          <w:p w14:paraId="0413B89A">
            <w:pPr>
              <w:pStyle w:val="6"/>
              <w:spacing w:before="42" w:line="206" w:lineRule="auto"/>
              <w:ind w:left="2234"/>
              <w:rPr>
                <w:sz w:val="24"/>
                <w:szCs w:val="24"/>
              </w:rPr>
            </w:pPr>
            <w:r>
              <w:rPr>
                <w:spacing w:val="-2"/>
                <w:sz w:val="24"/>
                <w:szCs w:val="24"/>
              </w:rPr>
              <w:t>地表水环境敏感特征</w:t>
            </w:r>
          </w:p>
        </w:tc>
        <w:tc>
          <w:tcPr>
            <w:tcW w:w="971" w:type="dxa"/>
            <w:vAlign w:val="top"/>
          </w:tcPr>
          <w:p w14:paraId="13930617">
            <w:pPr>
              <w:pStyle w:val="6"/>
              <w:spacing w:before="42" w:line="206" w:lineRule="auto"/>
              <w:ind w:left="132"/>
              <w:rPr>
                <w:sz w:val="24"/>
                <w:szCs w:val="24"/>
              </w:rPr>
            </w:pPr>
            <w:r>
              <w:rPr>
                <w:spacing w:val="-4"/>
                <w:sz w:val="24"/>
                <w:szCs w:val="24"/>
              </w:rPr>
              <w:t>本项目</w:t>
            </w:r>
          </w:p>
        </w:tc>
      </w:tr>
      <w:tr w14:paraId="0ED31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40" w:type="dxa"/>
            <w:vAlign w:val="top"/>
          </w:tcPr>
          <w:p w14:paraId="7BEE08BC">
            <w:pPr>
              <w:spacing w:line="285" w:lineRule="auto"/>
              <w:rPr>
                <w:rFonts w:ascii="Arial"/>
                <w:sz w:val="21"/>
              </w:rPr>
            </w:pPr>
          </w:p>
          <w:p w14:paraId="15EE6172">
            <w:pPr>
              <w:pStyle w:val="6"/>
              <w:spacing w:before="78" w:line="219" w:lineRule="auto"/>
              <w:ind w:left="238"/>
              <w:rPr>
                <w:sz w:val="24"/>
                <w:szCs w:val="24"/>
              </w:rPr>
            </w:pPr>
            <w:r>
              <w:rPr>
                <w:spacing w:val="-6"/>
                <w:sz w:val="24"/>
                <w:szCs w:val="24"/>
              </w:rPr>
              <w:t>敏感</w:t>
            </w:r>
          </w:p>
          <w:p w14:paraId="02ECAF3A">
            <w:pPr>
              <w:spacing w:before="49" w:line="188"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F1</w:t>
            </w:r>
          </w:p>
        </w:tc>
        <w:tc>
          <w:tcPr>
            <w:tcW w:w="6615" w:type="dxa"/>
            <w:vAlign w:val="top"/>
          </w:tcPr>
          <w:p w14:paraId="335346BC">
            <w:pPr>
              <w:pStyle w:val="6"/>
              <w:spacing w:before="36" w:line="219" w:lineRule="auto"/>
              <w:ind w:left="113"/>
              <w:rPr>
                <w:sz w:val="24"/>
                <w:szCs w:val="24"/>
              </w:rPr>
            </w:pPr>
            <w:r>
              <w:rPr>
                <w:spacing w:val="-3"/>
                <w:sz w:val="24"/>
                <w:szCs w:val="24"/>
              </w:rPr>
              <w:t>排放点进入地表水水域环境功能为Ⅱ类及以上</w:t>
            </w:r>
            <w:r>
              <w:rPr>
                <w:spacing w:val="-4"/>
                <w:sz w:val="24"/>
                <w:szCs w:val="24"/>
              </w:rPr>
              <w:t>，或海水水质分</w:t>
            </w:r>
          </w:p>
          <w:p w14:paraId="77EFA6C5">
            <w:pPr>
              <w:pStyle w:val="6"/>
              <w:spacing w:before="27" w:line="219" w:lineRule="auto"/>
              <w:ind w:left="113"/>
              <w:rPr>
                <w:sz w:val="24"/>
                <w:szCs w:val="24"/>
              </w:rPr>
            </w:pPr>
            <w:r>
              <w:rPr>
                <w:spacing w:val="-3"/>
                <w:sz w:val="24"/>
                <w:szCs w:val="24"/>
              </w:rPr>
              <w:t>类第一类；或以发生事故时，危险物质泄漏到</w:t>
            </w:r>
            <w:r>
              <w:rPr>
                <w:spacing w:val="-4"/>
                <w:sz w:val="24"/>
                <w:szCs w:val="24"/>
              </w:rPr>
              <w:t>水体的排放点算</w:t>
            </w:r>
          </w:p>
          <w:p w14:paraId="2E6201E2">
            <w:pPr>
              <w:pStyle w:val="6"/>
              <w:spacing w:before="24" w:line="219" w:lineRule="auto"/>
              <w:ind w:left="114"/>
              <w:rPr>
                <w:sz w:val="24"/>
                <w:szCs w:val="24"/>
              </w:rPr>
            </w:pPr>
            <w:r>
              <w:rPr>
                <w:spacing w:val="-1"/>
                <w:sz w:val="24"/>
                <w:szCs w:val="24"/>
              </w:rPr>
              <w:t>起，排放进入受纳河流最大流速时，</w:t>
            </w:r>
            <w:r>
              <w:rPr>
                <w:rFonts w:ascii="Times New Roman" w:hAnsi="Times New Roman" w:eastAsia="Times New Roman" w:cs="Times New Roman"/>
                <w:spacing w:val="-1"/>
                <w:sz w:val="24"/>
                <w:szCs w:val="24"/>
              </w:rPr>
              <w:t xml:space="preserve">24h </w:t>
            </w:r>
            <w:r>
              <w:rPr>
                <w:spacing w:val="-1"/>
                <w:sz w:val="24"/>
                <w:szCs w:val="24"/>
              </w:rPr>
              <w:t>流经范围内涉跨国界</w:t>
            </w:r>
          </w:p>
          <w:p w14:paraId="54D7A026">
            <w:pPr>
              <w:pStyle w:val="6"/>
              <w:spacing w:before="27" w:line="206" w:lineRule="auto"/>
              <w:ind w:left="3094"/>
              <w:rPr>
                <w:sz w:val="24"/>
                <w:szCs w:val="24"/>
              </w:rPr>
            </w:pPr>
            <w:r>
              <w:rPr>
                <w:spacing w:val="-15"/>
                <w:sz w:val="24"/>
                <w:szCs w:val="24"/>
              </w:rPr>
              <w:t>的。</w:t>
            </w:r>
          </w:p>
        </w:tc>
        <w:tc>
          <w:tcPr>
            <w:tcW w:w="971" w:type="dxa"/>
            <w:vAlign w:val="top"/>
          </w:tcPr>
          <w:p w14:paraId="0D8031C7">
            <w:pPr>
              <w:spacing w:line="420" w:lineRule="auto"/>
              <w:rPr>
                <w:rFonts w:ascii="Arial"/>
                <w:sz w:val="21"/>
              </w:rPr>
            </w:pPr>
          </w:p>
          <w:p w14:paraId="1B161CD6">
            <w:pPr>
              <w:pStyle w:val="6"/>
              <w:spacing w:before="78" w:line="221" w:lineRule="auto"/>
              <w:ind w:left="135"/>
              <w:rPr>
                <w:sz w:val="24"/>
                <w:szCs w:val="24"/>
              </w:rPr>
            </w:pPr>
            <w:r>
              <w:rPr>
                <w:spacing w:val="-5"/>
                <w:sz w:val="24"/>
                <w:szCs w:val="24"/>
              </w:rPr>
              <w:t>不涉及</w:t>
            </w:r>
          </w:p>
        </w:tc>
      </w:tr>
      <w:tr w14:paraId="78AE9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40" w:type="dxa"/>
            <w:vAlign w:val="top"/>
          </w:tcPr>
          <w:p w14:paraId="7549AEDB">
            <w:pPr>
              <w:pStyle w:val="6"/>
              <w:spacing w:before="211" w:line="219" w:lineRule="auto"/>
              <w:ind w:left="238"/>
              <w:rPr>
                <w:sz w:val="24"/>
                <w:szCs w:val="24"/>
              </w:rPr>
            </w:pPr>
            <w:r>
              <w:rPr>
                <w:spacing w:val="-6"/>
                <w:sz w:val="24"/>
                <w:szCs w:val="24"/>
              </w:rPr>
              <w:t>敏感</w:t>
            </w:r>
          </w:p>
          <w:p w14:paraId="02E747F1">
            <w:pPr>
              <w:spacing w:before="49" w:line="188"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F2</w:t>
            </w:r>
          </w:p>
        </w:tc>
        <w:tc>
          <w:tcPr>
            <w:tcW w:w="6615" w:type="dxa"/>
            <w:vAlign w:val="top"/>
          </w:tcPr>
          <w:p w14:paraId="6850E882">
            <w:pPr>
              <w:pStyle w:val="6"/>
              <w:spacing w:before="37" w:line="228" w:lineRule="auto"/>
              <w:ind w:left="113" w:right="103"/>
              <w:jc w:val="both"/>
              <w:rPr>
                <w:sz w:val="24"/>
                <w:szCs w:val="24"/>
              </w:rPr>
            </w:pPr>
            <w:r>
              <w:rPr>
                <w:spacing w:val="-3"/>
                <w:sz w:val="24"/>
                <w:szCs w:val="24"/>
              </w:rPr>
              <w:t>排放点进入地表水水域环境功能为Ⅲ类，或海</w:t>
            </w:r>
            <w:r>
              <w:rPr>
                <w:spacing w:val="-4"/>
                <w:sz w:val="24"/>
                <w:szCs w:val="24"/>
              </w:rPr>
              <w:t>水水质分类第二</w:t>
            </w:r>
            <w:r>
              <w:rPr>
                <w:sz w:val="24"/>
                <w:szCs w:val="24"/>
              </w:rPr>
              <w:t xml:space="preserve"> </w:t>
            </w:r>
            <w:r>
              <w:rPr>
                <w:spacing w:val="-4"/>
                <w:sz w:val="24"/>
                <w:szCs w:val="24"/>
              </w:rPr>
              <w:t>类；或以发生事故时，危险物质泄漏到水体的排放点算起，排</w:t>
            </w:r>
            <w:r>
              <w:rPr>
                <w:spacing w:val="18"/>
                <w:sz w:val="24"/>
                <w:szCs w:val="24"/>
              </w:rPr>
              <w:t xml:space="preserve"> </w:t>
            </w:r>
            <w:r>
              <w:rPr>
                <w:spacing w:val="3"/>
                <w:sz w:val="24"/>
                <w:szCs w:val="24"/>
              </w:rPr>
              <w:t>放进入受纳河流最大流速时，</w:t>
            </w:r>
            <w:r>
              <w:rPr>
                <w:rFonts w:ascii="Times New Roman" w:hAnsi="Times New Roman" w:eastAsia="Times New Roman" w:cs="Times New Roman"/>
                <w:spacing w:val="3"/>
                <w:sz w:val="24"/>
                <w:szCs w:val="24"/>
              </w:rPr>
              <w:t xml:space="preserve">24h </w:t>
            </w:r>
            <w:r>
              <w:rPr>
                <w:spacing w:val="3"/>
                <w:sz w:val="24"/>
                <w:szCs w:val="24"/>
              </w:rPr>
              <w:t>流经范围内涉跨省界的。</w:t>
            </w:r>
          </w:p>
        </w:tc>
        <w:tc>
          <w:tcPr>
            <w:tcW w:w="971" w:type="dxa"/>
            <w:vAlign w:val="top"/>
          </w:tcPr>
          <w:p w14:paraId="5310CD81">
            <w:pPr>
              <w:spacing w:line="267" w:lineRule="auto"/>
              <w:rPr>
                <w:rFonts w:ascii="Arial"/>
                <w:sz w:val="21"/>
              </w:rPr>
            </w:pPr>
          </w:p>
          <w:p w14:paraId="060BB9F2">
            <w:pPr>
              <w:pStyle w:val="6"/>
              <w:spacing w:before="78" w:line="221" w:lineRule="auto"/>
              <w:ind w:left="135"/>
              <w:rPr>
                <w:sz w:val="24"/>
                <w:szCs w:val="24"/>
              </w:rPr>
            </w:pPr>
            <w:r>
              <w:rPr>
                <w:spacing w:val="-5"/>
                <w:sz w:val="24"/>
                <w:szCs w:val="24"/>
              </w:rPr>
              <w:t>不涉及</w:t>
            </w:r>
          </w:p>
        </w:tc>
      </w:tr>
      <w:tr w14:paraId="150E6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940" w:type="dxa"/>
            <w:vAlign w:val="top"/>
          </w:tcPr>
          <w:p w14:paraId="7E4E7BAD">
            <w:pPr>
              <w:pStyle w:val="6"/>
              <w:spacing w:before="42" w:line="219" w:lineRule="auto"/>
              <w:ind w:left="238"/>
              <w:rPr>
                <w:sz w:val="24"/>
                <w:szCs w:val="24"/>
              </w:rPr>
            </w:pPr>
            <w:r>
              <w:rPr>
                <w:spacing w:val="-6"/>
                <w:sz w:val="24"/>
                <w:szCs w:val="24"/>
              </w:rPr>
              <w:t>敏感</w:t>
            </w:r>
          </w:p>
          <w:p w14:paraId="656C77C0">
            <w:pPr>
              <w:spacing w:before="49" w:line="182" w:lineRule="auto"/>
              <w:ind w:left="3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F3</w:t>
            </w:r>
          </w:p>
        </w:tc>
        <w:tc>
          <w:tcPr>
            <w:tcW w:w="6615" w:type="dxa"/>
            <w:vAlign w:val="top"/>
          </w:tcPr>
          <w:p w14:paraId="3F17F4DA">
            <w:pPr>
              <w:pStyle w:val="6"/>
              <w:spacing w:before="178" w:line="220" w:lineRule="auto"/>
              <w:ind w:left="1996"/>
              <w:rPr>
                <w:sz w:val="24"/>
                <w:szCs w:val="24"/>
              </w:rPr>
            </w:pPr>
            <w:r>
              <w:rPr>
                <w:spacing w:val="-2"/>
                <w:sz w:val="24"/>
                <w:szCs w:val="24"/>
              </w:rPr>
              <w:t>上述地区之外的其他地区</w:t>
            </w:r>
          </w:p>
        </w:tc>
        <w:tc>
          <w:tcPr>
            <w:tcW w:w="971" w:type="dxa"/>
            <w:vAlign w:val="top"/>
          </w:tcPr>
          <w:p w14:paraId="144CB034">
            <w:pPr>
              <w:pStyle w:val="6"/>
              <w:spacing w:before="178" w:line="221" w:lineRule="auto"/>
              <w:ind w:left="253"/>
              <w:rPr>
                <w:sz w:val="24"/>
                <w:szCs w:val="24"/>
              </w:rPr>
            </w:pPr>
            <w:r>
              <w:rPr>
                <w:spacing w:val="-6"/>
                <w:sz w:val="24"/>
                <w:szCs w:val="24"/>
              </w:rPr>
              <w:t>属于</w:t>
            </w:r>
          </w:p>
        </w:tc>
      </w:tr>
    </w:tbl>
    <w:p w14:paraId="6BEE866E">
      <w:pPr>
        <w:spacing w:before="191" w:line="219" w:lineRule="auto"/>
        <w:ind w:left="278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3.2-9    </w:t>
      </w:r>
      <w:r>
        <w:rPr>
          <w:rFonts w:ascii="宋体" w:hAnsi="宋体" w:eastAsia="宋体" w:cs="宋体"/>
          <w:b/>
          <w:bCs/>
          <w:spacing w:val="-2"/>
          <w:sz w:val="24"/>
          <w:szCs w:val="24"/>
        </w:rPr>
        <w:t>环境敏感目标分级</w:t>
      </w:r>
    </w:p>
    <w:p w14:paraId="36F6C087">
      <w:pPr>
        <w:spacing w:line="146"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6844"/>
        <w:gridCol w:w="969"/>
      </w:tblGrid>
      <w:tr w14:paraId="2507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10" w:type="dxa"/>
            <w:vAlign w:val="top"/>
          </w:tcPr>
          <w:p w14:paraId="0A786C39">
            <w:pPr>
              <w:pStyle w:val="6"/>
              <w:spacing w:before="40" w:line="207" w:lineRule="auto"/>
              <w:ind w:left="123"/>
              <w:rPr>
                <w:sz w:val="24"/>
                <w:szCs w:val="24"/>
              </w:rPr>
            </w:pPr>
            <w:r>
              <w:rPr>
                <w:spacing w:val="-7"/>
                <w:sz w:val="24"/>
                <w:szCs w:val="24"/>
              </w:rPr>
              <w:t>分级</w:t>
            </w:r>
          </w:p>
        </w:tc>
        <w:tc>
          <w:tcPr>
            <w:tcW w:w="6844" w:type="dxa"/>
            <w:vAlign w:val="top"/>
          </w:tcPr>
          <w:p w14:paraId="793A0261">
            <w:pPr>
              <w:pStyle w:val="6"/>
              <w:spacing w:before="40" w:line="207" w:lineRule="auto"/>
              <w:ind w:left="2708"/>
              <w:rPr>
                <w:sz w:val="24"/>
                <w:szCs w:val="24"/>
              </w:rPr>
            </w:pPr>
            <w:r>
              <w:rPr>
                <w:spacing w:val="-2"/>
                <w:sz w:val="24"/>
                <w:szCs w:val="24"/>
              </w:rPr>
              <w:t>环境敏感目标</w:t>
            </w:r>
          </w:p>
        </w:tc>
        <w:tc>
          <w:tcPr>
            <w:tcW w:w="969" w:type="dxa"/>
            <w:vAlign w:val="top"/>
          </w:tcPr>
          <w:p w14:paraId="2C37A140">
            <w:pPr>
              <w:pStyle w:val="6"/>
              <w:spacing w:before="40" w:line="207" w:lineRule="auto"/>
              <w:ind w:left="132"/>
              <w:rPr>
                <w:sz w:val="24"/>
                <w:szCs w:val="24"/>
              </w:rPr>
            </w:pPr>
            <w:r>
              <w:rPr>
                <w:spacing w:val="-4"/>
                <w:sz w:val="24"/>
                <w:szCs w:val="24"/>
              </w:rPr>
              <w:t>本项目</w:t>
            </w:r>
          </w:p>
        </w:tc>
      </w:tr>
      <w:tr w14:paraId="0D767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710" w:type="dxa"/>
            <w:vAlign w:val="top"/>
          </w:tcPr>
          <w:p w14:paraId="2AA2F4F1">
            <w:pPr>
              <w:spacing w:line="259" w:lineRule="auto"/>
              <w:rPr>
                <w:rFonts w:ascii="Arial"/>
                <w:sz w:val="21"/>
              </w:rPr>
            </w:pPr>
          </w:p>
          <w:p w14:paraId="0EC58A9B">
            <w:pPr>
              <w:spacing w:line="259" w:lineRule="auto"/>
              <w:rPr>
                <w:rFonts w:ascii="Arial"/>
                <w:sz w:val="21"/>
              </w:rPr>
            </w:pPr>
          </w:p>
          <w:p w14:paraId="25793CDA">
            <w:pPr>
              <w:spacing w:line="259" w:lineRule="auto"/>
              <w:rPr>
                <w:rFonts w:ascii="Arial"/>
                <w:sz w:val="21"/>
              </w:rPr>
            </w:pPr>
          </w:p>
          <w:p w14:paraId="7C3833BE">
            <w:pPr>
              <w:spacing w:line="259" w:lineRule="auto"/>
              <w:rPr>
                <w:rFonts w:ascii="Arial"/>
                <w:sz w:val="21"/>
              </w:rPr>
            </w:pPr>
          </w:p>
          <w:p w14:paraId="04FE7AA5">
            <w:pPr>
              <w:spacing w:line="259" w:lineRule="auto"/>
              <w:rPr>
                <w:rFonts w:ascii="Arial"/>
                <w:sz w:val="21"/>
              </w:rPr>
            </w:pPr>
          </w:p>
          <w:p w14:paraId="05F6AD3F">
            <w:pPr>
              <w:spacing w:line="260" w:lineRule="auto"/>
              <w:rPr>
                <w:rFonts w:ascii="Arial"/>
                <w:sz w:val="21"/>
              </w:rPr>
            </w:pPr>
          </w:p>
          <w:p w14:paraId="7EF0C6EC">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S1</w:t>
            </w:r>
          </w:p>
        </w:tc>
        <w:tc>
          <w:tcPr>
            <w:tcW w:w="6844" w:type="dxa"/>
            <w:vAlign w:val="top"/>
          </w:tcPr>
          <w:p w14:paraId="53685880">
            <w:pPr>
              <w:pStyle w:val="6"/>
              <w:spacing w:before="37" w:line="219" w:lineRule="auto"/>
              <w:jc w:val="right"/>
              <w:rPr>
                <w:sz w:val="24"/>
                <w:szCs w:val="24"/>
              </w:rPr>
            </w:pPr>
            <w:r>
              <w:rPr>
                <w:spacing w:val="-9"/>
                <w:sz w:val="24"/>
                <w:szCs w:val="24"/>
              </w:rPr>
              <w:t>发生事故时，危险物质泄漏到内陆水体的排放点下游（顺水流向）</w:t>
            </w:r>
          </w:p>
          <w:p w14:paraId="184073F9">
            <w:pPr>
              <w:pStyle w:val="6"/>
              <w:spacing w:before="24" w:line="219" w:lineRule="auto"/>
              <w:ind w:left="144"/>
              <w:rPr>
                <w:sz w:val="24"/>
                <w:szCs w:val="24"/>
              </w:rPr>
            </w:pPr>
            <w:r>
              <w:rPr>
                <w:rFonts w:ascii="Times New Roman" w:hAnsi="Times New Roman" w:eastAsia="Times New Roman" w:cs="Times New Roman"/>
                <w:spacing w:val="-1"/>
                <w:sz w:val="24"/>
                <w:szCs w:val="24"/>
              </w:rPr>
              <w:t xml:space="preserve">10km </w:t>
            </w:r>
            <w:r>
              <w:rPr>
                <w:spacing w:val="-1"/>
                <w:sz w:val="24"/>
                <w:szCs w:val="24"/>
              </w:rPr>
              <w:t>范围内、近岸海域一个潮周期水质点可能达到的最大水平</w:t>
            </w:r>
          </w:p>
          <w:p w14:paraId="7EEE9817">
            <w:pPr>
              <w:pStyle w:val="6"/>
              <w:spacing w:before="27" w:line="219" w:lineRule="auto"/>
              <w:ind w:left="113"/>
              <w:rPr>
                <w:sz w:val="24"/>
                <w:szCs w:val="24"/>
              </w:rPr>
            </w:pPr>
            <w:r>
              <w:rPr>
                <w:spacing w:val="-4"/>
                <w:sz w:val="24"/>
                <w:szCs w:val="24"/>
              </w:rPr>
              <w:t>距离的两倍范围内，有如下一类或多类环境风险受体：集中式地</w:t>
            </w:r>
          </w:p>
          <w:p w14:paraId="7C192854">
            <w:pPr>
              <w:pStyle w:val="6"/>
              <w:spacing w:before="27" w:line="219" w:lineRule="auto"/>
              <w:ind w:left="113"/>
              <w:rPr>
                <w:sz w:val="24"/>
                <w:szCs w:val="24"/>
              </w:rPr>
            </w:pPr>
            <w:r>
              <w:rPr>
                <w:spacing w:val="-4"/>
                <w:sz w:val="24"/>
                <w:szCs w:val="24"/>
              </w:rPr>
              <w:t>表水饮用水水源保护区（包括一级保护区、二级保护区及准保护</w:t>
            </w:r>
          </w:p>
          <w:p w14:paraId="1AFDC687">
            <w:pPr>
              <w:pStyle w:val="6"/>
              <w:spacing w:before="26" w:line="219" w:lineRule="auto"/>
              <w:jc w:val="right"/>
              <w:rPr>
                <w:sz w:val="24"/>
                <w:szCs w:val="24"/>
              </w:rPr>
            </w:pPr>
            <w:r>
              <w:rPr>
                <w:spacing w:val="-8"/>
                <w:sz w:val="24"/>
                <w:szCs w:val="24"/>
              </w:rPr>
              <w:t>区</w:t>
            </w:r>
            <w:r>
              <w:rPr>
                <w:spacing w:val="-42"/>
                <w:sz w:val="24"/>
                <w:szCs w:val="24"/>
              </w:rPr>
              <w:t>）；</w:t>
            </w:r>
            <w:r>
              <w:rPr>
                <w:spacing w:val="-8"/>
                <w:sz w:val="24"/>
                <w:szCs w:val="24"/>
              </w:rPr>
              <w:t>农村及分散式饮用水水源保护区；自然保护区；重要湿地；</w:t>
            </w:r>
          </w:p>
          <w:p w14:paraId="78D644C1">
            <w:pPr>
              <w:pStyle w:val="6"/>
              <w:spacing w:before="25" w:line="219" w:lineRule="auto"/>
              <w:ind w:left="116"/>
              <w:rPr>
                <w:sz w:val="24"/>
                <w:szCs w:val="24"/>
              </w:rPr>
            </w:pPr>
            <w:r>
              <w:rPr>
                <w:spacing w:val="-4"/>
                <w:sz w:val="24"/>
                <w:szCs w:val="24"/>
              </w:rPr>
              <w:t>珍稀濒危野生动植物天然集中分布区；重要水生生物的自然产卵</w:t>
            </w:r>
          </w:p>
          <w:p w14:paraId="6D9017F0">
            <w:pPr>
              <w:pStyle w:val="6"/>
              <w:spacing w:before="28" w:line="219" w:lineRule="auto"/>
              <w:ind w:left="113"/>
              <w:rPr>
                <w:sz w:val="24"/>
                <w:szCs w:val="24"/>
              </w:rPr>
            </w:pPr>
            <w:r>
              <w:rPr>
                <w:spacing w:val="-4"/>
                <w:sz w:val="24"/>
                <w:szCs w:val="24"/>
              </w:rPr>
              <w:t>场及索饵场、越冬场和洄游通道；世界文化和自然遗产地；红树</w:t>
            </w:r>
          </w:p>
          <w:p w14:paraId="44D2ACD6">
            <w:pPr>
              <w:pStyle w:val="6"/>
              <w:spacing w:before="25" w:line="219" w:lineRule="auto"/>
              <w:ind w:left="115"/>
              <w:rPr>
                <w:sz w:val="24"/>
                <w:szCs w:val="24"/>
              </w:rPr>
            </w:pPr>
            <w:r>
              <w:rPr>
                <w:spacing w:val="-4"/>
                <w:sz w:val="24"/>
                <w:szCs w:val="24"/>
              </w:rPr>
              <w:t>林、珊瑚礁等滨海湿地生态系统；珍稀、濒危海洋生物的天然集</w:t>
            </w:r>
          </w:p>
          <w:p w14:paraId="54179FA2">
            <w:pPr>
              <w:pStyle w:val="6"/>
              <w:spacing w:before="26" w:line="219" w:lineRule="auto"/>
              <w:ind w:left="136"/>
              <w:rPr>
                <w:sz w:val="24"/>
                <w:szCs w:val="24"/>
              </w:rPr>
            </w:pPr>
            <w:r>
              <w:rPr>
                <w:spacing w:val="-4"/>
                <w:sz w:val="24"/>
                <w:szCs w:val="24"/>
              </w:rPr>
              <w:t>中分布区；海洋特別保护区；海上自然保护区；盐场保护区</w:t>
            </w:r>
            <w:r>
              <w:rPr>
                <w:spacing w:val="-5"/>
                <w:sz w:val="24"/>
                <w:szCs w:val="24"/>
              </w:rPr>
              <w:t>；海</w:t>
            </w:r>
          </w:p>
          <w:p w14:paraId="0851A681">
            <w:pPr>
              <w:pStyle w:val="6"/>
              <w:spacing w:before="29" w:line="219" w:lineRule="auto"/>
              <w:ind w:left="117"/>
              <w:rPr>
                <w:sz w:val="24"/>
                <w:szCs w:val="24"/>
              </w:rPr>
            </w:pPr>
            <w:r>
              <w:rPr>
                <w:spacing w:val="-4"/>
                <w:sz w:val="24"/>
                <w:szCs w:val="24"/>
              </w:rPr>
              <w:t>水浴场；海洋自然历史遗迹；风景名胜区；或其他特殊重要保护</w:t>
            </w:r>
          </w:p>
          <w:p w14:paraId="7CF79E7F">
            <w:pPr>
              <w:pStyle w:val="6"/>
              <w:spacing w:before="25" w:line="206" w:lineRule="auto"/>
              <w:ind w:left="3206"/>
              <w:rPr>
                <w:sz w:val="24"/>
                <w:szCs w:val="24"/>
              </w:rPr>
            </w:pPr>
            <w:r>
              <w:rPr>
                <w:spacing w:val="-14"/>
                <w:sz w:val="24"/>
                <w:szCs w:val="24"/>
              </w:rPr>
              <w:t>区域</w:t>
            </w:r>
          </w:p>
        </w:tc>
        <w:tc>
          <w:tcPr>
            <w:tcW w:w="969" w:type="dxa"/>
            <w:vAlign w:val="top"/>
          </w:tcPr>
          <w:p w14:paraId="3421AC8C">
            <w:pPr>
              <w:spacing w:line="250" w:lineRule="auto"/>
              <w:rPr>
                <w:rFonts w:ascii="Arial"/>
                <w:sz w:val="21"/>
              </w:rPr>
            </w:pPr>
          </w:p>
          <w:p w14:paraId="0E03ED5D">
            <w:pPr>
              <w:spacing w:line="250" w:lineRule="auto"/>
              <w:rPr>
                <w:rFonts w:ascii="Arial"/>
                <w:sz w:val="21"/>
              </w:rPr>
            </w:pPr>
          </w:p>
          <w:p w14:paraId="3205BBC3">
            <w:pPr>
              <w:spacing w:line="251" w:lineRule="auto"/>
              <w:rPr>
                <w:rFonts w:ascii="Arial"/>
                <w:sz w:val="21"/>
              </w:rPr>
            </w:pPr>
          </w:p>
          <w:p w14:paraId="782F1DB8">
            <w:pPr>
              <w:spacing w:line="251" w:lineRule="auto"/>
              <w:rPr>
                <w:rFonts w:ascii="Arial"/>
                <w:sz w:val="21"/>
              </w:rPr>
            </w:pPr>
          </w:p>
          <w:p w14:paraId="7D1F7258">
            <w:pPr>
              <w:spacing w:line="251" w:lineRule="auto"/>
              <w:rPr>
                <w:rFonts w:ascii="Arial"/>
                <w:sz w:val="21"/>
              </w:rPr>
            </w:pPr>
          </w:p>
          <w:p w14:paraId="0AE7CC17">
            <w:pPr>
              <w:spacing w:line="251" w:lineRule="auto"/>
              <w:rPr>
                <w:rFonts w:ascii="Arial"/>
                <w:sz w:val="21"/>
              </w:rPr>
            </w:pPr>
          </w:p>
          <w:p w14:paraId="7C7881D4">
            <w:pPr>
              <w:pStyle w:val="6"/>
              <w:spacing w:before="78" w:line="221" w:lineRule="auto"/>
              <w:ind w:left="135"/>
              <w:rPr>
                <w:sz w:val="24"/>
                <w:szCs w:val="24"/>
              </w:rPr>
            </w:pPr>
            <w:r>
              <w:rPr>
                <w:spacing w:val="-5"/>
                <w:sz w:val="24"/>
                <w:szCs w:val="24"/>
              </w:rPr>
              <w:t>不属于</w:t>
            </w:r>
          </w:p>
        </w:tc>
      </w:tr>
      <w:tr w14:paraId="1F80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710" w:type="dxa"/>
            <w:vAlign w:val="top"/>
          </w:tcPr>
          <w:p w14:paraId="3B0F6DF1">
            <w:pPr>
              <w:spacing w:line="315" w:lineRule="auto"/>
              <w:rPr>
                <w:rFonts w:ascii="Arial"/>
                <w:sz w:val="21"/>
              </w:rPr>
            </w:pPr>
          </w:p>
          <w:p w14:paraId="38496A65">
            <w:pPr>
              <w:spacing w:line="315" w:lineRule="auto"/>
              <w:rPr>
                <w:rFonts w:ascii="Arial"/>
                <w:sz w:val="21"/>
              </w:rPr>
            </w:pPr>
          </w:p>
          <w:p w14:paraId="2BCECE3E">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S2</w:t>
            </w:r>
          </w:p>
        </w:tc>
        <w:tc>
          <w:tcPr>
            <w:tcW w:w="6844" w:type="dxa"/>
            <w:vAlign w:val="top"/>
          </w:tcPr>
          <w:p w14:paraId="23FA55C1">
            <w:pPr>
              <w:pStyle w:val="6"/>
              <w:spacing w:before="41" w:line="219" w:lineRule="auto"/>
              <w:jc w:val="right"/>
              <w:rPr>
                <w:sz w:val="24"/>
                <w:szCs w:val="24"/>
              </w:rPr>
            </w:pPr>
            <w:r>
              <w:rPr>
                <w:spacing w:val="-9"/>
                <w:sz w:val="24"/>
                <w:szCs w:val="24"/>
              </w:rPr>
              <w:t>发生事故时，危险物质泄漏到内陆水体的排放点下游（顺水流向）</w:t>
            </w:r>
          </w:p>
          <w:p w14:paraId="695AC570">
            <w:pPr>
              <w:pStyle w:val="6"/>
              <w:spacing w:before="24" w:line="219" w:lineRule="auto"/>
              <w:ind w:left="144"/>
              <w:rPr>
                <w:sz w:val="24"/>
                <w:szCs w:val="24"/>
              </w:rPr>
            </w:pPr>
            <w:r>
              <w:rPr>
                <w:rFonts w:ascii="Times New Roman" w:hAnsi="Times New Roman" w:eastAsia="Times New Roman" w:cs="Times New Roman"/>
                <w:spacing w:val="-1"/>
                <w:sz w:val="24"/>
                <w:szCs w:val="24"/>
              </w:rPr>
              <w:t xml:space="preserve">10km </w:t>
            </w:r>
            <w:r>
              <w:rPr>
                <w:spacing w:val="-1"/>
                <w:sz w:val="24"/>
                <w:szCs w:val="24"/>
              </w:rPr>
              <w:t>范围内、近岸海域一个潮周期水质点可能达到的最大水平</w:t>
            </w:r>
          </w:p>
          <w:p w14:paraId="22EA4F5F">
            <w:pPr>
              <w:pStyle w:val="6"/>
              <w:spacing w:before="27" w:line="219" w:lineRule="auto"/>
              <w:ind w:left="113"/>
              <w:rPr>
                <w:sz w:val="24"/>
                <w:szCs w:val="24"/>
              </w:rPr>
            </w:pPr>
            <w:r>
              <w:rPr>
                <w:spacing w:val="-4"/>
                <w:sz w:val="24"/>
                <w:szCs w:val="24"/>
              </w:rPr>
              <w:t>距离的两倍范围内，有如下一类或多类环境风险受体的：水产养</w:t>
            </w:r>
          </w:p>
          <w:p w14:paraId="623FA3CE">
            <w:pPr>
              <w:pStyle w:val="6"/>
              <w:spacing w:before="24" w:line="219" w:lineRule="auto"/>
              <w:ind w:left="115"/>
              <w:rPr>
                <w:sz w:val="24"/>
                <w:szCs w:val="24"/>
              </w:rPr>
            </w:pPr>
            <w:r>
              <w:rPr>
                <w:spacing w:val="-4"/>
                <w:sz w:val="24"/>
                <w:szCs w:val="24"/>
              </w:rPr>
              <w:t>殖区；天然渔场；森林公园；地质公园；海滨风景游览区；具有</w:t>
            </w:r>
          </w:p>
          <w:p w14:paraId="470574CE">
            <w:pPr>
              <w:pStyle w:val="6"/>
              <w:spacing w:before="26" w:line="205" w:lineRule="auto"/>
              <w:ind w:left="1629"/>
              <w:rPr>
                <w:sz w:val="24"/>
                <w:szCs w:val="24"/>
              </w:rPr>
            </w:pPr>
            <w:r>
              <w:rPr>
                <w:spacing w:val="-1"/>
                <w:sz w:val="24"/>
                <w:szCs w:val="24"/>
              </w:rPr>
              <w:t>重要经济价值的海洋生物生存区域</w:t>
            </w:r>
          </w:p>
        </w:tc>
        <w:tc>
          <w:tcPr>
            <w:tcW w:w="969" w:type="dxa"/>
            <w:vAlign w:val="top"/>
          </w:tcPr>
          <w:p w14:paraId="30FD7A8C">
            <w:pPr>
              <w:spacing w:line="290" w:lineRule="auto"/>
              <w:rPr>
                <w:rFonts w:ascii="Arial"/>
                <w:sz w:val="21"/>
              </w:rPr>
            </w:pPr>
          </w:p>
          <w:p w14:paraId="17CC740E">
            <w:pPr>
              <w:spacing w:line="290" w:lineRule="auto"/>
              <w:rPr>
                <w:rFonts w:ascii="Arial"/>
                <w:sz w:val="21"/>
              </w:rPr>
            </w:pPr>
          </w:p>
          <w:p w14:paraId="4125A174">
            <w:pPr>
              <w:pStyle w:val="6"/>
              <w:spacing w:before="78" w:line="221" w:lineRule="auto"/>
              <w:ind w:left="135"/>
              <w:rPr>
                <w:sz w:val="24"/>
                <w:szCs w:val="24"/>
              </w:rPr>
            </w:pPr>
            <w:r>
              <w:rPr>
                <w:spacing w:val="-5"/>
                <w:sz w:val="24"/>
                <w:szCs w:val="24"/>
              </w:rPr>
              <w:t>不属于</w:t>
            </w:r>
          </w:p>
        </w:tc>
      </w:tr>
      <w:tr w14:paraId="745B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10" w:type="dxa"/>
            <w:vAlign w:val="top"/>
          </w:tcPr>
          <w:p w14:paraId="4D3B9583">
            <w:pPr>
              <w:spacing w:line="320" w:lineRule="auto"/>
              <w:rPr>
                <w:rFonts w:ascii="Arial"/>
                <w:sz w:val="21"/>
              </w:rPr>
            </w:pPr>
          </w:p>
          <w:p w14:paraId="404F1FFC">
            <w:pPr>
              <w:spacing w:before="69"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S3</w:t>
            </w:r>
          </w:p>
        </w:tc>
        <w:tc>
          <w:tcPr>
            <w:tcW w:w="6844" w:type="dxa"/>
            <w:vAlign w:val="top"/>
          </w:tcPr>
          <w:p w14:paraId="0CDC3BC3">
            <w:pPr>
              <w:pStyle w:val="6"/>
              <w:spacing w:before="40" w:line="219" w:lineRule="auto"/>
              <w:ind w:left="126"/>
              <w:rPr>
                <w:sz w:val="24"/>
                <w:szCs w:val="24"/>
              </w:rPr>
            </w:pPr>
            <w:r>
              <w:rPr>
                <w:spacing w:val="-1"/>
                <w:sz w:val="24"/>
                <w:szCs w:val="24"/>
              </w:rPr>
              <w:t>排放点下游（顺水流向）</w:t>
            </w:r>
            <w:r>
              <w:rPr>
                <w:rFonts w:ascii="Times New Roman" w:hAnsi="Times New Roman" w:eastAsia="Times New Roman" w:cs="Times New Roman"/>
                <w:spacing w:val="-1"/>
                <w:sz w:val="24"/>
                <w:szCs w:val="24"/>
              </w:rPr>
              <w:t xml:space="preserve">10km </w:t>
            </w:r>
            <w:r>
              <w:rPr>
                <w:spacing w:val="-1"/>
                <w:sz w:val="24"/>
                <w:szCs w:val="24"/>
              </w:rPr>
              <w:t>范围、近岸海域一个潮周期水质</w:t>
            </w:r>
          </w:p>
          <w:p w14:paraId="1B56FC99">
            <w:pPr>
              <w:pStyle w:val="6"/>
              <w:spacing w:before="27" w:line="219" w:lineRule="auto"/>
              <w:ind w:left="126"/>
              <w:rPr>
                <w:rFonts w:ascii="Times New Roman" w:hAnsi="Times New Roman" w:eastAsia="Times New Roman" w:cs="Times New Roman"/>
                <w:sz w:val="24"/>
                <w:szCs w:val="24"/>
              </w:rPr>
            </w:pPr>
            <w:r>
              <w:rPr>
                <w:spacing w:val="-2"/>
                <w:sz w:val="24"/>
                <w:szCs w:val="24"/>
              </w:rPr>
              <w:t>点可能达到的最大水平距离的两倍范围内无上述类型</w:t>
            </w:r>
            <w:r>
              <w:rPr>
                <w:spacing w:val="-44"/>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和类型</w:t>
            </w:r>
            <w:r>
              <w:rPr>
                <w:spacing w:val="-65"/>
                <w:sz w:val="24"/>
                <w:szCs w:val="24"/>
              </w:rPr>
              <w:t xml:space="preserve"> </w:t>
            </w:r>
            <w:r>
              <w:rPr>
                <w:rFonts w:ascii="Times New Roman" w:hAnsi="Times New Roman" w:eastAsia="Times New Roman" w:cs="Times New Roman"/>
                <w:spacing w:val="-2"/>
                <w:sz w:val="24"/>
                <w:szCs w:val="24"/>
              </w:rPr>
              <w:t>2</w:t>
            </w:r>
          </w:p>
          <w:p w14:paraId="5805C09E">
            <w:pPr>
              <w:pStyle w:val="6"/>
              <w:spacing w:before="25" w:line="208" w:lineRule="auto"/>
              <w:ind w:left="2348"/>
              <w:rPr>
                <w:sz w:val="24"/>
                <w:szCs w:val="24"/>
              </w:rPr>
            </w:pPr>
            <w:r>
              <w:rPr>
                <w:spacing w:val="-2"/>
                <w:sz w:val="24"/>
                <w:szCs w:val="24"/>
              </w:rPr>
              <w:t>包括的敏感保护目标</w:t>
            </w:r>
          </w:p>
        </w:tc>
        <w:tc>
          <w:tcPr>
            <w:tcW w:w="969" w:type="dxa"/>
            <w:vAlign w:val="top"/>
          </w:tcPr>
          <w:p w14:paraId="428FB74A">
            <w:pPr>
              <w:spacing w:line="270" w:lineRule="auto"/>
              <w:rPr>
                <w:rFonts w:ascii="Arial"/>
                <w:sz w:val="21"/>
              </w:rPr>
            </w:pPr>
          </w:p>
          <w:p w14:paraId="217B13BA">
            <w:pPr>
              <w:pStyle w:val="6"/>
              <w:spacing w:before="78" w:line="221" w:lineRule="auto"/>
              <w:ind w:left="253"/>
              <w:rPr>
                <w:sz w:val="24"/>
                <w:szCs w:val="24"/>
              </w:rPr>
            </w:pPr>
            <w:r>
              <w:rPr>
                <w:spacing w:val="-6"/>
                <w:sz w:val="24"/>
                <w:szCs w:val="24"/>
              </w:rPr>
              <w:t>属于</w:t>
            </w:r>
          </w:p>
        </w:tc>
      </w:tr>
    </w:tbl>
    <w:p w14:paraId="6607DCA0">
      <w:pPr>
        <w:spacing w:before="200" w:line="358" w:lineRule="auto"/>
        <w:ind w:left="127" w:right="112" w:firstLine="558"/>
        <w:rPr>
          <w:rFonts w:ascii="宋体" w:hAnsi="宋体" w:eastAsia="宋体" w:cs="宋体"/>
          <w:sz w:val="28"/>
          <w:szCs w:val="28"/>
        </w:rPr>
      </w:pPr>
      <w:r>
        <w:rPr>
          <w:rFonts w:ascii="宋体" w:hAnsi="宋体" w:eastAsia="宋体" w:cs="宋体"/>
          <w:spacing w:val="-4"/>
          <w:sz w:val="28"/>
          <w:szCs w:val="28"/>
        </w:rPr>
        <w:t>依据地表水环境敏感特征及环境敏感目标分级判断，本项目地表</w:t>
      </w:r>
      <w:r>
        <w:rPr>
          <w:rFonts w:ascii="宋体" w:hAnsi="宋体" w:eastAsia="宋体" w:cs="宋体"/>
          <w:spacing w:val="5"/>
          <w:sz w:val="28"/>
          <w:szCs w:val="28"/>
        </w:rPr>
        <w:t xml:space="preserve"> </w:t>
      </w:r>
      <w:r>
        <w:rPr>
          <w:rFonts w:ascii="宋体" w:hAnsi="宋体" w:eastAsia="宋体" w:cs="宋体"/>
          <w:spacing w:val="-2"/>
          <w:sz w:val="28"/>
          <w:szCs w:val="28"/>
        </w:rPr>
        <w:t>水环境敏感程度为</w:t>
      </w:r>
      <w:r>
        <w:rPr>
          <w:rFonts w:ascii="宋体" w:hAnsi="宋体" w:eastAsia="宋体" w:cs="宋体"/>
          <w:spacing w:val="-63"/>
          <w:sz w:val="28"/>
          <w:szCs w:val="28"/>
        </w:rPr>
        <w:t xml:space="preserve"> </w:t>
      </w:r>
      <w:r>
        <w:rPr>
          <w:rFonts w:ascii="Times New Roman" w:hAnsi="Times New Roman" w:eastAsia="Times New Roman" w:cs="Times New Roman"/>
          <w:spacing w:val="-2"/>
          <w:sz w:val="28"/>
          <w:szCs w:val="28"/>
        </w:rPr>
        <w:t>E3</w:t>
      </w:r>
      <w:r>
        <w:rPr>
          <w:rFonts w:ascii="宋体" w:hAnsi="宋体" w:eastAsia="宋体" w:cs="宋体"/>
          <w:spacing w:val="-2"/>
          <w:sz w:val="28"/>
          <w:szCs w:val="28"/>
        </w:rPr>
        <w:t>。</w:t>
      </w:r>
    </w:p>
    <w:p w14:paraId="5C9ECA65">
      <w:pPr>
        <w:spacing w:before="1" w:line="217" w:lineRule="auto"/>
        <w:ind w:left="680"/>
        <w:rPr>
          <w:rFonts w:ascii="宋体" w:hAnsi="宋体" w:eastAsia="宋体" w:cs="宋体"/>
          <w:sz w:val="28"/>
          <w:szCs w:val="28"/>
        </w:rPr>
      </w:pPr>
      <w:r>
        <w:rPr>
          <w:rFonts w:ascii="宋体" w:hAnsi="宋体" w:eastAsia="宋体" w:cs="宋体"/>
          <w:spacing w:val="-2"/>
          <w:sz w:val="28"/>
          <w:szCs w:val="28"/>
        </w:rPr>
        <w:t>③地下水环境</w:t>
      </w:r>
    </w:p>
    <w:p w14:paraId="6774E0E3">
      <w:pPr>
        <w:spacing w:before="214" w:line="358" w:lineRule="auto"/>
        <w:ind w:left="127" w:right="113" w:firstLine="558"/>
        <w:rPr>
          <w:rFonts w:ascii="宋体" w:hAnsi="宋体" w:eastAsia="宋体" w:cs="宋体"/>
          <w:sz w:val="28"/>
          <w:szCs w:val="28"/>
        </w:rPr>
      </w:pPr>
      <w:r>
        <w:rPr>
          <w:rFonts w:ascii="宋体" w:hAnsi="宋体" w:eastAsia="宋体" w:cs="宋体"/>
          <w:spacing w:val="-5"/>
          <w:sz w:val="28"/>
          <w:szCs w:val="28"/>
        </w:rPr>
        <w:t>依据地下水功能敏感性与包气带防污性能，共分为三种类型，</w:t>
      </w:r>
      <w:r>
        <w:rPr>
          <w:rFonts w:ascii="Times New Roman" w:hAnsi="Times New Roman" w:eastAsia="Times New Roman" w:cs="Times New Roman"/>
          <w:spacing w:val="-5"/>
          <w:sz w:val="28"/>
          <w:szCs w:val="28"/>
        </w:rPr>
        <w:t>E1</w:t>
      </w:r>
      <w:r>
        <w:rPr>
          <w:rFonts w:ascii="Times New Roman" w:hAnsi="Times New Roman" w:eastAsia="Times New Roman" w:cs="Times New Roman"/>
          <w:spacing w:val="5"/>
          <w:sz w:val="28"/>
          <w:szCs w:val="28"/>
        </w:rPr>
        <w:t xml:space="preserve"> </w:t>
      </w:r>
      <w:r>
        <w:rPr>
          <w:rFonts w:ascii="宋体" w:hAnsi="宋体" w:eastAsia="宋体" w:cs="宋体"/>
          <w:spacing w:val="-1"/>
          <w:sz w:val="28"/>
          <w:szCs w:val="28"/>
        </w:rPr>
        <w:t>为环境高度敏感区，</w:t>
      </w:r>
      <w:r>
        <w:rPr>
          <w:rFonts w:ascii="Times New Roman" w:hAnsi="Times New Roman" w:eastAsia="Times New Roman" w:cs="Times New Roman"/>
          <w:spacing w:val="-1"/>
          <w:sz w:val="28"/>
          <w:szCs w:val="28"/>
        </w:rPr>
        <w:t xml:space="preserve">E2 </w:t>
      </w:r>
      <w:r>
        <w:rPr>
          <w:rFonts w:ascii="宋体" w:hAnsi="宋体" w:eastAsia="宋体" w:cs="宋体"/>
          <w:spacing w:val="-1"/>
          <w:sz w:val="28"/>
          <w:szCs w:val="28"/>
        </w:rPr>
        <w:t>为环境中度敏感区，</w:t>
      </w:r>
      <w:r>
        <w:rPr>
          <w:rFonts w:ascii="Times New Roman" w:hAnsi="Times New Roman" w:eastAsia="Times New Roman" w:cs="Times New Roman"/>
          <w:spacing w:val="-1"/>
          <w:sz w:val="28"/>
          <w:szCs w:val="28"/>
        </w:rPr>
        <w:t xml:space="preserve">E3 </w:t>
      </w:r>
      <w:r>
        <w:rPr>
          <w:rFonts w:ascii="宋体" w:hAnsi="宋体" w:eastAsia="宋体" w:cs="宋体"/>
          <w:spacing w:val="-1"/>
          <w:sz w:val="28"/>
          <w:szCs w:val="28"/>
        </w:rPr>
        <w:t>为环境低度敏感区，</w:t>
      </w:r>
      <w:r>
        <w:rPr>
          <w:rFonts w:ascii="宋体" w:hAnsi="宋体" w:eastAsia="宋体" w:cs="宋体"/>
          <w:sz w:val="28"/>
          <w:szCs w:val="28"/>
        </w:rPr>
        <w:t xml:space="preserve"> </w:t>
      </w:r>
      <w:r>
        <w:rPr>
          <w:rFonts w:ascii="宋体" w:hAnsi="宋体" w:eastAsia="宋体" w:cs="宋体"/>
          <w:spacing w:val="-2"/>
          <w:sz w:val="28"/>
          <w:szCs w:val="28"/>
        </w:rPr>
        <w:t>分级原则见下表。</w:t>
      </w:r>
    </w:p>
    <w:p w14:paraId="7965451E">
      <w:pPr>
        <w:spacing w:before="1" w:line="219" w:lineRule="auto"/>
        <w:ind w:left="236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3.2-10    </w:t>
      </w:r>
      <w:r>
        <w:rPr>
          <w:rFonts w:ascii="宋体" w:hAnsi="宋体" w:eastAsia="宋体" w:cs="宋体"/>
          <w:b/>
          <w:bCs/>
          <w:spacing w:val="-2"/>
          <w:sz w:val="24"/>
          <w:szCs w:val="24"/>
        </w:rPr>
        <w:t>地下水环境敏感程度分级</w:t>
      </w:r>
    </w:p>
    <w:p w14:paraId="6304A666">
      <w:pPr>
        <w:spacing w:line="219" w:lineRule="auto"/>
        <w:rPr>
          <w:rFonts w:ascii="宋体" w:hAnsi="宋体" w:eastAsia="宋体" w:cs="宋体"/>
          <w:sz w:val="24"/>
          <w:szCs w:val="24"/>
        </w:rPr>
        <w:sectPr>
          <w:footerReference r:id="rId101" w:type="default"/>
          <w:pgSz w:w="11906" w:h="16839"/>
          <w:pgMar w:top="400" w:right="1687" w:bottom="1259" w:left="1687" w:header="0" w:footer="1097" w:gutter="0"/>
          <w:cols w:space="720" w:num="1"/>
        </w:sectPr>
      </w:pPr>
    </w:p>
    <w:p w14:paraId="168F21BB">
      <w:pPr>
        <w:spacing w:before="19"/>
      </w:pPr>
    </w:p>
    <w:p w14:paraId="15280BA9">
      <w:pPr>
        <w:spacing w:before="19"/>
      </w:pPr>
    </w:p>
    <w:p w14:paraId="6498E214">
      <w:pPr>
        <w:spacing w:before="18"/>
      </w:pPr>
    </w:p>
    <w:p w14:paraId="0A40DEC6">
      <w:pPr>
        <w:spacing w:before="18"/>
      </w:pPr>
    </w:p>
    <w:tbl>
      <w:tblPr>
        <w:tblStyle w:val="5"/>
        <w:tblW w:w="8524"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1502"/>
        <w:gridCol w:w="1501"/>
        <w:gridCol w:w="1511"/>
      </w:tblGrid>
      <w:tr w14:paraId="4244E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010" w:type="dxa"/>
            <w:vMerge w:val="restart"/>
            <w:tcBorders>
              <w:bottom w:val="nil"/>
            </w:tcBorders>
            <w:vAlign w:val="top"/>
          </w:tcPr>
          <w:p w14:paraId="16EFDAE6">
            <w:pPr>
              <w:pStyle w:val="6"/>
              <w:spacing w:before="243" w:line="219" w:lineRule="auto"/>
              <w:ind w:left="1172"/>
              <w:rPr>
                <w:sz w:val="24"/>
                <w:szCs w:val="24"/>
              </w:rPr>
            </w:pPr>
            <w:r>
              <w:rPr>
                <w:spacing w:val="-2"/>
                <w:sz w:val="24"/>
                <w:szCs w:val="24"/>
              </w:rPr>
              <w:t>包气带防污性能</w:t>
            </w:r>
          </w:p>
        </w:tc>
        <w:tc>
          <w:tcPr>
            <w:tcW w:w="4514" w:type="dxa"/>
            <w:gridSpan w:val="3"/>
            <w:vAlign w:val="top"/>
          </w:tcPr>
          <w:p w14:paraId="51B3EB32">
            <w:pPr>
              <w:pStyle w:val="6"/>
              <w:spacing w:before="99" w:line="219" w:lineRule="auto"/>
              <w:ind w:left="1302"/>
              <w:rPr>
                <w:sz w:val="24"/>
                <w:szCs w:val="24"/>
              </w:rPr>
            </w:pPr>
            <w:r>
              <w:rPr>
                <w:spacing w:val="-2"/>
                <w:sz w:val="24"/>
                <w:szCs w:val="24"/>
              </w:rPr>
              <w:t>地下水功能敏感性</w:t>
            </w:r>
          </w:p>
        </w:tc>
      </w:tr>
      <w:tr w14:paraId="405A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010" w:type="dxa"/>
            <w:vMerge w:val="continue"/>
            <w:tcBorders>
              <w:top w:val="nil"/>
            </w:tcBorders>
            <w:vAlign w:val="top"/>
          </w:tcPr>
          <w:p w14:paraId="7D87B4DD">
            <w:pPr>
              <w:rPr>
                <w:rFonts w:ascii="Arial"/>
                <w:sz w:val="21"/>
              </w:rPr>
            </w:pPr>
          </w:p>
        </w:tc>
        <w:tc>
          <w:tcPr>
            <w:tcW w:w="1502" w:type="dxa"/>
            <w:vAlign w:val="top"/>
          </w:tcPr>
          <w:p w14:paraId="65DF473E">
            <w:pPr>
              <w:spacing w:before="62" w:line="183"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G1</w:t>
            </w:r>
          </w:p>
        </w:tc>
        <w:tc>
          <w:tcPr>
            <w:tcW w:w="1501" w:type="dxa"/>
            <w:vAlign w:val="top"/>
          </w:tcPr>
          <w:p w14:paraId="5D54BAF1">
            <w:pPr>
              <w:spacing w:before="62" w:line="183"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G2</w:t>
            </w:r>
          </w:p>
        </w:tc>
        <w:tc>
          <w:tcPr>
            <w:tcW w:w="1511" w:type="dxa"/>
            <w:vAlign w:val="top"/>
          </w:tcPr>
          <w:p w14:paraId="3C44776B">
            <w:pPr>
              <w:spacing w:before="62" w:line="183"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G3</w:t>
            </w:r>
          </w:p>
        </w:tc>
      </w:tr>
      <w:tr w14:paraId="163A7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010" w:type="dxa"/>
            <w:vAlign w:val="top"/>
          </w:tcPr>
          <w:p w14:paraId="7F37738E">
            <w:pPr>
              <w:spacing w:before="61" w:line="181"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D1</w:t>
            </w:r>
          </w:p>
        </w:tc>
        <w:tc>
          <w:tcPr>
            <w:tcW w:w="1502" w:type="dxa"/>
            <w:vAlign w:val="top"/>
          </w:tcPr>
          <w:p w14:paraId="105C35E0">
            <w:pPr>
              <w:spacing w:before="61" w:line="181"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1C35B870">
            <w:pPr>
              <w:spacing w:before="61" w:line="181"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11" w:type="dxa"/>
            <w:vAlign w:val="top"/>
          </w:tcPr>
          <w:p w14:paraId="054E7CC1">
            <w:pPr>
              <w:spacing w:before="61" w:line="181"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r>
      <w:tr w14:paraId="5373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010" w:type="dxa"/>
            <w:vAlign w:val="top"/>
          </w:tcPr>
          <w:p w14:paraId="5516ACCA">
            <w:pPr>
              <w:spacing w:before="63" w:line="180"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D2</w:t>
            </w:r>
          </w:p>
        </w:tc>
        <w:tc>
          <w:tcPr>
            <w:tcW w:w="1502" w:type="dxa"/>
            <w:vAlign w:val="top"/>
          </w:tcPr>
          <w:p w14:paraId="3D6E2A03">
            <w:pPr>
              <w:spacing w:before="63" w:line="180"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4C94E39A">
            <w:pPr>
              <w:spacing w:before="63" w:line="180"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1511" w:type="dxa"/>
            <w:vAlign w:val="top"/>
          </w:tcPr>
          <w:p w14:paraId="1F2D810D">
            <w:pPr>
              <w:spacing w:before="63" w:line="180"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r w14:paraId="06763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010" w:type="dxa"/>
            <w:vAlign w:val="top"/>
          </w:tcPr>
          <w:p w14:paraId="1B7AE652">
            <w:pPr>
              <w:spacing w:before="63" w:line="184" w:lineRule="auto"/>
              <w:ind w:left="186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D3</w:t>
            </w:r>
          </w:p>
        </w:tc>
        <w:tc>
          <w:tcPr>
            <w:tcW w:w="1502" w:type="dxa"/>
            <w:vAlign w:val="top"/>
          </w:tcPr>
          <w:p w14:paraId="226A8743">
            <w:pPr>
              <w:spacing w:before="63" w:line="184"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1501" w:type="dxa"/>
            <w:vAlign w:val="top"/>
          </w:tcPr>
          <w:p w14:paraId="0E6647E7">
            <w:pPr>
              <w:spacing w:before="63" w:line="184" w:lineRule="auto"/>
              <w:ind w:left="62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E2</w:t>
            </w:r>
          </w:p>
        </w:tc>
        <w:tc>
          <w:tcPr>
            <w:tcW w:w="1511" w:type="dxa"/>
            <w:vAlign w:val="top"/>
          </w:tcPr>
          <w:p w14:paraId="7929BB02">
            <w:pPr>
              <w:spacing w:before="63" w:line="184"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r>
    </w:tbl>
    <w:p w14:paraId="016EFC8A">
      <w:pPr>
        <w:spacing w:before="198" w:line="357" w:lineRule="auto"/>
        <w:ind w:left="128" w:right="112" w:firstLine="554"/>
        <w:rPr>
          <w:rFonts w:ascii="宋体" w:hAnsi="宋体" w:eastAsia="宋体" w:cs="宋体"/>
          <w:sz w:val="28"/>
          <w:szCs w:val="28"/>
        </w:rPr>
      </w:pPr>
      <w:r>
        <w:rPr>
          <w:rFonts w:ascii="宋体" w:hAnsi="宋体" w:eastAsia="宋体" w:cs="宋体"/>
          <w:spacing w:val="-4"/>
          <w:sz w:val="28"/>
          <w:szCs w:val="28"/>
        </w:rPr>
        <w:t>地下水功能敏感性分区和包气带防污性能分级见下表（当同一建</w:t>
      </w:r>
      <w:r>
        <w:rPr>
          <w:rFonts w:ascii="宋体" w:hAnsi="宋体" w:eastAsia="宋体" w:cs="宋体"/>
          <w:spacing w:val="7"/>
          <w:sz w:val="28"/>
          <w:szCs w:val="28"/>
        </w:rPr>
        <w:t xml:space="preserve"> </w:t>
      </w:r>
      <w:r>
        <w:rPr>
          <w:rFonts w:ascii="宋体" w:hAnsi="宋体" w:eastAsia="宋体" w:cs="宋体"/>
          <w:spacing w:val="-1"/>
          <w:sz w:val="28"/>
          <w:szCs w:val="28"/>
        </w:rPr>
        <w:t>设项目涉及两个</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 xml:space="preserve">G </w:t>
      </w:r>
      <w:r>
        <w:rPr>
          <w:rFonts w:ascii="宋体" w:hAnsi="宋体" w:eastAsia="宋体" w:cs="宋体"/>
          <w:spacing w:val="-1"/>
          <w:sz w:val="28"/>
          <w:szCs w:val="28"/>
        </w:rPr>
        <w:t>分区或</w:t>
      </w:r>
      <w:r>
        <w:rPr>
          <w:rFonts w:ascii="宋体" w:hAnsi="宋体" w:eastAsia="宋体" w:cs="宋体"/>
          <w:spacing w:val="-65"/>
          <w:sz w:val="28"/>
          <w:szCs w:val="28"/>
        </w:rPr>
        <w:t xml:space="preserve"> </w:t>
      </w:r>
      <w:r>
        <w:rPr>
          <w:rFonts w:ascii="Times New Roman" w:hAnsi="Times New Roman" w:eastAsia="Times New Roman" w:cs="Times New Roman"/>
          <w:spacing w:val="-1"/>
          <w:sz w:val="28"/>
          <w:szCs w:val="28"/>
        </w:rPr>
        <w:t xml:space="preserve">D </w:t>
      </w:r>
      <w:r>
        <w:rPr>
          <w:rFonts w:ascii="宋体" w:hAnsi="宋体" w:eastAsia="宋体" w:cs="宋体"/>
          <w:spacing w:val="-1"/>
          <w:sz w:val="28"/>
          <w:szCs w:val="28"/>
        </w:rPr>
        <w:t>分级及以上时，取相对高值</w:t>
      </w:r>
      <w:r>
        <w:rPr>
          <w:rFonts w:ascii="宋体" w:hAnsi="宋体" w:eastAsia="宋体" w:cs="宋体"/>
          <w:spacing w:val="-2"/>
          <w:sz w:val="28"/>
          <w:szCs w:val="28"/>
        </w:rPr>
        <w:t>）。</w:t>
      </w:r>
    </w:p>
    <w:p w14:paraId="48795BD0">
      <w:pPr>
        <w:spacing w:line="219" w:lineRule="auto"/>
        <w:ind w:left="2494"/>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 xml:space="preserve">3.2-11    </w:t>
      </w:r>
      <w:r>
        <w:rPr>
          <w:rFonts w:ascii="宋体" w:hAnsi="宋体" w:eastAsia="宋体" w:cs="宋体"/>
          <w:b/>
          <w:bCs/>
          <w:spacing w:val="-3"/>
          <w:sz w:val="24"/>
          <w:szCs w:val="24"/>
        </w:rPr>
        <w:t>地下水功能敏感性分区</w:t>
      </w:r>
    </w:p>
    <w:p w14:paraId="5781673C">
      <w:pPr>
        <w:spacing w:line="145"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6174"/>
        <w:gridCol w:w="1065"/>
      </w:tblGrid>
      <w:tr w14:paraId="5AAC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84" w:type="dxa"/>
            <w:vAlign w:val="top"/>
          </w:tcPr>
          <w:p w14:paraId="4B9EC9CE">
            <w:pPr>
              <w:pStyle w:val="6"/>
              <w:spacing w:before="39" w:line="208" w:lineRule="auto"/>
              <w:ind w:left="289"/>
              <w:rPr>
                <w:sz w:val="24"/>
                <w:szCs w:val="24"/>
              </w:rPr>
            </w:pPr>
            <w:r>
              <w:rPr>
                <w:spacing w:val="-4"/>
                <w:sz w:val="24"/>
                <w:szCs w:val="24"/>
              </w:rPr>
              <w:t>敏感性</w:t>
            </w:r>
          </w:p>
        </w:tc>
        <w:tc>
          <w:tcPr>
            <w:tcW w:w="6174" w:type="dxa"/>
            <w:vAlign w:val="top"/>
          </w:tcPr>
          <w:p w14:paraId="6D787F01">
            <w:pPr>
              <w:pStyle w:val="6"/>
              <w:spacing w:before="39" w:line="208" w:lineRule="auto"/>
              <w:ind w:left="2014"/>
              <w:rPr>
                <w:sz w:val="24"/>
                <w:szCs w:val="24"/>
              </w:rPr>
            </w:pPr>
            <w:r>
              <w:rPr>
                <w:spacing w:val="-2"/>
                <w:sz w:val="24"/>
                <w:szCs w:val="24"/>
              </w:rPr>
              <w:t>地下水环境敏感特征</w:t>
            </w:r>
          </w:p>
        </w:tc>
        <w:tc>
          <w:tcPr>
            <w:tcW w:w="1065" w:type="dxa"/>
            <w:vAlign w:val="top"/>
          </w:tcPr>
          <w:p w14:paraId="7BD518B2">
            <w:pPr>
              <w:pStyle w:val="6"/>
              <w:spacing w:before="39" w:line="208" w:lineRule="auto"/>
              <w:ind w:left="180"/>
              <w:rPr>
                <w:sz w:val="24"/>
                <w:szCs w:val="24"/>
              </w:rPr>
            </w:pPr>
            <w:r>
              <w:rPr>
                <w:spacing w:val="-4"/>
                <w:sz w:val="24"/>
                <w:szCs w:val="24"/>
              </w:rPr>
              <w:t>本项目</w:t>
            </w:r>
          </w:p>
        </w:tc>
      </w:tr>
      <w:tr w14:paraId="15724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284" w:type="dxa"/>
            <w:vAlign w:val="top"/>
          </w:tcPr>
          <w:p w14:paraId="2E61871B">
            <w:pPr>
              <w:spacing w:line="288" w:lineRule="auto"/>
              <w:rPr>
                <w:rFonts w:ascii="Arial"/>
                <w:sz w:val="21"/>
              </w:rPr>
            </w:pPr>
          </w:p>
          <w:p w14:paraId="65BE64F0">
            <w:pPr>
              <w:spacing w:line="288" w:lineRule="auto"/>
              <w:rPr>
                <w:rFonts w:ascii="Arial"/>
                <w:sz w:val="21"/>
              </w:rPr>
            </w:pPr>
          </w:p>
          <w:p w14:paraId="1765C7A0">
            <w:pPr>
              <w:pStyle w:val="6"/>
              <w:spacing w:before="78" w:line="219" w:lineRule="auto"/>
              <w:ind w:left="232"/>
              <w:rPr>
                <w:rFonts w:ascii="Times New Roman" w:hAnsi="Times New Roman" w:eastAsia="Times New Roman" w:cs="Times New Roman"/>
                <w:sz w:val="24"/>
                <w:szCs w:val="24"/>
              </w:rPr>
            </w:pPr>
            <w:r>
              <w:rPr>
                <w:spacing w:val="-5"/>
                <w:sz w:val="24"/>
                <w:szCs w:val="24"/>
              </w:rPr>
              <w:t>敏感</w:t>
            </w:r>
            <w:r>
              <w:rPr>
                <w:spacing w:val="-52"/>
                <w:sz w:val="24"/>
                <w:szCs w:val="24"/>
              </w:rPr>
              <w:t xml:space="preserve"> </w:t>
            </w:r>
            <w:r>
              <w:rPr>
                <w:rFonts w:ascii="Times New Roman" w:hAnsi="Times New Roman" w:eastAsia="Times New Roman" w:cs="Times New Roman"/>
                <w:spacing w:val="-5"/>
                <w:sz w:val="24"/>
                <w:szCs w:val="24"/>
              </w:rPr>
              <w:t>G1</w:t>
            </w:r>
          </w:p>
        </w:tc>
        <w:tc>
          <w:tcPr>
            <w:tcW w:w="6174" w:type="dxa"/>
            <w:vAlign w:val="top"/>
          </w:tcPr>
          <w:p w14:paraId="796BC231">
            <w:pPr>
              <w:pStyle w:val="6"/>
              <w:spacing w:before="36" w:line="219" w:lineRule="auto"/>
              <w:jc w:val="right"/>
              <w:rPr>
                <w:sz w:val="24"/>
                <w:szCs w:val="24"/>
              </w:rPr>
            </w:pPr>
            <w:r>
              <w:rPr>
                <w:spacing w:val="-9"/>
                <w:sz w:val="24"/>
                <w:szCs w:val="24"/>
              </w:rPr>
              <w:t>集中式饮用水水源（包括已建成的在用、备用、应急水源，</w:t>
            </w:r>
          </w:p>
          <w:p w14:paraId="458C10B2">
            <w:pPr>
              <w:pStyle w:val="6"/>
              <w:spacing w:before="27" w:line="219" w:lineRule="auto"/>
              <w:ind w:left="112"/>
              <w:rPr>
                <w:sz w:val="24"/>
                <w:szCs w:val="24"/>
              </w:rPr>
            </w:pPr>
            <w:r>
              <w:rPr>
                <w:spacing w:val="-2"/>
                <w:sz w:val="24"/>
                <w:szCs w:val="24"/>
              </w:rPr>
              <w:t>在建和规划的饮用水水源）准保护区；除集中式饮用水水</w:t>
            </w:r>
          </w:p>
          <w:p w14:paraId="3B1FE08A">
            <w:pPr>
              <w:pStyle w:val="6"/>
              <w:spacing w:before="23" w:line="219" w:lineRule="auto"/>
              <w:ind w:left="213"/>
              <w:rPr>
                <w:sz w:val="24"/>
                <w:szCs w:val="24"/>
              </w:rPr>
            </w:pPr>
            <w:r>
              <w:rPr>
                <w:spacing w:val="-1"/>
                <w:sz w:val="24"/>
                <w:szCs w:val="24"/>
              </w:rPr>
              <w:t>源以外的国家或地方政府设定的与地下水环境相关的其</w:t>
            </w:r>
          </w:p>
          <w:p w14:paraId="02E631B6">
            <w:pPr>
              <w:pStyle w:val="6"/>
              <w:spacing w:before="28" w:line="219" w:lineRule="auto"/>
              <w:ind w:left="113"/>
              <w:rPr>
                <w:sz w:val="24"/>
                <w:szCs w:val="24"/>
              </w:rPr>
            </w:pPr>
            <w:r>
              <w:rPr>
                <w:spacing w:val="-2"/>
                <w:sz w:val="24"/>
                <w:szCs w:val="24"/>
              </w:rPr>
              <w:t>他保护区，如热水、矿泉水、温泉等特殊地下水资源保护</w:t>
            </w:r>
          </w:p>
          <w:p w14:paraId="2B938CA2">
            <w:pPr>
              <w:pStyle w:val="6"/>
              <w:spacing w:before="27" w:line="206" w:lineRule="auto"/>
              <w:ind w:left="2992"/>
              <w:rPr>
                <w:sz w:val="24"/>
                <w:szCs w:val="24"/>
              </w:rPr>
            </w:pPr>
            <w:r>
              <w:rPr>
                <w:sz w:val="24"/>
                <w:szCs w:val="24"/>
              </w:rPr>
              <w:t>区</w:t>
            </w:r>
          </w:p>
        </w:tc>
        <w:tc>
          <w:tcPr>
            <w:tcW w:w="1065" w:type="dxa"/>
            <w:vAlign w:val="top"/>
          </w:tcPr>
          <w:p w14:paraId="74DEB811">
            <w:pPr>
              <w:spacing w:line="287" w:lineRule="auto"/>
              <w:rPr>
                <w:rFonts w:ascii="Arial"/>
                <w:sz w:val="21"/>
              </w:rPr>
            </w:pPr>
          </w:p>
          <w:p w14:paraId="0C40F693">
            <w:pPr>
              <w:spacing w:line="288" w:lineRule="auto"/>
              <w:rPr>
                <w:rFonts w:ascii="Arial"/>
                <w:sz w:val="21"/>
              </w:rPr>
            </w:pPr>
          </w:p>
          <w:p w14:paraId="450312BF">
            <w:pPr>
              <w:pStyle w:val="6"/>
              <w:spacing w:before="79" w:line="221" w:lineRule="auto"/>
              <w:ind w:left="183"/>
              <w:rPr>
                <w:sz w:val="24"/>
                <w:szCs w:val="24"/>
              </w:rPr>
            </w:pPr>
            <w:r>
              <w:rPr>
                <w:spacing w:val="-5"/>
                <w:sz w:val="24"/>
                <w:szCs w:val="24"/>
              </w:rPr>
              <w:t>不属于</w:t>
            </w:r>
          </w:p>
        </w:tc>
      </w:tr>
      <w:tr w14:paraId="1F45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1284" w:type="dxa"/>
            <w:vAlign w:val="top"/>
          </w:tcPr>
          <w:p w14:paraId="33CBF457">
            <w:pPr>
              <w:spacing w:line="243" w:lineRule="auto"/>
              <w:rPr>
                <w:rFonts w:ascii="Arial"/>
                <w:sz w:val="21"/>
              </w:rPr>
            </w:pPr>
          </w:p>
          <w:p w14:paraId="1F7A2E1F">
            <w:pPr>
              <w:spacing w:line="244" w:lineRule="auto"/>
              <w:rPr>
                <w:rFonts w:ascii="Arial"/>
                <w:sz w:val="21"/>
              </w:rPr>
            </w:pPr>
          </w:p>
          <w:p w14:paraId="50CC2818">
            <w:pPr>
              <w:spacing w:line="244" w:lineRule="auto"/>
              <w:rPr>
                <w:rFonts w:ascii="Arial"/>
                <w:sz w:val="21"/>
              </w:rPr>
            </w:pPr>
          </w:p>
          <w:p w14:paraId="10DD6219">
            <w:pPr>
              <w:pStyle w:val="6"/>
              <w:spacing w:before="78" w:line="219" w:lineRule="auto"/>
              <w:ind w:left="116"/>
              <w:rPr>
                <w:rFonts w:ascii="Times New Roman" w:hAnsi="Times New Roman" w:eastAsia="Times New Roman" w:cs="Times New Roman"/>
                <w:sz w:val="24"/>
                <w:szCs w:val="24"/>
              </w:rPr>
            </w:pPr>
            <w:r>
              <w:rPr>
                <w:spacing w:val="-4"/>
                <w:sz w:val="24"/>
                <w:szCs w:val="24"/>
              </w:rPr>
              <w:t>较敏感</w:t>
            </w:r>
            <w:r>
              <w:rPr>
                <w:spacing w:val="-61"/>
                <w:sz w:val="24"/>
                <w:szCs w:val="24"/>
              </w:rPr>
              <w:t xml:space="preserve"> </w:t>
            </w:r>
            <w:r>
              <w:rPr>
                <w:rFonts w:ascii="Times New Roman" w:hAnsi="Times New Roman" w:eastAsia="Times New Roman" w:cs="Times New Roman"/>
                <w:spacing w:val="-4"/>
                <w:sz w:val="24"/>
                <w:szCs w:val="24"/>
              </w:rPr>
              <w:t>G2</w:t>
            </w:r>
          </w:p>
        </w:tc>
        <w:tc>
          <w:tcPr>
            <w:tcW w:w="6174" w:type="dxa"/>
            <w:vAlign w:val="top"/>
          </w:tcPr>
          <w:p w14:paraId="31868959">
            <w:pPr>
              <w:pStyle w:val="6"/>
              <w:spacing w:before="38" w:line="219" w:lineRule="auto"/>
              <w:jc w:val="right"/>
              <w:rPr>
                <w:sz w:val="24"/>
                <w:szCs w:val="24"/>
              </w:rPr>
            </w:pPr>
            <w:r>
              <w:rPr>
                <w:spacing w:val="-9"/>
                <w:sz w:val="24"/>
                <w:szCs w:val="24"/>
              </w:rPr>
              <w:t>集中式饮用水水源（包括已建成的在用、备用、应急水源，</w:t>
            </w:r>
          </w:p>
          <w:p w14:paraId="1A07A1FB">
            <w:pPr>
              <w:pStyle w:val="6"/>
              <w:spacing w:before="24" w:line="219" w:lineRule="auto"/>
              <w:ind w:left="112"/>
              <w:rPr>
                <w:sz w:val="24"/>
                <w:szCs w:val="24"/>
              </w:rPr>
            </w:pPr>
            <w:r>
              <w:rPr>
                <w:spacing w:val="-1"/>
                <w:sz w:val="24"/>
                <w:szCs w:val="24"/>
              </w:rPr>
              <w:t>在建和规划的饮用水水源）准保护区以外的补给径流区；</w:t>
            </w:r>
          </w:p>
          <w:p w14:paraId="0F37DE70">
            <w:pPr>
              <w:pStyle w:val="6"/>
              <w:spacing w:before="27" w:line="219" w:lineRule="auto"/>
              <w:ind w:left="117"/>
              <w:rPr>
                <w:sz w:val="24"/>
                <w:szCs w:val="24"/>
              </w:rPr>
            </w:pPr>
            <w:r>
              <w:rPr>
                <w:spacing w:val="-2"/>
                <w:sz w:val="24"/>
                <w:szCs w:val="24"/>
              </w:rPr>
              <w:t>未划定准保护区的集中式饮用水水源，其保护区以</w:t>
            </w:r>
            <w:r>
              <w:rPr>
                <w:spacing w:val="-3"/>
                <w:sz w:val="24"/>
                <w:szCs w:val="24"/>
              </w:rPr>
              <w:t>外的补</w:t>
            </w:r>
          </w:p>
          <w:p w14:paraId="267F5E87">
            <w:pPr>
              <w:pStyle w:val="6"/>
              <w:spacing w:before="24" w:line="219" w:lineRule="auto"/>
              <w:ind w:left="114"/>
              <w:rPr>
                <w:sz w:val="24"/>
                <w:szCs w:val="24"/>
              </w:rPr>
            </w:pPr>
            <w:r>
              <w:rPr>
                <w:spacing w:val="-2"/>
                <w:sz w:val="24"/>
                <w:szCs w:val="24"/>
              </w:rPr>
              <w:t>给径流区；分散式饮用水水源地；特殊地下水资源（如热</w:t>
            </w:r>
          </w:p>
          <w:p w14:paraId="182468C8">
            <w:pPr>
              <w:pStyle w:val="6"/>
              <w:spacing w:before="27" w:line="219" w:lineRule="auto"/>
              <w:ind w:left="116"/>
              <w:rPr>
                <w:sz w:val="24"/>
                <w:szCs w:val="24"/>
              </w:rPr>
            </w:pPr>
            <w:r>
              <w:rPr>
                <w:spacing w:val="-2"/>
                <w:sz w:val="24"/>
                <w:szCs w:val="24"/>
              </w:rPr>
              <w:t>水、矿泉水、温泉等）保护区以外的分布区等其他未</w:t>
            </w:r>
            <w:r>
              <w:rPr>
                <w:spacing w:val="-3"/>
                <w:sz w:val="24"/>
                <w:szCs w:val="24"/>
              </w:rPr>
              <w:t>列入</w:t>
            </w:r>
          </w:p>
          <w:p w14:paraId="1405779E">
            <w:pPr>
              <w:pStyle w:val="6"/>
              <w:spacing w:before="28" w:line="205" w:lineRule="auto"/>
              <w:ind w:left="1572"/>
              <w:rPr>
                <w:rFonts w:ascii="Times New Roman" w:hAnsi="Times New Roman" w:eastAsia="Times New Roman" w:cs="Times New Roman"/>
                <w:sz w:val="24"/>
                <w:szCs w:val="24"/>
              </w:rPr>
            </w:pPr>
            <w:r>
              <w:rPr>
                <w:spacing w:val="-1"/>
                <w:sz w:val="24"/>
                <w:szCs w:val="24"/>
              </w:rPr>
              <w:t>上述敏感分级的环境敏感区</w:t>
            </w:r>
            <w:r>
              <w:rPr>
                <w:spacing w:val="-51"/>
                <w:sz w:val="24"/>
                <w:szCs w:val="24"/>
              </w:rPr>
              <w:t xml:space="preserve"> </w:t>
            </w:r>
            <w:r>
              <w:rPr>
                <w:rFonts w:ascii="Times New Roman" w:hAnsi="Times New Roman" w:eastAsia="Times New Roman" w:cs="Times New Roman"/>
                <w:spacing w:val="-1"/>
                <w:sz w:val="24"/>
                <w:szCs w:val="24"/>
              </w:rPr>
              <w:t>a</w:t>
            </w:r>
          </w:p>
        </w:tc>
        <w:tc>
          <w:tcPr>
            <w:tcW w:w="1065" w:type="dxa"/>
            <w:vAlign w:val="top"/>
          </w:tcPr>
          <w:p w14:paraId="4B74688E">
            <w:pPr>
              <w:spacing w:line="243" w:lineRule="auto"/>
              <w:rPr>
                <w:rFonts w:ascii="Arial"/>
                <w:sz w:val="21"/>
              </w:rPr>
            </w:pPr>
          </w:p>
          <w:p w14:paraId="2C68F2AF">
            <w:pPr>
              <w:spacing w:line="243" w:lineRule="auto"/>
              <w:rPr>
                <w:rFonts w:ascii="Arial"/>
                <w:sz w:val="21"/>
              </w:rPr>
            </w:pPr>
          </w:p>
          <w:p w14:paraId="3495119A">
            <w:pPr>
              <w:spacing w:line="244" w:lineRule="auto"/>
              <w:rPr>
                <w:rFonts w:ascii="Arial"/>
                <w:sz w:val="21"/>
              </w:rPr>
            </w:pPr>
          </w:p>
          <w:p w14:paraId="419930F5">
            <w:pPr>
              <w:pStyle w:val="6"/>
              <w:spacing w:before="78" w:line="221" w:lineRule="auto"/>
              <w:ind w:left="183"/>
              <w:rPr>
                <w:sz w:val="24"/>
                <w:szCs w:val="24"/>
              </w:rPr>
            </w:pPr>
            <w:r>
              <w:rPr>
                <w:spacing w:val="-5"/>
                <w:sz w:val="24"/>
                <w:szCs w:val="24"/>
              </w:rPr>
              <w:t>不属于</w:t>
            </w:r>
          </w:p>
        </w:tc>
      </w:tr>
      <w:tr w14:paraId="46E7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84" w:type="dxa"/>
            <w:vAlign w:val="top"/>
          </w:tcPr>
          <w:p w14:paraId="1644C4CF">
            <w:pPr>
              <w:pStyle w:val="6"/>
              <w:spacing w:before="40" w:line="204" w:lineRule="auto"/>
              <w:ind w:left="115"/>
              <w:rPr>
                <w:rFonts w:ascii="Times New Roman" w:hAnsi="Times New Roman" w:eastAsia="Times New Roman" w:cs="Times New Roman"/>
                <w:sz w:val="24"/>
                <w:szCs w:val="24"/>
              </w:rPr>
            </w:pPr>
            <w:r>
              <w:rPr>
                <w:spacing w:val="-4"/>
                <w:sz w:val="24"/>
                <w:szCs w:val="24"/>
              </w:rPr>
              <w:t>低敏感</w:t>
            </w:r>
            <w:r>
              <w:rPr>
                <w:spacing w:val="-60"/>
                <w:sz w:val="24"/>
                <w:szCs w:val="24"/>
              </w:rPr>
              <w:t xml:space="preserve"> </w:t>
            </w:r>
            <w:r>
              <w:rPr>
                <w:rFonts w:ascii="Times New Roman" w:hAnsi="Times New Roman" w:eastAsia="Times New Roman" w:cs="Times New Roman"/>
                <w:spacing w:val="-4"/>
                <w:sz w:val="24"/>
                <w:szCs w:val="24"/>
              </w:rPr>
              <w:t>G3</w:t>
            </w:r>
          </w:p>
        </w:tc>
        <w:tc>
          <w:tcPr>
            <w:tcW w:w="6174" w:type="dxa"/>
            <w:vAlign w:val="top"/>
          </w:tcPr>
          <w:p w14:paraId="69A81E6E">
            <w:pPr>
              <w:pStyle w:val="6"/>
              <w:spacing w:before="40" w:line="204" w:lineRule="auto"/>
              <w:ind w:left="1776"/>
              <w:rPr>
                <w:sz w:val="24"/>
                <w:szCs w:val="24"/>
              </w:rPr>
            </w:pPr>
            <w:r>
              <w:rPr>
                <w:spacing w:val="-2"/>
                <w:sz w:val="24"/>
                <w:szCs w:val="24"/>
              </w:rPr>
              <w:t>上述地区之外的其他地区</w:t>
            </w:r>
          </w:p>
        </w:tc>
        <w:tc>
          <w:tcPr>
            <w:tcW w:w="1065" w:type="dxa"/>
            <w:vAlign w:val="top"/>
          </w:tcPr>
          <w:p w14:paraId="210E35B8">
            <w:pPr>
              <w:pStyle w:val="6"/>
              <w:spacing w:before="40" w:line="204" w:lineRule="auto"/>
              <w:ind w:left="301"/>
              <w:rPr>
                <w:sz w:val="24"/>
                <w:szCs w:val="24"/>
              </w:rPr>
            </w:pPr>
            <w:r>
              <w:rPr>
                <w:spacing w:val="-6"/>
                <w:sz w:val="24"/>
                <w:szCs w:val="24"/>
              </w:rPr>
              <w:t>属于</w:t>
            </w:r>
          </w:p>
        </w:tc>
      </w:tr>
      <w:tr w14:paraId="2DDA7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23" w:type="dxa"/>
            <w:gridSpan w:val="3"/>
            <w:vAlign w:val="top"/>
          </w:tcPr>
          <w:p w14:paraId="4A60F234">
            <w:pPr>
              <w:pStyle w:val="6"/>
              <w:spacing w:before="39" w:line="224" w:lineRule="auto"/>
              <w:ind w:left="115" w:right="107" w:hanging="7"/>
              <w:rPr>
                <w:sz w:val="24"/>
                <w:szCs w:val="24"/>
              </w:rPr>
            </w:pPr>
            <w:r>
              <w:rPr>
                <w:rFonts w:ascii="Times New Roman" w:hAnsi="Times New Roman" w:eastAsia="Times New Roman" w:cs="Times New Roman"/>
                <w:spacing w:val="-2"/>
                <w:sz w:val="24"/>
                <w:szCs w:val="24"/>
              </w:rPr>
              <w:t>A</w:t>
            </w:r>
            <w:r>
              <w:rPr>
                <w:spacing w:val="-2"/>
                <w:sz w:val="24"/>
                <w:szCs w:val="24"/>
              </w:rPr>
              <w:t>“环境敏感区</w:t>
            </w:r>
            <w:r>
              <w:rPr>
                <w:spacing w:val="-83"/>
                <w:sz w:val="24"/>
                <w:szCs w:val="24"/>
              </w:rPr>
              <w:t xml:space="preserve"> </w:t>
            </w:r>
            <w:r>
              <w:rPr>
                <w:spacing w:val="-2"/>
                <w:sz w:val="24"/>
                <w:szCs w:val="24"/>
              </w:rPr>
              <w:t>”是指《建设项目环境影响评价分类管理名录》中所界定的涉及</w:t>
            </w:r>
            <w:r>
              <w:rPr>
                <w:sz w:val="24"/>
                <w:szCs w:val="24"/>
              </w:rPr>
              <w:t xml:space="preserve"> </w:t>
            </w:r>
            <w:r>
              <w:rPr>
                <w:spacing w:val="-2"/>
                <w:sz w:val="24"/>
                <w:szCs w:val="24"/>
              </w:rPr>
              <w:t>地下水的环境敏感区</w:t>
            </w:r>
          </w:p>
        </w:tc>
      </w:tr>
    </w:tbl>
    <w:p w14:paraId="374D0071">
      <w:pPr>
        <w:spacing w:before="190" w:line="219" w:lineRule="auto"/>
        <w:ind w:left="260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b/>
          <w:bCs/>
          <w:spacing w:val="-2"/>
          <w:sz w:val="24"/>
          <w:szCs w:val="24"/>
        </w:rPr>
        <w:t xml:space="preserve">3.2-12    </w:t>
      </w:r>
      <w:r>
        <w:rPr>
          <w:rFonts w:ascii="宋体" w:hAnsi="宋体" w:eastAsia="宋体" w:cs="宋体"/>
          <w:b/>
          <w:bCs/>
          <w:spacing w:val="-2"/>
          <w:sz w:val="24"/>
          <w:szCs w:val="24"/>
        </w:rPr>
        <w:t>包气带防污性能分级</w:t>
      </w:r>
    </w:p>
    <w:p w14:paraId="6B79EB45">
      <w:pPr>
        <w:spacing w:line="14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43"/>
        <w:gridCol w:w="4957"/>
      </w:tblGrid>
      <w:tr w14:paraId="1F3B7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26" w:type="dxa"/>
            <w:vAlign w:val="top"/>
          </w:tcPr>
          <w:p w14:paraId="3D0E7C28">
            <w:pPr>
              <w:pStyle w:val="6"/>
              <w:spacing w:before="39" w:line="208" w:lineRule="auto"/>
              <w:ind w:left="132"/>
              <w:rPr>
                <w:sz w:val="24"/>
                <w:szCs w:val="24"/>
              </w:rPr>
            </w:pPr>
            <w:r>
              <w:rPr>
                <w:spacing w:val="-7"/>
                <w:sz w:val="24"/>
                <w:szCs w:val="24"/>
              </w:rPr>
              <w:t>分级</w:t>
            </w:r>
          </w:p>
        </w:tc>
        <w:tc>
          <w:tcPr>
            <w:tcW w:w="2843" w:type="dxa"/>
            <w:vAlign w:val="top"/>
          </w:tcPr>
          <w:p w14:paraId="20C46127">
            <w:pPr>
              <w:pStyle w:val="6"/>
              <w:spacing w:before="39" w:line="208" w:lineRule="auto"/>
              <w:ind w:left="226"/>
              <w:rPr>
                <w:sz w:val="24"/>
                <w:szCs w:val="24"/>
              </w:rPr>
            </w:pPr>
            <w:r>
              <w:rPr>
                <w:spacing w:val="-1"/>
                <w:sz w:val="24"/>
                <w:szCs w:val="24"/>
              </w:rPr>
              <w:t>包气带岩土的渗透性能</w:t>
            </w:r>
          </w:p>
        </w:tc>
        <w:tc>
          <w:tcPr>
            <w:tcW w:w="4957" w:type="dxa"/>
            <w:vAlign w:val="top"/>
          </w:tcPr>
          <w:p w14:paraId="50542910">
            <w:pPr>
              <w:pStyle w:val="6"/>
              <w:spacing w:before="39" w:line="208" w:lineRule="auto"/>
              <w:ind w:left="2124"/>
              <w:rPr>
                <w:sz w:val="24"/>
                <w:szCs w:val="24"/>
              </w:rPr>
            </w:pPr>
            <w:r>
              <w:rPr>
                <w:spacing w:val="-4"/>
                <w:sz w:val="24"/>
                <w:szCs w:val="24"/>
              </w:rPr>
              <w:t>本项目</w:t>
            </w:r>
          </w:p>
        </w:tc>
      </w:tr>
      <w:tr w14:paraId="12B70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26" w:type="dxa"/>
            <w:vAlign w:val="top"/>
          </w:tcPr>
          <w:p w14:paraId="59DB2CDA">
            <w:pPr>
              <w:spacing w:line="316" w:lineRule="auto"/>
              <w:rPr>
                <w:rFonts w:ascii="Arial"/>
                <w:sz w:val="21"/>
              </w:rPr>
            </w:pPr>
          </w:p>
          <w:p w14:paraId="519991C0">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D3</w:t>
            </w:r>
          </w:p>
        </w:tc>
        <w:tc>
          <w:tcPr>
            <w:tcW w:w="2843" w:type="dxa"/>
            <w:vAlign w:val="top"/>
          </w:tcPr>
          <w:p w14:paraId="5E775652">
            <w:pPr>
              <w:pStyle w:val="6"/>
              <w:spacing w:before="72" w:line="184" w:lineRule="auto"/>
              <w:ind w:left="825"/>
              <w:rPr>
                <w:sz w:val="24"/>
                <w:szCs w:val="24"/>
              </w:rPr>
            </w:pPr>
            <w:r>
              <w:rPr>
                <w:rFonts w:ascii="Times New Roman" w:hAnsi="Times New Roman" w:eastAsia="Times New Roman" w:cs="Times New Roman"/>
                <w:spacing w:val="-1"/>
                <w:sz w:val="24"/>
                <w:szCs w:val="24"/>
              </w:rPr>
              <w:t>Mb≥1.0m</w:t>
            </w:r>
            <w:r>
              <w:rPr>
                <w:spacing w:val="-1"/>
                <w:sz w:val="24"/>
                <w:szCs w:val="24"/>
              </w:rPr>
              <w:t>，</w:t>
            </w:r>
          </w:p>
          <w:p w14:paraId="70A2526D">
            <w:pPr>
              <w:pStyle w:val="6"/>
              <w:spacing w:before="35"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-6</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6F022991">
            <w:pPr>
              <w:pStyle w:val="6"/>
              <w:spacing w:before="25" w:line="208" w:lineRule="auto"/>
              <w:ind w:left="827"/>
              <w:rPr>
                <w:sz w:val="24"/>
                <w:szCs w:val="24"/>
              </w:rPr>
            </w:pPr>
            <w:r>
              <w:rPr>
                <w:spacing w:val="-3"/>
                <w:sz w:val="24"/>
                <w:szCs w:val="24"/>
              </w:rPr>
              <w:t>连续、稳定</w:t>
            </w:r>
          </w:p>
        </w:tc>
        <w:tc>
          <w:tcPr>
            <w:tcW w:w="4957" w:type="dxa"/>
            <w:vMerge w:val="restart"/>
            <w:tcBorders>
              <w:bottom w:val="nil"/>
            </w:tcBorders>
            <w:vAlign w:val="top"/>
          </w:tcPr>
          <w:p w14:paraId="57B7140D">
            <w:pPr>
              <w:pStyle w:val="6"/>
              <w:tabs>
                <w:tab w:val="left" w:pos="4923"/>
              </w:tabs>
              <w:spacing w:before="40" w:line="237" w:lineRule="auto"/>
              <w:ind w:left="114" w:right="26" w:firstLine="88"/>
              <w:jc w:val="both"/>
              <w:rPr>
                <w:sz w:val="24"/>
                <w:szCs w:val="24"/>
              </w:rPr>
            </w:pPr>
            <w:r>
              <w:rPr>
                <w:spacing w:val="-1"/>
                <w:sz w:val="24"/>
                <w:szCs w:val="24"/>
              </w:rPr>
              <w:t>根据《鄂托克经济开发区国土空间总体规划</w:t>
            </w:r>
            <w:r>
              <w:rPr>
                <w:spacing w:val="4"/>
                <w:sz w:val="24"/>
                <w:szCs w:val="24"/>
              </w:rPr>
              <w:t xml:space="preserve">  </w:t>
            </w:r>
            <w:r>
              <w:rPr>
                <w:spacing w:val="7"/>
                <w:sz w:val="24"/>
                <w:szCs w:val="24"/>
              </w:rPr>
              <w:t>（</w:t>
            </w:r>
            <w:r>
              <w:rPr>
                <w:rFonts w:ascii="Times New Roman" w:hAnsi="Times New Roman" w:eastAsia="Times New Roman" w:cs="Times New Roman"/>
                <w:spacing w:val="7"/>
                <w:sz w:val="24"/>
                <w:szCs w:val="24"/>
              </w:rPr>
              <w:t>2021-2035</w:t>
            </w:r>
            <w:r>
              <w:rPr>
                <w:spacing w:val="7"/>
                <w:sz w:val="24"/>
                <w:szCs w:val="24"/>
              </w:rPr>
              <w:t>）棋盘井产业园环境影响</w:t>
            </w:r>
            <w:r>
              <w:rPr>
                <w:spacing w:val="6"/>
                <w:sz w:val="24"/>
                <w:szCs w:val="24"/>
              </w:rPr>
              <w:t>报告</w:t>
            </w:r>
            <w:r>
              <w:rPr>
                <w:sz w:val="24"/>
                <w:szCs w:val="24"/>
              </w:rPr>
              <w:tab/>
            </w:r>
            <w:r>
              <w:rPr>
                <w:sz w:val="24"/>
                <w:szCs w:val="24"/>
              </w:rPr>
              <w:t xml:space="preserve"> </w:t>
            </w:r>
            <w:r>
              <w:rPr>
                <w:spacing w:val="-4"/>
                <w:sz w:val="24"/>
                <w:szCs w:val="24"/>
              </w:rPr>
              <w:t>书》，区域地下水流向为东南—西北，本项目</w:t>
            </w:r>
            <w:r>
              <w:rPr>
                <w:spacing w:val="9"/>
                <w:sz w:val="24"/>
                <w:szCs w:val="24"/>
              </w:rPr>
              <w:t xml:space="preserve"> </w:t>
            </w:r>
            <w:r>
              <w:rPr>
                <w:sz w:val="24"/>
                <w:szCs w:val="24"/>
              </w:rPr>
              <w:t>所在区域没有集中式、分散式饮用水水源地，</w:t>
            </w:r>
            <w:r>
              <w:rPr>
                <w:spacing w:val="9"/>
                <w:sz w:val="24"/>
                <w:szCs w:val="24"/>
              </w:rPr>
              <w:t xml:space="preserve"> </w:t>
            </w:r>
            <w:r>
              <w:rPr>
                <w:spacing w:val="-4"/>
                <w:sz w:val="24"/>
                <w:szCs w:val="24"/>
              </w:rPr>
              <w:t>不属于水源补给径流区，不具备供水意义。园</w:t>
            </w:r>
            <w:r>
              <w:rPr>
                <w:spacing w:val="9"/>
                <w:sz w:val="24"/>
                <w:szCs w:val="24"/>
              </w:rPr>
              <w:t xml:space="preserve"> </w:t>
            </w:r>
            <w:r>
              <w:rPr>
                <w:spacing w:val="-4"/>
                <w:sz w:val="24"/>
                <w:szCs w:val="24"/>
              </w:rPr>
              <w:t>区中部分布有风化基岩裂隙水，四周分布白垩</w:t>
            </w:r>
            <w:r>
              <w:rPr>
                <w:spacing w:val="9"/>
                <w:sz w:val="24"/>
                <w:szCs w:val="24"/>
              </w:rPr>
              <w:t xml:space="preserve"> </w:t>
            </w:r>
            <w:r>
              <w:rPr>
                <w:spacing w:val="-4"/>
                <w:sz w:val="24"/>
                <w:szCs w:val="24"/>
              </w:rPr>
              <w:t>系碎屑岩类孔隙裂隙水。园区地下水主要受岩</w:t>
            </w:r>
            <w:r>
              <w:rPr>
                <w:spacing w:val="9"/>
                <w:sz w:val="24"/>
                <w:szCs w:val="24"/>
              </w:rPr>
              <w:t xml:space="preserve"> </w:t>
            </w:r>
            <w:r>
              <w:rPr>
                <w:spacing w:val="-4"/>
                <w:sz w:val="24"/>
                <w:szCs w:val="24"/>
              </w:rPr>
              <w:t>性及构造格局控制，按其含水介质的岩性、结</w:t>
            </w:r>
            <w:r>
              <w:rPr>
                <w:spacing w:val="9"/>
                <w:sz w:val="24"/>
                <w:szCs w:val="24"/>
              </w:rPr>
              <w:t xml:space="preserve"> </w:t>
            </w:r>
            <w:r>
              <w:rPr>
                <w:spacing w:val="4"/>
                <w:sz w:val="24"/>
                <w:szCs w:val="24"/>
              </w:rPr>
              <w:t>构，园区的地下水主要为碎屑岩类孔隙裂隙</w:t>
            </w:r>
            <w:r>
              <w:rPr>
                <w:spacing w:val="1"/>
                <w:sz w:val="24"/>
                <w:szCs w:val="24"/>
              </w:rPr>
              <w:t xml:space="preserve">  </w:t>
            </w:r>
            <w:r>
              <w:rPr>
                <w:spacing w:val="-4"/>
                <w:sz w:val="24"/>
                <w:szCs w:val="24"/>
              </w:rPr>
              <w:t>水，含水层岩性为不同粒级粗、中、细、粉砂</w:t>
            </w:r>
            <w:r>
              <w:rPr>
                <w:spacing w:val="9"/>
                <w:sz w:val="24"/>
                <w:szCs w:val="24"/>
              </w:rPr>
              <w:t xml:space="preserve"> </w:t>
            </w:r>
            <w:r>
              <w:rPr>
                <w:spacing w:val="-11"/>
                <w:sz w:val="24"/>
                <w:szCs w:val="24"/>
              </w:rPr>
              <w:t>岩等，其富水性受地质构造、岩性、地形地貌、</w:t>
            </w:r>
            <w:r>
              <w:rPr>
                <w:sz w:val="24"/>
                <w:szCs w:val="24"/>
              </w:rPr>
              <w:t xml:space="preserve"> </w:t>
            </w:r>
            <w:r>
              <w:rPr>
                <w:spacing w:val="-4"/>
                <w:sz w:val="24"/>
                <w:szCs w:val="24"/>
              </w:rPr>
              <w:t>裂隙发育程度及水文气象条件制约，此地带岩</w:t>
            </w:r>
            <w:r>
              <w:rPr>
                <w:spacing w:val="9"/>
                <w:sz w:val="24"/>
                <w:szCs w:val="24"/>
              </w:rPr>
              <w:t xml:space="preserve"> </w:t>
            </w:r>
            <w:r>
              <w:rPr>
                <w:spacing w:val="-4"/>
                <w:sz w:val="24"/>
                <w:szCs w:val="24"/>
              </w:rPr>
              <w:t>层裸露、植被稀疏，裂隙节理发育，利于地表</w:t>
            </w:r>
            <w:r>
              <w:rPr>
                <w:spacing w:val="9"/>
                <w:sz w:val="24"/>
                <w:szCs w:val="24"/>
              </w:rPr>
              <w:t xml:space="preserve"> </w:t>
            </w:r>
            <w:r>
              <w:rPr>
                <w:sz w:val="24"/>
                <w:szCs w:val="24"/>
              </w:rPr>
              <w:t>水的入渗，裂隙水沿裂隙发育带向低处运移，</w:t>
            </w:r>
            <w:r>
              <w:rPr>
                <w:spacing w:val="9"/>
                <w:sz w:val="24"/>
                <w:szCs w:val="24"/>
              </w:rPr>
              <w:t xml:space="preserve"> </w:t>
            </w:r>
            <w:r>
              <w:rPr>
                <w:spacing w:val="4"/>
                <w:sz w:val="24"/>
                <w:szCs w:val="24"/>
              </w:rPr>
              <w:t>在丘间洼地往往由裂隙潜水转化为裂隙承压</w:t>
            </w:r>
          </w:p>
        </w:tc>
      </w:tr>
      <w:tr w14:paraId="1DEE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26" w:type="dxa"/>
            <w:vAlign w:val="top"/>
          </w:tcPr>
          <w:p w14:paraId="54089944">
            <w:pPr>
              <w:spacing w:line="260" w:lineRule="auto"/>
              <w:rPr>
                <w:rFonts w:ascii="Arial"/>
                <w:sz w:val="21"/>
              </w:rPr>
            </w:pPr>
          </w:p>
          <w:p w14:paraId="10EDC01E">
            <w:pPr>
              <w:spacing w:line="261" w:lineRule="auto"/>
              <w:rPr>
                <w:rFonts w:ascii="Arial"/>
                <w:sz w:val="21"/>
              </w:rPr>
            </w:pPr>
          </w:p>
          <w:p w14:paraId="5727CD22">
            <w:pPr>
              <w:spacing w:line="261" w:lineRule="auto"/>
              <w:rPr>
                <w:rFonts w:ascii="Arial"/>
                <w:sz w:val="21"/>
              </w:rPr>
            </w:pPr>
          </w:p>
          <w:p w14:paraId="2BB88E13">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D2</w:t>
            </w:r>
          </w:p>
        </w:tc>
        <w:tc>
          <w:tcPr>
            <w:tcW w:w="2843" w:type="dxa"/>
            <w:vAlign w:val="top"/>
          </w:tcPr>
          <w:p w14:paraId="7FA4EFAF">
            <w:pPr>
              <w:pStyle w:val="6"/>
              <w:spacing w:before="36" w:line="223" w:lineRule="auto"/>
              <w:ind w:left="468"/>
              <w:rPr>
                <w:sz w:val="24"/>
                <w:szCs w:val="24"/>
              </w:rPr>
            </w:pPr>
            <w:r>
              <w:rPr>
                <w:rFonts w:ascii="Times New Roman" w:hAnsi="Times New Roman" w:eastAsia="Times New Roman" w:cs="Times New Roman"/>
                <w:spacing w:val="-1"/>
                <w:sz w:val="24"/>
                <w:szCs w:val="24"/>
              </w:rPr>
              <w:t>0.5m≤Mb</w:t>
            </w:r>
            <w:r>
              <w:rPr>
                <w:spacing w:val="-1"/>
                <w:sz w:val="24"/>
                <w:szCs w:val="24"/>
              </w:rPr>
              <w:t>＜</w:t>
            </w:r>
            <w:r>
              <w:rPr>
                <w:rFonts w:ascii="Times New Roman" w:hAnsi="Times New Roman" w:eastAsia="Times New Roman" w:cs="Times New Roman"/>
                <w:spacing w:val="-1"/>
                <w:sz w:val="24"/>
                <w:szCs w:val="24"/>
              </w:rPr>
              <w:t>1.0m</w:t>
            </w:r>
            <w:r>
              <w:rPr>
                <w:spacing w:val="-1"/>
                <w:sz w:val="24"/>
                <w:szCs w:val="24"/>
              </w:rPr>
              <w:t>，</w:t>
            </w:r>
          </w:p>
          <w:p w14:paraId="6DDC3D1D">
            <w:pPr>
              <w:pStyle w:val="6"/>
              <w:spacing w:before="21"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-6</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0ED08FB2">
            <w:pPr>
              <w:pStyle w:val="6"/>
              <w:spacing w:before="25" w:line="219" w:lineRule="auto"/>
              <w:ind w:left="200"/>
              <w:rPr>
                <w:sz w:val="24"/>
                <w:szCs w:val="24"/>
              </w:rPr>
            </w:pPr>
            <w:r>
              <w:rPr>
                <w:spacing w:val="-2"/>
                <w:sz w:val="24"/>
                <w:szCs w:val="24"/>
              </w:rPr>
              <w:t>连续、稳定</w:t>
            </w:r>
            <w:r>
              <w:rPr>
                <w:spacing w:val="-46"/>
                <w:sz w:val="24"/>
                <w:szCs w:val="24"/>
              </w:rPr>
              <w:t xml:space="preserve"> </w:t>
            </w:r>
            <w:r>
              <w:rPr>
                <w:rFonts w:ascii="Times New Roman" w:hAnsi="Times New Roman" w:eastAsia="Times New Roman" w:cs="Times New Roman"/>
                <w:spacing w:val="-2"/>
                <w:sz w:val="24"/>
                <w:szCs w:val="24"/>
              </w:rPr>
              <w:t>Mb≥1.0m</w:t>
            </w:r>
            <w:r>
              <w:rPr>
                <w:spacing w:val="-2"/>
                <w:sz w:val="24"/>
                <w:szCs w:val="24"/>
              </w:rPr>
              <w:t>，</w:t>
            </w:r>
          </w:p>
          <w:p w14:paraId="2036C5A6">
            <w:pPr>
              <w:pStyle w:val="6"/>
              <w:spacing w:before="26" w:line="236" w:lineRule="auto"/>
              <w:ind w:left="696"/>
              <w:rPr>
                <w:sz w:val="24"/>
                <w:szCs w:val="24"/>
              </w:rPr>
            </w:pPr>
            <w:r>
              <w:rPr>
                <w:rFonts w:ascii="Times New Roman" w:hAnsi="Times New Roman" w:eastAsia="Times New Roman" w:cs="Times New Roman"/>
                <w:spacing w:val="6"/>
                <w:sz w:val="24"/>
                <w:szCs w:val="24"/>
              </w:rPr>
              <w:t>1.0×10</w:t>
            </w:r>
            <w:r>
              <w:rPr>
                <w:rFonts w:ascii="Times New Roman" w:hAnsi="Times New Roman" w:eastAsia="Times New Roman" w:cs="Times New Roman"/>
                <w:spacing w:val="6"/>
                <w:position w:val="7"/>
                <w:sz w:val="15"/>
                <w:szCs w:val="15"/>
              </w:rPr>
              <w:t>-6</w:t>
            </w:r>
            <w:r>
              <w:rPr>
                <w:rFonts w:ascii="Times New Roman" w:hAnsi="Times New Roman" w:eastAsia="Times New Roman" w:cs="Times New Roman"/>
                <w:sz w:val="24"/>
                <w:szCs w:val="24"/>
              </w:rPr>
              <w:t>cm</w:t>
            </w:r>
            <w:r>
              <w:rPr>
                <w:rFonts w:ascii="Times New Roman" w:hAnsi="Times New Roman" w:eastAsia="Times New Roman" w:cs="Times New Roman"/>
                <w:spacing w:val="6"/>
                <w:sz w:val="24"/>
                <w:szCs w:val="24"/>
              </w:rPr>
              <w:t>/s</w:t>
            </w:r>
            <w:r>
              <w:rPr>
                <w:spacing w:val="6"/>
                <w:sz w:val="24"/>
                <w:szCs w:val="24"/>
              </w:rPr>
              <w:t>&lt;</w:t>
            </w:r>
          </w:p>
          <w:p w14:paraId="51B563D8">
            <w:pPr>
              <w:pStyle w:val="6"/>
              <w:spacing w:before="5" w:line="219" w:lineRule="auto"/>
              <w:ind w:left="161"/>
              <w:rPr>
                <w:sz w:val="24"/>
                <w:szCs w:val="24"/>
              </w:rPr>
            </w:pPr>
            <w:r>
              <w:rPr>
                <w:rFonts w:ascii="Times New Roman" w:hAnsi="Times New Roman" w:eastAsia="Times New Roman" w:cs="Times New Roman"/>
                <w:spacing w:val="-2"/>
                <w:sz w:val="24"/>
                <w:szCs w:val="24"/>
              </w:rPr>
              <w:t>K≤1.0×10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2"/>
                <w:sz w:val="24"/>
                <w:szCs w:val="24"/>
              </w:rPr>
              <w:t>cm/s</w:t>
            </w:r>
            <w:r>
              <w:rPr>
                <w:rFonts w:ascii="Times New Roman" w:hAnsi="Times New Roman" w:eastAsia="Times New Roman" w:cs="Times New Roman"/>
                <w:spacing w:val="-26"/>
                <w:sz w:val="24"/>
                <w:szCs w:val="24"/>
              </w:rPr>
              <w:t xml:space="preserve"> </w:t>
            </w:r>
            <w:r>
              <w:rPr>
                <w:spacing w:val="-2"/>
                <w:sz w:val="24"/>
                <w:szCs w:val="24"/>
              </w:rPr>
              <w:t>，且分布</w:t>
            </w:r>
          </w:p>
          <w:p w14:paraId="20566E97">
            <w:pPr>
              <w:pStyle w:val="6"/>
              <w:spacing w:before="26" w:line="206" w:lineRule="auto"/>
              <w:ind w:left="827"/>
              <w:rPr>
                <w:sz w:val="24"/>
                <w:szCs w:val="24"/>
              </w:rPr>
            </w:pPr>
            <w:r>
              <w:rPr>
                <w:spacing w:val="-3"/>
                <w:sz w:val="24"/>
                <w:szCs w:val="24"/>
              </w:rPr>
              <w:t>连续、稳定</w:t>
            </w:r>
          </w:p>
        </w:tc>
        <w:tc>
          <w:tcPr>
            <w:tcW w:w="4957" w:type="dxa"/>
            <w:vMerge w:val="continue"/>
            <w:tcBorders>
              <w:top w:val="nil"/>
              <w:bottom w:val="nil"/>
            </w:tcBorders>
            <w:vAlign w:val="top"/>
          </w:tcPr>
          <w:p w14:paraId="69E8166E">
            <w:pPr>
              <w:rPr>
                <w:rFonts w:ascii="Arial"/>
                <w:sz w:val="21"/>
              </w:rPr>
            </w:pPr>
          </w:p>
        </w:tc>
      </w:tr>
      <w:tr w14:paraId="038D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726" w:type="dxa"/>
            <w:vAlign w:val="top"/>
          </w:tcPr>
          <w:p w14:paraId="3BC57E94">
            <w:pPr>
              <w:spacing w:line="258" w:lineRule="auto"/>
              <w:rPr>
                <w:rFonts w:ascii="Arial"/>
                <w:sz w:val="21"/>
              </w:rPr>
            </w:pPr>
          </w:p>
          <w:p w14:paraId="4B99C0D7">
            <w:pPr>
              <w:spacing w:line="258" w:lineRule="auto"/>
              <w:rPr>
                <w:rFonts w:ascii="Arial"/>
                <w:sz w:val="21"/>
              </w:rPr>
            </w:pPr>
          </w:p>
          <w:p w14:paraId="4156D99B">
            <w:pPr>
              <w:spacing w:line="258" w:lineRule="auto"/>
              <w:rPr>
                <w:rFonts w:ascii="Arial"/>
                <w:sz w:val="21"/>
              </w:rPr>
            </w:pPr>
          </w:p>
          <w:p w14:paraId="2E91737A">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D1</w:t>
            </w:r>
          </w:p>
        </w:tc>
        <w:tc>
          <w:tcPr>
            <w:tcW w:w="2843" w:type="dxa"/>
            <w:vAlign w:val="top"/>
          </w:tcPr>
          <w:p w14:paraId="0E8FB89F">
            <w:pPr>
              <w:spacing w:line="285" w:lineRule="auto"/>
              <w:rPr>
                <w:rFonts w:ascii="Arial"/>
                <w:sz w:val="21"/>
              </w:rPr>
            </w:pPr>
          </w:p>
          <w:p w14:paraId="5C4F92BD">
            <w:pPr>
              <w:spacing w:line="286" w:lineRule="auto"/>
              <w:rPr>
                <w:rFonts w:ascii="Arial"/>
                <w:sz w:val="21"/>
              </w:rPr>
            </w:pPr>
          </w:p>
          <w:p w14:paraId="16F093B6">
            <w:pPr>
              <w:pStyle w:val="6"/>
              <w:spacing w:before="78"/>
              <w:ind w:left="281" w:right="221" w:hanging="55"/>
              <w:rPr>
                <w:sz w:val="24"/>
                <w:szCs w:val="24"/>
              </w:rPr>
            </w:pPr>
            <w:r>
              <w:rPr>
                <w:spacing w:val="-1"/>
                <w:sz w:val="24"/>
                <w:szCs w:val="24"/>
              </w:rPr>
              <w:t>岩（土）层不满足上述</w:t>
            </w:r>
            <w:r>
              <w:rPr>
                <w:sz w:val="24"/>
                <w:szCs w:val="24"/>
              </w:rPr>
              <w:t xml:space="preserve"> </w:t>
            </w:r>
            <w:r>
              <w:rPr>
                <w:spacing w:val="-6"/>
                <w:sz w:val="24"/>
                <w:szCs w:val="24"/>
              </w:rPr>
              <w:t>“</w:t>
            </w:r>
            <w:r>
              <w:rPr>
                <w:rFonts w:ascii="Times New Roman" w:hAnsi="Times New Roman" w:eastAsia="Times New Roman" w:cs="Times New Roman"/>
                <w:spacing w:val="-6"/>
                <w:sz w:val="24"/>
                <w:szCs w:val="24"/>
              </w:rPr>
              <w:t>D2</w:t>
            </w:r>
            <w:r>
              <w:rPr>
                <w:rFonts w:ascii="Times New Roman" w:hAnsi="Times New Roman" w:eastAsia="Times New Roman" w:cs="Times New Roman"/>
                <w:spacing w:val="-26"/>
                <w:sz w:val="24"/>
                <w:szCs w:val="24"/>
              </w:rPr>
              <w:t xml:space="preserve"> </w:t>
            </w:r>
            <w:r>
              <w:rPr>
                <w:spacing w:val="-6"/>
                <w:sz w:val="24"/>
                <w:szCs w:val="24"/>
              </w:rPr>
              <w:t>”和“</w:t>
            </w:r>
            <w:r>
              <w:rPr>
                <w:rFonts w:ascii="Times New Roman" w:hAnsi="Times New Roman" w:eastAsia="Times New Roman" w:cs="Times New Roman"/>
                <w:spacing w:val="-6"/>
                <w:sz w:val="24"/>
                <w:szCs w:val="24"/>
              </w:rPr>
              <w:t>D3</w:t>
            </w:r>
            <w:r>
              <w:rPr>
                <w:rFonts w:ascii="Times New Roman" w:hAnsi="Times New Roman" w:eastAsia="Times New Roman" w:cs="Times New Roman"/>
                <w:spacing w:val="-28"/>
                <w:sz w:val="24"/>
                <w:szCs w:val="24"/>
              </w:rPr>
              <w:t xml:space="preserve"> </w:t>
            </w:r>
            <w:r>
              <w:rPr>
                <w:spacing w:val="-6"/>
                <w:sz w:val="24"/>
                <w:szCs w:val="24"/>
              </w:rPr>
              <w:t>”条件</w:t>
            </w:r>
          </w:p>
        </w:tc>
        <w:tc>
          <w:tcPr>
            <w:tcW w:w="4957" w:type="dxa"/>
            <w:vMerge w:val="continue"/>
            <w:tcBorders>
              <w:top w:val="nil"/>
            </w:tcBorders>
            <w:vAlign w:val="top"/>
          </w:tcPr>
          <w:p w14:paraId="27955003">
            <w:pPr>
              <w:rPr>
                <w:rFonts w:ascii="Arial"/>
                <w:sz w:val="21"/>
              </w:rPr>
            </w:pPr>
          </w:p>
        </w:tc>
      </w:tr>
    </w:tbl>
    <w:p w14:paraId="39C0DFE3">
      <w:pPr>
        <w:pStyle w:val="2"/>
      </w:pPr>
    </w:p>
    <w:p w14:paraId="23A2F797">
      <w:pPr>
        <w:sectPr>
          <w:footerReference r:id="rId102" w:type="default"/>
          <w:pgSz w:w="11906" w:h="16839"/>
          <w:pgMar w:top="400" w:right="1687" w:bottom="1259" w:left="1687" w:header="0" w:footer="1097" w:gutter="0"/>
          <w:cols w:space="720" w:num="1"/>
        </w:sectPr>
      </w:pPr>
    </w:p>
    <w:p w14:paraId="5594393D">
      <w:pPr>
        <w:spacing w:before="19"/>
      </w:pPr>
    </w:p>
    <w:p w14:paraId="5842D5D0">
      <w:pPr>
        <w:spacing w:before="19"/>
      </w:pPr>
    </w:p>
    <w:p w14:paraId="059F2D35">
      <w:pPr>
        <w:spacing w:before="18"/>
      </w:pPr>
    </w:p>
    <w:p w14:paraId="388CF3E8">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43"/>
        <w:gridCol w:w="4957"/>
      </w:tblGrid>
      <w:tr w14:paraId="62A5D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26" w:type="dxa"/>
            <w:vAlign w:val="top"/>
          </w:tcPr>
          <w:p w14:paraId="031449F2">
            <w:pPr>
              <w:rPr>
                <w:rFonts w:ascii="Arial"/>
                <w:sz w:val="21"/>
              </w:rPr>
            </w:pPr>
          </w:p>
        </w:tc>
        <w:tc>
          <w:tcPr>
            <w:tcW w:w="2843" w:type="dxa"/>
            <w:vAlign w:val="top"/>
          </w:tcPr>
          <w:p w14:paraId="7F8BF98D">
            <w:pPr>
              <w:rPr>
                <w:rFonts w:ascii="Arial"/>
                <w:sz w:val="21"/>
              </w:rPr>
            </w:pPr>
          </w:p>
        </w:tc>
        <w:tc>
          <w:tcPr>
            <w:tcW w:w="4957" w:type="dxa"/>
            <w:vAlign w:val="top"/>
          </w:tcPr>
          <w:p w14:paraId="154B4A69">
            <w:pPr>
              <w:pStyle w:val="6"/>
              <w:spacing w:before="42" w:line="219" w:lineRule="auto"/>
              <w:ind w:left="117"/>
              <w:rPr>
                <w:sz w:val="24"/>
                <w:szCs w:val="24"/>
              </w:rPr>
            </w:pPr>
            <w:r>
              <w:rPr>
                <w:spacing w:val="-4"/>
                <w:sz w:val="24"/>
                <w:szCs w:val="24"/>
              </w:rPr>
              <w:t>水。园区内包气带岩性中部为风化基岩，四周</w:t>
            </w:r>
          </w:p>
          <w:p w14:paraId="13806078">
            <w:pPr>
              <w:pStyle w:val="6"/>
              <w:spacing w:before="24" w:line="219" w:lineRule="auto"/>
              <w:ind w:left="117"/>
              <w:rPr>
                <w:sz w:val="24"/>
                <w:szCs w:val="24"/>
              </w:rPr>
            </w:pPr>
            <w:r>
              <w:rPr>
                <w:spacing w:val="-4"/>
                <w:sz w:val="24"/>
                <w:szCs w:val="24"/>
              </w:rPr>
              <w:t>为白垩系碎屑岩，且地下水埋深较大，包气带</w:t>
            </w:r>
          </w:p>
          <w:p w14:paraId="77DB1B62">
            <w:pPr>
              <w:pStyle w:val="6"/>
              <w:spacing w:before="26" w:line="205" w:lineRule="auto"/>
              <w:ind w:left="1538"/>
              <w:rPr>
                <w:sz w:val="24"/>
                <w:szCs w:val="24"/>
              </w:rPr>
            </w:pPr>
            <w:r>
              <w:rPr>
                <w:spacing w:val="-4"/>
                <w:sz w:val="24"/>
                <w:szCs w:val="24"/>
              </w:rPr>
              <w:t>防污性能为中等。</w:t>
            </w:r>
          </w:p>
        </w:tc>
      </w:tr>
      <w:tr w14:paraId="7934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526" w:type="dxa"/>
            <w:gridSpan w:val="3"/>
            <w:vAlign w:val="top"/>
          </w:tcPr>
          <w:p w14:paraId="556E91B3">
            <w:pPr>
              <w:pStyle w:val="6"/>
              <w:spacing w:before="37" w:line="209" w:lineRule="auto"/>
              <w:ind w:left="111"/>
              <w:rPr>
                <w:sz w:val="24"/>
                <w:szCs w:val="24"/>
              </w:rPr>
            </w:pPr>
            <w:r>
              <w:rPr>
                <w:rFonts w:ascii="Times New Roman" w:hAnsi="Times New Roman" w:eastAsia="Times New Roman" w:cs="Times New Roman"/>
                <w:spacing w:val="-1"/>
                <w:sz w:val="24"/>
                <w:szCs w:val="24"/>
              </w:rPr>
              <w:t>Mb</w:t>
            </w:r>
            <w:r>
              <w:rPr>
                <w:spacing w:val="-1"/>
                <w:sz w:val="24"/>
                <w:szCs w:val="24"/>
              </w:rPr>
              <w:t xml:space="preserve">：岩土层单层厚度  </w:t>
            </w:r>
            <w:r>
              <w:rPr>
                <w:rFonts w:ascii="Times New Roman" w:hAnsi="Times New Roman" w:eastAsia="Times New Roman" w:cs="Times New Roman"/>
                <w:spacing w:val="-1"/>
                <w:sz w:val="24"/>
                <w:szCs w:val="24"/>
              </w:rPr>
              <w:t>K</w:t>
            </w:r>
            <w:r>
              <w:rPr>
                <w:spacing w:val="-1"/>
                <w:sz w:val="24"/>
                <w:szCs w:val="24"/>
              </w:rPr>
              <w:t>：渗透系数</w:t>
            </w:r>
          </w:p>
        </w:tc>
      </w:tr>
    </w:tbl>
    <w:p w14:paraId="66EB1068">
      <w:pPr>
        <w:spacing w:before="199" w:line="359" w:lineRule="auto"/>
        <w:ind w:left="122" w:right="109" w:firstLine="563"/>
        <w:jc w:val="both"/>
        <w:rPr>
          <w:rFonts w:ascii="宋体" w:hAnsi="宋体" w:eastAsia="宋体" w:cs="宋体"/>
          <w:sz w:val="28"/>
          <w:szCs w:val="28"/>
        </w:rPr>
      </w:pPr>
      <w:r>
        <w:rPr>
          <w:rFonts w:ascii="宋体" w:hAnsi="宋体" w:eastAsia="宋体" w:cs="宋体"/>
          <w:sz w:val="28"/>
          <w:szCs w:val="28"/>
        </w:rPr>
        <w:t>综上所述，本项目区域地下水功能敏感性分区为</w:t>
      </w:r>
      <w:r>
        <w:rPr>
          <w:rFonts w:ascii="宋体" w:hAnsi="宋体" w:eastAsia="宋体" w:cs="宋体"/>
          <w:spacing w:val="-1"/>
          <w:sz w:val="28"/>
          <w:szCs w:val="28"/>
        </w:rPr>
        <w:t>低敏感</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G3</w:t>
      </w:r>
      <w:r>
        <w:rPr>
          <w:rFonts w:ascii="Times New Roman" w:hAnsi="Times New Roman" w:eastAsia="Times New Roman" w:cs="Times New Roman"/>
          <w:spacing w:val="-32"/>
          <w:sz w:val="28"/>
          <w:szCs w:val="28"/>
        </w:rPr>
        <w:t xml:space="preserve"> </w:t>
      </w:r>
      <w:r>
        <w:rPr>
          <w:rFonts w:ascii="宋体" w:hAnsi="宋体" w:eastAsia="宋体" w:cs="宋体"/>
          <w:spacing w:val="-1"/>
          <w:sz w:val="28"/>
          <w:szCs w:val="28"/>
        </w:rPr>
        <w:t>，包</w:t>
      </w:r>
      <w:r>
        <w:rPr>
          <w:rFonts w:ascii="宋体" w:hAnsi="宋体" w:eastAsia="宋体" w:cs="宋体"/>
          <w:sz w:val="28"/>
          <w:szCs w:val="28"/>
        </w:rPr>
        <w:t xml:space="preserve"> </w:t>
      </w:r>
      <w:r>
        <w:rPr>
          <w:rFonts w:ascii="宋体" w:hAnsi="宋体" w:eastAsia="宋体" w:cs="宋体"/>
          <w:spacing w:val="-3"/>
          <w:sz w:val="28"/>
          <w:szCs w:val="28"/>
        </w:rPr>
        <w:t>气带防污性能分级为</w:t>
      </w:r>
      <w:r>
        <w:rPr>
          <w:rFonts w:ascii="宋体" w:hAnsi="宋体" w:eastAsia="宋体" w:cs="宋体"/>
          <w:spacing w:val="-66"/>
          <w:sz w:val="28"/>
          <w:szCs w:val="28"/>
        </w:rPr>
        <w:t xml:space="preserve"> </w:t>
      </w:r>
      <w:r>
        <w:rPr>
          <w:rFonts w:ascii="Times New Roman" w:hAnsi="Times New Roman" w:eastAsia="Times New Roman" w:cs="Times New Roman"/>
          <w:spacing w:val="-3"/>
          <w:sz w:val="28"/>
          <w:szCs w:val="28"/>
        </w:rPr>
        <w:t>D2</w:t>
      </w:r>
      <w:r>
        <w:rPr>
          <w:rFonts w:ascii="宋体" w:hAnsi="宋体" w:eastAsia="宋体" w:cs="宋体"/>
          <w:spacing w:val="-3"/>
          <w:sz w:val="28"/>
          <w:szCs w:val="28"/>
        </w:rPr>
        <w:t>，地下水环境敏感程度分级为</w:t>
      </w:r>
      <w:r>
        <w:rPr>
          <w:rFonts w:ascii="宋体" w:hAnsi="宋体" w:eastAsia="宋体" w:cs="宋体"/>
          <w:spacing w:val="-65"/>
          <w:sz w:val="28"/>
          <w:szCs w:val="28"/>
        </w:rPr>
        <w:t xml:space="preserve"> </w:t>
      </w:r>
      <w:r>
        <w:rPr>
          <w:rFonts w:ascii="Times New Roman" w:hAnsi="Times New Roman" w:eastAsia="Times New Roman" w:cs="Times New Roman"/>
          <w:spacing w:val="-4"/>
          <w:sz w:val="28"/>
          <w:szCs w:val="28"/>
        </w:rPr>
        <w:t>E3</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，即环境低</w:t>
      </w:r>
      <w:r>
        <w:rPr>
          <w:rFonts w:ascii="宋体" w:hAnsi="宋体" w:eastAsia="宋体" w:cs="宋体"/>
          <w:sz w:val="28"/>
          <w:szCs w:val="28"/>
        </w:rPr>
        <w:t xml:space="preserve"> </w:t>
      </w:r>
      <w:r>
        <w:rPr>
          <w:rFonts w:ascii="宋体" w:hAnsi="宋体" w:eastAsia="宋体" w:cs="宋体"/>
          <w:spacing w:val="-2"/>
          <w:sz w:val="28"/>
          <w:szCs w:val="28"/>
        </w:rPr>
        <w:t>度敏感区。</w:t>
      </w:r>
    </w:p>
    <w:p w14:paraId="387F9639">
      <w:pPr>
        <w:spacing w:before="1"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4</w:t>
      </w:r>
      <w:r>
        <w:rPr>
          <w:rFonts w:ascii="宋体" w:hAnsi="宋体" w:eastAsia="宋体" w:cs="宋体"/>
          <w:spacing w:val="-2"/>
          <w:sz w:val="28"/>
          <w:szCs w:val="28"/>
        </w:rPr>
        <w:t>）环境风险潜势判定</w:t>
      </w:r>
    </w:p>
    <w:p w14:paraId="4B8C84F7">
      <w:pPr>
        <w:spacing w:before="208" w:line="358" w:lineRule="auto"/>
        <w:ind w:left="123" w:right="112" w:firstLine="559"/>
        <w:rPr>
          <w:rFonts w:ascii="宋体" w:hAnsi="宋体" w:eastAsia="宋体" w:cs="宋体"/>
          <w:sz w:val="28"/>
          <w:szCs w:val="28"/>
        </w:rPr>
      </w:pPr>
      <w:r>
        <w:rPr>
          <w:rFonts w:ascii="宋体" w:hAnsi="宋体" w:eastAsia="宋体" w:cs="宋体"/>
          <w:spacing w:val="6"/>
          <w:sz w:val="28"/>
          <w:szCs w:val="28"/>
        </w:rPr>
        <w:t>根据本项目涉及的物质和工艺系统的危险性及其所在地的环境</w:t>
      </w:r>
      <w:r>
        <w:rPr>
          <w:rFonts w:ascii="宋体" w:hAnsi="宋体" w:eastAsia="宋体" w:cs="宋体"/>
          <w:spacing w:val="13"/>
          <w:sz w:val="28"/>
          <w:szCs w:val="28"/>
        </w:rPr>
        <w:t xml:space="preserve"> </w:t>
      </w:r>
      <w:r>
        <w:rPr>
          <w:rFonts w:ascii="宋体" w:hAnsi="宋体" w:eastAsia="宋体" w:cs="宋体"/>
          <w:spacing w:val="-4"/>
          <w:sz w:val="28"/>
          <w:szCs w:val="28"/>
        </w:rPr>
        <w:t>敏感程度，结合事故情形下环境影响途径，对潜在环境危害程度进行</w:t>
      </w:r>
      <w:r>
        <w:rPr>
          <w:rFonts w:ascii="宋体" w:hAnsi="宋体" w:eastAsia="宋体" w:cs="宋体"/>
          <w:spacing w:val="14"/>
          <w:sz w:val="28"/>
          <w:szCs w:val="28"/>
        </w:rPr>
        <w:t xml:space="preserve"> </w:t>
      </w:r>
      <w:r>
        <w:rPr>
          <w:rFonts w:ascii="宋体" w:hAnsi="宋体" w:eastAsia="宋体" w:cs="宋体"/>
          <w:spacing w:val="-1"/>
          <w:sz w:val="28"/>
          <w:szCs w:val="28"/>
        </w:rPr>
        <w:t>概化分析，确定各要素环境风险潜势等级，详见下表：</w:t>
      </w:r>
    </w:p>
    <w:p w14:paraId="551580E6">
      <w:pPr>
        <w:spacing w:line="219" w:lineRule="auto"/>
        <w:ind w:left="188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3.2-13    </w:t>
      </w:r>
      <w:r>
        <w:rPr>
          <w:rFonts w:ascii="宋体" w:hAnsi="宋体" w:eastAsia="宋体" w:cs="宋体"/>
          <w:b/>
          <w:bCs/>
          <w:spacing w:val="-2"/>
          <w:sz w:val="24"/>
          <w:szCs w:val="24"/>
        </w:rPr>
        <w:t>各要素环境风险潜势等级判定情况</w:t>
      </w:r>
    </w:p>
    <w:p w14:paraId="74D52FE8">
      <w:pPr>
        <w:spacing w:line="147" w:lineRule="exact"/>
      </w:pPr>
    </w:p>
    <w:tbl>
      <w:tblPr>
        <w:tblStyle w:val="5"/>
        <w:tblW w:w="852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7"/>
        <w:gridCol w:w="2618"/>
        <w:gridCol w:w="2487"/>
        <w:gridCol w:w="1771"/>
      </w:tblGrid>
      <w:tr w14:paraId="44B0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47" w:type="dxa"/>
            <w:vAlign w:val="top"/>
          </w:tcPr>
          <w:p w14:paraId="06845A9E">
            <w:pPr>
              <w:pStyle w:val="6"/>
              <w:spacing w:before="194" w:line="219" w:lineRule="auto"/>
              <w:ind w:left="348"/>
              <w:rPr>
                <w:sz w:val="24"/>
                <w:szCs w:val="24"/>
              </w:rPr>
            </w:pPr>
            <w:r>
              <w:rPr>
                <w:spacing w:val="-3"/>
                <w:sz w:val="24"/>
                <w:szCs w:val="24"/>
              </w:rPr>
              <w:t>环境要素</w:t>
            </w:r>
          </w:p>
        </w:tc>
        <w:tc>
          <w:tcPr>
            <w:tcW w:w="2618" w:type="dxa"/>
            <w:vAlign w:val="top"/>
          </w:tcPr>
          <w:p w14:paraId="0B1AD537">
            <w:pPr>
              <w:pStyle w:val="6"/>
              <w:spacing w:before="194" w:line="219" w:lineRule="auto"/>
              <w:ind w:left="490"/>
              <w:rPr>
                <w:rFonts w:ascii="Times New Roman" w:hAnsi="Times New Roman" w:eastAsia="Times New Roman" w:cs="Times New Roman"/>
                <w:sz w:val="24"/>
                <w:szCs w:val="24"/>
              </w:rPr>
            </w:pPr>
            <w:r>
              <w:rPr>
                <w:spacing w:val="-2"/>
                <w:sz w:val="24"/>
                <w:szCs w:val="24"/>
              </w:rPr>
              <w:t>敏感程度分级</w:t>
            </w:r>
            <w:r>
              <w:rPr>
                <w:spacing w:val="-53"/>
                <w:sz w:val="24"/>
                <w:szCs w:val="24"/>
              </w:rPr>
              <w:t xml:space="preserve"> </w:t>
            </w:r>
            <w:r>
              <w:rPr>
                <w:rFonts w:ascii="Times New Roman" w:hAnsi="Times New Roman" w:eastAsia="Times New Roman" w:cs="Times New Roman"/>
                <w:spacing w:val="-2"/>
                <w:sz w:val="24"/>
                <w:szCs w:val="24"/>
              </w:rPr>
              <w:t>E</w:t>
            </w:r>
          </w:p>
        </w:tc>
        <w:tc>
          <w:tcPr>
            <w:tcW w:w="2487" w:type="dxa"/>
            <w:vAlign w:val="top"/>
          </w:tcPr>
          <w:p w14:paraId="617AAF93">
            <w:pPr>
              <w:pStyle w:val="6"/>
              <w:spacing w:before="40" w:line="223" w:lineRule="auto"/>
              <w:ind w:left="798" w:right="160" w:hanging="624"/>
              <w:rPr>
                <w:rFonts w:ascii="Times New Roman" w:hAnsi="Times New Roman" w:eastAsia="Times New Roman" w:cs="Times New Roman"/>
                <w:sz w:val="24"/>
                <w:szCs w:val="24"/>
              </w:rPr>
            </w:pPr>
            <w:r>
              <w:rPr>
                <w:spacing w:val="-2"/>
                <w:sz w:val="24"/>
                <w:szCs w:val="24"/>
              </w:rPr>
              <w:t>危险物质及工艺系统</w:t>
            </w:r>
            <w:r>
              <w:rPr>
                <w:spacing w:val="4"/>
                <w:sz w:val="24"/>
                <w:szCs w:val="24"/>
              </w:rPr>
              <w:t xml:space="preserve"> </w:t>
            </w:r>
            <w:r>
              <w:rPr>
                <w:spacing w:val="-4"/>
                <w:sz w:val="24"/>
                <w:szCs w:val="24"/>
              </w:rPr>
              <w:t>危险性</w:t>
            </w:r>
            <w:r>
              <w:rPr>
                <w:spacing w:val="-54"/>
                <w:sz w:val="24"/>
                <w:szCs w:val="24"/>
              </w:rPr>
              <w:t xml:space="preserve"> </w:t>
            </w:r>
            <w:r>
              <w:rPr>
                <w:rFonts w:ascii="Times New Roman" w:hAnsi="Times New Roman" w:eastAsia="Times New Roman" w:cs="Times New Roman"/>
                <w:spacing w:val="-4"/>
                <w:sz w:val="24"/>
                <w:szCs w:val="24"/>
              </w:rPr>
              <w:t>P</w:t>
            </w:r>
          </w:p>
        </w:tc>
        <w:tc>
          <w:tcPr>
            <w:tcW w:w="1771" w:type="dxa"/>
            <w:vAlign w:val="top"/>
          </w:tcPr>
          <w:p w14:paraId="6E7CBCB5">
            <w:pPr>
              <w:pStyle w:val="6"/>
              <w:spacing w:before="40" w:line="223" w:lineRule="auto"/>
              <w:ind w:left="652" w:right="162" w:hanging="480"/>
              <w:rPr>
                <w:sz w:val="24"/>
                <w:szCs w:val="24"/>
              </w:rPr>
            </w:pPr>
            <w:r>
              <w:rPr>
                <w:spacing w:val="-2"/>
                <w:sz w:val="24"/>
                <w:szCs w:val="24"/>
              </w:rPr>
              <w:t>环境风险潜势</w:t>
            </w:r>
            <w:r>
              <w:rPr>
                <w:spacing w:val="1"/>
                <w:sz w:val="24"/>
                <w:szCs w:val="24"/>
              </w:rPr>
              <w:t xml:space="preserve"> </w:t>
            </w:r>
            <w:r>
              <w:rPr>
                <w:spacing w:val="-5"/>
                <w:sz w:val="24"/>
                <w:szCs w:val="24"/>
              </w:rPr>
              <w:t>判断</w:t>
            </w:r>
          </w:p>
        </w:tc>
      </w:tr>
      <w:tr w14:paraId="1C7E0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647" w:type="dxa"/>
            <w:vAlign w:val="top"/>
          </w:tcPr>
          <w:p w14:paraId="329E8CD3">
            <w:pPr>
              <w:pStyle w:val="6"/>
              <w:spacing w:before="37" w:line="206" w:lineRule="auto"/>
              <w:ind w:left="351"/>
              <w:rPr>
                <w:sz w:val="24"/>
                <w:szCs w:val="24"/>
              </w:rPr>
            </w:pPr>
            <w:r>
              <w:rPr>
                <w:spacing w:val="-4"/>
                <w:sz w:val="24"/>
                <w:szCs w:val="24"/>
              </w:rPr>
              <w:t>大气环境</w:t>
            </w:r>
          </w:p>
        </w:tc>
        <w:tc>
          <w:tcPr>
            <w:tcW w:w="2618" w:type="dxa"/>
            <w:vAlign w:val="top"/>
          </w:tcPr>
          <w:p w14:paraId="5C6B33CF">
            <w:pPr>
              <w:spacing w:before="78"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E1</w:t>
            </w:r>
          </w:p>
        </w:tc>
        <w:tc>
          <w:tcPr>
            <w:tcW w:w="2487" w:type="dxa"/>
            <w:vMerge w:val="restart"/>
            <w:tcBorders>
              <w:bottom w:val="nil"/>
            </w:tcBorders>
            <w:vAlign w:val="top"/>
          </w:tcPr>
          <w:p w14:paraId="587D9DD5">
            <w:pPr>
              <w:spacing w:line="328" w:lineRule="auto"/>
              <w:rPr>
                <w:rFonts w:ascii="Arial"/>
                <w:sz w:val="21"/>
              </w:rPr>
            </w:pPr>
          </w:p>
          <w:p w14:paraId="139F5A39">
            <w:pPr>
              <w:spacing w:before="69" w:line="188" w:lineRule="auto"/>
              <w:ind w:left="1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P3</w:t>
            </w:r>
          </w:p>
        </w:tc>
        <w:tc>
          <w:tcPr>
            <w:tcW w:w="1771" w:type="dxa"/>
            <w:vAlign w:val="top"/>
          </w:tcPr>
          <w:p w14:paraId="76432369">
            <w:pPr>
              <w:spacing w:before="81" w:line="185" w:lineRule="auto"/>
              <w:ind w:left="76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III</w:t>
            </w:r>
          </w:p>
        </w:tc>
      </w:tr>
      <w:tr w14:paraId="6D261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47" w:type="dxa"/>
            <w:vAlign w:val="top"/>
          </w:tcPr>
          <w:p w14:paraId="7A9531DA">
            <w:pPr>
              <w:pStyle w:val="6"/>
              <w:spacing w:before="38" w:line="206" w:lineRule="auto"/>
              <w:ind w:left="468"/>
              <w:rPr>
                <w:sz w:val="24"/>
                <w:szCs w:val="24"/>
              </w:rPr>
            </w:pPr>
            <w:r>
              <w:rPr>
                <w:spacing w:val="-4"/>
                <w:sz w:val="24"/>
                <w:szCs w:val="24"/>
              </w:rPr>
              <w:t>地表水</w:t>
            </w:r>
          </w:p>
        </w:tc>
        <w:tc>
          <w:tcPr>
            <w:tcW w:w="2618" w:type="dxa"/>
            <w:vAlign w:val="top"/>
          </w:tcPr>
          <w:p w14:paraId="34418C8C">
            <w:pPr>
              <w:spacing w:before="79"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2487" w:type="dxa"/>
            <w:vMerge w:val="continue"/>
            <w:tcBorders>
              <w:top w:val="nil"/>
              <w:bottom w:val="nil"/>
            </w:tcBorders>
            <w:vAlign w:val="top"/>
          </w:tcPr>
          <w:p w14:paraId="21FBF401">
            <w:pPr>
              <w:rPr>
                <w:rFonts w:ascii="Arial"/>
                <w:sz w:val="21"/>
              </w:rPr>
            </w:pPr>
          </w:p>
        </w:tc>
        <w:tc>
          <w:tcPr>
            <w:tcW w:w="1771" w:type="dxa"/>
            <w:vAlign w:val="top"/>
          </w:tcPr>
          <w:p w14:paraId="610629B9">
            <w:pPr>
              <w:spacing w:before="83" w:line="185" w:lineRule="auto"/>
              <w:ind w:left="80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r w14:paraId="37226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47" w:type="dxa"/>
            <w:vAlign w:val="top"/>
          </w:tcPr>
          <w:p w14:paraId="48FF031C">
            <w:pPr>
              <w:pStyle w:val="6"/>
              <w:spacing w:before="38" w:line="208" w:lineRule="auto"/>
              <w:ind w:left="468"/>
              <w:rPr>
                <w:sz w:val="24"/>
                <w:szCs w:val="24"/>
              </w:rPr>
            </w:pPr>
            <w:r>
              <w:rPr>
                <w:spacing w:val="-4"/>
                <w:sz w:val="24"/>
                <w:szCs w:val="24"/>
              </w:rPr>
              <w:t>地下水</w:t>
            </w:r>
          </w:p>
        </w:tc>
        <w:tc>
          <w:tcPr>
            <w:tcW w:w="2618" w:type="dxa"/>
            <w:vAlign w:val="top"/>
          </w:tcPr>
          <w:p w14:paraId="687C1B3B">
            <w:pPr>
              <w:spacing w:before="80" w:line="188" w:lineRule="auto"/>
              <w:ind w:left="117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E3</w:t>
            </w:r>
          </w:p>
        </w:tc>
        <w:tc>
          <w:tcPr>
            <w:tcW w:w="2487" w:type="dxa"/>
            <w:vMerge w:val="continue"/>
            <w:tcBorders>
              <w:top w:val="nil"/>
            </w:tcBorders>
            <w:vAlign w:val="top"/>
          </w:tcPr>
          <w:p w14:paraId="6CEA04FD">
            <w:pPr>
              <w:rPr>
                <w:rFonts w:ascii="Arial"/>
                <w:sz w:val="21"/>
              </w:rPr>
            </w:pPr>
          </w:p>
        </w:tc>
        <w:tc>
          <w:tcPr>
            <w:tcW w:w="1771" w:type="dxa"/>
            <w:vAlign w:val="top"/>
          </w:tcPr>
          <w:p w14:paraId="610E99C7">
            <w:pPr>
              <w:spacing w:before="84" w:line="185" w:lineRule="auto"/>
              <w:ind w:left="80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II</w:t>
            </w:r>
          </w:p>
        </w:tc>
      </w:tr>
    </w:tbl>
    <w:p w14:paraId="2D698128">
      <w:pPr>
        <w:spacing w:before="197" w:line="219" w:lineRule="auto"/>
        <w:ind w:left="117"/>
        <w:outlineLvl w:val="1"/>
        <w:rPr>
          <w:rFonts w:ascii="宋体" w:hAnsi="宋体" w:eastAsia="宋体" w:cs="宋体"/>
          <w:sz w:val="28"/>
          <w:szCs w:val="28"/>
        </w:rPr>
      </w:pPr>
      <w:bookmarkStart w:id="10" w:name="bookmark11"/>
      <w:bookmarkEnd w:id="10"/>
      <w:r>
        <w:rPr>
          <w:rFonts w:ascii="Times New Roman" w:hAnsi="Times New Roman" w:eastAsia="Times New Roman" w:cs="Times New Roman"/>
          <w:b/>
          <w:bCs/>
          <w:spacing w:val="-2"/>
          <w:sz w:val="28"/>
          <w:szCs w:val="28"/>
        </w:rPr>
        <w:t xml:space="preserve">3.3 </w:t>
      </w:r>
      <w:r>
        <w:rPr>
          <w:rFonts w:ascii="宋体" w:hAnsi="宋体" w:eastAsia="宋体" w:cs="宋体"/>
          <w:b/>
          <w:bCs/>
          <w:spacing w:val="-2"/>
          <w:sz w:val="28"/>
          <w:szCs w:val="28"/>
        </w:rPr>
        <w:t>评价等级判定</w:t>
      </w:r>
    </w:p>
    <w:p w14:paraId="06A3236A">
      <w:pPr>
        <w:spacing w:before="214" w:line="359" w:lineRule="auto"/>
        <w:ind w:left="122" w:right="14" w:firstLine="560"/>
        <w:jc w:val="both"/>
        <w:rPr>
          <w:rFonts w:ascii="宋体" w:hAnsi="宋体" w:eastAsia="宋体" w:cs="宋体"/>
          <w:sz w:val="28"/>
          <w:szCs w:val="28"/>
        </w:rPr>
      </w:pPr>
      <w:r>
        <w:rPr>
          <w:rFonts w:ascii="宋体" w:hAnsi="宋体" w:eastAsia="宋体" w:cs="宋体"/>
          <w:spacing w:val="6"/>
          <w:sz w:val="28"/>
          <w:szCs w:val="28"/>
        </w:rPr>
        <w:t>根据建设项目涉及的物质及工艺系统危险性和所在地的环境敏</w:t>
      </w:r>
      <w:r>
        <w:rPr>
          <w:rFonts w:ascii="宋体" w:hAnsi="宋体" w:eastAsia="宋体" w:cs="宋体"/>
          <w:spacing w:val="13"/>
          <w:sz w:val="28"/>
          <w:szCs w:val="28"/>
        </w:rPr>
        <w:t xml:space="preserve"> </w:t>
      </w:r>
      <w:r>
        <w:rPr>
          <w:rFonts w:ascii="宋体" w:hAnsi="宋体" w:eastAsia="宋体" w:cs="宋体"/>
          <w:spacing w:val="-4"/>
          <w:sz w:val="28"/>
          <w:szCs w:val="28"/>
        </w:rPr>
        <w:t>感性确定环境风险潜势，风险潜势为Ⅳ及以上，进行一级评价；风险</w:t>
      </w:r>
      <w:r>
        <w:rPr>
          <w:rFonts w:ascii="宋体" w:hAnsi="宋体" w:eastAsia="宋体" w:cs="宋体"/>
          <w:spacing w:val="15"/>
          <w:sz w:val="28"/>
          <w:szCs w:val="28"/>
        </w:rPr>
        <w:t xml:space="preserve"> </w:t>
      </w:r>
      <w:r>
        <w:rPr>
          <w:rFonts w:ascii="宋体" w:hAnsi="宋体" w:eastAsia="宋体" w:cs="宋体"/>
          <w:spacing w:val="-9"/>
          <w:sz w:val="28"/>
          <w:szCs w:val="28"/>
        </w:rPr>
        <w:t>潜势为Ⅲ</w:t>
      </w:r>
      <w:r>
        <w:rPr>
          <w:rFonts w:ascii="宋体" w:hAnsi="宋体" w:eastAsia="宋体" w:cs="宋体"/>
          <w:spacing w:val="-99"/>
          <w:sz w:val="28"/>
          <w:szCs w:val="28"/>
        </w:rPr>
        <w:t xml:space="preserve"> </w:t>
      </w:r>
      <w:r>
        <w:rPr>
          <w:rFonts w:ascii="宋体" w:hAnsi="宋体" w:eastAsia="宋体" w:cs="宋体"/>
          <w:spacing w:val="-9"/>
          <w:sz w:val="28"/>
          <w:szCs w:val="28"/>
        </w:rPr>
        <w:t>,</w:t>
      </w:r>
      <w:r>
        <w:rPr>
          <w:rFonts w:ascii="宋体" w:hAnsi="宋体" w:eastAsia="宋体" w:cs="宋体"/>
          <w:spacing w:val="45"/>
          <w:sz w:val="28"/>
          <w:szCs w:val="28"/>
        </w:rPr>
        <w:t xml:space="preserve"> </w:t>
      </w:r>
      <w:r>
        <w:rPr>
          <w:rFonts w:ascii="宋体" w:hAnsi="宋体" w:eastAsia="宋体" w:cs="宋体"/>
          <w:spacing w:val="-9"/>
          <w:sz w:val="28"/>
          <w:szCs w:val="28"/>
        </w:rPr>
        <w:t>进行二级评价；风险潜势为Ⅱ</w:t>
      </w:r>
      <w:r>
        <w:rPr>
          <w:rFonts w:ascii="宋体" w:hAnsi="宋体" w:eastAsia="宋体" w:cs="宋体"/>
          <w:spacing w:val="-108"/>
          <w:sz w:val="28"/>
          <w:szCs w:val="28"/>
        </w:rPr>
        <w:t xml:space="preserve"> </w:t>
      </w:r>
      <w:r>
        <w:rPr>
          <w:rFonts w:ascii="宋体" w:hAnsi="宋体" w:eastAsia="宋体" w:cs="宋体"/>
          <w:spacing w:val="-9"/>
          <w:sz w:val="28"/>
          <w:szCs w:val="28"/>
        </w:rPr>
        <w:t>,</w:t>
      </w:r>
      <w:r>
        <w:rPr>
          <w:rFonts w:ascii="宋体" w:hAnsi="宋体" w:eastAsia="宋体" w:cs="宋体"/>
          <w:spacing w:val="47"/>
          <w:sz w:val="28"/>
          <w:szCs w:val="28"/>
        </w:rPr>
        <w:t xml:space="preserve"> </w:t>
      </w:r>
      <w:r>
        <w:rPr>
          <w:rFonts w:ascii="宋体" w:hAnsi="宋体" w:eastAsia="宋体" w:cs="宋体"/>
          <w:spacing w:val="-9"/>
          <w:sz w:val="28"/>
          <w:szCs w:val="28"/>
        </w:rPr>
        <w:t>进行三级评价；风险潜势</w:t>
      </w:r>
      <w:r>
        <w:rPr>
          <w:rFonts w:ascii="宋体" w:hAnsi="宋体" w:eastAsia="宋体" w:cs="宋体"/>
          <w:sz w:val="28"/>
          <w:szCs w:val="28"/>
        </w:rPr>
        <w:t xml:space="preserve"> </w:t>
      </w:r>
      <w:r>
        <w:rPr>
          <w:rFonts w:ascii="宋体" w:hAnsi="宋体" w:eastAsia="宋体" w:cs="宋体"/>
          <w:spacing w:val="-10"/>
          <w:sz w:val="28"/>
          <w:szCs w:val="28"/>
        </w:rPr>
        <w:t>为</w:t>
      </w:r>
      <w:r>
        <w:rPr>
          <w:rFonts w:ascii="宋体" w:hAnsi="宋体" w:eastAsia="宋体" w:cs="宋体"/>
          <w:spacing w:val="-21"/>
          <w:sz w:val="28"/>
          <w:szCs w:val="28"/>
        </w:rPr>
        <w:t xml:space="preserve"> </w:t>
      </w:r>
      <w:r>
        <w:rPr>
          <w:rFonts w:ascii="宋体" w:hAnsi="宋体" w:eastAsia="宋体" w:cs="宋体"/>
          <w:spacing w:val="-10"/>
          <w:sz w:val="28"/>
          <w:szCs w:val="28"/>
        </w:rPr>
        <w:t>Ⅰ</w:t>
      </w:r>
      <w:r>
        <w:rPr>
          <w:rFonts w:ascii="宋体" w:hAnsi="宋体" w:eastAsia="宋体" w:cs="宋体"/>
          <w:spacing w:val="-109"/>
          <w:sz w:val="28"/>
          <w:szCs w:val="28"/>
        </w:rPr>
        <w:t xml:space="preserve"> </w:t>
      </w:r>
      <w:r>
        <w:rPr>
          <w:rFonts w:ascii="宋体" w:hAnsi="宋体" w:eastAsia="宋体" w:cs="宋体"/>
          <w:spacing w:val="-10"/>
          <w:sz w:val="28"/>
          <w:szCs w:val="28"/>
        </w:rPr>
        <w:t>,</w:t>
      </w:r>
      <w:r>
        <w:rPr>
          <w:rFonts w:ascii="宋体" w:hAnsi="宋体" w:eastAsia="宋体" w:cs="宋体"/>
          <w:spacing w:val="45"/>
          <w:sz w:val="28"/>
          <w:szCs w:val="28"/>
        </w:rPr>
        <w:t xml:space="preserve"> </w:t>
      </w:r>
      <w:r>
        <w:rPr>
          <w:rFonts w:ascii="宋体" w:hAnsi="宋体" w:eastAsia="宋体" w:cs="宋体"/>
          <w:spacing w:val="-10"/>
          <w:sz w:val="28"/>
          <w:szCs w:val="28"/>
        </w:rPr>
        <w:t>可开展简单分析。本项目大气环境风险评价等级为二级，地表</w:t>
      </w:r>
      <w:r>
        <w:rPr>
          <w:rFonts w:ascii="宋体" w:hAnsi="宋体" w:eastAsia="宋体" w:cs="宋体"/>
          <w:sz w:val="28"/>
          <w:szCs w:val="28"/>
        </w:rPr>
        <w:t xml:space="preserve"> </w:t>
      </w:r>
      <w:r>
        <w:rPr>
          <w:rFonts w:ascii="宋体" w:hAnsi="宋体" w:eastAsia="宋体" w:cs="宋体"/>
          <w:spacing w:val="-9"/>
          <w:sz w:val="28"/>
          <w:szCs w:val="28"/>
        </w:rPr>
        <w:t>水、地下水评价等级为三级，采用类比法定性分析说</w:t>
      </w:r>
      <w:r>
        <w:rPr>
          <w:rFonts w:ascii="宋体" w:hAnsi="宋体" w:eastAsia="宋体" w:cs="宋体"/>
          <w:spacing w:val="-10"/>
          <w:sz w:val="28"/>
          <w:szCs w:val="28"/>
        </w:rPr>
        <w:t>明环境影响后果。</w:t>
      </w:r>
    </w:p>
    <w:p w14:paraId="50E77BD1">
      <w:pPr>
        <w:spacing w:before="1" w:line="218" w:lineRule="auto"/>
        <w:ind w:left="117"/>
        <w:outlineLvl w:val="1"/>
        <w:rPr>
          <w:rFonts w:ascii="宋体" w:hAnsi="宋体" w:eastAsia="宋体" w:cs="宋体"/>
          <w:sz w:val="28"/>
          <w:szCs w:val="28"/>
        </w:rPr>
      </w:pPr>
      <w:bookmarkStart w:id="11" w:name="bookmark12"/>
      <w:bookmarkEnd w:id="11"/>
      <w:r>
        <w:rPr>
          <w:rFonts w:ascii="Times New Roman" w:hAnsi="Times New Roman" w:eastAsia="Times New Roman" w:cs="Times New Roman"/>
          <w:b/>
          <w:bCs/>
          <w:spacing w:val="-2"/>
          <w:sz w:val="28"/>
          <w:szCs w:val="28"/>
        </w:rPr>
        <w:t xml:space="preserve">3.4 </w:t>
      </w:r>
      <w:r>
        <w:rPr>
          <w:rFonts w:ascii="宋体" w:hAnsi="宋体" w:eastAsia="宋体" w:cs="宋体"/>
          <w:b/>
          <w:bCs/>
          <w:spacing w:val="-2"/>
          <w:sz w:val="28"/>
          <w:szCs w:val="28"/>
        </w:rPr>
        <w:t>评价范围与评价内容</w:t>
      </w:r>
    </w:p>
    <w:p w14:paraId="23C78068">
      <w:pPr>
        <w:spacing w:before="212" w:line="359" w:lineRule="auto"/>
        <w:ind w:left="122" w:right="112" w:firstLine="560"/>
        <w:jc w:val="both"/>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w:t>
      </w:r>
      <w:r>
        <w:rPr>
          <w:rFonts w:ascii="Times New Roman" w:hAnsi="Times New Roman" w:eastAsia="Times New Roman" w:cs="Times New Roman"/>
          <w:spacing w:val="-3"/>
          <w:sz w:val="28"/>
          <w:szCs w:val="28"/>
        </w:rPr>
        <w:t>2018</w:t>
      </w:r>
      <w:r>
        <w:rPr>
          <w:rFonts w:ascii="宋体" w:hAnsi="宋体" w:eastAsia="宋体" w:cs="宋体"/>
          <w:spacing w:val="-11"/>
          <w:sz w:val="28"/>
          <w:szCs w:val="28"/>
        </w:rPr>
        <w:t>），</w:t>
      </w:r>
      <w:r>
        <w:rPr>
          <w:rFonts w:ascii="宋体" w:hAnsi="宋体" w:eastAsia="宋体" w:cs="宋体"/>
          <w:spacing w:val="-3"/>
          <w:sz w:val="28"/>
          <w:szCs w:val="28"/>
        </w:rPr>
        <w:t>本次</w:t>
      </w:r>
      <w:r>
        <w:rPr>
          <w:rFonts w:ascii="宋体" w:hAnsi="宋体" w:eastAsia="宋体" w:cs="宋体"/>
          <w:spacing w:val="1"/>
          <w:sz w:val="28"/>
          <w:szCs w:val="28"/>
        </w:rPr>
        <w:t xml:space="preserve"> </w:t>
      </w:r>
      <w:r>
        <w:rPr>
          <w:rFonts w:ascii="宋体" w:hAnsi="宋体" w:eastAsia="宋体" w:cs="宋体"/>
          <w:spacing w:val="-4"/>
          <w:sz w:val="28"/>
          <w:szCs w:val="28"/>
        </w:rPr>
        <w:t>评价大气环境风险二级评价范围为项目边界外扩</w:t>
      </w:r>
      <w:r>
        <w:rPr>
          <w:rFonts w:ascii="宋体" w:hAnsi="宋体" w:eastAsia="宋体" w:cs="宋体"/>
          <w:spacing w:val="-58"/>
          <w:sz w:val="28"/>
          <w:szCs w:val="28"/>
        </w:rPr>
        <w:t xml:space="preserve"> </w:t>
      </w:r>
      <w:r>
        <w:rPr>
          <w:rFonts w:ascii="Times New Roman" w:hAnsi="Times New Roman" w:eastAsia="Times New Roman" w:cs="Times New Roman"/>
          <w:spacing w:val="-4"/>
          <w:sz w:val="28"/>
          <w:szCs w:val="28"/>
        </w:rPr>
        <w:t>5km</w:t>
      </w:r>
      <w:r>
        <w:rPr>
          <w:rFonts w:ascii="宋体" w:hAnsi="宋体" w:eastAsia="宋体" w:cs="宋体"/>
          <w:spacing w:val="-4"/>
          <w:sz w:val="28"/>
          <w:szCs w:val="28"/>
        </w:rPr>
        <w:t>，地下水环境风</w:t>
      </w:r>
      <w:r>
        <w:rPr>
          <w:rFonts w:ascii="宋体" w:hAnsi="宋体" w:eastAsia="宋体" w:cs="宋体"/>
          <w:sz w:val="28"/>
          <w:szCs w:val="28"/>
        </w:rPr>
        <w:t xml:space="preserve"> </w:t>
      </w:r>
      <w:r>
        <w:rPr>
          <w:rFonts w:ascii="宋体" w:hAnsi="宋体" w:eastAsia="宋体" w:cs="宋体"/>
          <w:spacing w:val="2"/>
          <w:sz w:val="28"/>
          <w:szCs w:val="28"/>
        </w:rPr>
        <w:t>险三级评价范围参照</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HJ</w:t>
      </w:r>
      <w:r>
        <w:rPr>
          <w:rFonts w:ascii="Times New Roman" w:hAnsi="Times New Roman" w:eastAsia="Times New Roman" w:cs="Times New Roman"/>
          <w:spacing w:val="2"/>
          <w:sz w:val="28"/>
          <w:szCs w:val="28"/>
        </w:rPr>
        <w:t xml:space="preserve"> 610</w:t>
      </w:r>
      <w:r>
        <w:rPr>
          <w:rFonts w:ascii="Times New Roman" w:hAnsi="Times New Roman" w:eastAsia="Times New Roman" w:cs="Times New Roman"/>
          <w:spacing w:val="19"/>
          <w:sz w:val="28"/>
          <w:szCs w:val="28"/>
        </w:rPr>
        <w:t xml:space="preserve"> </w:t>
      </w:r>
      <w:r>
        <w:rPr>
          <w:rFonts w:ascii="宋体" w:hAnsi="宋体" w:eastAsia="宋体" w:cs="宋体"/>
          <w:spacing w:val="2"/>
          <w:sz w:val="28"/>
          <w:szCs w:val="28"/>
        </w:rPr>
        <w:t>结合区域地下</w:t>
      </w:r>
      <w:r>
        <w:rPr>
          <w:rFonts w:ascii="宋体" w:hAnsi="宋体" w:eastAsia="宋体" w:cs="宋体"/>
          <w:spacing w:val="1"/>
          <w:sz w:val="28"/>
          <w:szCs w:val="28"/>
        </w:rPr>
        <w:t>水流畅特征确定为厂界东</w:t>
      </w:r>
      <w:r>
        <w:rPr>
          <w:rFonts w:ascii="宋体" w:hAnsi="宋体" w:eastAsia="宋体" w:cs="宋体"/>
          <w:sz w:val="28"/>
          <w:szCs w:val="28"/>
        </w:rPr>
        <w:t xml:space="preserve"> </w:t>
      </w:r>
      <w:r>
        <w:rPr>
          <w:rFonts w:ascii="宋体" w:hAnsi="宋体" w:eastAsia="宋体" w:cs="宋体"/>
          <w:spacing w:val="-7"/>
          <w:sz w:val="28"/>
          <w:szCs w:val="28"/>
        </w:rPr>
        <w:t>外扩</w:t>
      </w:r>
      <w:r>
        <w:rPr>
          <w:rFonts w:ascii="宋体" w:hAnsi="宋体" w:eastAsia="宋体" w:cs="宋体"/>
          <w:spacing w:val="-22"/>
          <w:sz w:val="28"/>
          <w:szCs w:val="28"/>
        </w:rPr>
        <w:t xml:space="preserve"> </w:t>
      </w:r>
      <w:r>
        <w:rPr>
          <w:rFonts w:ascii="Times New Roman" w:hAnsi="Times New Roman" w:eastAsia="Times New Roman" w:cs="Times New Roman"/>
          <w:spacing w:val="-7"/>
          <w:sz w:val="28"/>
          <w:szCs w:val="28"/>
        </w:rPr>
        <w:t>1km</w:t>
      </w:r>
      <w:r>
        <w:rPr>
          <w:rFonts w:ascii="Times New Roman" w:hAnsi="Times New Roman" w:eastAsia="Times New Roman" w:cs="Times New Roman"/>
          <w:spacing w:val="-36"/>
          <w:sz w:val="28"/>
          <w:szCs w:val="28"/>
        </w:rPr>
        <w:t xml:space="preserve"> </w:t>
      </w:r>
      <w:r>
        <w:rPr>
          <w:rFonts w:ascii="宋体" w:hAnsi="宋体" w:eastAsia="宋体" w:cs="宋体"/>
          <w:spacing w:val="-7"/>
          <w:sz w:val="28"/>
          <w:szCs w:val="28"/>
        </w:rPr>
        <w:t>，西外扩</w:t>
      </w:r>
      <w:r>
        <w:rPr>
          <w:rFonts w:ascii="宋体" w:hAnsi="宋体" w:eastAsia="宋体" w:cs="宋体"/>
          <w:spacing w:val="-67"/>
          <w:sz w:val="28"/>
          <w:szCs w:val="28"/>
        </w:rPr>
        <w:t xml:space="preserve"> </w:t>
      </w:r>
      <w:r>
        <w:rPr>
          <w:rFonts w:ascii="Times New Roman" w:hAnsi="Times New Roman" w:eastAsia="Times New Roman" w:cs="Times New Roman"/>
          <w:spacing w:val="-7"/>
          <w:sz w:val="28"/>
          <w:szCs w:val="28"/>
        </w:rPr>
        <w:t>2km</w:t>
      </w:r>
      <w:r>
        <w:rPr>
          <w:rFonts w:ascii="Times New Roman" w:hAnsi="Times New Roman" w:eastAsia="Times New Roman" w:cs="Times New Roman"/>
          <w:spacing w:val="-36"/>
          <w:sz w:val="28"/>
          <w:szCs w:val="28"/>
        </w:rPr>
        <w:t xml:space="preserve"> </w:t>
      </w:r>
      <w:r>
        <w:rPr>
          <w:rFonts w:ascii="宋体" w:hAnsi="宋体" w:eastAsia="宋体" w:cs="宋体"/>
          <w:spacing w:val="-7"/>
          <w:sz w:val="28"/>
          <w:szCs w:val="28"/>
        </w:rPr>
        <w:t>，南北方向外扩</w:t>
      </w:r>
      <w:r>
        <w:rPr>
          <w:rFonts w:ascii="宋体" w:hAnsi="宋体" w:eastAsia="宋体" w:cs="宋体"/>
          <w:spacing w:val="-38"/>
          <w:sz w:val="28"/>
          <w:szCs w:val="28"/>
        </w:rPr>
        <w:t xml:space="preserve"> </w:t>
      </w:r>
      <w:r>
        <w:rPr>
          <w:rFonts w:ascii="Times New Roman" w:hAnsi="Times New Roman" w:eastAsia="Times New Roman" w:cs="Times New Roman"/>
          <w:spacing w:val="-7"/>
          <w:sz w:val="28"/>
          <w:szCs w:val="28"/>
        </w:rPr>
        <w:t>1km</w:t>
      </w:r>
      <w:r>
        <w:rPr>
          <w:rFonts w:ascii="宋体" w:hAnsi="宋体" w:eastAsia="宋体" w:cs="宋体"/>
          <w:spacing w:val="-7"/>
          <w:sz w:val="28"/>
          <w:szCs w:val="28"/>
        </w:rPr>
        <w:t>。</w:t>
      </w:r>
    </w:p>
    <w:p w14:paraId="78E2B320">
      <w:pPr>
        <w:spacing w:before="1" w:line="218" w:lineRule="auto"/>
        <w:ind w:left="682"/>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HJ169-2</w:t>
      </w:r>
      <w:r>
        <w:rPr>
          <w:rFonts w:ascii="Times New Roman" w:hAnsi="Times New Roman" w:eastAsia="Times New Roman" w:cs="Times New Roman"/>
          <w:spacing w:val="-3"/>
          <w:sz w:val="28"/>
          <w:szCs w:val="28"/>
        </w:rPr>
        <w:t>018</w:t>
      </w:r>
      <w:r>
        <w:rPr>
          <w:rFonts w:ascii="宋体" w:hAnsi="宋体" w:eastAsia="宋体" w:cs="宋体"/>
          <w:spacing w:val="-11"/>
          <w:sz w:val="28"/>
          <w:szCs w:val="28"/>
        </w:rPr>
        <w:t>），</w:t>
      </w:r>
      <w:r>
        <w:rPr>
          <w:rFonts w:ascii="宋体" w:hAnsi="宋体" w:eastAsia="宋体" w:cs="宋体"/>
          <w:spacing w:val="-3"/>
          <w:sz w:val="28"/>
          <w:szCs w:val="28"/>
        </w:rPr>
        <w:t>环境</w:t>
      </w:r>
    </w:p>
    <w:p w14:paraId="28268DF8">
      <w:pPr>
        <w:spacing w:line="218" w:lineRule="auto"/>
        <w:rPr>
          <w:rFonts w:ascii="宋体" w:hAnsi="宋体" w:eastAsia="宋体" w:cs="宋体"/>
          <w:sz w:val="28"/>
          <w:szCs w:val="28"/>
        </w:rPr>
        <w:sectPr>
          <w:footerReference r:id="rId103" w:type="default"/>
          <w:pgSz w:w="11906" w:h="16839"/>
          <w:pgMar w:top="400" w:right="1687" w:bottom="1259" w:left="1687" w:header="0" w:footer="1097" w:gutter="0"/>
          <w:cols w:space="720" w:num="1"/>
        </w:sectPr>
      </w:pPr>
    </w:p>
    <w:p w14:paraId="6E6AF23F">
      <w:pPr>
        <w:pStyle w:val="2"/>
        <w:spacing w:line="245" w:lineRule="auto"/>
      </w:pPr>
    </w:p>
    <w:p w14:paraId="666B1FB5">
      <w:pPr>
        <w:pStyle w:val="2"/>
        <w:spacing w:line="245" w:lineRule="auto"/>
      </w:pPr>
    </w:p>
    <w:p w14:paraId="0BA72C25">
      <w:pPr>
        <w:pStyle w:val="2"/>
        <w:spacing w:line="245" w:lineRule="auto"/>
      </w:pPr>
    </w:p>
    <w:p w14:paraId="13F95CBF">
      <w:pPr>
        <w:pStyle w:val="2"/>
        <w:spacing w:line="246" w:lineRule="auto"/>
      </w:pPr>
    </w:p>
    <w:p w14:paraId="2B74874B">
      <w:pPr>
        <w:spacing w:before="91" w:line="361" w:lineRule="auto"/>
        <w:ind w:left="143" w:right="117" w:hanging="14"/>
        <w:rPr>
          <w:rFonts w:ascii="宋体" w:hAnsi="宋体" w:eastAsia="宋体" w:cs="宋体"/>
          <w:sz w:val="28"/>
          <w:szCs w:val="28"/>
        </w:rPr>
      </w:pPr>
      <w:r>
        <w:rPr>
          <w:rFonts w:ascii="宋体" w:hAnsi="宋体" w:eastAsia="宋体" w:cs="宋体"/>
          <w:spacing w:val="-4"/>
          <w:sz w:val="28"/>
          <w:szCs w:val="28"/>
        </w:rPr>
        <w:t>风险评价基本内容包括风险调查、环境风险潜势初判、风险识别、风</w:t>
      </w:r>
      <w:r>
        <w:rPr>
          <w:rFonts w:ascii="宋体" w:hAnsi="宋体" w:eastAsia="宋体" w:cs="宋体"/>
          <w:spacing w:val="13"/>
          <w:sz w:val="28"/>
          <w:szCs w:val="28"/>
        </w:rPr>
        <w:t xml:space="preserve"> </w:t>
      </w:r>
      <w:r>
        <w:rPr>
          <w:rFonts w:ascii="宋体" w:hAnsi="宋体" w:eastAsia="宋体" w:cs="宋体"/>
          <w:spacing w:val="-1"/>
          <w:sz w:val="28"/>
          <w:szCs w:val="28"/>
        </w:rPr>
        <w:t>险事故情形分析、风险预测与评价、环境风险管理等内容。</w:t>
      </w:r>
    </w:p>
    <w:p w14:paraId="3C4E1092">
      <w:pPr>
        <w:spacing w:before="4" w:line="227" w:lineRule="auto"/>
        <w:ind w:left="122"/>
        <w:outlineLvl w:val="0"/>
        <w:rPr>
          <w:rFonts w:ascii="黑体" w:hAnsi="黑体" w:eastAsia="黑体" w:cs="黑体"/>
          <w:sz w:val="31"/>
          <w:szCs w:val="31"/>
        </w:rPr>
      </w:pPr>
      <w:bookmarkStart w:id="12" w:name="bookmark13"/>
      <w:bookmarkEnd w:id="12"/>
      <w:r>
        <w:rPr>
          <w:rFonts w:ascii="Times New Roman" w:hAnsi="Times New Roman" w:eastAsia="Times New Roman" w:cs="Times New Roman"/>
          <w:spacing w:val="8"/>
          <w:sz w:val="31"/>
          <w:szCs w:val="31"/>
        </w:rPr>
        <w:t xml:space="preserve">4 </w:t>
      </w:r>
      <w:r>
        <w:rPr>
          <w:rFonts w:ascii="黑体" w:hAnsi="黑体" w:eastAsia="黑体" w:cs="黑体"/>
          <w:spacing w:val="8"/>
          <w:sz w:val="31"/>
          <w:szCs w:val="31"/>
        </w:rPr>
        <w:t>环境敏感目标分析</w:t>
      </w:r>
    </w:p>
    <w:p w14:paraId="18846652">
      <w:pPr>
        <w:spacing w:before="232" w:line="358" w:lineRule="auto"/>
        <w:ind w:left="127" w:right="19" w:firstLine="561"/>
        <w:jc w:val="both"/>
        <w:rPr>
          <w:rFonts w:ascii="宋体" w:hAnsi="宋体" w:eastAsia="宋体" w:cs="宋体"/>
          <w:sz w:val="28"/>
          <w:szCs w:val="28"/>
        </w:rPr>
      </w:pPr>
      <w:r>
        <w:rPr>
          <w:rFonts w:ascii="宋体" w:hAnsi="宋体" w:eastAsia="宋体" w:cs="宋体"/>
          <w:spacing w:val="-4"/>
          <w:sz w:val="28"/>
          <w:szCs w:val="28"/>
        </w:rPr>
        <w:t>本项目位于鄂托克经济开发区棋盘井产业园棋西项目区，根据现</w:t>
      </w:r>
      <w:r>
        <w:rPr>
          <w:rFonts w:ascii="宋体" w:hAnsi="宋体" w:eastAsia="宋体" w:cs="宋体"/>
          <w:spacing w:val="6"/>
          <w:sz w:val="28"/>
          <w:szCs w:val="28"/>
        </w:rPr>
        <w:t xml:space="preserve"> </w:t>
      </w:r>
      <w:r>
        <w:rPr>
          <w:rFonts w:ascii="宋体" w:hAnsi="宋体" w:eastAsia="宋体" w:cs="宋体"/>
          <w:spacing w:val="-9"/>
          <w:sz w:val="28"/>
          <w:szCs w:val="28"/>
        </w:rPr>
        <w:t>场调查，本项目拟建场址不涉及环境敏感区，评价区</w:t>
      </w:r>
      <w:r>
        <w:rPr>
          <w:rFonts w:ascii="宋体" w:hAnsi="宋体" w:eastAsia="宋体" w:cs="宋体"/>
          <w:spacing w:val="-10"/>
          <w:sz w:val="28"/>
          <w:szCs w:val="28"/>
        </w:rPr>
        <w:t>内无濒危动植物、</w:t>
      </w:r>
      <w:r>
        <w:rPr>
          <w:rFonts w:ascii="宋体" w:hAnsi="宋体" w:eastAsia="宋体" w:cs="宋体"/>
          <w:sz w:val="28"/>
          <w:szCs w:val="28"/>
        </w:rPr>
        <w:t xml:space="preserve"> </w:t>
      </w:r>
      <w:r>
        <w:rPr>
          <w:rFonts w:ascii="宋体" w:hAnsi="宋体" w:eastAsia="宋体" w:cs="宋体"/>
          <w:spacing w:val="-2"/>
          <w:sz w:val="28"/>
          <w:szCs w:val="28"/>
        </w:rPr>
        <w:t>水源地、名胜古迹、</w:t>
      </w:r>
      <w:r>
        <w:rPr>
          <w:rFonts w:ascii="宋体" w:hAnsi="宋体" w:eastAsia="宋体" w:cs="宋体"/>
          <w:spacing w:val="-83"/>
          <w:sz w:val="28"/>
          <w:szCs w:val="28"/>
        </w:rPr>
        <w:t xml:space="preserve"> </w:t>
      </w:r>
      <w:r>
        <w:rPr>
          <w:rFonts w:ascii="宋体" w:hAnsi="宋体" w:eastAsia="宋体" w:cs="宋体"/>
          <w:spacing w:val="-2"/>
          <w:sz w:val="28"/>
          <w:szCs w:val="28"/>
        </w:rPr>
        <w:t>自然保护区、温泉、疗养地等特</w:t>
      </w:r>
      <w:r>
        <w:rPr>
          <w:rFonts w:ascii="宋体" w:hAnsi="宋体" w:eastAsia="宋体" w:cs="宋体"/>
          <w:spacing w:val="-3"/>
          <w:sz w:val="28"/>
          <w:szCs w:val="28"/>
        </w:rPr>
        <w:t>殊环境敏感区。</w:t>
      </w:r>
    </w:p>
    <w:p w14:paraId="1A452682">
      <w:pPr>
        <w:spacing w:line="219" w:lineRule="auto"/>
        <w:ind w:left="216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各环境要素环境敏感目标情况表</w:t>
      </w:r>
    </w:p>
    <w:p w14:paraId="1C85F6FD">
      <w:pPr>
        <w:spacing w:line="147" w:lineRule="exact"/>
      </w:pPr>
    </w:p>
    <w:tbl>
      <w:tblPr>
        <w:tblStyle w:val="5"/>
        <w:tblW w:w="8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150"/>
        <w:gridCol w:w="2608"/>
        <w:gridCol w:w="831"/>
        <w:gridCol w:w="735"/>
        <w:gridCol w:w="1517"/>
      </w:tblGrid>
      <w:tr w14:paraId="123CD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95" w:type="dxa"/>
            <w:vAlign w:val="top"/>
          </w:tcPr>
          <w:p w14:paraId="136E6390">
            <w:pPr>
              <w:pStyle w:val="6"/>
              <w:spacing w:before="40" w:line="220" w:lineRule="auto"/>
              <w:ind w:left="114"/>
              <w:rPr>
                <w:sz w:val="24"/>
                <w:szCs w:val="24"/>
              </w:rPr>
            </w:pPr>
            <w:r>
              <w:rPr>
                <w:spacing w:val="-5"/>
                <w:sz w:val="24"/>
                <w:szCs w:val="24"/>
              </w:rPr>
              <w:t>环境</w:t>
            </w:r>
          </w:p>
          <w:p w14:paraId="52183E93">
            <w:pPr>
              <w:pStyle w:val="6"/>
              <w:spacing w:before="23" w:line="209" w:lineRule="auto"/>
              <w:ind w:left="115"/>
              <w:rPr>
                <w:sz w:val="24"/>
                <w:szCs w:val="24"/>
              </w:rPr>
            </w:pPr>
            <w:r>
              <w:rPr>
                <w:spacing w:val="-6"/>
                <w:sz w:val="24"/>
                <w:szCs w:val="24"/>
              </w:rPr>
              <w:t>要素</w:t>
            </w:r>
          </w:p>
        </w:tc>
        <w:tc>
          <w:tcPr>
            <w:tcW w:w="2150" w:type="dxa"/>
            <w:vAlign w:val="top"/>
          </w:tcPr>
          <w:p w14:paraId="61150A92">
            <w:pPr>
              <w:pStyle w:val="6"/>
              <w:spacing w:before="193" w:line="218" w:lineRule="auto"/>
              <w:ind w:left="599"/>
              <w:rPr>
                <w:sz w:val="24"/>
                <w:szCs w:val="24"/>
              </w:rPr>
            </w:pPr>
            <w:r>
              <w:rPr>
                <w:spacing w:val="-3"/>
                <w:sz w:val="24"/>
                <w:szCs w:val="24"/>
              </w:rPr>
              <w:t>评价范围</w:t>
            </w:r>
          </w:p>
        </w:tc>
        <w:tc>
          <w:tcPr>
            <w:tcW w:w="2608" w:type="dxa"/>
            <w:vAlign w:val="top"/>
          </w:tcPr>
          <w:p w14:paraId="3FAA61D5">
            <w:pPr>
              <w:pStyle w:val="6"/>
              <w:spacing w:before="193" w:line="220" w:lineRule="auto"/>
              <w:ind w:left="592"/>
              <w:rPr>
                <w:sz w:val="24"/>
                <w:szCs w:val="24"/>
              </w:rPr>
            </w:pPr>
            <w:r>
              <w:rPr>
                <w:spacing w:val="-2"/>
                <w:sz w:val="24"/>
                <w:szCs w:val="24"/>
              </w:rPr>
              <w:t>保护目标名称</w:t>
            </w:r>
          </w:p>
        </w:tc>
        <w:tc>
          <w:tcPr>
            <w:tcW w:w="831" w:type="dxa"/>
            <w:vAlign w:val="top"/>
          </w:tcPr>
          <w:p w14:paraId="7BA59671">
            <w:pPr>
              <w:pStyle w:val="6"/>
              <w:spacing w:before="193" w:line="221" w:lineRule="auto"/>
              <w:ind w:left="185"/>
              <w:rPr>
                <w:sz w:val="24"/>
                <w:szCs w:val="24"/>
              </w:rPr>
            </w:pPr>
            <w:r>
              <w:rPr>
                <w:spacing w:val="-6"/>
                <w:sz w:val="24"/>
                <w:szCs w:val="24"/>
              </w:rPr>
              <w:t>方位</w:t>
            </w:r>
          </w:p>
        </w:tc>
        <w:tc>
          <w:tcPr>
            <w:tcW w:w="735" w:type="dxa"/>
            <w:vAlign w:val="top"/>
          </w:tcPr>
          <w:p w14:paraId="6D6C7813">
            <w:pPr>
              <w:pStyle w:val="6"/>
              <w:spacing w:before="40" w:line="220" w:lineRule="auto"/>
              <w:ind w:left="134"/>
              <w:rPr>
                <w:sz w:val="24"/>
                <w:szCs w:val="24"/>
              </w:rPr>
            </w:pPr>
            <w:r>
              <w:rPr>
                <w:spacing w:val="-5"/>
                <w:sz w:val="24"/>
                <w:szCs w:val="24"/>
              </w:rPr>
              <w:t>距离</w:t>
            </w:r>
          </w:p>
          <w:p w14:paraId="118050BB">
            <w:pPr>
              <w:pStyle w:val="6"/>
              <w:spacing w:before="23" w:line="209" w:lineRule="auto"/>
              <w:jc w:val="right"/>
              <w:rPr>
                <w:sz w:val="24"/>
                <w:szCs w:val="24"/>
              </w:rPr>
            </w:pPr>
            <w:r>
              <w:rPr>
                <w:spacing w:val="-21"/>
                <w:sz w:val="24"/>
                <w:szCs w:val="24"/>
              </w:rPr>
              <w:t>（</w:t>
            </w:r>
            <w:r>
              <w:rPr>
                <w:rFonts w:ascii="Times New Roman" w:hAnsi="Times New Roman" w:eastAsia="Times New Roman" w:cs="Times New Roman"/>
                <w:spacing w:val="-21"/>
                <w:sz w:val="24"/>
                <w:szCs w:val="24"/>
              </w:rPr>
              <w:t>km</w:t>
            </w:r>
            <w:r>
              <w:rPr>
                <w:spacing w:val="-21"/>
                <w:sz w:val="24"/>
                <w:szCs w:val="24"/>
              </w:rPr>
              <w:t>）</w:t>
            </w:r>
          </w:p>
        </w:tc>
        <w:tc>
          <w:tcPr>
            <w:tcW w:w="1517" w:type="dxa"/>
            <w:vAlign w:val="top"/>
          </w:tcPr>
          <w:p w14:paraId="600CF7F0">
            <w:pPr>
              <w:pStyle w:val="6"/>
              <w:spacing w:before="194" w:line="219" w:lineRule="auto"/>
              <w:ind w:left="252"/>
              <w:rPr>
                <w:sz w:val="24"/>
                <w:szCs w:val="24"/>
              </w:rPr>
            </w:pPr>
            <w:r>
              <w:rPr>
                <w:spacing w:val="-3"/>
                <w:sz w:val="24"/>
                <w:szCs w:val="24"/>
              </w:rPr>
              <w:t>类型</w:t>
            </w:r>
            <w:r>
              <w:rPr>
                <w:rFonts w:ascii="Times New Roman" w:hAnsi="Times New Roman" w:eastAsia="Times New Roman" w:cs="Times New Roman"/>
                <w:spacing w:val="-3"/>
                <w:sz w:val="24"/>
                <w:szCs w:val="24"/>
              </w:rPr>
              <w:t>/</w:t>
            </w:r>
            <w:r>
              <w:rPr>
                <w:spacing w:val="-3"/>
                <w:sz w:val="24"/>
                <w:szCs w:val="24"/>
              </w:rPr>
              <w:t>功能</w:t>
            </w:r>
          </w:p>
        </w:tc>
      </w:tr>
      <w:tr w14:paraId="65423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restart"/>
            <w:tcBorders>
              <w:bottom w:val="nil"/>
            </w:tcBorders>
            <w:vAlign w:val="top"/>
          </w:tcPr>
          <w:p w14:paraId="1083D65A">
            <w:pPr>
              <w:spacing w:line="253" w:lineRule="auto"/>
              <w:rPr>
                <w:rFonts w:ascii="Arial"/>
                <w:sz w:val="21"/>
              </w:rPr>
            </w:pPr>
          </w:p>
          <w:p w14:paraId="4924ABE9">
            <w:pPr>
              <w:spacing w:line="253" w:lineRule="auto"/>
              <w:rPr>
                <w:rFonts w:ascii="Arial"/>
                <w:sz w:val="21"/>
              </w:rPr>
            </w:pPr>
          </w:p>
          <w:p w14:paraId="37F4DF05">
            <w:pPr>
              <w:spacing w:line="253" w:lineRule="auto"/>
              <w:rPr>
                <w:rFonts w:ascii="Arial"/>
                <w:sz w:val="21"/>
              </w:rPr>
            </w:pPr>
          </w:p>
          <w:p w14:paraId="0235A2EF">
            <w:pPr>
              <w:spacing w:line="254" w:lineRule="auto"/>
              <w:rPr>
                <w:rFonts w:ascii="Arial"/>
                <w:sz w:val="21"/>
              </w:rPr>
            </w:pPr>
          </w:p>
          <w:p w14:paraId="5F45D5DF">
            <w:pPr>
              <w:spacing w:line="254" w:lineRule="auto"/>
              <w:rPr>
                <w:rFonts w:ascii="Arial"/>
                <w:sz w:val="21"/>
              </w:rPr>
            </w:pPr>
          </w:p>
          <w:p w14:paraId="11D6C971">
            <w:pPr>
              <w:spacing w:line="254" w:lineRule="auto"/>
              <w:rPr>
                <w:rFonts w:ascii="Arial"/>
                <w:sz w:val="21"/>
              </w:rPr>
            </w:pPr>
          </w:p>
          <w:p w14:paraId="1A0EA687">
            <w:pPr>
              <w:spacing w:line="254" w:lineRule="auto"/>
              <w:rPr>
                <w:rFonts w:ascii="Arial"/>
                <w:sz w:val="21"/>
              </w:rPr>
            </w:pPr>
          </w:p>
          <w:p w14:paraId="6D8745AC">
            <w:pPr>
              <w:spacing w:line="254" w:lineRule="auto"/>
              <w:rPr>
                <w:rFonts w:ascii="Arial"/>
                <w:sz w:val="21"/>
              </w:rPr>
            </w:pPr>
          </w:p>
          <w:p w14:paraId="6AAE3033">
            <w:pPr>
              <w:spacing w:line="254" w:lineRule="auto"/>
              <w:rPr>
                <w:rFonts w:ascii="Arial"/>
                <w:sz w:val="21"/>
              </w:rPr>
            </w:pPr>
          </w:p>
          <w:p w14:paraId="7DA77EC9">
            <w:pPr>
              <w:spacing w:line="254" w:lineRule="auto"/>
              <w:rPr>
                <w:rFonts w:ascii="Arial"/>
                <w:sz w:val="21"/>
              </w:rPr>
            </w:pPr>
          </w:p>
          <w:p w14:paraId="6BDA7A8A">
            <w:pPr>
              <w:spacing w:line="254" w:lineRule="auto"/>
              <w:rPr>
                <w:rFonts w:ascii="Arial"/>
                <w:sz w:val="21"/>
              </w:rPr>
            </w:pPr>
          </w:p>
          <w:p w14:paraId="51909610">
            <w:pPr>
              <w:spacing w:line="254" w:lineRule="auto"/>
              <w:rPr>
                <w:rFonts w:ascii="Arial"/>
                <w:sz w:val="21"/>
              </w:rPr>
            </w:pPr>
          </w:p>
          <w:p w14:paraId="1400D965">
            <w:pPr>
              <w:spacing w:line="254" w:lineRule="auto"/>
              <w:rPr>
                <w:rFonts w:ascii="Arial"/>
                <w:sz w:val="21"/>
              </w:rPr>
            </w:pPr>
          </w:p>
          <w:p w14:paraId="60347A79">
            <w:pPr>
              <w:spacing w:line="254" w:lineRule="auto"/>
              <w:rPr>
                <w:rFonts w:ascii="Arial"/>
                <w:sz w:val="21"/>
              </w:rPr>
            </w:pPr>
          </w:p>
          <w:p w14:paraId="74E51B12">
            <w:pPr>
              <w:spacing w:line="254" w:lineRule="auto"/>
              <w:rPr>
                <w:rFonts w:ascii="Arial"/>
                <w:sz w:val="21"/>
              </w:rPr>
            </w:pPr>
          </w:p>
          <w:p w14:paraId="5DD9FC45">
            <w:pPr>
              <w:spacing w:line="254" w:lineRule="auto"/>
              <w:rPr>
                <w:rFonts w:ascii="Arial"/>
                <w:sz w:val="21"/>
              </w:rPr>
            </w:pPr>
          </w:p>
          <w:p w14:paraId="3BE66DE8">
            <w:pPr>
              <w:spacing w:line="254" w:lineRule="auto"/>
              <w:rPr>
                <w:rFonts w:ascii="Arial"/>
                <w:sz w:val="21"/>
              </w:rPr>
            </w:pPr>
          </w:p>
          <w:p w14:paraId="1AC17859">
            <w:pPr>
              <w:pStyle w:val="6"/>
              <w:spacing w:before="78" w:line="220" w:lineRule="auto"/>
              <w:ind w:left="117"/>
              <w:rPr>
                <w:sz w:val="24"/>
                <w:szCs w:val="24"/>
              </w:rPr>
            </w:pPr>
            <w:r>
              <w:rPr>
                <w:spacing w:val="-7"/>
                <w:sz w:val="24"/>
                <w:szCs w:val="24"/>
              </w:rPr>
              <w:t>大气</w:t>
            </w:r>
          </w:p>
          <w:p w14:paraId="255586A7">
            <w:pPr>
              <w:pStyle w:val="6"/>
              <w:spacing w:before="23" w:line="220" w:lineRule="auto"/>
              <w:ind w:left="114"/>
              <w:rPr>
                <w:sz w:val="24"/>
                <w:szCs w:val="24"/>
              </w:rPr>
            </w:pPr>
            <w:r>
              <w:rPr>
                <w:spacing w:val="-5"/>
                <w:sz w:val="24"/>
                <w:szCs w:val="24"/>
              </w:rPr>
              <w:t>环境</w:t>
            </w:r>
          </w:p>
        </w:tc>
        <w:tc>
          <w:tcPr>
            <w:tcW w:w="2150" w:type="dxa"/>
            <w:vMerge w:val="restart"/>
            <w:tcBorders>
              <w:bottom w:val="nil"/>
            </w:tcBorders>
            <w:vAlign w:val="top"/>
          </w:tcPr>
          <w:p w14:paraId="5C9B46DA">
            <w:pPr>
              <w:spacing w:line="248" w:lineRule="auto"/>
              <w:rPr>
                <w:rFonts w:ascii="Arial"/>
                <w:sz w:val="21"/>
              </w:rPr>
            </w:pPr>
          </w:p>
          <w:p w14:paraId="55837EC0">
            <w:pPr>
              <w:spacing w:line="248" w:lineRule="auto"/>
              <w:rPr>
                <w:rFonts w:ascii="Arial"/>
                <w:sz w:val="21"/>
              </w:rPr>
            </w:pPr>
          </w:p>
          <w:p w14:paraId="26960A48">
            <w:pPr>
              <w:spacing w:line="248" w:lineRule="auto"/>
              <w:rPr>
                <w:rFonts w:ascii="Arial"/>
                <w:sz w:val="21"/>
              </w:rPr>
            </w:pPr>
          </w:p>
          <w:p w14:paraId="6DFEADA7">
            <w:pPr>
              <w:spacing w:line="248" w:lineRule="auto"/>
              <w:rPr>
                <w:rFonts w:ascii="Arial"/>
                <w:sz w:val="21"/>
              </w:rPr>
            </w:pPr>
          </w:p>
          <w:p w14:paraId="4F2B3A3E">
            <w:pPr>
              <w:spacing w:line="248" w:lineRule="auto"/>
              <w:rPr>
                <w:rFonts w:ascii="Arial"/>
                <w:sz w:val="21"/>
              </w:rPr>
            </w:pPr>
          </w:p>
          <w:p w14:paraId="5E5CB63A">
            <w:pPr>
              <w:spacing w:line="248" w:lineRule="auto"/>
              <w:rPr>
                <w:rFonts w:ascii="Arial"/>
                <w:sz w:val="21"/>
              </w:rPr>
            </w:pPr>
          </w:p>
          <w:p w14:paraId="6BC3866D">
            <w:pPr>
              <w:spacing w:line="248" w:lineRule="auto"/>
              <w:rPr>
                <w:rFonts w:ascii="Arial"/>
                <w:sz w:val="21"/>
              </w:rPr>
            </w:pPr>
          </w:p>
          <w:p w14:paraId="4BB445E7">
            <w:pPr>
              <w:spacing w:line="248" w:lineRule="auto"/>
              <w:rPr>
                <w:rFonts w:ascii="Arial"/>
                <w:sz w:val="21"/>
              </w:rPr>
            </w:pPr>
          </w:p>
          <w:p w14:paraId="7E7BE5B7">
            <w:pPr>
              <w:spacing w:line="248" w:lineRule="auto"/>
              <w:rPr>
                <w:rFonts w:ascii="Arial"/>
                <w:sz w:val="21"/>
              </w:rPr>
            </w:pPr>
          </w:p>
          <w:p w14:paraId="0374E242">
            <w:pPr>
              <w:spacing w:line="248" w:lineRule="auto"/>
              <w:rPr>
                <w:rFonts w:ascii="Arial"/>
                <w:sz w:val="21"/>
              </w:rPr>
            </w:pPr>
          </w:p>
          <w:p w14:paraId="187B3C7E">
            <w:pPr>
              <w:spacing w:line="248" w:lineRule="auto"/>
              <w:rPr>
                <w:rFonts w:ascii="Arial"/>
                <w:sz w:val="21"/>
              </w:rPr>
            </w:pPr>
          </w:p>
          <w:p w14:paraId="712E0D27">
            <w:pPr>
              <w:spacing w:line="248" w:lineRule="auto"/>
              <w:rPr>
                <w:rFonts w:ascii="Arial"/>
                <w:sz w:val="21"/>
              </w:rPr>
            </w:pPr>
          </w:p>
          <w:p w14:paraId="7013A669">
            <w:pPr>
              <w:spacing w:line="248" w:lineRule="auto"/>
              <w:rPr>
                <w:rFonts w:ascii="Arial"/>
                <w:sz w:val="21"/>
              </w:rPr>
            </w:pPr>
          </w:p>
          <w:p w14:paraId="377174BF">
            <w:pPr>
              <w:spacing w:line="248" w:lineRule="auto"/>
              <w:rPr>
                <w:rFonts w:ascii="Arial"/>
                <w:sz w:val="21"/>
              </w:rPr>
            </w:pPr>
          </w:p>
          <w:p w14:paraId="7CD2D362">
            <w:pPr>
              <w:spacing w:line="249" w:lineRule="auto"/>
              <w:rPr>
                <w:rFonts w:ascii="Arial"/>
                <w:sz w:val="21"/>
              </w:rPr>
            </w:pPr>
          </w:p>
          <w:p w14:paraId="060A9567">
            <w:pPr>
              <w:spacing w:line="249" w:lineRule="auto"/>
              <w:rPr>
                <w:rFonts w:ascii="Arial"/>
                <w:sz w:val="21"/>
              </w:rPr>
            </w:pPr>
          </w:p>
          <w:p w14:paraId="6FDA3D21">
            <w:pPr>
              <w:spacing w:line="249" w:lineRule="auto"/>
              <w:rPr>
                <w:rFonts w:ascii="Arial"/>
                <w:sz w:val="21"/>
              </w:rPr>
            </w:pPr>
          </w:p>
          <w:p w14:paraId="0FDF3A19">
            <w:pPr>
              <w:spacing w:line="249" w:lineRule="auto"/>
              <w:rPr>
                <w:rFonts w:ascii="Arial"/>
                <w:sz w:val="21"/>
              </w:rPr>
            </w:pPr>
          </w:p>
          <w:p w14:paraId="6B6B3F9E">
            <w:pPr>
              <w:pStyle w:val="6"/>
              <w:spacing w:before="78" w:line="220" w:lineRule="auto"/>
              <w:ind w:left="238"/>
              <w:rPr>
                <w:rFonts w:ascii="Times New Roman" w:hAnsi="Times New Roman" w:eastAsia="Times New Roman" w:cs="Times New Roman"/>
                <w:sz w:val="24"/>
                <w:szCs w:val="24"/>
              </w:rPr>
            </w:pPr>
            <w:r>
              <w:rPr>
                <w:spacing w:val="-3"/>
                <w:sz w:val="24"/>
                <w:szCs w:val="24"/>
              </w:rPr>
              <w:t>厂界外扩</w:t>
            </w:r>
            <w:r>
              <w:rPr>
                <w:spacing w:val="-47"/>
                <w:sz w:val="24"/>
                <w:szCs w:val="24"/>
              </w:rPr>
              <w:t xml:space="preserve"> </w:t>
            </w:r>
            <w:r>
              <w:rPr>
                <w:rFonts w:ascii="Times New Roman" w:hAnsi="Times New Roman" w:eastAsia="Times New Roman" w:cs="Times New Roman"/>
                <w:spacing w:val="-3"/>
                <w:sz w:val="24"/>
                <w:szCs w:val="24"/>
              </w:rPr>
              <w:t>5000m</w:t>
            </w:r>
          </w:p>
        </w:tc>
        <w:tc>
          <w:tcPr>
            <w:tcW w:w="2608" w:type="dxa"/>
            <w:vAlign w:val="top"/>
          </w:tcPr>
          <w:p w14:paraId="18F58944">
            <w:pPr>
              <w:pStyle w:val="6"/>
              <w:spacing w:before="142" w:line="219" w:lineRule="auto"/>
              <w:ind w:left="832"/>
              <w:rPr>
                <w:sz w:val="24"/>
                <w:szCs w:val="24"/>
              </w:rPr>
            </w:pPr>
            <w:r>
              <w:rPr>
                <w:spacing w:val="-3"/>
                <w:sz w:val="24"/>
                <w:szCs w:val="24"/>
              </w:rPr>
              <w:t>长城佳苑</w:t>
            </w:r>
          </w:p>
        </w:tc>
        <w:tc>
          <w:tcPr>
            <w:tcW w:w="831" w:type="dxa"/>
            <w:vAlign w:val="top"/>
          </w:tcPr>
          <w:p w14:paraId="0A74895D">
            <w:pPr>
              <w:pStyle w:val="6"/>
              <w:spacing w:before="143" w:line="219" w:lineRule="auto"/>
              <w:ind w:left="192"/>
              <w:rPr>
                <w:sz w:val="24"/>
                <w:szCs w:val="24"/>
              </w:rPr>
            </w:pPr>
            <w:r>
              <w:rPr>
                <w:spacing w:val="-9"/>
                <w:sz w:val="24"/>
                <w:szCs w:val="24"/>
              </w:rPr>
              <w:t>东北</w:t>
            </w:r>
          </w:p>
        </w:tc>
        <w:tc>
          <w:tcPr>
            <w:tcW w:w="735" w:type="dxa"/>
            <w:vAlign w:val="top"/>
          </w:tcPr>
          <w:p w14:paraId="5C449AE3">
            <w:pPr>
              <w:spacing w:before="184"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tc>
        <w:tc>
          <w:tcPr>
            <w:tcW w:w="1517" w:type="dxa"/>
            <w:vAlign w:val="top"/>
          </w:tcPr>
          <w:p w14:paraId="0F4A9D0C">
            <w:pPr>
              <w:pStyle w:val="6"/>
              <w:spacing w:before="143" w:line="220" w:lineRule="auto"/>
              <w:ind w:left="405"/>
              <w:rPr>
                <w:sz w:val="24"/>
                <w:szCs w:val="24"/>
              </w:rPr>
            </w:pPr>
            <w:r>
              <w:rPr>
                <w:spacing w:val="-4"/>
                <w:sz w:val="24"/>
                <w:szCs w:val="24"/>
              </w:rPr>
              <w:t>居民区</w:t>
            </w:r>
          </w:p>
        </w:tc>
      </w:tr>
      <w:tr w14:paraId="7EAA5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08D44538">
            <w:pPr>
              <w:rPr>
                <w:rFonts w:ascii="Arial"/>
                <w:sz w:val="21"/>
              </w:rPr>
            </w:pPr>
          </w:p>
        </w:tc>
        <w:tc>
          <w:tcPr>
            <w:tcW w:w="2150" w:type="dxa"/>
            <w:vMerge w:val="continue"/>
            <w:tcBorders>
              <w:top w:val="nil"/>
              <w:bottom w:val="nil"/>
            </w:tcBorders>
            <w:vAlign w:val="top"/>
          </w:tcPr>
          <w:p w14:paraId="5366CE16">
            <w:pPr>
              <w:rPr>
                <w:rFonts w:ascii="Arial"/>
                <w:sz w:val="21"/>
              </w:rPr>
            </w:pPr>
          </w:p>
        </w:tc>
        <w:tc>
          <w:tcPr>
            <w:tcW w:w="2608" w:type="dxa"/>
            <w:vAlign w:val="top"/>
          </w:tcPr>
          <w:p w14:paraId="72CC6701">
            <w:pPr>
              <w:pStyle w:val="6"/>
              <w:spacing w:before="142" w:line="221" w:lineRule="auto"/>
              <w:ind w:left="716"/>
              <w:rPr>
                <w:sz w:val="24"/>
                <w:szCs w:val="24"/>
              </w:rPr>
            </w:pPr>
            <w:r>
              <w:rPr>
                <w:spacing w:val="-3"/>
                <w:sz w:val="24"/>
                <w:szCs w:val="24"/>
              </w:rPr>
              <w:t>宜和苑小区</w:t>
            </w:r>
          </w:p>
        </w:tc>
        <w:tc>
          <w:tcPr>
            <w:tcW w:w="831" w:type="dxa"/>
            <w:vAlign w:val="top"/>
          </w:tcPr>
          <w:p w14:paraId="299C5999">
            <w:pPr>
              <w:pStyle w:val="6"/>
              <w:spacing w:before="142" w:line="219" w:lineRule="auto"/>
              <w:ind w:left="192"/>
              <w:rPr>
                <w:sz w:val="24"/>
                <w:szCs w:val="24"/>
              </w:rPr>
            </w:pPr>
            <w:r>
              <w:rPr>
                <w:spacing w:val="-9"/>
                <w:sz w:val="24"/>
                <w:szCs w:val="24"/>
              </w:rPr>
              <w:t>东北</w:t>
            </w:r>
          </w:p>
        </w:tc>
        <w:tc>
          <w:tcPr>
            <w:tcW w:w="735" w:type="dxa"/>
            <w:vAlign w:val="top"/>
          </w:tcPr>
          <w:p w14:paraId="24015F5B">
            <w:pPr>
              <w:spacing w:before="183"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2.41</w:t>
            </w:r>
          </w:p>
        </w:tc>
        <w:tc>
          <w:tcPr>
            <w:tcW w:w="1517" w:type="dxa"/>
            <w:vAlign w:val="top"/>
          </w:tcPr>
          <w:p w14:paraId="73ED1DBA">
            <w:pPr>
              <w:pStyle w:val="6"/>
              <w:spacing w:before="142" w:line="220" w:lineRule="auto"/>
              <w:ind w:left="405"/>
              <w:rPr>
                <w:sz w:val="24"/>
                <w:szCs w:val="24"/>
              </w:rPr>
            </w:pPr>
            <w:r>
              <w:rPr>
                <w:spacing w:val="-4"/>
                <w:sz w:val="24"/>
                <w:szCs w:val="24"/>
              </w:rPr>
              <w:t>居民区</w:t>
            </w:r>
          </w:p>
        </w:tc>
      </w:tr>
      <w:tr w14:paraId="46799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ED10C47">
            <w:pPr>
              <w:rPr>
                <w:rFonts w:ascii="Arial"/>
                <w:sz w:val="21"/>
              </w:rPr>
            </w:pPr>
          </w:p>
        </w:tc>
        <w:tc>
          <w:tcPr>
            <w:tcW w:w="2150" w:type="dxa"/>
            <w:vMerge w:val="continue"/>
            <w:tcBorders>
              <w:top w:val="nil"/>
              <w:bottom w:val="nil"/>
            </w:tcBorders>
            <w:vAlign w:val="top"/>
          </w:tcPr>
          <w:p w14:paraId="2FD780DC">
            <w:pPr>
              <w:rPr>
                <w:rFonts w:ascii="Arial"/>
                <w:sz w:val="21"/>
              </w:rPr>
            </w:pPr>
          </w:p>
        </w:tc>
        <w:tc>
          <w:tcPr>
            <w:tcW w:w="2608" w:type="dxa"/>
            <w:vAlign w:val="top"/>
          </w:tcPr>
          <w:p w14:paraId="449EC67C">
            <w:pPr>
              <w:pStyle w:val="6"/>
              <w:spacing w:before="144" w:line="219" w:lineRule="auto"/>
              <w:ind w:left="839"/>
              <w:rPr>
                <w:sz w:val="24"/>
                <w:szCs w:val="24"/>
              </w:rPr>
            </w:pPr>
            <w:r>
              <w:rPr>
                <w:spacing w:val="-5"/>
                <w:sz w:val="24"/>
                <w:szCs w:val="24"/>
              </w:rPr>
              <w:t>吉祥小区</w:t>
            </w:r>
          </w:p>
        </w:tc>
        <w:tc>
          <w:tcPr>
            <w:tcW w:w="831" w:type="dxa"/>
            <w:vAlign w:val="top"/>
          </w:tcPr>
          <w:p w14:paraId="57D26877">
            <w:pPr>
              <w:pStyle w:val="6"/>
              <w:spacing w:before="144" w:line="219" w:lineRule="auto"/>
              <w:ind w:left="192"/>
              <w:rPr>
                <w:sz w:val="24"/>
                <w:szCs w:val="24"/>
              </w:rPr>
            </w:pPr>
            <w:r>
              <w:rPr>
                <w:spacing w:val="-9"/>
                <w:sz w:val="24"/>
                <w:szCs w:val="24"/>
              </w:rPr>
              <w:t>东北</w:t>
            </w:r>
          </w:p>
        </w:tc>
        <w:tc>
          <w:tcPr>
            <w:tcW w:w="735" w:type="dxa"/>
            <w:vAlign w:val="top"/>
          </w:tcPr>
          <w:p w14:paraId="37565712">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2.78</w:t>
            </w:r>
          </w:p>
        </w:tc>
        <w:tc>
          <w:tcPr>
            <w:tcW w:w="1517" w:type="dxa"/>
            <w:vAlign w:val="top"/>
          </w:tcPr>
          <w:p w14:paraId="3BE50DC2">
            <w:pPr>
              <w:pStyle w:val="6"/>
              <w:spacing w:before="144" w:line="220" w:lineRule="auto"/>
              <w:ind w:left="405"/>
              <w:rPr>
                <w:sz w:val="24"/>
                <w:szCs w:val="24"/>
              </w:rPr>
            </w:pPr>
            <w:r>
              <w:rPr>
                <w:spacing w:val="-4"/>
                <w:sz w:val="24"/>
                <w:szCs w:val="24"/>
              </w:rPr>
              <w:t>居民区</w:t>
            </w:r>
          </w:p>
        </w:tc>
      </w:tr>
      <w:tr w14:paraId="3FA26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C5CBB37">
            <w:pPr>
              <w:rPr>
                <w:rFonts w:ascii="Arial"/>
                <w:sz w:val="21"/>
              </w:rPr>
            </w:pPr>
          </w:p>
        </w:tc>
        <w:tc>
          <w:tcPr>
            <w:tcW w:w="2150" w:type="dxa"/>
            <w:vMerge w:val="continue"/>
            <w:tcBorders>
              <w:top w:val="nil"/>
              <w:bottom w:val="nil"/>
            </w:tcBorders>
            <w:vAlign w:val="top"/>
          </w:tcPr>
          <w:p w14:paraId="2CE75DEB">
            <w:pPr>
              <w:rPr>
                <w:rFonts w:ascii="Arial"/>
                <w:sz w:val="21"/>
              </w:rPr>
            </w:pPr>
          </w:p>
        </w:tc>
        <w:tc>
          <w:tcPr>
            <w:tcW w:w="2608" w:type="dxa"/>
            <w:vAlign w:val="top"/>
          </w:tcPr>
          <w:p w14:paraId="55D9CEB2">
            <w:pPr>
              <w:pStyle w:val="6"/>
              <w:spacing w:before="143" w:line="219" w:lineRule="auto"/>
              <w:ind w:left="811"/>
              <w:rPr>
                <w:sz w:val="24"/>
                <w:szCs w:val="24"/>
              </w:rPr>
            </w:pPr>
            <w:r>
              <w:rPr>
                <w:spacing w:val="-4"/>
                <w:sz w:val="24"/>
                <w:szCs w:val="24"/>
              </w:rPr>
              <w:t>草原</w:t>
            </w:r>
            <w:r>
              <w:rPr>
                <w:spacing w:val="-56"/>
                <w:sz w:val="24"/>
                <w:szCs w:val="24"/>
              </w:rPr>
              <w:t xml:space="preserve"> </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8"/>
                <w:sz w:val="24"/>
                <w:szCs w:val="24"/>
              </w:rPr>
              <w:t xml:space="preserve"> </w:t>
            </w:r>
            <w:r>
              <w:rPr>
                <w:spacing w:val="-4"/>
                <w:sz w:val="24"/>
                <w:szCs w:val="24"/>
              </w:rPr>
              <w:t>区</w:t>
            </w:r>
          </w:p>
        </w:tc>
        <w:tc>
          <w:tcPr>
            <w:tcW w:w="831" w:type="dxa"/>
            <w:vAlign w:val="top"/>
          </w:tcPr>
          <w:p w14:paraId="60D6C9BD">
            <w:pPr>
              <w:pStyle w:val="6"/>
              <w:spacing w:before="143" w:line="219" w:lineRule="auto"/>
              <w:ind w:left="192"/>
              <w:rPr>
                <w:sz w:val="24"/>
                <w:szCs w:val="24"/>
              </w:rPr>
            </w:pPr>
            <w:r>
              <w:rPr>
                <w:spacing w:val="-9"/>
                <w:sz w:val="24"/>
                <w:szCs w:val="24"/>
              </w:rPr>
              <w:t>东北</w:t>
            </w:r>
          </w:p>
        </w:tc>
        <w:tc>
          <w:tcPr>
            <w:tcW w:w="735" w:type="dxa"/>
            <w:vAlign w:val="top"/>
          </w:tcPr>
          <w:p w14:paraId="771A3CFA">
            <w:pPr>
              <w:spacing w:before="184"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w:t>
            </w:r>
          </w:p>
        </w:tc>
        <w:tc>
          <w:tcPr>
            <w:tcW w:w="1517" w:type="dxa"/>
            <w:vAlign w:val="top"/>
          </w:tcPr>
          <w:p w14:paraId="2DD7D51D">
            <w:pPr>
              <w:pStyle w:val="6"/>
              <w:spacing w:before="143" w:line="220" w:lineRule="auto"/>
              <w:ind w:left="405"/>
              <w:rPr>
                <w:sz w:val="24"/>
                <w:szCs w:val="24"/>
              </w:rPr>
            </w:pPr>
            <w:r>
              <w:rPr>
                <w:spacing w:val="-4"/>
                <w:sz w:val="24"/>
                <w:szCs w:val="24"/>
              </w:rPr>
              <w:t>居民区</w:t>
            </w:r>
          </w:p>
        </w:tc>
      </w:tr>
      <w:tr w14:paraId="0DC50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776E40CE">
            <w:pPr>
              <w:rPr>
                <w:rFonts w:ascii="Arial"/>
                <w:sz w:val="21"/>
              </w:rPr>
            </w:pPr>
          </w:p>
        </w:tc>
        <w:tc>
          <w:tcPr>
            <w:tcW w:w="2150" w:type="dxa"/>
            <w:vMerge w:val="continue"/>
            <w:tcBorders>
              <w:top w:val="nil"/>
              <w:bottom w:val="nil"/>
            </w:tcBorders>
            <w:vAlign w:val="top"/>
          </w:tcPr>
          <w:p w14:paraId="64581374">
            <w:pPr>
              <w:rPr>
                <w:rFonts w:ascii="Arial"/>
                <w:sz w:val="21"/>
              </w:rPr>
            </w:pPr>
          </w:p>
        </w:tc>
        <w:tc>
          <w:tcPr>
            <w:tcW w:w="2608" w:type="dxa"/>
            <w:vAlign w:val="top"/>
          </w:tcPr>
          <w:p w14:paraId="4AD5152F">
            <w:pPr>
              <w:pStyle w:val="6"/>
              <w:spacing w:before="144" w:line="219" w:lineRule="auto"/>
              <w:ind w:left="831"/>
              <w:rPr>
                <w:sz w:val="24"/>
                <w:szCs w:val="24"/>
              </w:rPr>
            </w:pPr>
            <w:r>
              <w:rPr>
                <w:spacing w:val="-3"/>
                <w:sz w:val="24"/>
                <w:szCs w:val="24"/>
              </w:rPr>
              <w:t>竹涛小区</w:t>
            </w:r>
          </w:p>
        </w:tc>
        <w:tc>
          <w:tcPr>
            <w:tcW w:w="831" w:type="dxa"/>
            <w:vAlign w:val="top"/>
          </w:tcPr>
          <w:p w14:paraId="082DE18A">
            <w:pPr>
              <w:pStyle w:val="6"/>
              <w:spacing w:before="144" w:line="219" w:lineRule="auto"/>
              <w:ind w:left="192"/>
              <w:rPr>
                <w:sz w:val="24"/>
                <w:szCs w:val="24"/>
              </w:rPr>
            </w:pPr>
            <w:r>
              <w:rPr>
                <w:spacing w:val="-9"/>
                <w:sz w:val="24"/>
                <w:szCs w:val="24"/>
              </w:rPr>
              <w:t>东北</w:t>
            </w:r>
          </w:p>
        </w:tc>
        <w:tc>
          <w:tcPr>
            <w:tcW w:w="735" w:type="dxa"/>
            <w:vAlign w:val="top"/>
          </w:tcPr>
          <w:p w14:paraId="74220FF2">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2.75</w:t>
            </w:r>
          </w:p>
        </w:tc>
        <w:tc>
          <w:tcPr>
            <w:tcW w:w="1517" w:type="dxa"/>
            <w:vAlign w:val="top"/>
          </w:tcPr>
          <w:p w14:paraId="6B06386C">
            <w:pPr>
              <w:pStyle w:val="6"/>
              <w:spacing w:before="144" w:line="220" w:lineRule="auto"/>
              <w:ind w:left="405"/>
              <w:rPr>
                <w:sz w:val="24"/>
                <w:szCs w:val="24"/>
              </w:rPr>
            </w:pPr>
            <w:r>
              <w:rPr>
                <w:spacing w:val="-4"/>
                <w:sz w:val="24"/>
                <w:szCs w:val="24"/>
              </w:rPr>
              <w:t>居民区</w:t>
            </w:r>
          </w:p>
        </w:tc>
      </w:tr>
      <w:tr w14:paraId="66269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048B1CED">
            <w:pPr>
              <w:rPr>
                <w:rFonts w:ascii="Arial"/>
                <w:sz w:val="21"/>
              </w:rPr>
            </w:pPr>
          </w:p>
        </w:tc>
        <w:tc>
          <w:tcPr>
            <w:tcW w:w="2150" w:type="dxa"/>
            <w:vMerge w:val="continue"/>
            <w:tcBorders>
              <w:top w:val="nil"/>
              <w:bottom w:val="nil"/>
            </w:tcBorders>
            <w:vAlign w:val="top"/>
          </w:tcPr>
          <w:p w14:paraId="3666B1E5">
            <w:pPr>
              <w:rPr>
                <w:rFonts w:ascii="Arial"/>
                <w:sz w:val="21"/>
              </w:rPr>
            </w:pPr>
          </w:p>
        </w:tc>
        <w:tc>
          <w:tcPr>
            <w:tcW w:w="2608" w:type="dxa"/>
            <w:vAlign w:val="top"/>
          </w:tcPr>
          <w:p w14:paraId="4784BE67">
            <w:pPr>
              <w:pStyle w:val="6"/>
              <w:spacing w:before="144" w:line="220" w:lineRule="auto"/>
              <w:ind w:left="833"/>
              <w:rPr>
                <w:sz w:val="24"/>
                <w:szCs w:val="24"/>
              </w:rPr>
            </w:pPr>
            <w:r>
              <w:rPr>
                <w:spacing w:val="-3"/>
                <w:sz w:val="24"/>
                <w:szCs w:val="24"/>
              </w:rPr>
              <w:t>仁和医院</w:t>
            </w:r>
          </w:p>
        </w:tc>
        <w:tc>
          <w:tcPr>
            <w:tcW w:w="831" w:type="dxa"/>
            <w:vAlign w:val="top"/>
          </w:tcPr>
          <w:p w14:paraId="7CA9E1E3">
            <w:pPr>
              <w:pStyle w:val="6"/>
              <w:spacing w:before="144" w:line="219" w:lineRule="auto"/>
              <w:ind w:left="192"/>
              <w:rPr>
                <w:sz w:val="24"/>
                <w:szCs w:val="24"/>
              </w:rPr>
            </w:pPr>
            <w:r>
              <w:rPr>
                <w:spacing w:val="-9"/>
                <w:sz w:val="24"/>
                <w:szCs w:val="24"/>
              </w:rPr>
              <w:t>东北</w:t>
            </w:r>
          </w:p>
        </w:tc>
        <w:tc>
          <w:tcPr>
            <w:tcW w:w="735" w:type="dxa"/>
            <w:vAlign w:val="top"/>
          </w:tcPr>
          <w:p w14:paraId="4EA2D2BB">
            <w:pPr>
              <w:spacing w:before="185"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w:t>
            </w:r>
          </w:p>
        </w:tc>
        <w:tc>
          <w:tcPr>
            <w:tcW w:w="1517" w:type="dxa"/>
            <w:vAlign w:val="top"/>
          </w:tcPr>
          <w:p w14:paraId="7DC5867A">
            <w:pPr>
              <w:pStyle w:val="6"/>
              <w:spacing w:before="143" w:line="219" w:lineRule="auto"/>
              <w:ind w:left="295"/>
              <w:rPr>
                <w:sz w:val="24"/>
                <w:szCs w:val="24"/>
              </w:rPr>
            </w:pPr>
            <w:r>
              <w:rPr>
                <w:spacing w:val="-6"/>
                <w:sz w:val="24"/>
                <w:szCs w:val="24"/>
              </w:rPr>
              <w:t>医疗机构</w:t>
            </w:r>
          </w:p>
        </w:tc>
      </w:tr>
      <w:tr w14:paraId="5ABAC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4CAD7818">
            <w:pPr>
              <w:rPr>
                <w:rFonts w:ascii="Arial"/>
                <w:sz w:val="21"/>
              </w:rPr>
            </w:pPr>
          </w:p>
        </w:tc>
        <w:tc>
          <w:tcPr>
            <w:tcW w:w="2150" w:type="dxa"/>
            <w:vMerge w:val="continue"/>
            <w:tcBorders>
              <w:top w:val="nil"/>
              <w:bottom w:val="nil"/>
            </w:tcBorders>
            <w:vAlign w:val="top"/>
          </w:tcPr>
          <w:p w14:paraId="47DCD3CF">
            <w:pPr>
              <w:rPr>
                <w:rFonts w:ascii="Arial"/>
                <w:sz w:val="21"/>
              </w:rPr>
            </w:pPr>
          </w:p>
        </w:tc>
        <w:tc>
          <w:tcPr>
            <w:tcW w:w="2608" w:type="dxa"/>
            <w:vAlign w:val="top"/>
          </w:tcPr>
          <w:p w14:paraId="5E7F133B">
            <w:pPr>
              <w:pStyle w:val="6"/>
              <w:spacing w:before="145" w:line="220" w:lineRule="auto"/>
              <w:ind w:left="474"/>
              <w:rPr>
                <w:sz w:val="24"/>
                <w:szCs w:val="24"/>
              </w:rPr>
            </w:pPr>
            <w:r>
              <w:rPr>
                <w:spacing w:val="-2"/>
                <w:sz w:val="24"/>
                <w:szCs w:val="24"/>
              </w:rPr>
              <w:t>棋盘井实验小学</w:t>
            </w:r>
          </w:p>
        </w:tc>
        <w:tc>
          <w:tcPr>
            <w:tcW w:w="831" w:type="dxa"/>
            <w:vAlign w:val="top"/>
          </w:tcPr>
          <w:p w14:paraId="2374FCC1">
            <w:pPr>
              <w:pStyle w:val="6"/>
              <w:spacing w:before="145" w:line="219" w:lineRule="auto"/>
              <w:ind w:left="192"/>
              <w:rPr>
                <w:sz w:val="24"/>
                <w:szCs w:val="24"/>
              </w:rPr>
            </w:pPr>
            <w:r>
              <w:rPr>
                <w:spacing w:val="-9"/>
                <w:sz w:val="24"/>
                <w:szCs w:val="24"/>
              </w:rPr>
              <w:t>东北</w:t>
            </w:r>
          </w:p>
        </w:tc>
        <w:tc>
          <w:tcPr>
            <w:tcW w:w="735" w:type="dxa"/>
            <w:vAlign w:val="top"/>
          </w:tcPr>
          <w:p w14:paraId="300E0FE2">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2.44</w:t>
            </w:r>
          </w:p>
        </w:tc>
        <w:tc>
          <w:tcPr>
            <w:tcW w:w="1517" w:type="dxa"/>
            <w:vAlign w:val="top"/>
          </w:tcPr>
          <w:p w14:paraId="0EA9B87D">
            <w:pPr>
              <w:pStyle w:val="6"/>
              <w:spacing w:before="144" w:line="219" w:lineRule="auto"/>
              <w:ind w:left="286"/>
              <w:rPr>
                <w:sz w:val="24"/>
                <w:szCs w:val="24"/>
              </w:rPr>
            </w:pPr>
            <w:r>
              <w:rPr>
                <w:spacing w:val="-4"/>
                <w:sz w:val="24"/>
                <w:szCs w:val="24"/>
              </w:rPr>
              <w:t>教育机构</w:t>
            </w:r>
          </w:p>
        </w:tc>
      </w:tr>
      <w:tr w14:paraId="0D5B3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59145C62">
            <w:pPr>
              <w:rPr>
                <w:rFonts w:ascii="Arial"/>
                <w:sz w:val="21"/>
              </w:rPr>
            </w:pPr>
          </w:p>
        </w:tc>
        <w:tc>
          <w:tcPr>
            <w:tcW w:w="2150" w:type="dxa"/>
            <w:vMerge w:val="continue"/>
            <w:tcBorders>
              <w:top w:val="nil"/>
              <w:bottom w:val="nil"/>
            </w:tcBorders>
            <w:vAlign w:val="top"/>
          </w:tcPr>
          <w:p w14:paraId="5E5F227A">
            <w:pPr>
              <w:rPr>
                <w:rFonts w:ascii="Arial"/>
                <w:sz w:val="21"/>
              </w:rPr>
            </w:pPr>
          </w:p>
        </w:tc>
        <w:tc>
          <w:tcPr>
            <w:tcW w:w="2608" w:type="dxa"/>
            <w:vAlign w:val="top"/>
          </w:tcPr>
          <w:p w14:paraId="5C8B8758">
            <w:pPr>
              <w:pStyle w:val="6"/>
              <w:spacing w:before="144" w:line="219" w:lineRule="auto"/>
              <w:ind w:left="830"/>
              <w:rPr>
                <w:sz w:val="24"/>
                <w:szCs w:val="24"/>
              </w:rPr>
            </w:pPr>
            <w:r>
              <w:rPr>
                <w:spacing w:val="-3"/>
                <w:sz w:val="24"/>
                <w:szCs w:val="24"/>
              </w:rPr>
              <w:t>泰祥国际</w:t>
            </w:r>
          </w:p>
        </w:tc>
        <w:tc>
          <w:tcPr>
            <w:tcW w:w="831" w:type="dxa"/>
            <w:vAlign w:val="top"/>
          </w:tcPr>
          <w:p w14:paraId="2DA7126B">
            <w:pPr>
              <w:pStyle w:val="6"/>
              <w:spacing w:before="144" w:line="219" w:lineRule="auto"/>
              <w:ind w:left="192"/>
              <w:rPr>
                <w:sz w:val="24"/>
                <w:szCs w:val="24"/>
              </w:rPr>
            </w:pPr>
            <w:r>
              <w:rPr>
                <w:spacing w:val="-9"/>
                <w:sz w:val="24"/>
                <w:szCs w:val="24"/>
              </w:rPr>
              <w:t>东北</w:t>
            </w:r>
          </w:p>
        </w:tc>
        <w:tc>
          <w:tcPr>
            <w:tcW w:w="735" w:type="dxa"/>
            <w:vAlign w:val="top"/>
          </w:tcPr>
          <w:p w14:paraId="18CA40BF">
            <w:pPr>
              <w:spacing w:before="185"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2.06</w:t>
            </w:r>
          </w:p>
        </w:tc>
        <w:tc>
          <w:tcPr>
            <w:tcW w:w="1517" w:type="dxa"/>
            <w:vAlign w:val="top"/>
          </w:tcPr>
          <w:p w14:paraId="27DBE9B6">
            <w:pPr>
              <w:pStyle w:val="6"/>
              <w:spacing w:before="144" w:line="220" w:lineRule="auto"/>
              <w:ind w:left="405"/>
              <w:rPr>
                <w:sz w:val="24"/>
                <w:szCs w:val="24"/>
              </w:rPr>
            </w:pPr>
            <w:r>
              <w:rPr>
                <w:spacing w:val="-4"/>
                <w:sz w:val="24"/>
                <w:szCs w:val="24"/>
              </w:rPr>
              <w:t>居民区</w:t>
            </w:r>
          </w:p>
        </w:tc>
      </w:tr>
      <w:tr w14:paraId="3A130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585C1C0">
            <w:pPr>
              <w:rPr>
                <w:rFonts w:ascii="Arial"/>
                <w:sz w:val="21"/>
              </w:rPr>
            </w:pPr>
          </w:p>
        </w:tc>
        <w:tc>
          <w:tcPr>
            <w:tcW w:w="2150" w:type="dxa"/>
            <w:vMerge w:val="continue"/>
            <w:tcBorders>
              <w:top w:val="nil"/>
              <w:bottom w:val="nil"/>
            </w:tcBorders>
            <w:vAlign w:val="top"/>
          </w:tcPr>
          <w:p w14:paraId="3BB95A63">
            <w:pPr>
              <w:rPr>
                <w:rFonts w:ascii="Arial"/>
                <w:sz w:val="21"/>
              </w:rPr>
            </w:pPr>
          </w:p>
        </w:tc>
        <w:tc>
          <w:tcPr>
            <w:tcW w:w="2608" w:type="dxa"/>
            <w:vAlign w:val="top"/>
          </w:tcPr>
          <w:p w14:paraId="6298CA76">
            <w:pPr>
              <w:pStyle w:val="6"/>
              <w:spacing w:before="145" w:line="220" w:lineRule="auto"/>
              <w:ind w:left="594"/>
              <w:rPr>
                <w:sz w:val="24"/>
                <w:szCs w:val="24"/>
              </w:rPr>
            </w:pPr>
            <w:r>
              <w:rPr>
                <w:spacing w:val="-3"/>
                <w:sz w:val="24"/>
                <w:szCs w:val="24"/>
              </w:rPr>
              <w:t>棋盘井生态园</w:t>
            </w:r>
          </w:p>
        </w:tc>
        <w:tc>
          <w:tcPr>
            <w:tcW w:w="831" w:type="dxa"/>
            <w:vAlign w:val="top"/>
          </w:tcPr>
          <w:p w14:paraId="28D0AF0D">
            <w:pPr>
              <w:pStyle w:val="6"/>
              <w:spacing w:before="145" w:line="219" w:lineRule="auto"/>
              <w:ind w:left="192"/>
              <w:rPr>
                <w:sz w:val="24"/>
                <w:szCs w:val="24"/>
              </w:rPr>
            </w:pPr>
            <w:r>
              <w:rPr>
                <w:spacing w:val="-9"/>
                <w:sz w:val="24"/>
                <w:szCs w:val="24"/>
              </w:rPr>
              <w:t>东北</w:t>
            </w:r>
          </w:p>
        </w:tc>
        <w:tc>
          <w:tcPr>
            <w:tcW w:w="735" w:type="dxa"/>
            <w:vAlign w:val="top"/>
          </w:tcPr>
          <w:p w14:paraId="2B32EC99">
            <w:pPr>
              <w:spacing w:before="18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w:t>
            </w:r>
          </w:p>
        </w:tc>
        <w:tc>
          <w:tcPr>
            <w:tcW w:w="1517" w:type="dxa"/>
            <w:vAlign w:val="top"/>
          </w:tcPr>
          <w:p w14:paraId="3DC65623">
            <w:pPr>
              <w:pStyle w:val="6"/>
              <w:spacing w:before="144" w:line="221" w:lineRule="auto"/>
              <w:ind w:left="285"/>
              <w:rPr>
                <w:sz w:val="24"/>
                <w:szCs w:val="24"/>
              </w:rPr>
            </w:pPr>
            <w:r>
              <w:rPr>
                <w:spacing w:val="-3"/>
                <w:sz w:val="24"/>
                <w:szCs w:val="24"/>
              </w:rPr>
              <w:t>生态公园</w:t>
            </w:r>
          </w:p>
        </w:tc>
      </w:tr>
      <w:tr w14:paraId="05716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6A990BC7">
            <w:pPr>
              <w:rPr>
                <w:rFonts w:ascii="Arial"/>
                <w:sz w:val="21"/>
              </w:rPr>
            </w:pPr>
          </w:p>
        </w:tc>
        <w:tc>
          <w:tcPr>
            <w:tcW w:w="2150" w:type="dxa"/>
            <w:vMerge w:val="continue"/>
            <w:tcBorders>
              <w:top w:val="nil"/>
              <w:bottom w:val="nil"/>
            </w:tcBorders>
            <w:vAlign w:val="top"/>
          </w:tcPr>
          <w:p w14:paraId="0DD125BD">
            <w:pPr>
              <w:rPr>
                <w:rFonts w:ascii="Arial"/>
                <w:sz w:val="21"/>
              </w:rPr>
            </w:pPr>
          </w:p>
        </w:tc>
        <w:tc>
          <w:tcPr>
            <w:tcW w:w="2608" w:type="dxa"/>
            <w:vAlign w:val="top"/>
          </w:tcPr>
          <w:p w14:paraId="505B0DEA">
            <w:pPr>
              <w:pStyle w:val="6"/>
              <w:spacing w:before="143" w:line="219" w:lineRule="auto"/>
              <w:ind w:left="833"/>
              <w:rPr>
                <w:sz w:val="24"/>
                <w:szCs w:val="24"/>
              </w:rPr>
            </w:pPr>
            <w:r>
              <w:rPr>
                <w:spacing w:val="-3"/>
                <w:sz w:val="24"/>
                <w:szCs w:val="24"/>
              </w:rPr>
              <w:t>金鼎佳苑</w:t>
            </w:r>
          </w:p>
        </w:tc>
        <w:tc>
          <w:tcPr>
            <w:tcW w:w="831" w:type="dxa"/>
            <w:vAlign w:val="top"/>
          </w:tcPr>
          <w:p w14:paraId="30F08ECA">
            <w:pPr>
              <w:pStyle w:val="6"/>
              <w:spacing w:before="143" w:line="223" w:lineRule="auto"/>
              <w:ind w:left="308"/>
              <w:rPr>
                <w:sz w:val="24"/>
                <w:szCs w:val="24"/>
              </w:rPr>
            </w:pPr>
            <w:r>
              <w:rPr>
                <w:sz w:val="24"/>
                <w:szCs w:val="24"/>
              </w:rPr>
              <w:t>北</w:t>
            </w:r>
          </w:p>
        </w:tc>
        <w:tc>
          <w:tcPr>
            <w:tcW w:w="735" w:type="dxa"/>
            <w:vAlign w:val="top"/>
          </w:tcPr>
          <w:p w14:paraId="47909889">
            <w:pPr>
              <w:spacing w:before="185" w:line="188" w:lineRule="auto"/>
              <w:ind w:left="16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2.11</w:t>
            </w:r>
          </w:p>
        </w:tc>
        <w:tc>
          <w:tcPr>
            <w:tcW w:w="1517" w:type="dxa"/>
            <w:vAlign w:val="top"/>
          </w:tcPr>
          <w:p w14:paraId="7F8C9433">
            <w:pPr>
              <w:pStyle w:val="6"/>
              <w:spacing w:before="144" w:line="220" w:lineRule="auto"/>
              <w:ind w:left="405"/>
              <w:rPr>
                <w:sz w:val="24"/>
                <w:szCs w:val="24"/>
              </w:rPr>
            </w:pPr>
            <w:r>
              <w:rPr>
                <w:spacing w:val="-4"/>
                <w:sz w:val="24"/>
                <w:szCs w:val="24"/>
              </w:rPr>
              <w:t>居民区</w:t>
            </w:r>
          </w:p>
        </w:tc>
      </w:tr>
      <w:tr w14:paraId="79DA2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95" w:type="dxa"/>
            <w:vMerge w:val="continue"/>
            <w:tcBorders>
              <w:top w:val="nil"/>
              <w:bottom w:val="nil"/>
            </w:tcBorders>
            <w:vAlign w:val="top"/>
          </w:tcPr>
          <w:p w14:paraId="5C8B1E70">
            <w:pPr>
              <w:rPr>
                <w:rFonts w:ascii="Arial"/>
                <w:sz w:val="21"/>
              </w:rPr>
            </w:pPr>
          </w:p>
        </w:tc>
        <w:tc>
          <w:tcPr>
            <w:tcW w:w="2150" w:type="dxa"/>
            <w:vMerge w:val="continue"/>
            <w:tcBorders>
              <w:top w:val="nil"/>
              <w:bottom w:val="nil"/>
            </w:tcBorders>
            <w:vAlign w:val="top"/>
          </w:tcPr>
          <w:p w14:paraId="3C0268BF">
            <w:pPr>
              <w:rPr>
                <w:rFonts w:ascii="Arial"/>
                <w:sz w:val="21"/>
              </w:rPr>
            </w:pPr>
          </w:p>
        </w:tc>
        <w:tc>
          <w:tcPr>
            <w:tcW w:w="2608" w:type="dxa"/>
            <w:vAlign w:val="top"/>
          </w:tcPr>
          <w:p w14:paraId="195B2F62">
            <w:pPr>
              <w:pStyle w:val="6"/>
              <w:spacing w:before="144" w:line="219" w:lineRule="auto"/>
              <w:ind w:left="836"/>
              <w:rPr>
                <w:sz w:val="24"/>
                <w:szCs w:val="24"/>
              </w:rPr>
            </w:pPr>
            <w:r>
              <w:rPr>
                <w:spacing w:val="-4"/>
                <w:sz w:val="24"/>
                <w:szCs w:val="24"/>
              </w:rPr>
              <w:t>天誉天诚</w:t>
            </w:r>
          </w:p>
        </w:tc>
        <w:tc>
          <w:tcPr>
            <w:tcW w:w="831" w:type="dxa"/>
            <w:vAlign w:val="top"/>
          </w:tcPr>
          <w:p w14:paraId="0C74451E">
            <w:pPr>
              <w:pStyle w:val="6"/>
              <w:spacing w:before="145" w:line="223" w:lineRule="auto"/>
              <w:ind w:left="308"/>
              <w:rPr>
                <w:sz w:val="24"/>
                <w:szCs w:val="24"/>
              </w:rPr>
            </w:pPr>
            <w:r>
              <w:rPr>
                <w:sz w:val="24"/>
                <w:szCs w:val="24"/>
              </w:rPr>
              <w:t>北</w:t>
            </w:r>
          </w:p>
        </w:tc>
        <w:tc>
          <w:tcPr>
            <w:tcW w:w="735" w:type="dxa"/>
            <w:vAlign w:val="top"/>
          </w:tcPr>
          <w:p w14:paraId="3CD78C46">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2.44</w:t>
            </w:r>
          </w:p>
        </w:tc>
        <w:tc>
          <w:tcPr>
            <w:tcW w:w="1517" w:type="dxa"/>
            <w:vAlign w:val="top"/>
          </w:tcPr>
          <w:p w14:paraId="7AB231A9">
            <w:pPr>
              <w:pStyle w:val="6"/>
              <w:spacing w:before="145" w:line="220" w:lineRule="auto"/>
              <w:ind w:left="165"/>
              <w:rPr>
                <w:sz w:val="24"/>
                <w:szCs w:val="24"/>
              </w:rPr>
            </w:pPr>
            <w:r>
              <w:rPr>
                <w:spacing w:val="-3"/>
                <w:sz w:val="24"/>
                <w:szCs w:val="24"/>
              </w:rPr>
              <w:t>居民、商业</w:t>
            </w:r>
          </w:p>
        </w:tc>
      </w:tr>
      <w:tr w14:paraId="3F2C0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0661BFE9">
            <w:pPr>
              <w:rPr>
                <w:rFonts w:ascii="Arial"/>
                <w:sz w:val="21"/>
              </w:rPr>
            </w:pPr>
          </w:p>
        </w:tc>
        <w:tc>
          <w:tcPr>
            <w:tcW w:w="2150" w:type="dxa"/>
            <w:vMerge w:val="continue"/>
            <w:tcBorders>
              <w:top w:val="nil"/>
              <w:bottom w:val="nil"/>
            </w:tcBorders>
            <w:vAlign w:val="top"/>
          </w:tcPr>
          <w:p w14:paraId="3F0E9E4F">
            <w:pPr>
              <w:rPr>
                <w:rFonts w:ascii="Arial"/>
                <w:sz w:val="21"/>
              </w:rPr>
            </w:pPr>
          </w:p>
        </w:tc>
        <w:tc>
          <w:tcPr>
            <w:tcW w:w="2608" w:type="dxa"/>
            <w:vAlign w:val="top"/>
          </w:tcPr>
          <w:p w14:paraId="4DC91190">
            <w:pPr>
              <w:pStyle w:val="6"/>
              <w:spacing w:before="145" w:line="219" w:lineRule="auto"/>
              <w:ind w:left="351"/>
              <w:rPr>
                <w:sz w:val="24"/>
                <w:szCs w:val="24"/>
              </w:rPr>
            </w:pPr>
            <w:r>
              <w:rPr>
                <w:spacing w:val="-2"/>
                <w:sz w:val="24"/>
                <w:szCs w:val="24"/>
              </w:rPr>
              <w:t>鄂托克旗第二医院</w:t>
            </w:r>
          </w:p>
        </w:tc>
        <w:tc>
          <w:tcPr>
            <w:tcW w:w="831" w:type="dxa"/>
            <w:vAlign w:val="top"/>
          </w:tcPr>
          <w:p w14:paraId="181A9120">
            <w:pPr>
              <w:pStyle w:val="6"/>
              <w:spacing w:before="144" w:line="223" w:lineRule="auto"/>
              <w:ind w:left="308"/>
              <w:rPr>
                <w:sz w:val="24"/>
                <w:szCs w:val="24"/>
              </w:rPr>
            </w:pPr>
            <w:r>
              <w:rPr>
                <w:sz w:val="24"/>
                <w:szCs w:val="24"/>
              </w:rPr>
              <w:t>北</w:t>
            </w:r>
          </w:p>
        </w:tc>
        <w:tc>
          <w:tcPr>
            <w:tcW w:w="735" w:type="dxa"/>
            <w:vAlign w:val="top"/>
          </w:tcPr>
          <w:p w14:paraId="368E74FD">
            <w:pPr>
              <w:spacing w:before="186" w:line="188" w:lineRule="auto"/>
              <w:ind w:left="31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517" w:type="dxa"/>
            <w:vAlign w:val="top"/>
          </w:tcPr>
          <w:p w14:paraId="103106DE">
            <w:pPr>
              <w:pStyle w:val="6"/>
              <w:spacing w:before="144" w:line="219" w:lineRule="auto"/>
              <w:ind w:left="295"/>
              <w:rPr>
                <w:sz w:val="24"/>
                <w:szCs w:val="24"/>
              </w:rPr>
            </w:pPr>
            <w:r>
              <w:rPr>
                <w:spacing w:val="-6"/>
                <w:sz w:val="24"/>
                <w:szCs w:val="24"/>
              </w:rPr>
              <w:t>医疗机构</w:t>
            </w:r>
          </w:p>
        </w:tc>
      </w:tr>
      <w:tr w14:paraId="28741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8204322">
            <w:pPr>
              <w:rPr>
                <w:rFonts w:ascii="Arial"/>
                <w:sz w:val="21"/>
              </w:rPr>
            </w:pPr>
          </w:p>
        </w:tc>
        <w:tc>
          <w:tcPr>
            <w:tcW w:w="2150" w:type="dxa"/>
            <w:vMerge w:val="continue"/>
            <w:tcBorders>
              <w:top w:val="nil"/>
              <w:bottom w:val="nil"/>
            </w:tcBorders>
            <w:vAlign w:val="top"/>
          </w:tcPr>
          <w:p w14:paraId="2F7FE72D">
            <w:pPr>
              <w:rPr>
                <w:rFonts w:ascii="Arial"/>
                <w:sz w:val="21"/>
              </w:rPr>
            </w:pPr>
          </w:p>
        </w:tc>
        <w:tc>
          <w:tcPr>
            <w:tcW w:w="2608" w:type="dxa"/>
            <w:vAlign w:val="top"/>
          </w:tcPr>
          <w:p w14:paraId="4A0E560D">
            <w:pPr>
              <w:pStyle w:val="6"/>
              <w:spacing w:before="145" w:line="219" w:lineRule="auto"/>
              <w:ind w:left="594"/>
              <w:rPr>
                <w:sz w:val="24"/>
                <w:szCs w:val="24"/>
              </w:rPr>
            </w:pPr>
            <w:r>
              <w:rPr>
                <w:spacing w:val="-3"/>
                <w:sz w:val="24"/>
                <w:szCs w:val="24"/>
              </w:rPr>
              <w:t>棋盘井镇政府</w:t>
            </w:r>
          </w:p>
        </w:tc>
        <w:tc>
          <w:tcPr>
            <w:tcW w:w="831" w:type="dxa"/>
            <w:vAlign w:val="top"/>
          </w:tcPr>
          <w:p w14:paraId="21527931">
            <w:pPr>
              <w:pStyle w:val="6"/>
              <w:spacing w:before="146" w:line="223" w:lineRule="auto"/>
              <w:ind w:left="308"/>
              <w:rPr>
                <w:sz w:val="24"/>
                <w:szCs w:val="24"/>
              </w:rPr>
            </w:pPr>
            <w:r>
              <w:rPr>
                <w:sz w:val="24"/>
                <w:szCs w:val="24"/>
              </w:rPr>
              <w:t>北</w:t>
            </w:r>
          </w:p>
        </w:tc>
        <w:tc>
          <w:tcPr>
            <w:tcW w:w="735" w:type="dxa"/>
            <w:vAlign w:val="top"/>
          </w:tcPr>
          <w:p w14:paraId="5F8ED631">
            <w:pPr>
              <w:spacing w:before="187"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1.96</w:t>
            </w:r>
          </w:p>
        </w:tc>
        <w:tc>
          <w:tcPr>
            <w:tcW w:w="1517" w:type="dxa"/>
            <w:vAlign w:val="top"/>
          </w:tcPr>
          <w:p w14:paraId="2426D8E5">
            <w:pPr>
              <w:pStyle w:val="6"/>
              <w:spacing w:before="146" w:line="220" w:lineRule="auto"/>
              <w:ind w:left="47"/>
              <w:rPr>
                <w:sz w:val="24"/>
                <w:szCs w:val="24"/>
              </w:rPr>
            </w:pPr>
            <w:r>
              <w:rPr>
                <w:spacing w:val="-3"/>
                <w:sz w:val="24"/>
                <w:szCs w:val="24"/>
              </w:rPr>
              <w:t>行政事业单位</w:t>
            </w:r>
          </w:p>
        </w:tc>
      </w:tr>
      <w:tr w14:paraId="3CF49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3265D8FE">
            <w:pPr>
              <w:rPr>
                <w:rFonts w:ascii="Arial"/>
                <w:sz w:val="21"/>
              </w:rPr>
            </w:pPr>
          </w:p>
        </w:tc>
        <w:tc>
          <w:tcPr>
            <w:tcW w:w="2150" w:type="dxa"/>
            <w:vMerge w:val="continue"/>
            <w:tcBorders>
              <w:top w:val="nil"/>
              <w:bottom w:val="nil"/>
            </w:tcBorders>
            <w:vAlign w:val="top"/>
          </w:tcPr>
          <w:p w14:paraId="4E878A63">
            <w:pPr>
              <w:rPr>
                <w:rFonts w:ascii="Arial"/>
                <w:sz w:val="21"/>
              </w:rPr>
            </w:pPr>
          </w:p>
        </w:tc>
        <w:tc>
          <w:tcPr>
            <w:tcW w:w="2608" w:type="dxa"/>
            <w:vAlign w:val="top"/>
          </w:tcPr>
          <w:p w14:paraId="45CB3FD6">
            <w:pPr>
              <w:pStyle w:val="6"/>
              <w:spacing w:before="145" w:line="219" w:lineRule="auto"/>
              <w:ind w:left="831"/>
              <w:rPr>
                <w:sz w:val="24"/>
                <w:szCs w:val="24"/>
              </w:rPr>
            </w:pPr>
            <w:r>
              <w:rPr>
                <w:spacing w:val="-3"/>
                <w:sz w:val="24"/>
                <w:szCs w:val="24"/>
              </w:rPr>
              <w:t>揽胜华庭</w:t>
            </w:r>
          </w:p>
        </w:tc>
        <w:tc>
          <w:tcPr>
            <w:tcW w:w="831" w:type="dxa"/>
            <w:vAlign w:val="top"/>
          </w:tcPr>
          <w:p w14:paraId="4C25EA9C">
            <w:pPr>
              <w:pStyle w:val="6"/>
              <w:spacing w:before="144" w:line="223" w:lineRule="auto"/>
              <w:ind w:left="308"/>
              <w:rPr>
                <w:sz w:val="24"/>
                <w:szCs w:val="24"/>
              </w:rPr>
            </w:pPr>
            <w:r>
              <w:rPr>
                <w:sz w:val="24"/>
                <w:szCs w:val="24"/>
              </w:rPr>
              <w:t>北</w:t>
            </w:r>
          </w:p>
        </w:tc>
        <w:tc>
          <w:tcPr>
            <w:tcW w:w="735" w:type="dxa"/>
            <w:vAlign w:val="top"/>
          </w:tcPr>
          <w:p w14:paraId="7763612D">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2.55</w:t>
            </w:r>
          </w:p>
        </w:tc>
        <w:tc>
          <w:tcPr>
            <w:tcW w:w="1517" w:type="dxa"/>
            <w:vAlign w:val="top"/>
          </w:tcPr>
          <w:p w14:paraId="34D5E513">
            <w:pPr>
              <w:pStyle w:val="6"/>
              <w:spacing w:before="145" w:line="220" w:lineRule="auto"/>
              <w:ind w:left="405"/>
              <w:rPr>
                <w:sz w:val="24"/>
                <w:szCs w:val="24"/>
              </w:rPr>
            </w:pPr>
            <w:r>
              <w:rPr>
                <w:spacing w:val="-4"/>
                <w:sz w:val="24"/>
                <w:szCs w:val="24"/>
              </w:rPr>
              <w:t>居民区</w:t>
            </w:r>
          </w:p>
        </w:tc>
      </w:tr>
      <w:tr w14:paraId="49E3A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5644C3C2">
            <w:pPr>
              <w:rPr>
                <w:rFonts w:ascii="Arial"/>
                <w:sz w:val="21"/>
              </w:rPr>
            </w:pPr>
          </w:p>
        </w:tc>
        <w:tc>
          <w:tcPr>
            <w:tcW w:w="2150" w:type="dxa"/>
            <w:vMerge w:val="continue"/>
            <w:tcBorders>
              <w:top w:val="nil"/>
              <w:bottom w:val="nil"/>
            </w:tcBorders>
            <w:vAlign w:val="top"/>
          </w:tcPr>
          <w:p w14:paraId="50B67DCD">
            <w:pPr>
              <w:rPr>
                <w:rFonts w:ascii="Arial"/>
                <w:sz w:val="21"/>
              </w:rPr>
            </w:pPr>
          </w:p>
        </w:tc>
        <w:tc>
          <w:tcPr>
            <w:tcW w:w="2608" w:type="dxa"/>
            <w:vAlign w:val="top"/>
          </w:tcPr>
          <w:p w14:paraId="280E8A81">
            <w:pPr>
              <w:pStyle w:val="6"/>
              <w:spacing w:before="146" w:line="219" w:lineRule="auto"/>
              <w:ind w:left="952"/>
              <w:rPr>
                <w:sz w:val="24"/>
                <w:szCs w:val="24"/>
              </w:rPr>
            </w:pPr>
            <w:r>
              <w:rPr>
                <w:spacing w:val="-4"/>
                <w:sz w:val="24"/>
                <w:szCs w:val="24"/>
              </w:rPr>
              <w:t>御景园</w:t>
            </w:r>
          </w:p>
        </w:tc>
        <w:tc>
          <w:tcPr>
            <w:tcW w:w="831" w:type="dxa"/>
            <w:vAlign w:val="top"/>
          </w:tcPr>
          <w:p w14:paraId="1CA330FE">
            <w:pPr>
              <w:pStyle w:val="6"/>
              <w:spacing w:before="146" w:line="223" w:lineRule="auto"/>
              <w:ind w:left="308"/>
              <w:rPr>
                <w:sz w:val="24"/>
                <w:szCs w:val="24"/>
              </w:rPr>
            </w:pPr>
            <w:r>
              <w:rPr>
                <w:sz w:val="24"/>
                <w:szCs w:val="24"/>
              </w:rPr>
              <w:t>北</w:t>
            </w:r>
          </w:p>
        </w:tc>
        <w:tc>
          <w:tcPr>
            <w:tcW w:w="735" w:type="dxa"/>
            <w:vAlign w:val="top"/>
          </w:tcPr>
          <w:p w14:paraId="463C1820">
            <w:pPr>
              <w:spacing w:before="187"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2.87</w:t>
            </w:r>
          </w:p>
        </w:tc>
        <w:tc>
          <w:tcPr>
            <w:tcW w:w="1517" w:type="dxa"/>
            <w:vAlign w:val="top"/>
          </w:tcPr>
          <w:p w14:paraId="1A956880">
            <w:pPr>
              <w:pStyle w:val="6"/>
              <w:spacing w:before="146" w:line="220" w:lineRule="auto"/>
              <w:ind w:left="405"/>
              <w:rPr>
                <w:sz w:val="24"/>
                <w:szCs w:val="24"/>
              </w:rPr>
            </w:pPr>
            <w:r>
              <w:rPr>
                <w:spacing w:val="-4"/>
                <w:sz w:val="24"/>
                <w:szCs w:val="24"/>
              </w:rPr>
              <w:t>居民区</w:t>
            </w:r>
          </w:p>
        </w:tc>
      </w:tr>
      <w:tr w14:paraId="34F5F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8" w:hRule="atLeast"/>
        </w:trPr>
        <w:tc>
          <w:tcPr>
            <w:tcW w:w="695" w:type="dxa"/>
            <w:vMerge w:val="continue"/>
            <w:tcBorders>
              <w:top w:val="nil"/>
              <w:bottom w:val="nil"/>
            </w:tcBorders>
            <w:vAlign w:val="top"/>
          </w:tcPr>
          <w:p w14:paraId="46109680">
            <w:pPr>
              <w:rPr>
                <w:rFonts w:ascii="Arial"/>
                <w:sz w:val="21"/>
              </w:rPr>
            </w:pPr>
          </w:p>
        </w:tc>
        <w:tc>
          <w:tcPr>
            <w:tcW w:w="2150" w:type="dxa"/>
            <w:vMerge w:val="continue"/>
            <w:tcBorders>
              <w:top w:val="nil"/>
              <w:bottom w:val="nil"/>
            </w:tcBorders>
            <w:vAlign w:val="top"/>
          </w:tcPr>
          <w:p w14:paraId="1DF7EA15">
            <w:pPr>
              <w:rPr>
                <w:rFonts w:ascii="Arial"/>
                <w:sz w:val="21"/>
              </w:rPr>
            </w:pPr>
          </w:p>
        </w:tc>
        <w:tc>
          <w:tcPr>
            <w:tcW w:w="2608" w:type="dxa"/>
            <w:vAlign w:val="top"/>
          </w:tcPr>
          <w:p w14:paraId="6BB17ED9">
            <w:pPr>
              <w:pStyle w:val="6"/>
              <w:spacing w:before="145" w:line="219" w:lineRule="auto"/>
              <w:ind w:left="474"/>
              <w:rPr>
                <w:sz w:val="24"/>
                <w:szCs w:val="24"/>
              </w:rPr>
            </w:pPr>
            <w:r>
              <w:rPr>
                <w:spacing w:val="-2"/>
                <w:sz w:val="24"/>
                <w:szCs w:val="24"/>
              </w:rPr>
              <w:t>棋盘井第三小学</w:t>
            </w:r>
          </w:p>
        </w:tc>
        <w:tc>
          <w:tcPr>
            <w:tcW w:w="831" w:type="dxa"/>
            <w:vAlign w:val="top"/>
          </w:tcPr>
          <w:p w14:paraId="1FE4F265">
            <w:pPr>
              <w:pStyle w:val="6"/>
              <w:spacing w:before="144" w:line="223" w:lineRule="auto"/>
              <w:ind w:left="308"/>
              <w:rPr>
                <w:sz w:val="24"/>
                <w:szCs w:val="24"/>
              </w:rPr>
            </w:pPr>
            <w:r>
              <w:rPr>
                <w:sz w:val="24"/>
                <w:szCs w:val="24"/>
              </w:rPr>
              <w:t>北</w:t>
            </w:r>
          </w:p>
        </w:tc>
        <w:tc>
          <w:tcPr>
            <w:tcW w:w="735" w:type="dxa"/>
            <w:vAlign w:val="top"/>
          </w:tcPr>
          <w:p w14:paraId="2209C8AB">
            <w:pPr>
              <w:spacing w:before="186"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2.84</w:t>
            </w:r>
          </w:p>
        </w:tc>
        <w:tc>
          <w:tcPr>
            <w:tcW w:w="1517" w:type="dxa"/>
            <w:vAlign w:val="top"/>
          </w:tcPr>
          <w:p w14:paraId="10FE6555">
            <w:pPr>
              <w:pStyle w:val="6"/>
              <w:spacing w:before="144" w:line="219" w:lineRule="auto"/>
              <w:ind w:left="286"/>
              <w:rPr>
                <w:sz w:val="24"/>
                <w:szCs w:val="24"/>
              </w:rPr>
            </w:pPr>
            <w:r>
              <w:rPr>
                <w:spacing w:val="-4"/>
                <w:sz w:val="24"/>
                <w:szCs w:val="24"/>
              </w:rPr>
              <w:t>教育机构</w:t>
            </w:r>
          </w:p>
        </w:tc>
      </w:tr>
      <w:tr w14:paraId="15A6E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695" w:type="dxa"/>
            <w:vMerge w:val="continue"/>
            <w:tcBorders>
              <w:top w:val="nil"/>
              <w:bottom w:val="nil"/>
            </w:tcBorders>
            <w:vAlign w:val="top"/>
          </w:tcPr>
          <w:p w14:paraId="1DBB6B70">
            <w:pPr>
              <w:rPr>
                <w:rFonts w:ascii="Arial"/>
                <w:sz w:val="21"/>
              </w:rPr>
            </w:pPr>
          </w:p>
        </w:tc>
        <w:tc>
          <w:tcPr>
            <w:tcW w:w="2150" w:type="dxa"/>
            <w:vMerge w:val="continue"/>
            <w:tcBorders>
              <w:top w:val="nil"/>
              <w:bottom w:val="nil"/>
            </w:tcBorders>
            <w:vAlign w:val="top"/>
          </w:tcPr>
          <w:p w14:paraId="3A045328">
            <w:pPr>
              <w:rPr>
                <w:rFonts w:ascii="Arial"/>
                <w:sz w:val="21"/>
              </w:rPr>
            </w:pPr>
          </w:p>
        </w:tc>
        <w:tc>
          <w:tcPr>
            <w:tcW w:w="2608" w:type="dxa"/>
            <w:vAlign w:val="top"/>
          </w:tcPr>
          <w:p w14:paraId="61916D24">
            <w:pPr>
              <w:pStyle w:val="6"/>
              <w:spacing w:before="147" w:line="219" w:lineRule="auto"/>
              <w:ind w:left="354"/>
              <w:rPr>
                <w:sz w:val="24"/>
                <w:szCs w:val="24"/>
              </w:rPr>
            </w:pPr>
            <w:r>
              <w:rPr>
                <w:spacing w:val="-2"/>
                <w:sz w:val="24"/>
                <w:szCs w:val="24"/>
              </w:rPr>
              <w:t>棋盘井第二幼儿园</w:t>
            </w:r>
          </w:p>
        </w:tc>
        <w:tc>
          <w:tcPr>
            <w:tcW w:w="831" w:type="dxa"/>
            <w:vAlign w:val="top"/>
          </w:tcPr>
          <w:p w14:paraId="232F02A4">
            <w:pPr>
              <w:pStyle w:val="6"/>
              <w:spacing w:before="147" w:line="223" w:lineRule="auto"/>
              <w:ind w:left="308"/>
              <w:rPr>
                <w:sz w:val="24"/>
                <w:szCs w:val="24"/>
              </w:rPr>
            </w:pPr>
            <w:r>
              <w:rPr>
                <w:sz w:val="24"/>
                <w:szCs w:val="24"/>
              </w:rPr>
              <w:t>北</w:t>
            </w:r>
          </w:p>
        </w:tc>
        <w:tc>
          <w:tcPr>
            <w:tcW w:w="735" w:type="dxa"/>
            <w:vAlign w:val="top"/>
          </w:tcPr>
          <w:p w14:paraId="39F73F30">
            <w:pPr>
              <w:spacing w:before="188"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2.65</w:t>
            </w:r>
          </w:p>
        </w:tc>
        <w:tc>
          <w:tcPr>
            <w:tcW w:w="1517" w:type="dxa"/>
            <w:vAlign w:val="top"/>
          </w:tcPr>
          <w:p w14:paraId="79FB62FF">
            <w:pPr>
              <w:pStyle w:val="6"/>
              <w:spacing w:before="146" w:line="219" w:lineRule="auto"/>
              <w:ind w:left="286"/>
              <w:rPr>
                <w:sz w:val="24"/>
                <w:szCs w:val="24"/>
              </w:rPr>
            </w:pPr>
            <w:r>
              <w:rPr>
                <w:spacing w:val="-4"/>
                <w:sz w:val="24"/>
                <w:szCs w:val="24"/>
              </w:rPr>
              <w:t>教育机构</w:t>
            </w:r>
          </w:p>
        </w:tc>
      </w:tr>
      <w:tr w14:paraId="03325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95" w:type="dxa"/>
            <w:vMerge w:val="continue"/>
            <w:tcBorders>
              <w:top w:val="nil"/>
            </w:tcBorders>
            <w:vAlign w:val="top"/>
          </w:tcPr>
          <w:p w14:paraId="79763C7D">
            <w:pPr>
              <w:rPr>
                <w:rFonts w:ascii="Arial"/>
                <w:sz w:val="21"/>
              </w:rPr>
            </w:pPr>
          </w:p>
        </w:tc>
        <w:tc>
          <w:tcPr>
            <w:tcW w:w="2150" w:type="dxa"/>
            <w:vMerge w:val="continue"/>
            <w:tcBorders>
              <w:top w:val="nil"/>
            </w:tcBorders>
            <w:vAlign w:val="top"/>
          </w:tcPr>
          <w:p w14:paraId="0855E3B9">
            <w:pPr>
              <w:rPr>
                <w:rFonts w:ascii="Arial"/>
                <w:sz w:val="21"/>
              </w:rPr>
            </w:pPr>
          </w:p>
        </w:tc>
        <w:tc>
          <w:tcPr>
            <w:tcW w:w="2608" w:type="dxa"/>
            <w:vAlign w:val="top"/>
          </w:tcPr>
          <w:p w14:paraId="7EE1F949">
            <w:pPr>
              <w:pStyle w:val="6"/>
              <w:spacing w:before="39" w:line="207" w:lineRule="auto"/>
              <w:ind w:left="815"/>
              <w:rPr>
                <w:sz w:val="24"/>
                <w:szCs w:val="24"/>
              </w:rPr>
            </w:pPr>
            <w:r>
              <w:rPr>
                <w:spacing w:val="-5"/>
                <w:sz w:val="24"/>
                <w:szCs w:val="24"/>
              </w:rPr>
              <w:t>西苑</w:t>
            </w:r>
            <w:r>
              <w:rPr>
                <w:spacing w:val="-56"/>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28"/>
                <w:sz w:val="24"/>
                <w:szCs w:val="24"/>
              </w:rPr>
              <w:t xml:space="preserve"> </w:t>
            </w:r>
            <w:r>
              <w:rPr>
                <w:spacing w:val="-5"/>
                <w:sz w:val="24"/>
                <w:szCs w:val="24"/>
              </w:rPr>
              <w:t>区</w:t>
            </w:r>
          </w:p>
        </w:tc>
        <w:tc>
          <w:tcPr>
            <w:tcW w:w="831" w:type="dxa"/>
            <w:vAlign w:val="top"/>
          </w:tcPr>
          <w:p w14:paraId="7F043B4D">
            <w:pPr>
              <w:pStyle w:val="6"/>
              <w:spacing w:before="39" w:line="207" w:lineRule="auto"/>
              <w:ind w:left="190"/>
              <w:rPr>
                <w:sz w:val="24"/>
                <w:szCs w:val="24"/>
              </w:rPr>
            </w:pPr>
            <w:r>
              <w:rPr>
                <w:spacing w:val="-8"/>
                <w:sz w:val="24"/>
                <w:szCs w:val="24"/>
              </w:rPr>
              <w:t>西北</w:t>
            </w:r>
          </w:p>
        </w:tc>
        <w:tc>
          <w:tcPr>
            <w:tcW w:w="735" w:type="dxa"/>
            <w:vAlign w:val="top"/>
          </w:tcPr>
          <w:p w14:paraId="6357B0A0">
            <w:pPr>
              <w:spacing w:before="82"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2.41</w:t>
            </w:r>
          </w:p>
        </w:tc>
        <w:tc>
          <w:tcPr>
            <w:tcW w:w="1517" w:type="dxa"/>
            <w:vAlign w:val="top"/>
          </w:tcPr>
          <w:p w14:paraId="3E181106">
            <w:pPr>
              <w:pStyle w:val="6"/>
              <w:spacing w:before="39" w:line="207" w:lineRule="auto"/>
              <w:ind w:left="405"/>
              <w:rPr>
                <w:sz w:val="24"/>
                <w:szCs w:val="24"/>
              </w:rPr>
            </w:pPr>
            <w:r>
              <w:rPr>
                <w:spacing w:val="-4"/>
                <w:sz w:val="24"/>
                <w:szCs w:val="24"/>
              </w:rPr>
              <w:t>居民区</w:t>
            </w:r>
          </w:p>
        </w:tc>
      </w:tr>
    </w:tbl>
    <w:p w14:paraId="69D34619">
      <w:pPr>
        <w:pStyle w:val="2"/>
      </w:pPr>
    </w:p>
    <w:p w14:paraId="3E4185CE">
      <w:pPr>
        <w:sectPr>
          <w:footerReference r:id="rId104" w:type="default"/>
          <w:pgSz w:w="11906" w:h="16839"/>
          <w:pgMar w:top="400" w:right="1682" w:bottom="1259" w:left="1682" w:header="0" w:footer="1097" w:gutter="0"/>
          <w:cols w:space="720" w:num="1"/>
        </w:sectPr>
      </w:pPr>
    </w:p>
    <w:p w14:paraId="0D76C5D5">
      <w:pPr>
        <w:spacing w:before="19"/>
      </w:pPr>
    </w:p>
    <w:p w14:paraId="3B037269">
      <w:pPr>
        <w:spacing w:before="19"/>
      </w:pPr>
    </w:p>
    <w:p w14:paraId="4DCB1A7F">
      <w:pPr>
        <w:spacing w:before="18"/>
      </w:pPr>
    </w:p>
    <w:p w14:paraId="0F512660">
      <w:pPr>
        <w:spacing w:before="18"/>
      </w:pPr>
    </w:p>
    <w:tbl>
      <w:tblPr>
        <w:tblStyle w:val="5"/>
        <w:tblW w:w="8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2150"/>
        <w:gridCol w:w="2608"/>
        <w:gridCol w:w="831"/>
        <w:gridCol w:w="735"/>
        <w:gridCol w:w="1517"/>
      </w:tblGrid>
      <w:tr w14:paraId="64EFA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695" w:type="dxa"/>
            <w:vMerge w:val="restart"/>
            <w:tcBorders>
              <w:bottom w:val="nil"/>
            </w:tcBorders>
            <w:vAlign w:val="top"/>
          </w:tcPr>
          <w:p w14:paraId="1A592317">
            <w:pPr>
              <w:rPr>
                <w:rFonts w:ascii="Arial"/>
                <w:sz w:val="21"/>
              </w:rPr>
            </w:pPr>
          </w:p>
        </w:tc>
        <w:tc>
          <w:tcPr>
            <w:tcW w:w="2150" w:type="dxa"/>
            <w:vMerge w:val="restart"/>
            <w:tcBorders>
              <w:bottom w:val="nil"/>
            </w:tcBorders>
            <w:vAlign w:val="top"/>
          </w:tcPr>
          <w:p w14:paraId="76049EEC">
            <w:pPr>
              <w:rPr>
                <w:rFonts w:ascii="Arial"/>
                <w:sz w:val="21"/>
              </w:rPr>
            </w:pPr>
          </w:p>
        </w:tc>
        <w:tc>
          <w:tcPr>
            <w:tcW w:w="2608" w:type="dxa"/>
            <w:vAlign w:val="top"/>
          </w:tcPr>
          <w:p w14:paraId="5C24CC22">
            <w:pPr>
              <w:pStyle w:val="6"/>
              <w:spacing w:before="41" w:line="206" w:lineRule="auto"/>
              <w:ind w:left="837"/>
              <w:rPr>
                <w:sz w:val="24"/>
                <w:szCs w:val="24"/>
              </w:rPr>
            </w:pPr>
            <w:r>
              <w:rPr>
                <w:spacing w:val="-4"/>
                <w:sz w:val="24"/>
                <w:szCs w:val="24"/>
              </w:rPr>
              <w:t>西苑家园</w:t>
            </w:r>
          </w:p>
        </w:tc>
        <w:tc>
          <w:tcPr>
            <w:tcW w:w="831" w:type="dxa"/>
            <w:vAlign w:val="top"/>
          </w:tcPr>
          <w:p w14:paraId="636069B1">
            <w:pPr>
              <w:pStyle w:val="6"/>
              <w:spacing w:before="41" w:line="206" w:lineRule="auto"/>
              <w:ind w:left="190"/>
              <w:rPr>
                <w:sz w:val="24"/>
                <w:szCs w:val="24"/>
              </w:rPr>
            </w:pPr>
            <w:r>
              <w:rPr>
                <w:spacing w:val="-8"/>
                <w:sz w:val="24"/>
                <w:szCs w:val="24"/>
              </w:rPr>
              <w:t>西北</w:t>
            </w:r>
          </w:p>
        </w:tc>
        <w:tc>
          <w:tcPr>
            <w:tcW w:w="735" w:type="dxa"/>
            <w:vAlign w:val="top"/>
          </w:tcPr>
          <w:p w14:paraId="1C5E456E">
            <w:pPr>
              <w:spacing w:before="81"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w:t>
            </w:r>
          </w:p>
        </w:tc>
        <w:tc>
          <w:tcPr>
            <w:tcW w:w="1517" w:type="dxa"/>
            <w:vAlign w:val="top"/>
          </w:tcPr>
          <w:p w14:paraId="5CF78229">
            <w:pPr>
              <w:pStyle w:val="6"/>
              <w:spacing w:before="41" w:line="206" w:lineRule="auto"/>
              <w:ind w:left="405"/>
              <w:rPr>
                <w:sz w:val="24"/>
                <w:szCs w:val="24"/>
              </w:rPr>
            </w:pPr>
            <w:r>
              <w:rPr>
                <w:spacing w:val="-4"/>
                <w:sz w:val="24"/>
                <w:szCs w:val="24"/>
              </w:rPr>
              <w:t>居民区</w:t>
            </w:r>
          </w:p>
        </w:tc>
      </w:tr>
      <w:tr w14:paraId="31F4B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5" w:type="dxa"/>
            <w:vMerge w:val="continue"/>
            <w:tcBorders>
              <w:top w:val="nil"/>
            </w:tcBorders>
            <w:vAlign w:val="top"/>
          </w:tcPr>
          <w:p w14:paraId="1B7A180B">
            <w:pPr>
              <w:rPr>
                <w:rFonts w:ascii="Arial"/>
                <w:sz w:val="21"/>
              </w:rPr>
            </w:pPr>
          </w:p>
        </w:tc>
        <w:tc>
          <w:tcPr>
            <w:tcW w:w="2150" w:type="dxa"/>
            <w:vMerge w:val="continue"/>
            <w:tcBorders>
              <w:top w:val="nil"/>
            </w:tcBorders>
            <w:vAlign w:val="top"/>
          </w:tcPr>
          <w:p w14:paraId="0AAAFB55">
            <w:pPr>
              <w:rPr>
                <w:rFonts w:ascii="Arial"/>
                <w:sz w:val="21"/>
              </w:rPr>
            </w:pPr>
          </w:p>
        </w:tc>
        <w:tc>
          <w:tcPr>
            <w:tcW w:w="2608" w:type="dxa"/>
            <w:vAlign w:val="top"/>
          </w:tcPr>
          <w:p w14:paraId="4B747BAF">
            <w:pPr>
              <w:pStyle w:val="6"/>
              <w:spacing w:before="36" w:line="207" w:lineRule="auto"/>
              <w:ind w:left="117"/>
              <w:rPr>
                <w:sz w:val="24"/>
                <w:szCs w:val="24"/>
              </w:rPr>
            </w:pPr>
            <w:r>
              <w:rPr>
                <w:spacing w:val="-2"/>
                <w:sz w:val="24"/>
                <w:szCs w:val="24"/>
              </w:rPr>
              <w:t>西鄂尔多斯自然保护区</w:t>
            </w:r>
          </w:p>
        </w:tc>
        <w:tc>
          <w:tcPr>
            <w:tcW w:w="831" w:type="dxa"/>
            <w:vAlign w:val="top"/>
          </w:tcPr>
          <w:p w14:paraId="0F4DC616">
            <w:pPr>
              <w:pStyle w:val="6"/>
              <w:spacing w:before="36" w:line="207" w:lineRule="auto"/>
              <w:ind w:left="307"/>
              <w:rPr>
                <w:sz w:val="24"/>
                <w:szCs w:val="24"/>
              </w:rPr>
            </w:pPr>
            <w:r>
              <w:rPr>
                <w:sz w:val="24"/>
                <w:szCs w:val="24"/>
              </w:rPr>
              <w:t>南</w:t>
            </w:r>
          </w:p>
        </w:tc>
        <w:tc>
          <w:tcPr>
            <w:tcW w:w="735" w:type="dxa"/>
            <w:vAlign w:val="top"/>
          </w:tcPr>
          <w:p w14:paraId="3EEB7EDC">
            <w:pPr>
              <w:spacing w:before="78" w:line="188"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1.85</w:t>
            </w:r>
          </w:p>
        </w:tc>
        <w:tc>
          <w:tcPr>
            <w:tcW w:w="1517" w:type="dxa"/>
            <w:vAlign w:val="top"/>
          </w:tcPr>
          <w:p w14:paraId="5FFF7F69">
            <w:pPr>
              <w:pStyle w:val="6"/>
              <w:spacing w:before="36" w:line="207" w:lineRule="auto"/>
              <w:ind w:left="203"/>
              <w:rPr>
                <w:sz w:val="24"/>
                <w:szCs w:val="24"/>
              </w:rPr>
            </w:pPr>
            <w:r>
              <w:rPr>
                <w:spacing w:val="-10"/>
                <w:sz w:val="24"/>
                <w:szCs w:val="24"/>
              </w:rPr>
              <w:t>自然保护区</w:t>
            </w:r>
          </w:p>
        </w:tc>
      </w:tr>
      <w:tr w14:paraId="78B2E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695" w:type="dxa"/>
            <w:vAlign w:val="top"/>
          </w:tcPr>
          <w:p w14:paraId="667D0F6C">
            <w:pPr>
              <w:pStyle w:val="6"/>
              <w:spacing w:before="37" w:line="221" w:lineRule="auto"/>
              <w:ind w:left="114"/>
              <w:rPr>
                <w:sz w:val="24"/>
                <w:szCs w:val="24"/>
              </w:rPr>
            </w:pPr>
            <w:r>
              <w:rPr>
                <w:spacing w:val="-5"/>
                <w:sz w:val="24"/>
                <w:szCs w:val="24"/>
              </w:rPr>
              <w:t>地下</w:t>
            </w:r>
          </w:p>
          <w:p w14:paraId="58FB45F6">
            <w:pPr>
              <w:pStyle w:val="6"/>
              <w:spacing w:before="25" w:line="223" w:lineRule="auto"/>
              <w:ind w:left="235" w:right="104" w:hanging="118"/>
              <w:rPr>
                <w:sz w:val="24"/>
                <w:szCs w:val="24"/>
              </w:rPr>
            </w:pPr>
            <w:r>
              <w:rPr>
                <w:spacing w:val="-7"/>
                <w:sz w:val="24"/>
                <w:szCs w:val="24"/>
              </w:rPr>
              <w:t>水环</w:t>
            </w:r>
            <w:r>
              <w:rPr>
                <w:sz w:val="24"/>
                <w:szCs w:val="24"/>
              </w:rPr>
              <w:t xml:space="preserve"> 境</w:t>
            </w:r>
          </w:p>
        </w:tc>
        <w:tc>
          <w:tcPr>
            <w:tcW w:w="2150" w:type="dxa"/>
            <w:vAlign w:val="top"/>
          </w:tcPr>
          <w:p w14:paraId="2C248DC5">
            <w:pPr>
              <w:pStyle w:val="6"/>
              <w:spacing w:before="38" w:line="219" w:lineRule="auto"/>
              <w:jc w:val="right"/>
              <w:rPr>
                <w:sz w:val="24"/>
                <w:szCs w:val="24"/>
              </w:rPr>
            </w:pPr>
            <w:r>
              <w:rPr>
                <w:spacing w:val="-7"/>
                <w:sz w:val="24"/>
                <w:szCs w:val="24"/>
              </w:rPr>
              <w:t>厂界东外扩</w:t>
            </w:r>
            <w:r>
              <w:rPr>
                <w:spacing w:val="-30"/>
                <w:sz w:val="24"/>
                <w:szCs w:val="24"/>
              </w:rPr>
              <w:t xml:space="preserve"> </w:t>
            </w:r>
            <w:r>
              <w:rPr>
                <w:rFonts w:ascii="Times New Roman" w:hAnsi="Times New Roman" w:eastAsia="Times New Roman" w:cs="Times New Roman"/>
                <w:spacing w:val="-7"/>
                <w:sz w:val="24"/>
                <w:szCs w:val="24"/>
              </w:rPr>
              <w:t>1km</w:t>
            </w:r>
            <w:r>
              <w:rPr>
                <w:spacing w:val="-7"/>
                <w:sz w:val="24"/>
                <w:szCs w:val="24"/>
              </w:rPr>
              <w:t>，西</w:t>
            </w:r>
          </w:p>
          <w:p w14:paraId="1ECDC4FE">
            <w:pPr>
              <w:pStyle w:val="6"/>
              <w:spacing w:before="26" w:line="220" w:lineRule="auto"/>
              <w:ind w:left="15"/>
              <w:rPr>
                <w:sz w:val="24"/>
                <w:szCs w:val="24"/>
              </w:rPr>
            </w:pPr>
            <w:r>
              <w:rPr>
                <w:spacing w:val="-5"/>
                <w:sz w:val="24"/>
                <w:szCs w:val="24"/>
              </w:rPr>
              <w:t>外扩</w:t>
            </w:r>
            <w:r>
              <w:rPr>
                <w:spacing w:val="-52"/>
                <w:sz w:val="24"/>
                <w:szCs w:val="24"/>
              </w:rPr>
              <w:t xml:space="preserve"> </w:t>
            </w:r>
            <w:r>
              <w:rPr>
                <w:rFonts w:ascii="Times New Roman" w:hAnsi="Times New Roman" w:eastAsia="Times New Roman" w:cs="Times New Roman"/>
                <w:spacing w:val="-5"/>
                <w:sz w:val="24"/>
                <w:szCs w:val="24"/>
              </w:rPr>
              <w:t>2km</w:t>
            </w:r>
            <w:r>
              <w:rPr>
                <w:spacing w:val="-5"/>
                <w:sz w:val="24"/>
                <w:szCs w:val="24"/>
              </w:rPr>
              <w:t>，南北方向</w:t>
            </w:r>
          </w:p>
          <w:p w14:paraId="50D4E9EF">
            <w:pPr>
              <w:pStyle w:val="6"/>
              <w:spacing w:before="23" w:line="208" w:lineRule="auto"/>
              <w:ind w:left="600"/>
              <w:rPr>
                <w:rFonts w:ascii="Times New Roman" w:hAnsi="Times New Roman" w:eastAsia="Times New Roman" w:cs="Times New Roman"/>
                <w:sz w:val="24"/>
                <w:szCs w:val="24"/>
              </w:rPr>
            </w:pPr>
            <w:r>
              <w:rPr>
                <w:spacing w:val="-9"/>
                <w:sz w:val="24"/>
                <w:szCs w:val="24"/>
              </w:rPr>
              <w:t>外扩</w:t>
            </w:r>
            <w:r>
              <w:rPr>
                <w:spacing w:val="-29"/>
                <w:sz w:val="24"/>
                <w:szCs w:val="24"/>
              </w:rPr>
              <w:t xml:space="preserve"> </w:t>
            </w:r>
            <w:r>
              <w:rPr>
                <w:rFonts w:ascii="Times New Roman" w:hAnsi="Times New Roman" w:eastAsia="Times New Roman" w:cs="Times New Roman"/>
                <w:spacing w:val="-9"/>
                <w:sz w:val="24"/>
                <w:szCs w:val="24"/>
              </w:rPr>
              <w:t>1km</w:t>
            </w:r>
          </w:p>
        </w:tc>
        <w:tc>
          <w:tcPr>
            <w:tcW w:w="5691" w:type="dxa"/>
            <w:gridSpan w:val="4"/>
            <w:vAlign w:val="top"/>
          </w:tcPr>
          <w:p w14:paraId="71156F9A">
            <w:pPr>
              <w:pStyle w:val="6"/>
              <w:spacing w:before="193" w:line="218" w:lineRule="auto"/>
              <w:ind w:left="88"/>
              <w:rPr>
                <w:sz w:val="24"/>
                <w:szCs w:val="24"/>
              </w:rPr>
            </w:pPr>
            <w:r>
              <w:rPr>
                <w:spacing w:val="-1"/>
                <w:sz w:val="24"/>
                <w:szCs w:val="24"/>
              </w:rPr>
              <w:t>评价范围内无集中式饮用水水源和分散式饮用水水源</w:t>
            </w:r>
          </w:p>
          <w:p w14:paraId="7BE0C8FC">
            <w:pPr>
              <w:pStyle w:val="6"/>
              <w:spacing w:before="26" w:line="219" w:lineRule="auto"/>
              <w:ind w:left="1649"/>
              <w:rPr>
                <w:sz w:val="24"/>
                <w:szCs w:val="24"/>
              </w:rPr>
            </w:pPr>
            <w:r>
              <w:rPr>
                <w:spacing w:val="-1"/>
                <w:sz w:val="24"/>
                <w:szCs w:val="24"/>
              </w:rPr>
              <w:t>地等地下水环境敏感区</w:t>
            </w:r>
          </w:p>
        </w:tc>
      </w:tr>
    </w:tbl>
    <w:p w14:paraId="7183802D">
      <w:pPr>
        <w:spacing w:before="156" w:line="5870" w:lineRule="exact"/>
        <w:ind w:firstLine="117"/>
      </w:pPr>
      <w:r>
        <w:rPr>
          <w:position w:val="-117"/>
        </w:rPr>
        <w:drawing>
          <wp:inline distT="0" distB="0" distL="0" distR="0">
            <wp:extent cx="5273040" cy="372745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80"/>
                    <a:stretch>
                      <a:fillRect/>
                    </a:stretch>
                  </pic:blipFill>
                  <pic:spPr>
                    <a:xfrm>
                      <a:off x="0" y="0"/>
                      <a:ext cx="5273040" cy="3727704"/>
                    </a:xfrm>
                    <a:prstGeom prst="rect">
                      <a:avLst/>
                    </a:prstGeom>
                  </pic:spPr>
                </pic:pic>
              </a:graphicData>
            </a:graphic>
          </wp:inline>
        </w:drawing>
      </w:r>
    </w:p>
    <w:p w14:paraId="2373197C">
      <w:pPr>
        <w:spacing w:before="173" w:line="218" w:lineRule="auto"/>
        <w:ind w:left="2185"/>
        <w:rPr>
          <w:rFonts w:ascii="宋体" w:hAnsi="宋体" w:eastAsia="宋体" w:cs="宋体"/>
          <w:sz w:val="24"/>
          <w:szCs w:val="24"/>
        </w:rPr>
      </w:pPr>
      <w:r>
        <w:rPr>
          <w:rFonts w:ascii="宋体" w:hAnsi="宋体" w:eastAsia="宋体" w:cs="宋体"/>
          <w:b/>
          <w:bCs/>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 xml:space="preserve">4-1    </w:t>
      </w:r>
      <w:r>
        <w:rPr>
          <w:rFonts w:ascii="宋体" w:hAnsi="宋体" w:eastAsia="宋体" w:cs="宋体"/>
          <w:b/>
          <w:bCs/>
          <w:spacing w:val="-3"/>
          <w:sz w:val="24"/>
          <w:szCs w:val="24"/>
        </w:rPr>
        <w:t>评价范围内环境敏感目标示意图</w:t>
      </w:r>
    </w:p>
    <w:p w14:paraId="39D7C6FE">
      <w:pPr>
        <w:spacing w:before="196" w:line="227" w:lineRule="auto"/>
        <w:ind w:left="133"/>
        <w:outlineLvl w:val="0"/>
        <w:rPr>
          <w:rFonts w:ascii="黑体" w:hAnsi="黑体" w:eastAsia="黑体" w:cs="黑体"/>
          <w:sz w:val="31"/>
          <w:szCs w:val="31"/>
        </w:rPr>
      </w:pPr>
      <w:bookmarkStart w:id="13" w:name="bookmark14"/>
      <w:bookmarkEnd w:id="13"/>
      <w:r>
        <w:rPr>
          <w:rFonts w:ascii="Times New Roman" w:hAnsi="Times New Roman" w:eastAsia="Times New Roman" w:cs="Times New Roman"/>
          <w:spacing w:val="6"/>
          <w:sz w:val="31"/>
          <w:szCs w:val="31"/>
        </w:rPr>
        <w:t xml:space="preserve">5 </w:t>
      </w:r>
      <w:r>
        <w:rPr>
          <w:rFonts w:ascii="黑体" w:hAnsi="黑体" w:eastAsia="黑体" w:cs="黑体"/>
          <w:spacing w:val="6"/>
          <w:sz w:val="31"/>
          <w:szCs w:val="31"/>
        </w:rPr>
        <w:t>环境风险识别</w:t>
      </w:r>
    </w:p>
    <w:p w14:paraId="20F09501">
      <w:pPr>
        <w:spacing w:before="235" w:line="359" w:lineRule="auto"/>
        <w:ind w:left="128" w:right="117" w:firstLine="559"/>
        <w:jc w:val="both"/>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w:t>
      </w:r>
      <w:r>
        <w:rPr>
          <w:rFonts w:ascii="Times New Roman" w:hAnsi="Times New Roman" w:eastAsia="Times New Roman" w:cs="Times New Roman"/>
          <w:spacing w:val="-3"/>
          <w:sz w:val="28"/>
          <w:szCs w:val="28"/>
        </w:rPr>
        <w:t>2018</w:t>
      </w:r>
      <w:r>
        <w:rPr>
          <w:rFonts w:ascii="宋体" w:hAnsi="宋体" w:eastAsia="宋体" w:cs="宋体"/>
          <w:spacing w:val="-11"/>
          <w:sz w:val="28"/>
          <w:szCs w:val="28"/>
        </w:rPr>
        <w:t>），</w:t>
      </w:r>
      <w:r>
        <w:rPr>
          <w:rFonts w:ascii="宋体" w:hAnsi="宋体" w:eastAsia="宋体" w:cs="宋体"/>
          <w:spacing w:val="-3"/>
          <w:sz w:val="28"/>
          <w:szCs w:val="28"/>
        </w:rPr>
        <w:t>风险</w:t>
      </w:r>
      <w:r>
        <w:rPr>
          <w:rFonts w:ascii="宋体" w:hAnsi="宋体" w:eastAsia="宋体" w:cs="宋体"/>
          <w:spacing w:val="1"/>
          <w:sz w:val="28"/>
          <w:szCs w:val="28"/>
        </w:rPr>
        <w:t xml:space="preserve"> </w:t>
      </w:r>
      <w:r>
        <w:rPr>
          <w:rFonts w:ascii="宋体" w:hAnsi="宋体" w:eastAsia="宋体" w:cs="宋体"/>
          <w:spacing w:val="-4"/>
          <w:sz w:val="28"/>
          <w:szCs w:val="28"/>
        </w:rPr>
        <w:t>识别的内容包括物质危险性识别、生产系统危险性识别和危险物质向</w:t>
      </w:r>
      <w:r>
        <w:rPr>
          <w:rFonts w:ascii="宋体" w:hAnsi="宋体" w:eastAsia="宋体" w:cs="宋体"/>
          <w:spacing w:val="14"/>
          <w:sz w:val="28"/>
          <w:szCs w:val="28"/>
        </w:rPr>
        <w:t xml:space="preserve"> </w:t>
      </w:r>
      <w:r>
        <w:rPr>
          <w:rFonts w:ascii="宋体" w:hAnsi="宋体" w:eastAsia="宋体" w:cs="宋体"/>
          <w:spacing w:val="-2"/>
          <w:sz w:val="28"/>
          <w:szCs w:val="28"/>
        </w:rPr>
        <w:t>环境转移的途径识别。</w:t>
      </w:r>
    </w:p>
    <w:p w14:paraId="5A1ECA95">
      <w:pPr>
        <w:spacing w:before="1" w:line="359" w:lineRule="auto"/>
        <w:ind w:left="133" w:right="117" w:firstLine="554"/>
        <w:rPr>
          <w:rFonts w:ascii="宋体" w:hAnsi="宋体" w:eastAsia="宋体" w:cs="宋体"/>
          <w:sz w:val="28"/>
          <w:szCs w:val="28"/>
        </w:rPr>
      </w:pPr>
      <w:r>
        <w:rPr>
          <w:rFonts w:ascii="宋体" w:hAnsi="宋体" w:eastAsia="宋体" w:cs="宋体"/>
          <w:spacing w:val="-4"/>
          <w:sz w:val="28"/>
          <w:szCs w:val="28"/>
        </w:rPr>
        <w:t>物质风险识别包括主要原辅材料、燃料、中间产品、副产品、最</w:t>
      </w:r>
      <w:r>
        <w:rPr>
          <w:rFonts w:ascii="宋体" w:hAnsi="宋体" w:eastAsia="宋体" w:cs="宋体"/>
          <w:spacing w:val="7"/>
          <w:sz w:val="28"/>
          <w:szCs w:val="28"/>
        </w:rPr>
        <w:t xml:space="preserve"> </w:t>
      </w:r>
      <w:r>
        <w:rPr>
          <w:rFonts w:ascii="宋体" w:hAnsi="宋体" w:eastAsia="宋体" w:cs="宋体"/>
          <w:spacing w:val="-1"/>
          <w:sz w:val="28"/>
          <w:szCs w:val="28"/>
        </w:rPr>
        <w:t>终产品、污染物、火灾和爆炸伴生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次生物等。</w:t>
      </w:r>
    </w:p>
    <w:p w14:paraId="3B6F7DDA">
      <w:pPr>
        <w:spacing w:line="359" w:lineRule="auto"/>
        <w:ind w:left="131" w:right="117" w:firstLine="559"/>
        <w:rPr>
          <w:rFonts w:ascii="宋体" w:hAnsi="宋体" w:eastAsia="宋体" w:cs="宋体"/>
          <w:sz w:val="28"/>
          <w:szCs w:val="28"/>
        </w:rPr>
      </w:pPr>
      <w:r>
        <w:rPr>
          <w:rFonts w:ascii="宋体" w:hAnsi="宋体" w:eastAsia="宋体" w:cs="宋体"/>
          <w:spacing w:val="-4"/>
          <w:sz w:val="28"/>
          <w:szCs w:val="28"/>
        </w:rPr>
        <w:t>生产系统危险性识别包括主要生产装置、储运设施、公用工程和</w:t>
      </w:r>
      <w:r>
        <w:rPr>
          <w:rFonts w:ascii="宋体" w:hAnsi="宋体" w:eastAsia="宋体" w:cs="宋体"/>
          <w:spacing w:val="5"/>
          <w:sz w:val="28"/>
          <w:szCs w:val="28"/>
        </w:rPr>
        <w:t xml:space="preserve"> </w:t>
      </w:r>
      <w:r>
        <w:rPr>
          <w:rFonts w:ascii="宋体" w:hAnsi="宋体" w:eastAsia="宋体" w:cs="宋体"/>
          <w:spacing w:val="-1"/>
          <w:sz w:val="28"/>
          <w:szCs w:val="28"/>
        </w:rPr>
        <w:t>辅助生产设施，以及环境保护设施等。</w:t>
      </w:r>
    </w:p>
    <w:p w14:paraId="0FAC17E8">
      <w:pPr>
        <w:spacing w:before="1" w:line="361" w:lineRule="auto"/>
        <w:ind w:left="151" w:right="117" w:firstLine="539"/>
        <w:rPr>
          <w:rFonts w:ascii="宋体" w:hAnsi="宋体" w:eastAsia="宋体" w:cs="宋体"/>
          <w:sz w:val="28"/>
          <w:szCs w:val="28"/>
        </w:rPr>
      </w:pPr>
      <w:r>
        <w:rPr>
          <w:rFonts w:ascii="宋体" w:hAnsi="宋体" w:eastAsia="宋体" w:cs="宋体"/>
          <w:spacing w:val="-4"/>
          <w:sz w:val="28"/>
          <w:szCs w:val="28"/>
        </w:rPr>
        <w:t>危险物质向环境转移的途径识别，包括分析危险物质特性及可能</w:t>
      </w:r>
      <w:r>
        <w:rPr>
          <w:rFonts w:ascii="宋体" w:hAnsi="宋体" w:eastAsia="宋体" w:cs="宋体"/>
          <w:spacing w:val="4"/>
          <w:sz w:val="28"/>
          <w:szCs w:val="28"/>
        </w:rPr>
        <w:t xml:space="preserve"> </w:t>
      </w:r>
      <w:r>
        <w:rPr>
          <w:rFonts w:ascii="宋体" w:hAnsi="宋体" w:eastAsia="宋体" w:cs="宋体"/>
          <w:spacing w:val="-4"/>
          <w:sz w:val="28"/>
          <w:szCs w:val="28"/>
        </w:rPr>
        <w:t>的环境风险类型，识别危险物质影响环境的途径</w:t>
      </w:r>
      <w:r>
        <w:rPr>
          <w:rFonts w:ascii="宋体" w:hAnsi="宋体" w:eastAsia="宋体" w:cs="宋体"/>
          <w:spacing w:val="-5"/>
          <w:sz w:val="28"/>
          <w:szCs w:val="28"/>
        </w:rPr>
        <w:t>，分析可能影响的环</w:t>
      </w:r>
    </w:p>
    <w:p w14:paraId="137D9C97">
      <w:pPr>
        <w:spacing w:line="361" w:lineRule="auto"/>
        <w:rPr>
          <w:rFonts w:ascii="宋体" w:hAnsi="宋体" w:eastAsia="宋体" w:cs="宋体"/>
          <w:sz w:val="28"/>
          <w:szCs w:val="28"/>
        </w:rPr>
        <w:sectPr>
          <w:footerReference r:id="rId105" w:type="default"/>
          <w:pgSz w:w="11906" w:h="16839"/>
          <w:pgMar w:top="400" w:right="1682" w:bottom="1259" w:left="1682" w:header="0" w:footer="1097" w:gutter="0"/>
          <w:cols w:space="720" w:num="1"/>
        </w:sectPr>
      </w:pPr>
    </w:p>
    <w:p w14:paraId="6FA90EFC">
      <w:pPr>
        <w:pStyle w:val="2"/>
        <w:spacing w:line="245" w:lineRule="auto"/>
      </w:pPr>
    </w:p>
    <w:p w14:paraId="710FB1D0">
      <w:pPr>
        <w:pStyle w:val="2"/>
        <w:spacing w:line="246" w:lineRule="auto"/>
      </w:pPr>
    </w:p>
    <w:p w14:paraId="6F895CBC">
      <w:pPr>
        <w:pStyle w:val="2"/>
        <w:spacing w:line="246" w:lineRule="auto"/>
      </w:pPr>
    </w:p>
    <w:p w14:paraId="114B814B">
      <w:pPr>
        <w:pStyle w:val="2"/>
        <w:spacing w:line="246" w:lineRule="auto"/>
      </w:pPr>
    </w:p>
    <w:p w14:paraId="334407A0">
      <w:pPr>
        <w:spacing w:before="91" w:line="220" w:lineRule="auto"/>
        <w:ind w:left="26"/>
        <w:rPr>
          <w:rFonts w:ascii="宋体" w:hAnsi="宋体" w:eastAsia="宋体" w:cs="宋体"/>
          <w:sz w:val="28"/>
          <w:szCs w:val="28"/>
        </w:rPr>
      </w:pPr>
      <w:r>
        <w:rPr>
          <w:rFonts w:ascii="宋体" w:hAnsi="宋体" w:eastAsia="宋体" w:cs="宋体"/>
          <w:spacing w:val="-2"/>
          <w:sz w:val="28"/>
          <w:szCs w:val="28"/>
        </w:rPr>
        <w:t>境敏感目标。</w:t>
      </w:r>
    </w:p>
    <w:p w14:paraId="314E4988">
      <w:pPr>
        <w:spacing w:before="210" w:line="221" w:lineRule="auto"/>
        <w:ind w:left="23"/>
        <w:outlineLvl w:val="1"/>
        <w:rPr>
          <w:rFonts w:ascii="宋体" w:hAnsi="宋体" w:eastAsia="宋体" w:cs="宋体"/>
          <w:sz w:val="28"/>
          <w:szCs w:val="28"/>
        </w:rPr>
      </w:pPr>
      <w:bookmarkStart w:id="14" w:name="bookmark15"/>
      <w:bookmarkEnd w:id="14"/>
      <w:r>
        <w:rPr>
          <w:rFonts w:ascii="Times New Roman" w:hAnsi="Times New Roman" w:eastAsia="Times New Roman" w:cs="Times New Roman"/>
          <w:b/>
          <w:bCs/>
          <w:spacing w:val="-2"/>
          <w:sz w:val="28"/>
          <w:szCs w:val="28"/>
        </w:rPr>
        <w:t xml:space="preserve">5.1 </w:t>
      </w:r>
      <w:r>
        <w:rPr>
          <w:rFonts w:ascii="宋体" w:hAnsi="宋体" w:eastAsia="宋体" w:cs="宋体"/>
          <w:b/>
          <w:bCs/>
          <w:spacing w:val="-2"/>
          <w:sz w:val="28"/>
          <w:szCs w:val="28"/>
        </w:rPr>
        <w:t>物质风险识别</w:t>
      </w:r>
    </w:p>
    <w:p w14:paraId="10FB85F2">
      <w:pPr>
        <w:spacing w:before="206" w:line="359" w:lineRule="auto"/>
        <w:ind w:left="26" w:right="13" w:firstLine="558"/>
        <w:jc w:val="both"/>
        <w:rPr>
          <w:rFonts w:ascii="宋体" w:hAnsi="宋体" w:eastAsia="宋体" w:cs="宋体"/>
          <w:sz w:val="28"/>
          <w:szCs w:val="28"/>
        </w:rPr>
      </w:pPr>
      <w:r>
        <w:rPr>
          <w:rFonts w:ascii="宋体" w:hAnsi="宋体" w:eastAsia="宋体" w:cs="宋体"/>
          <w:spacing w:val="-14"/>
          <w:sz w:val="28"/>
          <w:szCs w:val="28"/>
        </w:rPr>
        <w:t>物</w:t>
      </w:r>
      <w:r>
        <w:rPr>
          <w:rFonts w:ascii="宋体" w:hAnsi="宋体" w:eastAsia="宋体" w:cs="宋体"/>
          <w:spacing w:val="-70"/>
          <w:sz w:val="28"/>
          <w:szCs w:val="28"/>
        </w:rPr>
        <w:t xml:space="preserve"> </w:t>
      </w:r>
      <w:r>
        <w:rPr>
          <w:rFonts w:ascii="宋体" w:hAnsi="宋体" w:eastAsia="宋体" w:cs="宋体"/>
          <w:spacing w:val="-14"/>
          <w:sz w:val="28"/>
          <w:szCs w:val="28"/>
        </w:rPr>
        <w:t>质风</w:t>
      </w:r>
      <w:r>
        <w:rPr>
          <w:rFonts w:ascii="宋体" w:hAnsi="宋体" w:eastAsia="宋体" w:cs="宋体"/>
          <w:spacing w:val="-56"/>
          <w:sz w:val="28"/>
          <w:szCs w:val="28"/>
        </w:rPr>
        <w:t xml:space="preserve"> </w:t>
      </w:r>
      <w:r>
        <w:rPr>
          <w:rFonts w:ascii="宋体" w:hAnsi="宋体" w:eastAsia="宋体" w:cs="宋体"/>
          <w:spacing w:val="-14"/>
          <w:sz w:val="28"/>
          <w:szCs w:val="28"/>
        </w:rPr>
        <w:t>险</w:t>
      </w:r>
      <w:r>
        <w:rPr>
          <w:rFonts w:ascii="宋体" w:hAnsi="宋体" w:eastAsia="宋体" w:cs="宋体"/>
          <w:spacing w:val="-67"/>
          <w:sz w:val="28"/>
          <w:szCs w:val="28"/>
        </w:rPr>
        <w:t xml:space="preserve"> </w:t>
      </w:r>
      <w:r>
        <w:rPr>
          <w:rFonts w:ascii="宋体" w:hAnsi="宋体" w:eastAsia="宋体" w:cs="宋体"/>
          <w:spacing w:val="-14"/>
          <w:sz w:val="28"/>
          <w:szCs w:val="28"/>
        </w:rPr>
        <w:t>识</w:t>
      </w:r>
      <w:r>
        <w:rPr>
          <w:rFonts w:ascii="宋体" w:hAnsi="宋体" w:eastAsia="宋体" w:cs="宋体"/>
          <w:spacing w:val="-68"/>
          <w:sz w:val="28"/>
          <w:szCs w:val="28"/>
        </w:rPr>
        <w:t xml:space="preserve"> </w:t>
      </w:r>
      <w:r>
        <w:rPr>
          <w:rFonts w:ascii="宋体" w:hAnsi="宋体" w:eastAsia="宋体" w:cs="宋体"/>
          <w:spacing w:val="-14"/>
          <w:sz w:val="28"/>
          <w:szCs w:val="28"/>
        </w:rPr>
        <w:t>别</w:t>
      </w:r>
      <w:r>
        <w:rPr>
          <w:rFonts w:ascii="宋体" w:hAnsi="宋体" w:eastAsia="宋体" w:cs="宋体"/>
          <w:spacing w:val="-69"/>
          <w:sz w:val="28"/>
          <w:szCs w:val="28"/>
        </w:rPr>
        <w:t xml:space="preserve"> </w:t>
      </w:r>
      <w:r>
        <w:rPr>
          <w:rFonts w:ascii="宋体" w:hAnsi="宋体" w:eastAsia="宋体" w:cs="宋体"/>
          <w:spacing w:val="-14"/>
          <w:sz w:val="28"/>
          <w:szCs w:val="28"/>
        </w:rPr>
        <w:t>按</w:t>
      </w:r>
      <w:r>
        <w:rPr>
          <w:rFonts w:ascii="宋体" w:hAnsi="宋体" w:eastAsia="宋体" w:cs="宋体"/>
          <w:spacing w:val="-80"/>
          <w:sz w:val="28"/>
          <w:szCs w:val="28"/>
        </w:rPr>
        <w:t xml:space="preserve"> </w:t>
      </w:r>
      <w:r>
        <w:rPr>
          <w:rFonts w:ascii="宋体" w:hAnsi="宋体" w:eastAsia="宋体" w:cs="宋体"/>
          <w:spacing w:val="-14"/>
          <w:sz w:val="28"/>
          <w:szCs w:val="28"/>
        </w:rPr>
        <w:t>《</w:t>
      </w:r>
      <w:r>
        <w:rPr>
          <w:rFonts w:ascii="宋体" w:hAnsi="宋体" w:eastAsia="宋体" w:cs="宋体"/>
          <w:spacing w:val="-41"/>
          <w:sz w:val="28"/>
          <w:szCs w:val="28"/>
        </w:rPr>
        <w:t xml:space="preserve"> </w:t>
      </w:r>
      <w:r>
        <w:rPr>
          <w:rFonts w:ascii="宋体" w:hAnsi="宋体" w:eastAsia="宋体" w:cs="宋体"/>
          <w:spacing w:val="-14"/>
          <w:sz w:val="28"/>
          <w:szCs w:val="28"/>
        </w:rPr>
        <w:t>建</w:t>
      </w:r>
      <w:r>
        <w:rPr>
          <w:rFonts w:ascii="宋体" w:hAnsi="宋体" w:eastAsia="宋体" w:cs="宋体"/>
          <w:spacing w:val="-65"/>
          <w:sz w:val="28"/>
          <w:szCs w:val="28"/>
        </w:rPr>
        <w:t xml:space="preserve"> </w:t>
      </w:r>
      <w:r>
        <w:rPr>
          <w:rFonts w:ascii="宋体" w:hAnsi="宋体" w:eastAsia="宋体" w:cs="宋体"/>
          <w:spacing w:val="-14"/>
          <w:sz w:val="28"/>
          <w:szCs w:val="28"/>
        </w:rPr>
        <w:t>设</w:t>
      </w:r>
      <w:r>
        <w:rPr>
          <w:rFonts w:ascii="宋体" w:hAnsi="宋体" w:eastAsia="宋体" w:cs="宋体"/>
          <w:spacing w:val="-67"/>
          <w:sz w:val="28"/>
          <w:szCs w:val="28"/>
        </w:rPr>
        <w:t xml:space="preserve"> </w:t>
      </w:r>
      <w:r>
        <w:rPr>
          <w:rFonts w:ascii="宋体" w:hAnsi="宋体" w:eastAsia="宋体" w:cs="宋体"/>
          <w:spacing w:val="-14"/>
          <w:sz w:val="28"/>
          <w:szCs w:val="28"/>
        </w:rPr>
        <w:t>项 目</w:t>
      </w:r>
      <w:r>
        <w:rPr>
          <w:rFonts w:ascii="宋体" w:hAnsi="宋体" w:eastAsia="宋体" w:cs="宋体"/>
          <w:spacing w:val="-69"/>
          <w:sz w:val="28"/>
          <w:szCs w:val="28"/>
        </w:rPr>
        <w:t xml:space="preserve"> </w:t>
      </w:r>
      <w:r>
        <w:rPr>
          <w:rFonts w:ascii="宋体" w:hAnsi="宋体" w:eastAsia="宋体" w:cs="宋体"/>
          <w:spacing w:val="-14"/>
          <w:sz w:val="28"/>
          <w:szCs w:val="28"/>
        </w:rPr>
        <w:t>环</w:t>
      </w:r>
      <w:r>
        <w:rPr>
          <w:rFonts w:ascii="宋体" w:hAnsi="宋体" w:eastAsia="宋体" w:cs="宋体"/>
          <w:spacing w:val="-70"/>
          <w:sz w:val="28"/>
          <w:szCs w:val="28"/>
        </w:rPr>
        <w:t xml:space="preserve"> </w:t>
      </w:r>
      <w:r>
        <w:rPr>
          <w:rFonts w:ascii="宋体" w:hAnsi="宋体" w:eastAsia="宋体" w:cs="宋体"/>
          <w:spacing w:val="-14"/>
          <w:sz w:val="28"/>
          <w:szCs w:val="28"/>
        </w:rPr>
        <w:t>境</w:t>
      </w:r>
      <w:r>
        <w:rPr>
          <w:rFonts w:ascii="宋体" w:hAnsi="宋体" w:eastAsia="宋体" w:cs="宋体"/>
          <w:spacing w:val="-69"/>
          <w:sz w:val="28"/>
          <w:szCs w:val="28"/>
        </w:rPr>
        <w:t xml:space="preserve"> </w:t>
      </w:r>
      <w:r>
        <w:rPr>
          <w:rFonts w:ascii="宋体" w:hAnsi="宋体" w:eastAsia="宋体" w:cs="宋体"/>
          <w:spacing w:val="-14"/>
          <w:sz w:val="28"/>
          <w:szCs w:val="28"/>
        </w:rPr>
        <w:t>风</w:t>
      </w:r>
      <w:r>
        <w:rPr>
          <w:rFonts w:ascii="宋体" w:hAnsi="宋体" w:eastAsia="宋体" w:cs="宋体"/>
          <w:spacing w:val="-56"/>
          <w:sz w:val="28"/>
          <w:szCs w:val="28"/>
        </w:rPr>
        <w:t xml:space="preserve"> </w:t>
      </w:r>
      <w:r>
        <w:rPr>
          <w:rFonts w:ascii="宋体" w:hAnsi="宋体" w:eastAsia="宋体" w:cs="宋体"/>
          <w:spacing w:val="-14"/>
          <w:sz w:val="28"/>
          <w:szCs w:val="28"/>
        </w:rPr>
        <w:t>险</w:t>
      </w:r>
      <w:r>
        <w:rPr>
          <w:rFonts w:ascii="宋体" w:hAnsi="宋体" w:eastAsia="宋体" w:cs="宋体"/>
          <w:spacing w:val="-73"/>
          <w:sz w:val="28"/>
          <w:szCs w:val="28"/>
        </w:rPr>
        <w:t xml:space="preserve"> </w:t>
      </w:r>
      <w:r>
        <w:rPr>
          <w:rFonts w:ascii="宋体" w:hAnsi="宋体" w:eastAsia="宋体" w:cs="宋体"/>
          <w:spacing w:val="-14"/>
          <w:sz w:val="28"/>
          <w:szCs w:val="28"/>
        </w:rPr>
        <w:t>评</w:t>
      </w:r>
      <w:r>
        <w:rPr>
          <w:rFonts w:ascii="宋体" w:hAnsi="宋体" w:eastAsia="宋体" w:cs="宋体"/>
          <w:spacing w:val="-68"/>
          <w:sz w:val="28"/>
          <w:szCs w:val="28"/>
        </w:rPr>
        <w:t xml:space="preserve"> </w:t>
      </w:r>
      <w:r>
        <w:rPr>
          <w:rFonts w:ascii="宋体" w:hAnsi="宋体" w:eastAsia="宋体" w:cs="宋体"/>
          <w:spacing w:val="-14"/>
          <w:sz w:val="28"/>
          <w:szCs w:val="28"/>
        </w:rPr>
        <w:t>价</w:t>
      </w:r>
      <w:r>
        <w:rPr>
          <w:rFonts w:ascii="宋体" w:hAnsi="宋体" w:eastAsia="宋体" w:cs="宋体"/>
          <w:spacing w:val="-70"/>
          <w:sz w:val="28"/>
          <w:szCs w:val="28"/>
        </w:rPr>
        <w:t xml:space="preserve"> </w:t>
      </w:r>
      <w:r>
        <w:rPr>
          <w:rFonts w:ascii="宋体" w:hAnsi="宋体" w:eastAsia="宋体" w:cs="宋体"/>
          <w:spacing w:val="-14"/>
          <w:sz w:val="28"/>
          <w:szCs w:val="28"/>
        </w:rPr>
        <w:t>技</w:t>
      </w:r>
      <w:r>
        <w:rPr>
          <w:rFonts w:ascii="宋体" w:hAnsi="宋体" w:eastAsia="宋体" w:cs="宋体"/>
          <w:spacing w:val="-67"/>
          <w:sz w:val="28"/>
          <w:szCs w:val="28"/>
        </w:rPr>
        <w:t xml:space="preserve"> </w:t>
      </w:r>
      <w:r>
        <w:rPr>
          <w:rFonts w:ascii="宋体" w:hAnsi="宋体" w:eastAsia="宋体" w:cs="宋体"/>
          <w:spacing w:val="-14"/>
          <w:sz w:val="28"/>
          <w:szCs w:val="28"/>
        </w:rPr>
        <w:t>术</w:t>
      </w:r>
      <w:r>
        <w:rPr>
          <w:rFonts w:ascii="宋体" w:hAnsi="宋体" w:eastAsia="宋体" w:cs="宋体"/>
          <w:spacing w:val="-64"/>
          <w:sz w:val="28"/>
          <w:szCs w:val="28"/>
        </w:rPr>
        <w:t xml:space="preserve"> </w:t>
      </w:r>
      <w:r>
        <w:rPr>
          <w:rFonts w:ascii="宋体" w:hAnsi="宋体" w:eastAsia="宋体" w:cs="宋体"/>
          <w:spacing w:val="-14"/>
          <w:sz w:val="28"/>
          <w:szCs w:val="28"/>
        </w:rPr>
        <w:t>导</w:t>
      </w:r>
      <w:r>
        <w:rPr>
          <w:rFonts w:ascii="宋体" w:hAnsi="宋体" w:eastAsia="宋体" w:cs="宋体"/>
          <w:spacing w:val="-66"/>
          <w:sz w:val="28"/>
          <w:szCs w:val="28"/>
        </w:rPr>
        <w:t xml:space="preserve"> </w:t>
      </w:r>
      <w:r>
        <w:rPr>
          <w:rFonts w:ascii="宋体" w:hAnsi="宋体" w:eastAsia="宋体" w:cs="宋体"/>
          <w:spacing w:val="-14"/>
          <w:sz w:val="28"/>
          <w:szCs w:val="28"/>
        </w:rPr>
        <w:t>则</w:t>
      </w:r>
      <w:r>
        <w:rPr>
          <w:rFonts w:ascii="宋体" w:hAnsi="宋体" w:eastAsia="宋体" w:cs="宋体"/>
          <w:spacing w:val="-54"/>
          <w:sz w:val="28"/>
          <w:szCs w:val="28"/>
        </w:rPr>
        <w:t xml:space="preserve"> </w:t>
      </w:r>
      <w:r>
        <w:rPr>
          <w:rFonts w:ascii="宋体" w:hAnsi="宋体" w:eastAsia="宋体" w:cs="宋体"/>
          <w:spacing w:val="-14"/>
          <w:sz w:val="28"/>
          <w:szCs w:val="28"/>
        </w:rPr>
        <w:t>》</w:t>
      </w:r>
      <w:r>
        <w:rPr>
          <w:rFonts w:ascii="宋体" w:hAnsi="宋体" w:eastAsia="宋体" w:cs="宋体"/>
          <w:sz w:val="28"/>
          <w:szCs w:val="28"/>
        </w:rPr>
        <w:t xml:space="preserve"> </w:t>
      </w:r>
      <w:r>
        <w:rPr>
          <w:rFonts w:ascii="宋体" w:hAnsi="宋体" w:eastAsia="宋体" w:cs="宋体"/>
          <w:spacing w:val="-3"/>
          <w:sz w:val="28"/>
          <w:szCs w:val="28"/>
        </w:rPr>
        <w:t>（</w:t>
      </w:r>
      <w:r>
        <w:rPr>
          <w:rFonts w:ascii="Times New Roman" w:hAnsi="Times New Roman" w:eastAsia="Times New Roman" w:cs="Times New Roman"/>
          <w:spacing w:val="-3"/>
          <w:sz w:val="28"/>
          <w:szCs w:val="28"/>
        </w:rPr>
        <w:t>HJ169-2018</w:t>
      </w:r>
      <w:r>
        <w:rPr>
          <w:rFonts w:ascii="宋体" w:hAnsi="宋体" w:eastAsia="宋体" w:cs="宋体"/>
          <w:spacing w:val="-3"/>
          <w:sz w:val="28"/>
          <w:szCs w:val="28"/>
        </w:rPr>
        <w:t>）附录</w:t>
      </w:r>
      <w:r>
        <w:rPr>
          <w:rFonts w:ascii="宋体" w:hAnsi="宋体" w:eastAsia="宋体" w:cs="宋体"/>
          <w:spacing w:val="-65"/>
          <w:sz w:val="28"/>
          <w:szCs w:val="28"/>
        </w:rPr>
        <w:t xml:space="preserve"> </w:t>
      </w:r>
      <w:r>
        <w:rPr>
          <w:rFonts w:ascii="Times New Roman" w:hAnsi="Times New Roman" w:eastAsia="Times New Roman" w:cs="Times New Roman"/>
          <w:spacing w:val="-3"/>
          <w:sz w:val="28"/>
          <w:szCs w:val="28"/>
        </w:rPr>
        <w:t>B</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，对项目涉及的有毒有害、易燃易爆物质进行</w:t>
      </w:r>
      <w:r>
        <w:rPr>
          <w:rFonts w:ascii="宋体" w:hAnsi="宋体" w:eastAsia="宋体" w:cs="宋体"/>
          <w:sz w:val="28"/>
          <w:szCs w:val="28"/>
        </w:rPr>
        <w:t xml:space="preserve"> </w:t>
      </w:r>
      <w:r>
        <w:rPr>
          <w:rFonts w:ascii="宋体" w:hAnsi="宋体" w:eastAsia="宋体" w:cs="宋体"/>
          <w:spacing w:val="-4"/>
          <w:sz w:val="28"/>
          <w:szCs w:val="28"/>
        </w:rPr>
        <w:t>危险性识别和综合评价，筛选出风险评价因子。根据《危险化学品重</w:t>
      </w:r>
      <w:r>
        <w:rPr>
          <w:rFonts w:ascii="宋体" w:hAnsi="宋体" w:eastAsia="宋体" w:cs="宋体"/>
          <w:spacing w:val="13"/>
          <w:sz w:val="28"/>
          <w:szCs w:val="28"/>
        </w:rPr>
        <w:t xml:space="preserve"> </w:t>
      </w:r>
      <w:r>
        <w:rPr>
          <w:rFonts w:ascii="宋体" w:hAnsi="宋体" w:eastAsia="宋体" w:cs="宋体"/>
          <w:spacing w:val="3"/>
          <w:sz w:val="28"/>
          <w:szCs w:val="28"/>
        </w:rPr>
        <w:t>大危险源辨识》（</w:t>
      </w:r>
      <w:r>
        <w:rPr>
          <w:rFonts w:ascii="Times New Roman" w:hAnsi="Times New Roman" w:eastAsia="Times New Roman" w:cs="Times New Roman"/>
          <w:sz w:val="28"/>
          <w:szCs w:val="28"/>
        </w:rPr>
        <w:t>GB</w:t>
      </w:r>
      <w:r>
        <w:rPr>
          <w:rFonts w:ascii="Times New Roman" w:hAnsi="Times New Roman" w:eastAsia="Times New Roman" w:cs="Times New Roman"/>
          <w:spacing w:val="3"/>
          <w:sz w:val="28"/>
          <w:szCs w:val="28"/>
        </w:rPr>
        <w:t>18218-2021</w:t>
      </w:r>
      <w:r>
        <w:rPr>
          <w:rFonts w:ascii="宋体" w:hAnsi="宋体" w:eastAsia="宋体" w:cs="宋体"/>
          <w:spacing w:val="3"/>
          <w:sz w:val="28"/>
          <w:szCs w:val="28"/>
        </w:rPr>
        <w:t>）和《企业突发环境事件风险分级</w:t>
      </w:r>
      <w:r>
        <w:rPr>
          <w:rFonts w:ascii="宋体" w:hAnsi="宋体" w:eastAsia="宋体" w:cs="宋体"/>
          <w:spacing w:val="12"/>
          <w:sz w:val="28"/>
          <w:szCs w:val="28"/>
        </w:rPr>
        <w:t xml:space="preserve"> </w:t>
      </w:r>
      <w:r>
        <w:rPr>
          <w:rFonts w:ascii="宋体" w:hAnsi="宋体" w:eastAsia="宋体" w:cs="宋体"/>
          <w:spacing w:val="3"/>
          <w:sz w:val="28"/>
          <w:szCs w:val="28"/>
        </w:rPr>
        <w:t>方法》（</w:t>
      </w:r>
      <w:r>
        <w:rPr>
          <w:rFonts w:ascii="Times New Roman" w:hAnsi="Times New Roman" w:eastAsia="Times New Roman" w:cs="Times New Roman"/>
          <w:sz w:val="28"/>
          <w:szCs w:val="28"/>
        </w:rPr>
        <w:t>HJ</w:t>
      </w:r>
      <w:r>
        <w:rPr>
          <w:rFonts w:ascii="Times New Roman" w:hAnsi="Times New Roman" w:eastAsia="Times New Roman" w:cs="Times New Roman"/>
          <w:spacing w:val="3"/>
          <w:sz w:val="28"/>
          <w:szCs w:val="28"/>
        </w:rPr>
        <w:t>941-2018</w:t>
      </w:r>
      <w:r>
        <w:rPr>
          <w:rFonts w:ascii="宋体" w:hAnsi="宋体" w:eastAsia="宋体" w:cs="宋体"/>
          <w:spacing w:val="3"/>
          <w:sz w:val="28"/>
          <w:szCs w:val="28"/>
        </w:rPr>
        <w:t>）附录</w:t>
      </w:r>
      <w:r>
        <w:rPr>
          <w:rFonts w:ascii="宋体" w:hAnsi="宋体" w:eastAsia="宋体" w:cs="宋体"/>
          <w:spacing w:val="-45"/>
          <w:sz w:val="28"/>
          <w:szCs w:val="28"/>
        </w:rPr>
        <w:t xml:space="preserve"> </w:t>
      </w:r>
      <w:r>
        <w:rPr>
          <w:rFonts w:ascii="Times New Roman" w:hAnsi="Times New Roman" w:eastAsia="Times New Roman" w:cs="Times New Roman"/>
          <w:spacing w:val="3"/>
          <w:sz w:val="28"/>
          <w:szCs w:val="28"/>
        </w:rPr>
        <w:t xml:space="preserve">A </w:t>
      </w:r>
      <w:r>
        <w:rPr>
          <w:rFonts w:ascii="宋体" w:hAnsi="宋体" w:eastAsia="宋体" w:cs="宋体"/>
          <w:spacing w:val="3"/>
          <w:sz w:val="28"/>
          <w:szCs w:val="28"/>
        </w:rPr>
        <w:t>等相关标准，对运输车辆运输、存储</w:t>
      </w:r>
      <w:r>
        <w:rPr>
          <w:rFonts w:ascii="宋体" w:hAnsi="宋体" w:eastAsia="宋体" w:cs="宋体"/>
          <w:sz w:val="28"/>
          <w:szCs w:val="28"/>
        </w:rPr>
        <w:t xml:space="preserve"> </w:t>
      </w:r>
      <w:r>
        <w:rPr>
          <w:rFonts w:ascii="宋体" w:hAnsi="宋体" w:eastAsia="宋体" w:cs="宋体"/>
          <w:spacing w:val="-4"/>
          <w:sz w:val="28"/>
          <w:szCs w:val="28"/>
        </w:rPr>
        <w:t>的物质的有毒有害性、易燃易爆性进行识别。物质危险性判定标准见</w:t>
      </w:r>
      <w:r>
        <w:rPr>
          <w:rFonts w:ascii="宋体" w:hAnsi="宋体" w:eastAsia="宋体" w:cs="宋体"/>
          <w:spacing w:val="13"/>
          <w:sz w:val="28"/>
          <w:szCs w:val="28"/>
        </w:rPr>
        <w:t xml:space="preserve"> </w:t>
      </w:r>
      <w:r>
        <w:rPr>
          <w:rFonts w:ascii="宋体" w:hAnsi="宋体" w:eastAsia="宋体" w:cs="宋体"/>
          <w:spacing w:val="-4"/>
          <w:sz w:val="28"/>
          <w:szCs w:val="28"/>
        </w:rPr>
        <w:t>下表：</w:t>
      </w:r>
    </w:p>
    <w:p w14:paraId="4D58AC99">
      <w:pPr>
        <w:spacing w:line="220" w:lineRule="auto"/>
        <w:ind w:left="281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5.1-1    </w:t>
      </w:r>
      <w:r>
        <w:rPr>
          <w:rFonts w:ascii="宋体" w:hAnsi="宋体" w:eastAsia="宋体" w:cs="宋体"/>
          <w:b/>
          <w:bCs/>
          <w:spacing w:val="-2"/>
          <w:sz w:val="24"/>
          <w:szCs w:val="24"/>
        </w:rPr>
        <w:t>物质危险性标准</w:t>
      </w:r>
    </w:p>
    <w:p w14:paraId="4D077B8C">
      <w:pPr>
        <w:spacing w:line="144" w:lineRule="exact"/>
      </w:pPr>
    </w:p>
    <w:tbl>
      <w:tblPr>
        <w:tblStyle w:val="5"/>
        <w:tblW w:w="83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364"/>
        <w:gridCol w:w="2229"/>
        <w:gridCol w:w="2397"/>
        <w:gridCol w:w="2793"/>
      </w:tblGrid>
      <w:tr w14:paraId="5658B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34" w:type="dxa"/>
            <w:vAlign w:val="top"/>
          </w:tcPr>
          <w:p w14:paraId="0FCF80AF">
            <w:pPr>
              <w:pStyle w:val="6"/>
              <w:spacing w:before="41" w:line="220" w:lineRule="auto"/>
              <w:ind w:left="34"/>
              <w:rPr>
                <w:sz w:val="24"/>
                <w:szCs w:val="24"/>
              </w:rPr>
            </w:pPr>
            <w:r>
              <w:rPr>
                <w:spacing w:val="-5"/>
                <w:sz w:val="24"/>
                <w:szCs w:val="24"/>
              </w:rPr>
              <w:t>物质</w:t>
            </w:r>
          </w:p>
          <w:p w14:paraId="195680C2">
            <w:pPr>
              <w:pStyle w:val="6"/>
              <w:spacing w:before="23" w:line="208" w:lineRule="auto"/>
              <w:ind w:left="34"/>
              <w:rPr>
                <w:sz w:val="24"/>
                <w:szCs w:val="24"/>
              </w:rPr>
            </w:pPr>
            <w:r>
              <w:rPr>
                <w:spacing w:val="-5"/>
                <w:sz w:val="24"/>
                <w:szCs w:val="24"/>
              </w:rPr>
              <w:t>类别</w:t>
            </w:r>
          </w:p>
        </w:tc>
        <w:tc>
          <w:tcPr>
            <w:tcW w:w="364" w:type="dxa"/>
            <w:textDirection w:val="tbRlV"/>
            <w:vAlign w:val="top"/>
          </w:tcPr>
          <w:p w14:paraId="5C615B78">
            <w:pPr>
              <w:pStyle w:val="6"/>
              <w:spacing w:before="61" w:line="206" w:lineRule="auto"/>
              <w:ind w:left="41"/>
              <w:rPr>
                <w:sz w:val="24"/>
                <w:szCs w:val="24"/>
              </w:rPr>
            </w:pPr>
            <w:r>
              <w:rPr>
                <w:spacing w:val="34"/>
                <w:sz w:val="24"/>
                <w:szCs w:val="24"/>
              </w:rPr>
              <w:t>等级</w:t>
            </w:r>
          </w:p>
        </w:tc>
        <w:tc>
          <w:tcPr>
            <w:tcW w:w="2229" w:type="dxa"/>
            <w:vAlign w:val="top"/>
          </w:tcPr>
          <w:p w14:paraId="1E13E73E">
            <w:pPr>
              <w:pStyle w:val="6"/>
              <w:spacing w:before="195" w:line="212" w:lineRule="auto"/>
              <w:ind w:left="5"/>
              <w:rPr>
                <w:rFonts w:ascii="Times New Roman" w:hAnsi="Times New Roman" w:eastAsia="Times New Roman" w:cs="Times New Roman"/>
                <w:sz w:val="24"/>
                <w:szCs w:val="24"/>
              </w:rPr>
            </w:pPr>
            <w:r>
              <w:rPr>
                <w:rFonts w:ascii="Times New Roman" w:hAnsi="Times New Roman" w:eastAsia="Times New Roman" w:cs="Times New Roman"/>
                <w:sz w:val="24"/>
                <w:szCs w:val="24"/>
              </w:rPr>
              <w:t>LD</w:t>
            </w:r>
            <w:r>
              <w:rPr>
                <w:rFonts w:ascii="Times New Roman" w:hAnsi="Times New Roman" w:eastAsia="Times New Roman" w:cs="Times New Roman"/>
                <w:position w:val="-1"/>
                <w:sz w:val="15"/>
                <w:szCs w:val="15"/>
              </w:rPr>
              <w:t>50</w:t>
            </w:r>
            <w:r>
              <w:rPr>
                <w:spacing w:val="-14"/>
                <w:sz w:val="24"/>
                <w:szCs w:val="24"/>
              </w:rPr>
              <w:t>（大鼠经</w:t>
            </w:r>
            <w:r>
              <w:rPr>
                <w:spacing w:val="-13"/>
                <w:sz w:val="24"/>
                <w:szCs w:val="24"/>
              </w:rPr>
              <w:t>口）</w:t>
            </w:r>
            <w:r>
              <w:rPr>
                <w:rFonts w:ascii="Times New Roman" w:hAnsi="Times New Roman" w:eastAsia="Times New Roman" w:cs="Times New Roman"/>
                <w:spacing w:val="-13"/>
                <w:sz w:val="24"/>
                <w:szCs w:val="24"/>
              </w:rPr>
              <w:t>g/k</w:t>
            </w:r>
            <w:r>
              <w:rPr>
                <w:rFonts w:ascii="Times New Roman" w:hAnsi="Times New Roman" w:eastAsia="Times New Roman" w:cs="Times New Roman"/>
                <w:spacing w:val="-9"/>
                <w:sz w:val="24"/>
                <w:szCs w:val="24"/>
              </w:rPr>
              <w:t>g</w:t>
            </w:r>
          </w:p>
        </w:tc>
        <w:tc>
          <w:tcPr>
            <w:tcW w:w="2397" w:type="dxa"/>
            <w:vAlign w:val="top"/>
          </w:tcPr>
          <w:p w14:paraId="4F9F6534">
            <w:pPr>
              <w:pStyle w:val="6"/>
              <w:spacing w:before="195" w:line="212"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LD</w:t>
            </w:r>
            <w:r>
              <w:rPr>
                <w:rFonts w:ascii="Times New Roman" w:hAnsi="Times New Roman" w:eastAsia="Times New Roman" w:cs="Times New Roman"/>
                <w:position w:val="-1"/>
                <w:sz w:val="15"/>
                <w:szCs w:val="15"/>
              </w:rPr>
              <w:t>50</w:t>
            </w:r>
            <w:r>
              <w:rPr>
                <w:spacing w:val="-14"/>
                <w:sz w:val="24"/>
                <w:szCs w:val="24"/>
              </w:rPr>
              <w:t>（大鼠经皮）</w:t>
            </w:r>
            <w:r>
              <w:rPr>
                <w:rFonts w:ascii="Times New Roman" w:hAnsi="Times New Roman" w:eastAsia="Times New Roman" w:cs="Times New Roman"/>
                <w:spacing w:val="-14"/>
                <w:sz w:val="24"/>
                <w:szCs w:val="24"/>
              </w:rPr>
              <w:t>m</w:t>
            </w:r>
            <w:r>
              <w:rPr>
                <w:rFonts w:ascii="Times New Roman" w:hAnsi="Times New Roman" w:eastAsia="Times New Roman" w:cs="Times New Roman"/>
                <w:spacing w:val="-13"/>
                <w:sz w:val="24"/>
                <w:szCs w:val="24"/>
              </w:rPr>
              <w:t>g/k</w:t>
            </w:r>
            <w:r>
              <w:rPr>
                <w:rFonts w:ascii="Times New Roman" w:hAnsi="Times New Roman" w:eastAsia="Times New Roman" w:cs="Times New Roman"/>
                <w:spacing w:val="-6"/>
                <w:sz w:val="24"/>
                <w:szCs w:val="24"/>
              </w:rPr>
              <w:t>g</w:t>
            </w:r>
          </w:p>
        </w:tc>
        <w:tc>
          <w:tcPr>
            <w:tcW w:w="2793" w:type="dxa"/>
            <w:vAlign w:val="top"/>
          </w:tcPr>
          <w:p w14:paraId="3C9FAAAA">
            <w:pPr>
              <w:pStyle w:val="6"/>
              <w:spacing w:before="58" w:line="220" w:lineRule="auto"/>
              <w:jc w:val="right"/>
              <w:rPr>
                <w:sz w:val="24"/>
                <w:szCs w:val="24"/>
              </w:rPr>
            </w:pPr>
            <w:r>
              <w:rPr>
                <w:rFonts w:ascii="Times New Roman" w:hAnsi="Times New Roman" w:eastAsia="Times New Roman" w:cs="Times New Roman"/>
                <w:spacing w:val="-3"/>
                <w:sz w:val="24"/>
                <w:szCs w:val="24"/>
              </w:rPr>
              <w:t>LC</w:t>
            </w:r>
            <w:r>
              <w:rPr>
                <w:rFonts w:ascii="Times New Roman" w:hAnsi="Times New Roman" w:eastAsia="Times New Roman" w:cs="Times New Roman"/>
                <w:spacing w:val="-3"/>
                <w:position w:val="-1"/>
                <w:sz w:val="15"/>
                <w:szCs w:val="15"/>
              </w:rPr>
              <w:t>50</w:t>
            </w:r>
            <w:r>
              <w:rPr>
                <w:spacing w:val="-3"/>
                <w:sz w:val="24"/>
                <w:szCs w:val="24"/>
              </w:rPr>
              <w:t>（小鼠吸入、</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9"/>
                <w:sz w:val="24"/>
                <w:szCs w:val="24"/>
              </w:rPr>
              <w:t xml:space="preserve"> </w:t>
            </w:r>
            <w:r>
              <w:rPr>
                <w:spacing w:val="-3"/>
                <w:sz w:val="24"/>
                <w:szCs w:val="24"/>
              </w:rPr>
              <w:t>小时）</w:t>
            </w:r>
          </w:p>
          <w:p w14:paraId="77360A46">
            <w:pPr>
              <w:spacing w:before="43" w:line="192" w:lineRule="auto"/>
              <w:ind w:left="113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mg/L</w:t>
            </w:r>
          </w:p>
        </w:tc>
      </w:tr>
      <w:tr w14:paraId="6A02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restart"/>
            <w:tcBorders>
              <w:bottom w:val="nil"/>
            </w:tcBorders>
            <w:vAlign w:val="top"/>
          </w:tcPr>
          <w:p w14:paraId="3D60B818">
            <w:pPr>
              <w:spacing w:line="249" w:lineRule="auto"/>
              <w:rPr>
                <w:rFonts w:ascii="Arial"/>
                <w:sz w:val="21"/>
              </w:rPr>
            </w:pPr>
          </w:p>
          <w:p w14:paraId="5A3C4B9D">
            <w:pPr>
              <w:pStyle w:val="6"/>
              <w:spacing w:before="78" w:line="219" w:lineRule="auto"/>
              <w:ind w:left="35"/>
              <w:rPr>
                <w:sz w:val="24"/>
                <w:szCs w:val="24"/>
              </w:rPr>
            </w:pPr>
            <w:r>
              <w:rPr>
                <w:spacing w:val="-6"/>
                <w:sz w:val="24"/>
                <w:szCs w:val="24"/>
              </w:rPr>
              <w:t>有毒</w:t>
            </w:r>
          </w:p>
          <w:p w14:paraId="36DEFB2D">
            <w:pPr>
              <w:pStyle w:val="6"/>
              <w:spacing w:before="26" w:line="220" w:lineRule="auto"/>
              <w:ind w:left="34"/>
              <w:rPr>
                <w:sz w:val="24"/>
                <w:szCs w:val="24"/>
              </w:rPr>
            </w:pPr>
            <w:r>
              <w:rPr>
                <w:spacing w:val="-5"/>
                <w:sz w:val="24"/>
                <w:szCs w:val="24"/>
              </w:rPr>
              <w:t>物质</w:t>
            </w:r>
          </w:p>
        </w:tc>
        <w:tc>
          <w:tcPr>
            <w:tcW w:w="364" w:type="dxa"/>
            <w:vAlign w:val="top"/>
          </w:tcPr>
          <w:p w14:paraId="32B5EF6D">
            <w:pPr>
              <w:spacing w:before="118" w:line="188" w:lineRule="auto"/>
              <w:ind w:left="14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29" w:type="dxa"/>
            <w:vAlign w:val="top"/>
          </w:tcPr>
          <w:p w14:paraId="60F2AF33">
            <w:pPr>
              <w:spacing w:before="121" w:line="185" w:lineRule="auto"/>
              <w:ind w:left="98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&lt;5</w:t>
            </w:r>
          </w:p>
        </w:tc>
        <w:tc>
          <w:tcPr>
            <w:tcW w:w="2397" w:type="dxa"/>
            <w:vAlign w:val="top"/>
          </w:tcPr>
          <w:p w14:paraId="59AF2496">
            <w:pPr>
              <w:spacing w:before="118" w:line="188" w:lineRule="auto"/>
              <w:ind w:left="107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&lt;1</w:t>
            </w:r>
          </w:p>
        </w:tc>
        <w:tc>
          <w:tcPr>
            <w:tcW w:w="2793" w:type="dxa"/>
            <w:vAlign w:val="top"/>
          </w:tcPr>
          <w:p w14:paraId="349DD3DF">
            <w:pPr>
              <w:spacing w:before="118" w:line="188" w:lineRule="auto"/>
              <w:ind w:left="11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&lt;0.01</w:t>
            </w:r>
          </w:p>
        </w:tc>
      </w:tr>
      <w:tr w14:paraId="04F7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continue"/>
            <w:tcBorders>
              <w:top w:val="nil"/>
              <w:bottom w:val="nil"/>
            </w:tcBorders>
            <w:vAlign w:val="top"/>
          </w:tcPr>
          <w:p w14:paraId="23AB6364">
            <w:pPr>
              <w:rPr>
                <w:rFonts w:ascii="Arial"/>
                <w:sz w:val="21"/>
              </w:rPr>
            </w:pPr>
          </w:p>
        </w:tc>
        <w:tc>
          <w:tcPr>
            <w:tcW w:w="364" w:type="dxa"/>
            <w:vAlign w:val="top"/>
          </w:tcPr>
          <w:p w14:paraId="5F378C5A">
            <w:pPr>
              <w:spacing w:before="119" w:line="188" w:lineRule="auto"/>
              <w:ind w:left="12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29" w:type="dxa"/>
            <w:vAlign w:val="top"/>
          </w:tcPr>
          <w:p w14:paraId="1BFBC7B0">
            <w:pPr>
              <w:spacing w:before="119" w:line="196" w:lineRule="auto"/>
              <w:ind w:left="56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&lt;25</w:t>
            </w:r>
          </w:p>
        </w:tc>
        <w:tc>
          <w:tcPr>
            <w:tcW w:w="2397" w:type="dxa"/>
            <w:vAlign w:val="top"/>
          </w:tcPr>
          <w:p w14:paraId="0C16E264">
            <w:pPr>
              <w:spacing w:before="119" w:line="196" w:lineRule="auto"/>
              <w:ind w:left="61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10&lt;LD</w:t>
            </w:r>
            <w:r>
              <w:rPr>
                <w:rFonts w:ascii="Times New Roman" w:hAnsi="Times New Roman" w:eastAsia="Times New Roman" w:cs="Times New Roman"/>
                <w:spacing w:val="-3"/>
                <w:position w:val="-1"/>
                <w:sz w:val="15"/>
                <w:szCs w:val="15"/>
              </w:rPr>
              <w:t>50</w:t>
            </w:r>
            <w:r>
              <w:rPr>
                <w:rFonts w:ascii="Times New Roman" w:hAnsi="Times New Roman" w:eastAsia="Times New Roman" w:cs="Times New Roman"/>
                <w:spacing w:val="-3"/>
                <w:sz w:val="24"/>
                <w:szCs w:val="24"/>
              </w:rPr>
              <w:t>&lt;50</w:t>
            </w:r>
          </w:p>
        </w:tc>
        <w:tc>
          <w:tcPr>
            <w:tcW w:w="2793" w:type="dxa"/>
            <w:vAlign w:val="top"/>
          </w:tcPr>
          <w:p w14:paraId="11F54C62">
            <w:pPr>
              <w:spacing w:before="119" w:line="196" w:lineRule="auto"/>
              <w:ind w:left="72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1&lt;LD</w:t>
            </w:r>
            <w:r>
              <w:rPr>
                <w:rFonts w:ascii="Times New Roman" w:hAnsi="Times New Roman" w:eastAsia="Times New Roman" w:cs="Times New Roman"/>
                <w:spacing w:val="-3"/>
                <w:position w:val="-1"/>
                <w:sz w:val="15"/>
                <w:szCs w:val="15"/>
              </w:rPr>
              <w:t>50</w:t>
            </w:r>
            <w:r>
              <w:rPr>
                <w:rFonts w:ascii="Times New Roman" w:hAnsi="Times New Roman" w:eastAsia="Times New Roman" w:cs="Times New Roman"/>
                <w:spacing w:val="-3"/>
                <w:sz w:val="24"/>
                <w:szCs w:val="24"/>
              </w:rPr>
              <w:t>&lt;0.5</w:t>
            </w:r>
          </w:p>
        </w:tc>
      </w:tr>
      <w:tr w14:paraId="34441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34" w:type="dxa"/>
            <w:vMerge w:val="continue"/>
            <w:tcBorders>
              <w:top w:val="nil"/>
            </w:tcBorders>
            <w:vAlign w:val="top"/>
          </w:tcPr>
          <w:p w14:paraId="294A98EC">
            <w:pPr>
              <w:rPr>
                <w:rFonts w:ascii="Arial"/>
                <w:sz w:val="21"/>
              </w:rPr>
            </w:pPr>
          </w:p>
        </w:tc>
        <w:tc>
          <w:tcPr>
            <w:tcW w:w="364" w:type="dxa"/>
            <w:vAlign w:val="top"/>
          </w:tcPr>
          <w:p w14:paraId="6E3629EC">
            <w:pPr>
              <w:spacing w:before="120" w:line="188" w:lineRule="auto"/>
              <w:ind w:left="12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29" w:type="dxa"/>
            <w:vAlign w:val="top"/>
          </w:tcPr>
          <w:p w14:paraId="4A712A3D">
            <w:pPr>
              <w:spacing w:before="120" w:line="194"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&lt;200</w:t>
            </w:r>
          </w:p>
        </w:tc>
        <w:tc>
          <w:tcPr>
            <w:tcW w:w="2397" w:type="dxa"/>
            <w:vAlign w:val="top"/>
          </w:tcPr>
          <w:p w14:paraId="64205658">
            <w:pPr>
              <w:spacing w:before="120" w:line="194" w:lineRule="auto"/>
              <w:ind w:left="53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50&lt;LD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&lt;400</w:t>
            </w:r>
          </w:p>
        </w:tc>
        <w:tc>
          <w:tcPr>
            <w:tcW w:w="2793" w:type="dxa"/>
            <w:vAlign w:val="top"/>
          </w:tcPr>
          <w:p w14:paraId="41E08AFC">
            <w:pPr>
              <w:spacing w:before="120" w:line="194" w:lineRule="auto"/>
              <w:ind w:left="81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0.5&lt;LD</w:t>
            </w:r>
            <w:r>
              <w:rPr>
                <w:rFonts w:ascii="Times New Roman" w:hAnsi="Times New Roman" w:eastAsia="Times New Roman" w:cs="Times New Roman"/>
                <w:spacing w:val="-1"/>
                <w:position w:val="-1"/>
                <w:sz w:val="15"/>
                <w:szCs w:val="15"/>
              </w:rPr>
              <w:t>50</w:t>
            </w:r>
            <w:r>
              <w:rPr>
                <w:rFonts w:ascii="Times New Roman" w:hAnsi="Times New Roman" w:eastAsia="Times New Roman" w:cs="Times New Roman"/>
                <w:spacing w:val="-1"/>
                <w:sz w:val="24"/>
                <w:szCs w:val="24"/>
              </w:rPr>
              <w:t>&lt;2</w:t>
            </w:r>
          </w:p>
        </w:tc>
      </w:tr>
      <w:tr w14:paraId="6036D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34" w:type="dxa"/>
            <w:vMerge w:val="restart"/>
            <w:tcBorders>
              <w:bottom w:val="nil"/>
            </w:tcBorders>
            <w:vAlign w:val="top"/>
          </w:tcPr>
          <w:p w14:paraId="2FD3D488">
            <w:pPr>
              <w:spacing w:line="474" w:lineRule="auto"/>
              <w:rPr>
                <w:rFonts w:ascii="Arial"/>
                <w:sz w:val="21"/>
              </w:rPr>
            </w:pPr>
          </w:p>
          <w:p w14:paraId="2D779B83">
            <w:pPr>
              <w:pStyle w:val="6"/>
              <w:spacing w:before="78" w:line="218" w:lineRule="auto"/>
              <w:ind w:left="50"/>
              <w:rPr>
                <w:sz w:val="24"/>
                <w:szCs w:val="24"/>
              </w:rPr>
            </w:pPr>
            <w:r>
              <w:rPr>
                <w:spacing w:val="-13"/>
                <w:sz w:val="24"/>
                <w:szCs w:val="24"/>
              </w:rPr>
              <w:t>易燃</w:t>
            </w:r>
          </w:p>
          <w:p w14:paraId="3D452EE2">
            <w:pPr>
              <w:pStyle w:val="6"/>
              <w:spacing w:before="28" w:line="220" w:lineRule="auto"/>
              <w:ind w:left="34"/>
              <w:rPr>
                <w:sz w:val="24"/>
                <w:szCs w:val="24"/>
              </w:rPr>
            </w:pPr>
            <w:r>
              <w:rPr>
                <w:spacing w:val="-5"/>
                <w:sz w:val="24"/>
                <w:szCs w:val="24"/>
              </w:rPr>
              <w:t>物质</w:t>
            </w:r>
          </w:p>
        </w:tc>
        <w:tc>
          <w:tcPr>
            <w:tcW w:w="364" w:type="dxa"/>
            <w:vAlign w:val="top"/>
          </w:tcPr>
          <w:p w14:paraId="2CD35B61">
            <w:pPr>
              <w:spacing w:before="232" w:line="188" w:lineRule="auto"/>
              <w:ind w:left="14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7419" w:type="dxa"/>
            <w:gridSpan w:val="3"/>
            <w:vAlign w:val="top"/>
          </w:tcPr>
          <w:p w14:paraId="20D90D17">
            <w:pPr>
              <w:pStyle w:val="6"/>
              <w:spacing w:before="37" w:line="217" w:lineRule="auto"/>
              <w:ind w:left="12"/>
              <w:rPr>
                <w:sz w:val="24"/>
                <w:szCs w:val="24"/>
              </w:rPr>
            </w:pPr>
            <w:r>
              <w:rPr>
                <w:spacing w:val="-2"/>
                <w:sz w:val="24"/>
                <w:szCs w:val="24"/>
              </w:rPr>
              <w:t>可燃气体——在常压下以气态存在并与空气混合形成可燃混合物：其沸</w:t>
            </w:r>
          </w:p>
          <w:p w14:paraId="177C387E">
            <w:pPr>
              <w:pStyle w:val="6"/>
              <w:spacing w:before="27" w:line="207" w:lineRule="auto"/>
              <w:ind w:left="1625"/>
              <w:rPr>
                <w:sz w:val="24"/>
                <w:szCs w:val="24"/>
              </w:rPr>
            </w:pPr>
            <w:r>
              <w:rPr>
                <w:spacing w:val="-2"/>
                <w:sz w:val="24"/>
                <w:szCs w:val="24"/>
              </w:rPr>
              <w:t>点（常压下）是</w:t>
            </w:r>
            <w:r>
              <w:rPr>
                <w:spacing w:val="-50"/>
                <w:sz w:val="24"/>
                <w:szCs w:val="24"/>
              </w:rPr>
              <w:t xml:space="preserve"> </w:t>
            </w:r>
            <w:r>
              <w:rPr>
                <w:rFonts w:ascii="Times New Roman" w:hAnsi="Times New Roman" w:eastAsia="Times New Roman" w:cs="Times New Roman"/>
                <w:spacing w:val="-2"/>
                <w:sz w:val="24"/>
                <w:szCs w:val="24"/>
              </w:rPr>
              <w:t>20</w:t>
            </w:r>
            <w:r>
              <w:rPr>
                <w:spacing w:val="-2"/>
                <w:sz w:val="24"/>
                <w:szCs w:val="24"/>
              </w:rPr>
              <w:t>℃或</w:t>
            </w:r>
            <w:r>
              <w:rPr>
                <w:spacing w:val="-55"/>
                <w:sz w:val="24"/>
                <w:szCs w:val="24"/>
              </w:rPr>
              <w:t xml:space="preserve"> </w:t>
            </w:r>
            <w:r>
              <w:rPr>
                <w:rFonts w:ascii="Times New Roman" w:hAnsi="Times New Roman" w:eastAsia="Times New Roman" w:cs="Times New Roman"/>
                <w:spacing w:val="-2"/>
                <w:sz w:val="24"/>
                <w:szCs w:val="24"/>
              </w:rPr>
              <w:t>20</w:t>
            </w:r>
            <w:r>
              <w:rPr>
                <w:spacing w:val="-2"/>
                <w:sz w:val="24"/>
                <w:szCs w:val="24"/>
              </w:rPr>
              <w:t>℃以下的物质</w:t>
            </w:r>
          </w:p>
        </w:tc>
      </w:tr>
      <w:tr w14:paraId="560BA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34" w:type="dxa"/>
            <w:vMerge w:val="continue"/>
            <w:tcBorders>
              <w:top w:val="nil"/>
              <w:bottom w:val="nil"/>
            </w:tcBorders>
            <w:vAlign w:val="top"/>
          </w:tcPr>
          <w:p w14:paraId="362A9D4D">
            <w:pPr>
              <w:rPr>
                <w:rFonts w:ascii="Arial"/>
                <w:sz w:val="21"/>
              </w:rPr>
            </w:pPr>
          </w:p>
        </w:tc>
        <w:tc>
          <w:tcPr>
            <w:tcW w:w="364" w:type="dxa"/>
            <w:vAlign w:val="top"/>
          </w:tcPr>
          <w:p w14:paraId="2FCFF23B">
            <w:pPr>
              <w:spacing w:before="122" w:line="188" w:lineRule="auto"/>
              <w:ind w:left="12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7419" w:type="dxa"/>
            <w:gridSpan w:val="3"/>
            <w:vAlign w:val="top"/>
          </w:tcPr>
          <w:p w14:paraId="3457C96C">
            <w:pPr>
              <w:pStyle w:val="6"/>
              <w:spacing w:before="81" w:line="216" w:lineRule="auto"/>
              <w:ind w:left="1029"/>
              <w:rPr>
                <w:sz w:val="24"/>
                <w:szCs w:val="24"/>
              </w:rPr>
            </w:pPr>
            <w:r>
              <w:rPr>
                <w:spacing w:val="-3"/>
                <w:sz w:val="24"/>
                <w:szCs w:val="24"/>
              </w:rPr>
              <w:t>易燃液体——闪点低子</w:t>
            </w:r>
            <w:r>
              <w:rPr>
                <w:rFonts w:ascii="Times New Roman" w:hAnsi="Times New Roman" w:eastAsia="Times New Roman" w:cs="Times New Roman"/>
                <w:spacing w:val="-3"/>
                <w:sz w:val="24"/>
                <w:szCs w:val="24"/>
              </w:rPr>
              <w:t>21</w:t>
            </w:r>
            <w:r>
              <w:rPr>
                <w:spacing w:val="-3"/>
                <w:sz w:val="24"/>
                <w:szCs w:val="24"/>
              </w:rPr>
              <w:t>℃</w:t>
            </w:r>
            <w:r>
              <w:rPr>
                <w:spacing w:val="-84"/>
                <w:sz w:val="24"/>
                <w:szCs w:val="24"/>
              </w:rPr>
              <w:t xml:space="preserve"> </w:t>
            </w:r>
            <w:r>
              <w:rPr>
                <w:spacing w:val="-3"/>
                <w:sz w:val="24"/>
                <w:szCs w:val="24"/>
              </w:rPr>
              <w:t>,</w:t>
            </w:r>
            <w:r>
              <w:rPr>
                <w:spacing w:val="64"/>
                <w:sz w:val="24"/>
                <w:szCs w:val="24"/>
              </w:rPr>
              <w:t xml:space="preserve"> </w:t>
            </w:r>
            <w:r>
              <w:rPr>
                <w:spacing w:val="-3"/>
                <w:sz w:val="24"/>
                <w:szCs w:val="24"/>
              </w:rPr>
              <w:t>沸点高于</w:t>
            </w:r>
            <w:r>
              <w:rPr>
                <w:spacing w:val="-55"/>
                <w:sz w:val="24"/>
                <w:szCs w:val="24"/>
              </w:rPr>
              <w:t xml:space="preserve"> </w:t>
            </w:r>
            <w:r>
              <w:rPr>
                <w:rFonts w:ascii="Times New Roman" w:hAnsi="Times New Roman" w:eastAsia="Times New Roman" w:cs="Times New Roman"/>
                <w:spacing w:val="-3"/>
                <w:sz w:val="24"/>
                <w:szCs w:val="24"/>
              </w:rPr>
              <w:t>20</w:t>
            </w:r>
            <w:r>
              <w:rPr>
                <w:spacing w:val="-3"/>
                <w:sz w:val="24"/>
                <w:szCs w:val="24"/>
              </w:rPr>
              <w:t>℃的物质</w:t>
            </w:r>
          </w:p>
        </w:tc>
      </w:tr>
      <w:tr w14:paraId="2BE0D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34" w:type="dxa"/>
            <w:vMerge w:val="continue"/>
            <w:tcBorders>
              <w:top w:val="nil"/>
            </w:tcBorders>
            <w:vAlign w:val="top"/>
          </w:tcPr>
          <w:p w14:paraId="605B4C1B">
            <w:pPr>
              <w:rPr>
                <w:rFonts w:ascii="Arial"/>
                <w:sz w:val="21"/>
              </w:rPr>
            </w:pPr>
          </w:p>
        </w:tc>
        <w:tc>
          <w:tcPr>
            <w:tcW w:w="364" w:type="dxa"/>
            <w:vAlign w:val="top"/>
          </w:tcPr>
          <w:p w14:paraId="0E866531">
            <w:pPr>
              <w:spacing w:before="236" w:line="188" w:lineRule="auto"/>
              <w:ind w:left="12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7419" w:type="dxa"/>
            <w:gridSpan w:val="3"/>
            <w:vAlign w:val="top"/>
          </w:tcPr>
          <w:p w14:paraId="139A29A5">
            <w:pPr>
              <w:pStyle w:val="6"/>
              <w:spacing w:before="38" w:line="216" w:lineRule="auto"/>
              <w:ind w:left="12"/>
              <w:rPr>
                <w:sz w:val="24"/>
                <w:szCs w:val="24"/>
              </w:rPr>
            </w:pPr>
            <w:r>
              <w:rPr>
                <w:spacing w:val="-3"/>
                <w:sz w:val="24"/>
                <w:szCs w:val="24"/>
              </w:rPr>
              <w:t>可燃液体闪点低于</w:t>
            </w:r>
            <w:r>
              <w:rPr>
                <w:rFonts w:ascii="Times New Roman" w:hAnsi="Times New Roman" w:eastAsia="Times New Roman" w:cs="Times New Roman"/>
                <w:spacing w:val="-3"/>
                <w:sz w:val="24"/>
                <w:szCs w:val="24"/>
              </w:rPr>
              <w:t>55</w:t>
            </w:r>
            <w:r>
              <w:rPr>
                <w:spacing w:val="-3"/>
                <w:sz w:val="24"/>
                <w:szCs w:val="24"/>
              </w:rPr>
              <w:t>℃</w:t>
            </w:r>
            <w:r>
              <w:rPr>
                <w:spacing w:val="-91"/>
                <w:sz w:val="24"/>
                <w:szCs w:val="24"/>
              </w:rPr>
              <w:t xml:space="preserve"> </w:t>
            </w:r>
            <w:r>
              <w:rPr>
                <w:spacing w:val="-3"/>
                <w:sz w:val="24"/>
                <w:szCs w:val="24"/>
              </w:rPr>
              <w:t>,</w:t>
            </w:r>
            <w:r>
              <w:rPr>
                <w:spacing w:val="33"/>
                <w:sz w:val="24"/>
                <w:szCs w:val="24"/>
              </w:rPr>
              <w:t xml:space="preserve"> </w:t>
            </w:r>
            <w:r>
              <w:rPr>
                <w:spacing w:val="-3"/>
                <w:sz w:val="24"/>
                <w:szCs w:val="24"/>
              </w:rPr>
              <w:t>压力下保持液态，在实</w:t>
            </w:r>
            <w:r>
              <w:rPr>
                <w:spacing w:val="-4"/>
                <w:sz w:val="24"/>
                <w:szCs w:val="24"/>
              </w:rPr>
              <w:t>际操作条件下（高温高</w:t>
            </w:r>
          </w:p>
          <w:p w14:paraId="35F34AB7">
            <w:pPr>
              <w:pStyle w:val="6"/>
              <w:spacing w:before="31" w:line="205" w:lineRule="auto"/>
              <w:ind w:left="2154"/>
              <w:rPr>
                <w:sz w:val="24"/>
                <w:szCs w:val="24"/>
              </w:rPr>
            </w:pPr>
            <w:r>
              <w:rPr>
                <w:spacing w:val="-1"/>
                <w:sz w:val="24"/>
                <w:szCs w:val="24"/>
              </w:rPr>
              <w:t>压下）可引起重大亊故的物质</w:t>
            </w:r>
          </w:p>
        </w:tc>
      </w:tr>
      <w:tr w14:paraId="39C21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98" w:type="dxa"/>
            <w:gridSpan w:val="2"/>
            <w:vAlign w:val="top"/>
          </w:tcPr>
          <w:p w14:paraId="64C81D78">
            <w:pPr>
              <w:pStyle w:val="6"/>
              <w:spacing w:before="38" w:line="222" w:lineRule="auto"/>
              <w:ind w:left="217" w:right="85" w:hanging="120"/>
              <w:rPr>
                <w:sz w:val="24"/>
                <w:szCs w:val="24"/>
              </w:rPr>
            </w:pPr>
            <w:r>
              <w:rPr>
                <w:spacing w:val="-4"/>
                <w:sz w:val="24"/>
                <w:szCs w:val="24"/>
              </w:rPr>
              <w:t>爆炸性</w:t>
            </w:r>
            <w:r>
              <w:rPr>
                <w:spacing w:val="1"/>
                <w:sz w:val="24"/>
                <w:szCs w:val="24"/>
              </w:rPr>
              <w:t xml:space="preserve"> </w:t>
            </w:r>
            <w:r>
              <w:rPr>
                <w:spacing w:val="-5"/>
                <w:sz w:val="24"/>
                <w:szCs w:val="24"/>
              </w:rPr>
              <w:t>物质</w:t>
            </w:r>
          </w:p>
        </w:tc>
        <w:tc>
          <w:tcPr>
            <w:tcW w:w="7419" w:type="dxa"/>
            <w:gridSpan w:val="3"/>
            <w:vAlign w:val="top"/>
          </w:tcPr>
          <w:p w14:paraId="28FC66E6">
            <w:pPr>
              <w:pStyle w:val="6"/>
              <w:spacing w:before="193" w:line="218" w:lineRule="auto"/>
              <w:ind w:left="112"/>
              <w:rPr>
                <w:sz w:val="24"/>
                <w:szCs w:val="24"/>
              </w:rPr>
            </w:pPr>
            <w:r>
              <w:rPr>
                <w:sz w:val="24"/>
                <w:szCs w:val="24"/>
              </w:rPr>
              <w:t>在火焰影响下可以爆炸，或者对冲击、摩擦比</w:t>
            </w:r>
            <w:r>
              <w:rPr>
                <w:spacing w:val="-1"/>
                <w:sz w:val="24"/>
                <w:szCs w:val="24"/>
              </w:rPr>
              <w:t>硝基苯更为敏感的物质</w:t>
            </w:r>
          </w:p>
        </w:tc>
      </w:tr>
      <w:tr w14:paraId="36E8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8317" w:type="dxa"/>
            <w:gridSpan w:val="5"/>
            <w:vAlign w:val="top"/>
          </w:tcPr>
          <w:p w14:paraId="34D3D273">
            <w:pPr>
              <w:pStyle w:val="6"/>
              <w:spacing w:before="37" w:line="220" w:lineRule="auto"/>
              <w:ind w:left="12"/>
            </w:pPr>
            <w:r>
              <w:rPr>
                <w:spacing w:val="-1"/>
              </w:rPr>
              <w:t>注</w:t>
            </w:r>
            <w:r>
              <w:rPr>
                <w:spacing w:val="-41"/>
              </w:rPr>
              <w:t>：（</w:t>
            </w:r>
            <w:r>
              <w:rPr>
                <w:rFonts w:ascii="Times New Roman" w:hAnsi="Times New Roman" w:eastAsia="Times New Roman" w:cs="Times New Roman"/>
                <w:spacing w:val="-1"/>
              </w:rPr>
              <w:t>1</w:t>
            </w:r>
            <w:r>
              <w:rPr>
                <w:spacing w:val="-1"/>
              </w:rPr>
              <w:t>）有毒物质判定标准序号为</w:t>
            </w:r>
            <w:r>
              <w:rPr>
                <w:spacing w:val="-29"/>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7"/>
              </w:rPr>
              <w:t xml:space="preserve"> </w:t>
            </w:r>
            <w:r>
              <w:rPr>
                <w:spacing w:val="-1"/>
              </w:rPr>
              <w:t>的物质属于剧毒物质：符合有毒物质判定标准</w:t>
            </w:r>
          </w:p>
          <w:p w14:paraId="42410C41">
            <w:pPr>
              <w:pStyle w:val="6"/>
              <w:spacing w:before="23" w:line="223" w:lineRule="auto"/>
              <w:ind w:left="13" w:right="56" w:hanging="2"/>
            </w:pPr>
            <w:r>
              <w:t>序号</w:t>
            </w:r>
            <w:r>
              <w:rPr>
                <w:spacing w:val="-46"/>
              </w:rPr>
              <w:t xml:space="preserve"> </w:t>
            </w:r>
            <w:r>
              <w:rPr>
                <w:rFonts w:ascii="Times New Roman" w:hAnsi="Times New Roman" w:eastAsia="Times New Roman" w:cs="Times New Roman"/>
              </w:rPr>
              <w:t>3</w:t>
            </w:r>
            <w:r>
              <w:rPr>
                <w:rFonts w:ascii="Times New Roman" w:hAnsi="Times New Roman" w:eastAsia="Times New Roman" w:cs="Times New Roman"/>
                <w:spacing w:val="24"/>
              </w:rPr>
              <w:t xml:space="preserve"> </w:t>
            </w:r>
            <w:r>
              <w:t>的属于一般毒物</w:t>
            </w:r>
            <w:r>
              <w:rPr>
                <w:spacing w:val="-16"/>
              </w:rPr>
              <w:t>：（</w:t>
            </w:r>
            <w:r>
              <w:rPr>
                <w:rFonts w:ascii="Times New Roman" w:hAnsi="Times New Roman" w:eastAsia="Times New Roman" w:cs="Times New Roman"/>
              </w:rPr>
              <w:t>2</w:t>
            </w:r>
            <w:r>
              <w:t>）凡符合表中易燃物质和爆炸性物质</w:t>
            </w:r>
            <w:r>
              <w:rPr>
                <w:spacing w:val="-1"/>
              </w:rPr>
              <w:t>标准的物质，均视为</w:t>
            </w:r>
            <w:r>
              <w:t xml:space="preserve"> </w:t>
            </w:r>
            <w:r>
              <w:rPr>
                <w:spacing w:val="-2"/>
              </w:rPr>
              <w:t>火灾、爆炸危险物质。</w:t>
            </w:r>
          </w:p>
        </w:tc>
      </w:tr>
    </w:tbl>
    <w:p w14:paraId="782526D5">
      <w:pPr>
        <w:spacing w:before="157" w:line="219" w:lineRule="auto"/>
        <w:ind w:left="220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5.1-2    </w:t>
      </w:r>
      <w:r>
        <w:rPr>
          <w:rFonts w:ascii="宋体" w:hAnsi="宋体" w:eastAsia="宋体" w:cs="宋体"/>
          <w:b/>
          <w:bCs/>
          <w:spacing w:val="-2"/>
          <w:sz w:val="24"/>
          <w:szCs w:val="24"/>
        </w:rPr>
        <w:t>可燃气体的火灾危险性分类</w:t>
      </w:r>
    </w:p>
    <w:p w14:paraId="182FD299">
      <w:pPr>
        <w:spacing w:line="110" w:lineRule="exact"/>
      </w:pPr>
    </w:p>
    <w:tbl>
      <w:tblPr>
        <w:tblStyle w:val="5"/>
        <w:tblW w:w="831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7320"/>
      </w:tblGrid>
      <w:tr w14:paraId="6FB6D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98" w:type="dxa"/>
            <w:vAlign w:val="top"/>
          </w:tcPr>
          <w:p w14:paraId="090CE94B">
            <w:pPr>
              <w:pStyle w:val="6"/>
              <w:spacing w:before="82" w:line="219" w:lineRule="auto"/>
              <w:ind w:left="265"/>
              <w:rPr>
                <w:sz w:val="24"/>
                <w:szCs w:val="24"/>
              </w:rPr>
            </w:pPr>
            <w:r>
              <w:rPr>
                <w:spacing w:val="-5"/>
                <w:sz w:val="24"/>
                <w:szCs w:val="24"/>
              </w:rPr>
              <w:t>类别</w:t>
            </w:r>
          </w:p>
        </w:tc>
        <w:tc>
          <w:tcPr>
            <w:tcW w:w="7320" w:type="dxa"/>
            <w:vAlign w:val="top"/>
          </w:tcPr>
          <w:p w14:paraId="1DE22DAD">
            <w:pPr>
              <w:pStyle w:val="6"/>
              <w:spacing w:before="82" w:line="218" w:lineRule="auto"/>
              <w:ind w:left="1865"/>
              <w:rPr>
                <w:sz w:val="24"/>
                <w:szCs w:val="24"/>
              </w:rPr>
            </w:pPr>
            <w:r>
              <w:rPr>
                <w:spacing w:val="-1"/>
                <w:sz w:val="24"/>
                <w:szCs w:val="24"/>
              </w:rPr>
              <w:t>可燃气体与空气混合物的爆炸下限</w:t>
            </w:r>
          </w:p>
        </w:tc>
      </w:tr>
      <w:tr w14:paraId="788D7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98" w:type="dxa"/>
            <w:vAlign w:val="top"/>
          </w:tcPr>
          <w:p w14:paraId="2F1915FE">
            <w:pPr>
              <w:pStyle w:val="6"/>
              <w:spacing w:before="80" w:line="222" w:lineRule="auto"/>
              <w:ind w:left="416"/>
              <w:rPr>
                <w:sz w:val="24"/>
                <w:szCs w:val="24"/>
              </w:rPr>
            </w:pPr>
            <w:r>
              <w:rPr>
                <w:sz w:val="24"/>
                <w:szCs w:val="24"/>
              </w:rPr>
              <w:t>甲</w:t>
            </w:r>
          </w:p>
        </w:tc>
        <w:tc>
          <w:tcPr>
            <w:tcW w:w="7320" w:type="dxa"/>
            <w:vAlign w:val="top"/>
          </w:tcPr>
          <w:p w14:paraId="0D571721">
            <w:pPr>
              <w:pStyle w:val="6"/>
              <w:spacing w:before="80" w:line="219" w:lineRule="auto"/>
              <w:ind w:left="2890"/>
              <w:rPr>
                <w:sz w:val="24"/>
                <w:szCs w:val="24"/>
              </w:rPr>
            </w:pPr>
            <w:r>
              <w:rPr>
                <w:rFonts w:ascii="Times New Roman" w:hAnsi="Times New Roman" w:eastAsia="Times New Roman" w:cs="Times New Roman"/>
                <w:spacing w:val="-1"/>
                <w:sz w:val="24"/>
                <w:szCs w:val="24"/>
              </w:rPr>
              <w:t>&lt;10%</w:t>
            </w:r>
            <w:r>
              <w:rPr>
                <w:spacing w:val="-1"/>
                <w:sz w:val="24"/>
                <w:szCs w:val="24"/>
              </w:rPr>
              <w:t>（</w:t>
            </w:r>
            <w:r>
              <w:rPr>
                <w:rFonts w:hint="eastAsia"/>
                <w:spacing w:val="-1"/>
                <w:sz w:val="24"/>
                <w:szCs w:val="24"/>
                <w:lang w:val="en-US" w:eastAsia="zh-CN"/>
              </w:rPr>
              <w:t>体积</w:t>
            </w:r>
            <w:r>
              <w:rPr>
                <w:spacing w:val="-1"/>
                <w:sz w:val="24"/>
                <w:szCs w:val="24"/>
              </w:rPr>
              <w:t>）</w:t>
            </w:r>
          </w:p>
        </w:tc>
      </w:tr>
      <w:tr w14:paraId="19BA9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98" w:type="dxa"/>
            <w:vAlign w:val="top"/>
          </w:tcPr>
          <w:p w14:paraId="4FB37A1A">
            <w:pPr>
              <w:pStyle w:val="6"/>
              <w:spacing w:before="81" w:line="234" w:lineRule="auto"/>
              <w:ind w:left="408"/>
              <w:rPr>
                <w:sz w:val="24"/>
                <w:szCs w:val="24"/>
              </w:rPr>
            </w:pPr>
            <w:r>
              <w:rPr>
                <w:sz w:val="24"/>
                <w:szCs w:val="24"/>
              </w:rPr>
              <w:t>乙</w:t>
            </w:r>
          </w:p>
        </w:tc>
        <w:tc>
          <w:tcPr>
            <w:tcW w:w="7320" w:type="dxa"/>
            <w:vAlign w:val="top"/>
          </w:tcPr>
          <w:p w14:paraId="1C5A7531">
            <w:pPr>
              <w:pStyle w:val="6"/>
              <w:spacing w:before="81" w:line="219" w:lineRule="auto"/>
              <w:ind w:left="2890"/>
              <w:rPr>
                <w:sz w:val="24"/>
                <w:szCs w:val="24"/>
              </w:rPr>
            </w:pPr>
            <w:r>
              <w:rPr>
                <w:rFonts w:ascii="Times New Roman" w:hAnsi="Times New Roman" w:eastAsia="Times New Roman" w:cs="Times New Roman"/>
                <w:spacing w:val="-1"/>
                <w:sz w:val="24"/>
                <w:szCs w:val="24"/>
              </w:rPr>
              <w:t>&gt;10%</w:t>
            </w:r>
            <w:r>
              <w:rPr>
                <w:spacing w:val="-1"/>
                <w:sz w:val="24"/>
                <w:szCs w:val="24"/>
              </w:rPr>
              <w:t>（</w:t>
            </w:r>
            <w:r>
              <w:rPr>
                <w:rFonts w:hint="eastAsia"/>
                <w:spacing w:val="-1"/>
                <w:sz w:val="24"/>
                <w:szCs w:val="24"/>
                <w:lang w:val="en-US" w:eastAsia="zh-CN"/>
              </w:rPr>
              <w:t>体积</w:t>
            </w:r>
            <w:bookmarkStart w:id="43" w:name="_GoBack"/>
            <w:bookmarkEnd w:id="43"/>
            <w:r>
              <w:rPr>
                <w:spacing w:val="-1"/>
                <w:sz w:val="24"/>
                <w:szCs w:val="24"/>
              </w:rPr>
              <w:t>）</w:t>
            </w:r>
          </w:p>
        </w:tc>
      </w:tr>
    </w:tbl>
    <w:p w14:paraId="6819663C">
      <w:pPr>
        <w:spacing w:before="155" w:line="219" w:lineRule="auto"/>
        <w:ind w:left="172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5.1-3    </w:t>
      </w:r>
      <w:r>
        <w:rPr>
          <w:rFonts w:ascii="宋体" w:hAnsi="宋体" w:eastAsia="宋体" w:cs="宋体"/>
          <w:b/>
          <w:bCs/>
          <w:spacing w:val="-2"/>
          <w:sz w:val="24"/>
          <w:szCs w:val="24"/>
        </w:rPr>
        <w:t>液化烃、可燃液体的火灾危险性分类</w:t>
      </w:r>
    </w:p>
    <w:p w14:paraId="4B83B2D4">
      <w:pPr>
        <w:spacing w:line="113" w:lineRule="exact"/>
      </w:pPr>
    </w:p>
    <w:tbl>
      <w:tblPr>
        <w:tblStyle w:val="5"/>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41"/>
        <w:gridCol w:w="1258"/>
        <w:gridCol w:w="5912"/>
      </w:tblGrid>
      <w:tr w14:paraId="54F62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50" w:type="dxa"/>
            <w:gridSpan w:val="2"/>
            <w:vAlign w:val="top"/>
          </w:tcPr>
          <w:p w14:paraId="644F9B69">
            <w:pPr>
              <w:pStyle w:val="6"/>
              <w:spacing w:before="82" w:line="219" w:lineRule="auto"/>
              <w:ind w:left="342"/>
              <w:rPr>
                <w:sz w:val="24"/>
                <w:szCs w:val="24"/>
              </w:rPr>
            </w:pPr>
            <w:r>
              <w:rPr>
                <w:spacing w:val="-5"/>
                <w:sz w:val="24"/>
                <w:szCs w:val="24"/>
              </w:rPr>
              <w:t>类别</w:t>
            </w:r>
          </w:p>
        </w:tc>
        <w:tc>
          <w:tcPr>
            <w:tcW w:w="1258" w:type="dxa"/>
            <w:vAlign w:val="top"/>
          </w:tcPr>
          <w:p w14:paraId="1FAC3248">
            <w:pPr>
              <w:pStyle w:val="6"/>
              <w:spacing w:before="83" w:line="221" w:lineRule="auto"/>
              <w:ind w:left="395"/>
              <w:rPr>
                <w:sz w:val="24"/>
                <w:szCs w:val="24"/>
              </w:rPr>
            </w:pPr>
            <w:r>
              <w:rPr>
                <w:spacing w:val="-7"/>
                <w:sz w:val="24"/>
                <w:szCs w:val="24"/>
              </w:rPr>
              <w:t>名称</w:t>
            </w:r>
          </w:p>
        </w:tc>
        <w:tc>
          <w:tcPr>
            <w:tcW w:w="5912" w:type="dxa"/>
            <w:vAlign w:val="top"/>
          </w:tcPr>
          <w:p w14:paraId="2E3904E6">
            <w:pPr>
              <w:pStyle w:val="6"/>
              <w:spacing w:before="82" w:line="219" w:lineRule="auto"/>
              <w:ind w:left="2720"/>
              <w:rPr>
                <w:sz w:val="24"/>
                <w:szCs w:val="24"/>
              </w:rPr>
            </w:pPr>
            <w:r>
              <w:rPr>
                <w:spacing w:val="-5"/>
                <w:sz w:val="24"/>
                <w:szCs w:val="24"/>
              </w:rPr>
              <w:t>特征</w:t>
            </w:r>
          </w:p>
        </w:tc>
      </w:tr>
      <w:tr w14:paraId="3EAEA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609" w:type="dxa"/>
            <w:vAlign w:val="top"/>
          </w:tcPr>
          <w:p w14:paraId="5EC4B579">
            <w:pPr>
              <w:pStyle w:val="6"/>
              <w:spacing w:before="79" w:line="222" w:lineRule="auto"/>
              <w:ind w:left="222"/>
              <w:rPr>
                <w:sz w:val="24"/>
                <w:szCs w:val="24"/>
              </w:rPr>
            </w:pPr>
            <w:r>
              <w:rPr>
                <w:sz w:val="24"/>
                <w:szCs w:val="24"/>
              </w:rPr>
              <w:t>甲</w:t>
            </w:r>
          </w:p>
        </w:tc>
        <w:tc>
          <w:tcPr>
            <w:tcW w:w="541" w:type="dxa"/>
            <w:vAlign w:val="top"/>
          </w:tcPr>
          <w:p w14:paraId="341A2A1C">
            <w:pPr>
              <w:spacing w:before="119"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Align w:val="top"/>
          </w:tcPr>
          <w:p w14:paraId="3B018C05">
            <w:pPr>
              <w:pStyle w:val="6"/>
              <w:spacing w:before="79" w:line="220" w:lineRule="auto"/>
              <w:ind w:left="274"/>
              <w:rPr>
                <w:sz w:val="24"/>
                <w:szCs w:val="24"/>
              </w:rPr>
            </w:pPr>
            <w:r>
              <w:rPr>
                <w:spacing w:val="-4"/>
                <w:sz w:val="24"/>
                <w:szCs w:val="24"/>
              </w:rPr>
              <w:t>液化烃</w:t>
            </w:r>
          </w:p>
        </w:tc>
        <w:tc>
          <w:tcPr>
            <w:tcW w:w="5912" w:type="dxa"/>
            <w:vAlign w:val="top"/>
          </w:tcPr>
          <w:p w14:paraId="145A47D4">
            <w:pPr>
              <w:pStyle w:val="6"/>
              <w:spacing w:before="79" w:line="217" w:lineRule="auto"/>
              <w:ind w:right="3"/>
              <w:jc w:val="right"/>
              <w:rPr>
                <w:sz w:val="24"/>
                <w:szCs w:val="24"/>
              </w:rPr>
            </w:pPr>
            <w:r>
              <w:rPr>
                <w:rFonts w:ascii="Times New Roman" w:hAnsi="Times New Roman" w:eastAsia="Times New Roman" w:cs="Times New Roman"/>
                <w:spacing w:val="-1"/>
                <w:sz w:val="24"/>
                <w:szCs w:val="24"/>
              </w:rPr>
              <w:t>15</w:t>
            </w:r>
            <w:r>
              <w:rPr>
                <w:spacing w:val="-1"/>
                <w:sz w:val="24"/>
                <w:szCs w:val="24"/>
              </w:rPr>
              <w:t>℃时的蒸汽压力</w:t>
            </w:r>
            <w:r>
              <w:rPr>
                <w:rFonts w:ascii="Times New Roman" w:hAnsi="Times New Roman" w:eastAsia="Times New Roman" w:cs="Times New Roman"/>
                <w:spacing w:val="-1"/>
                <w:sz w:val="24"/>
                <w:szCs w:val="24"/>
              </w:rPr>
              <w:t xml:space="preserve">XUMPa </w:t>
            </w:r>
            <w:r>
              <w:rPr>
                <w:spacing w:val="-1"/>
                <w:sz w:val="24"/>
                <w:szCs w:val="24"/>
              </w:rPr>
              <w:t>的烃类液体及其他类似的液体</w:t>
            </w:r>
          </w:p>
        </w:tc>
      </w:tr>
    </w:tbl>
    <w:p w14:paraId="2EE1F1FA">
      <w:pPr>
        <w:pStyle w:val="2"/>
      </w:pPr>
    </w:p>
    <w:p w14:paraId="5EA4B963">
      <w:pPr>
        <w:sectPr>
          <w:footerReference r:id="rId106" w:type="default"/>
          <w:pgSz w:w="11906" w:h="16839"/>
          <w:pgMar w:top="400" w:right="1785" w:bottom="1259" w:left="1785" w:header="0" w:footer="1097" w:gutter="0"/>
          <w:cols w:space="720" w:num="1"/>
        </w:sectPr>
      </w:pPr>
    </w:p>
    <w:p w14:paraId="40464AC4">
      <w:pPr>
        <w:spacing w:before="19"/>
      </w:pPr>
    </w:p>
    <w:p w14:paraId="28770E3B">
      <w:pPr>
        <w:spacing w:before="19"/>
      </w:pPr>
    </w:p>
    <w:p w14:paraId="68CFA8EA">
      <w:pPr>
        <w:spacing w:before="18"/>
      </w:pPr>
    </w:p>
    <w:p w14:paraId="27155AF3">
      <w:pPr>
        <w:spacing w:before="18"/>
      </w:pPr>
    </w:p>
    <w:tbl>
      <w:tblPr>
        <w:tblStyle w:val="5"/>
        <w:tblW w:w="832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41"/>
        <w:gridCol w:w="1258"/>
        <w:gridCol w:w="5912"/>
      </w:tblGrid>
      <w:tr w14:paraId="63C14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9" w:type="dxa"/>
            <w:vAlign w:val="top"/>
          </w:tcPr>
          <w:p w14:paraId="7D69C461">
            <w:pPr>
              <w:rPr>
                <w:rFonts w:ascii="Arial"/>
                <w:sz w:val="21"/>
              </w:rPr>
            </w:pPr>
          </w:p>
        </w:tc>
        <w:tc>
          <w:tcPr>
            <w:tcW w:w="541" w:type="dxa"/>
            <w:vAlign w:val="top"/>
          </w:tcPr>
          <w:p w14:paraId="4C049788">
            <w:pPr>
              <w:spacing w:before="127"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restart"/>
            <w:tcBorders>
              <w:bottom w:val="nil"/>
            </w:tcBorders>
            <w:vAlign w:val="top"/>
          </w:tcPr>
          <w:p w14:paraId="0486C056">
            <w:pPr>
              <w:spacing w:line="271" w:lineRule="auto"/>
              <w:rPr>
                <w:rFonts w:ascii="Arial"/>
                <w:sz w:val="21"/>
              </w:rPr>
            </w:pPr>
          </w:p>
          <w:p w14:paraId="5E22EF65">
            <w:pPr>
              <w:spacing w:line="271" w:lineRule="auto"/>
              <w:rPr>
                <w:rFonts w:ascii="Arial"/>
                <w:sz w:val="21"/>
              </w:rPr>
            </w:pPr>
          </w:p>
          <w:p w14:paraId="300A8776">
            <w:pPr>
              <w:spacing w:line="271" w:lineRule="auto"/>
              <w:rPr>
                <w:rFonts w:ascii="Arial"/>
                <w:sz w:val="21"/>
              </w:rPr>
            </w:pPr>
          </w:p>
          <w:p w14:paraId="541FA1BA">
            <w:pPr>
              <w:pStyle w:val="6"/>
              <w:spacing w:before="78" w:line="218" w:lineRule="auto"/>
              <w:ind w:left="154"/>
              <w:rPr>
                <w:sz w:val="24"/>
                <w:szCs w:val="24"/>
              </w:rPr>
            </w:pPr>
            <w:r>
              <w:rPr>
                <w:spacing w:val="-3"/>
                <w:sz w:val="24"/>
                <w:szCs w:val="24"/>
              </w:rPr>
              <w:t>可燃液体</w:t>
            </w:r>
          </w:p>
        </w:tc>
        <w:tc>
          <w:tcPr>
            <w:tcW w:w="5912" w:type="dxa"/>
            <w:vAlign w:val="top"/>
          </w:tcPr>
          <w:p w14:paraId="776A044B">
            <w:pPr>
              <w:pStyle w:val="6"/>
              <w:spacing w:before="83" w:line="219" w:lineRule="auto"/>
              <w:ind w:left="1697"/>
              <w:rPr>
                <w:sz w:val="24"/>
                <w:szCs w:val="24"/>
              </w:rPr>
            </w:pPr>
            <w:r>
              <w:rPr>
                <w:spacing w:val="-4"/>
                <w:sz w:val="24"/>
                <w:szCs w:val="24"/>
              </w:rPr>
              <w:t>甲</w:t>
            </w:r>
            <w:r>
              <w:rPr>
                <w:spacing w:val="-51"/>
                <w:sz w:val="24"/>
                <w:szCs w:val="24"/>
              </w:rPr>
              <w:t xml:space="preserve"> </w:t>
            </w:r>
            <w:r>
              <w:rPr>
                <w:rFonts w:ascii="Times New Roman" w:hAnsi="Times New Roman" w:eastAsia="Times New Roman" w:cs="Times New Roman"/>
                <w:spacing w:val="-4"/>
                <w:sz w:val="24"/>
                <w:szCs w:val="24"/>
              </w:rPr>
              <w:t xml:space="preserve">A </w:t>
            </w:r>
            <w:r>
              <w:rPr>
                <w:spacing w:val="-4"/>
                <w:sz w:val="24"/>
                <w:szCs w:val="24"/>
              </w:rPr>
              <w:t>类以外，闪点</w:t>
            </w:r>
            <w:r>
              <w:rPr>
                <w:rFonts w:ascii="Times New Roman" w:hAnsi="Times New Roman" w:eastAsia="Times New Roman" w:cs="Times New Roman"/>
                <w:spacing w:val="-4"/>
                <w:sz w:val="24"/>
                <w:szCs w:val="24"/>
              </w:rPr>
              <w:t>&lt;28</w:t>
            </w:r>
            <w:r>
              <w:rPr>
                <w:spacing w:val="-4"/>
                <w:sz w:val="24"/>
                <w:szCs w:val="24"/>
              </w:rPr>
              <w:t>℃</w:t>
            </w:r>
          </w:p>
        </w:tc>
      </w:tr>
      <w:tr w14:paraId="43F6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restart"/>
            <w:tcBorders>
              <w:bottom w:val="nil"/>
            </w:tcBorders>
            <w:vAlign w:val="top"/>
          </w:tcPr>
          <w:p w14:paraId="242D37C9">
            <w:pPr>
              <w:pStyle w:val="6"/>
              <w:spacing w:before="285" w:line="234" w:lineRule="auto"/>
              <w:ind w:left="215"/>
              <w:rPr>
                <w:sz w:val="24"/>
                <w:szCs w:val="24"/>
              </w:rPr>
            </w:pPr>
            <w:r>
              <w:rPr>
                <w:sz w:val="24"/>
                <w:szCs w:val="24"/>
              </w:rPr>
              <w:t>乙</w:t>
            </w:r>
          </w:p>
        </w:tc>
        <w:tc>
          <w:tcPr>
            <w:tcW w:w="541" w:type="dxa"/>
            <w:vAlign w:val="top"/>
          </w:tcPr>
          <w:p w14:paraId="79A407D3">
            <w:pPr>
              <w:spacing w:before="121"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Merge w:val="continue"/>
            <w:tcBorders>
              <w:top w:val="nil"/>
              <w:bottom w:val="nil"/>
            </w:tcBorders>
            <w:vAlign w:val="top"/>
          </w:tcPr>
          <w:p w14:paraId="00380D30">
            <w:pPr>
              <w:rPr>
                <w:rFonts w:ascii="Arial"/>
                <w:sz w:val="21"/>
              </w:rPr>
            </w:pPr>
          </w:p>
        </w:tc>
        <w:tc>
          <w:tcPr>
            <w:tcW w:w="5912" w:type="dxa"/>
            <w:vAlign w:val="top"/>
          </w:tcPr>
          <w:p w14:paraId="6FDD425D">
            <w:pPr>
              <w:pStyle w:val="6"/>
              <w:spacing w:before="80" w:line="220" w:lineRule="auto"/>
              <w:ind w:left="2286"/>
              <w:rPr>
                <w:sz w:val="24"/>
                <w:szCs w:val="24"/>
              </w:rPr>
            </w:pPr>
            <w:r>
              <w:rPr>
                <w:spacing w:val="-7"/>
                <w:sz w:val="24"/>
                <w:szCs w:val="24"/>
              </w:rPr>
              <w:t>闪点至</w:t>
            </w:r>
            <w:r>
              <w:rPr>
                <w:spacing w:val="-43"/>
                <w:sz w:val="24"/>
                <w:szCs w:val="24"/>
              </w:rPr>
              <w:t xml:space="preserve"> </w:t>
            </w:r>
            <w:r>
              <w:rPr>
                <w:rFonts w:ascii="Times New Roman" w:hAnsi="Times New Roman" w:eastAsia="Times New Roman" w:cs="Times New Roman"/>
                <w:spacing w:val="-7"/>
                <w:sz w:val="24"/>
                <w:szCs w:val="24"/>
              </w:rPr>
              <w:t>S45</w:t>
            </w:r>
            <w:r>
              <w:rPr>
                <w:spacing w:val="-7"/>
                <w:sz w:val="24"/>
                <w:szCs w:val="24"/>
              </w:rPr>
              <w:t>℃</w:t>
            </w:r>
          </w:p>
        </w:tc>
      </w:tr>
      <w:tr w14:paraId="6137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continue"/>
            <w:tcBorders>
              <w:top w:val="nil"/>
            </w:tcBorders>
            <w:vAlign w:val="top"/>
          </w:tcPr>
          <w:p w14:paraId="7EC3A62B">
            <w:pPr>
              <w:rPr>
                <w:rFonts w:ascii="Arial"/>
                <w:sz w:val="21"/>
              </w:rPr>
            </w:pPr>
          </w:p>
        </w:tc>
        <w:tc>
          <w:tcPr>
            <w:tcW w:w="541" w:type="dxa"/>
            <w:vAlign w:val="top"/>
          </w:tcPr>
          <w:p w14:paraId="6D7AE34F">
            <w:pPr>
              <w:spacing w:before="125"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continue"/>
            <w:tcBorders>
              <w:top w:val="nil"/>
              <w:bottom w:val="nil"/>
            </w:tcBorders>
            <w:vAlign w:val="top"/>
          </w:tcPr>
          <w:p w14:paraId="424C0E09">
            <w:pPr>
              <w:rPr>
                <w:rFonts w:ascii="Arial"/>
                <w:sz w:val="21"/>
              </w:rPr>
            </w:pPr>
          </w:p>
        </w:tc>
        <w:tc>
          <w:tcPr>
            <w:tcW w:w="5912" w:type="dxa"/>
            <w:vAlign w:val="top"/>
          </w:tcPr>
          <w:p w14:paraId="3E922B8C">
            <w:pPr>
              <w:pStyle w:val="6"/>
              <w:spacing w:before="80" w:line="220" w:lineRule="auto"/>
              <w:ind w:left="2007"/>
              <w:rPr>
                <w:sz w:val="24"/>
                <w:szCs w:val="24"/>
              </w:rPr>
            </w:pPr>
            <w:r>
              <w:rPr>
                <w:spacing w:val="-3"/>
                <w:sz w:val="24"/>
                <w:szCs w:val="24"/>
              </w:rPr>
              <w:t>闪点</w:t>
            </w:r>
            <w:r>
              <w:rPr>
                <w:rFonts w:ascii="Times New Roman" w:hAnsi="Times New Roman" w:eastAsia="Times New Roman" w:cs="Times New Roman"/>
                <w:spacing w:val="-3"/>
                <w:sz w:val="24"/>
                <w:szCs w:val="24"/>
              </w:rPr>
              <w:t>&gt;45</w:t>
            </w:r>
            <w:r>
              <w:rPr>
                <w:spacing w:val="-3"/>
                <w:sz w:val="24"/>
                <w:szCs w:val="24"/>
              </w:rPr>
              <w:t>℃至</w:t>
            </w:r>
            <w:r>
              <w:rPr>
                <w:rFonts w:ascii="Times New Roman" w:hAnsi="Times New Roman" w:eastAsia="Times New Roman" w:cs="Times New Roman"/>
                <w:spacing w:val="-3"/>
                <w:sz w:val="24"/>
                <w:szCs w:val="24"/>
              </w:rPr>
              <w:t>&lt;60</w:t>
            </w:r>
            <w:r>
              <w:rPr>
                <w:spacing w:val="-3"/>
                <w:sz w:val="24"/>
                <w:szCs w:val="24"/>
              </w:rPr>
              <w:t>℃</w:t>
            </w:r>
          </w:p>
        </w:tc>
      </w:tr>
      <w:tr w14:paraId="5F953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09" w:type="dxa"/>
            <w:vMerge w:val="restart"/>
            <w:tcBorders>
              <w:bottom w:val="nil"/>
            </w:tcBorders>
            <w:vAlign w:val="top"/>
          </w:tcPr>
          <w:p w14:paraId="18A68A08">
            <w:pPr>
              <w:pStyle w:val="6"/>
              <w:spacing w:before="286" w:line="220" w:lineRule="auto"/>
              <w:ind w:left="196"/>
              <w:rPr>
                <w:sz w:val="24"/>
                <w:szCs w:val="24"/>
              </w:rPr>
            </w:pPr>
            <w:r>
              <w:rPr>
                <w:sz w:val="24"/>
                <w:szCs w:val="24"/>
              </w:rPr>
              <w:t>丙</w:t>
            </w:r>
          </w:p>
        </w:tc>
        <w:tc>
          <w:tcPr>
            <w:tcW w:w="541" w:type="dxa"/>
            <w:vAlign w:val="top"/>
          </w:tcPr>
          <w:p w14:paraId="21F87A2C">
            <w:pPr>
              <w:spacing w:before="122" w:line="189" w:lineRule="auto"/>
              <w:ind w:left="182"/>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258" w:type="dxa"/>
            <w:vMerge w:val="continue"/>
            <w:tcBorders>
              <w:top w:val="nil"/>
              <w:bottom w:val="nil"/>
            </w:tcBorders>
            <w:vAlign w:val="top"/>
          </w:tcPr>
          <w:p w14:paraId="0D9462EB">
            <w:pPr>
              <w:rPr>
                <w:rFonts w:ascii="Arial"/>
                <w:sz w:val="21"/>
              </w:rPr>
            </w:pPr>
          </w:p>
        </w:tc>
        <w:tc>
          <w:tcPr>
            <w:tcW w:w="5912" w:type="dxa"/>
            <w:vAlign w:val="top"/>
          </w:tcPr>
          <w:p w14:paraId="6D0364DF">
            <w:pPr>
              <w:pStyle w:val="6"/>
              <w:spacing w:before="82" w:line="220" w:lineRule="auto"/>
              <w:ind w:left="1897"/>
              <w:rPr>
                <w:sz w:val="24"/>
                <w:szCs w:val="24"/>
              </w:rPr>
            </w:pPr>
            <w:r>
              <w:rPr>
                <w:spacing w:val="-5"/>
                <w:sz w:val="24"/>
                <w:szCs w:val="24"/>
              </w:rPr>
              <w:t>闪点</w:t>
            </w:r>
            <w:r>
              <w:rPr>
                <w:spacing w:val="-47"/>
                <w:sz w:val="24"/>
                <w:szCs w:val="24"/>
              </w:rPr>
              <w:t xml:space="preserve"> </w:t>
            </w:r>
            <w:r>
              <w:rPr>
                <w:rFonts w:ascii="Times New Roman" w:hAnsi="Times New Roman" w:eastAsia="Times New Roman" w:cs="Times New Roman"/>
                <w:spacing w:val="-5"/>
                <w:sz w:val="24"/>
                <w:szCs w:val="24"/>
              </w:rPr>
              <w:t>260</w:t>
            </w:r>
            <w:r>
              <w:rPr>
                <w:spacing w:val="-5"/>
                <w:sz w:val="24"/>
                <w:szCs w:val="24"/>
              </w:rPr>
              <w:t>℃至</w:t>
            </w:r>
            <w:r>
              <w:rPr>
                <w:spacing w:val="-45"/>
                <w:sz w:val="24"/>
                <w:szCs w:val="24"/>
              </w:rPr>
              <w:t xml:space="preserve"> </w:t>
            </w:r>
            <w:r>
              <w:rPr>
                <w:rFonts w:ascii="Times New Roman" w:hAnsi="Times New Roman" w:eastAsia="Times New Roman" w:cs="Times New Roman"/>
                <w:spacing w:val="-5"/>
                <w:sz w:val="24"/>
                <w:szCs w:val="24"/>
              </w:rPr>
              <w:t>S120</w:t>
            </w:r>
            <w:r>
              <w:rPr>
                <w:spacing w:val="-5"/>
                <w:sz w:val="24"/>
                <w:szCs w:val="24"/>
              </w:rPr>
              <w:t>℃</w:t>
            </w:r>
          </w:p>
        </w:tc>
      </w:tr>
      <w:tr w14:paraId="53DD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09" w:type="dxa"/>
            <w:vMerge w:val="continue"/>
            <w:tcBorders>
              <w:top w:val="nil"/>
            </w:tcBorders>
            <w:vAlign w:val="top"/>
          </w:tcPr>
          <w:p w14:paraId="506F8020">
            <w:pPr>
              <w:rPr>
                <w:rFonts w:ascii="Arial"/>
                <w:sz w:val="21"/>
              </w:rPr>
            </w:pPr>
          </w:p>
        </w:tc>
        <w:tc>
          <w:tcPr>
            <w:tcW w:w="541" w:type="dxa"/>
            <w:vAlign w:val="top"/>
          </w:tcPr>
          <w:p w14:paraId="099F4AB2">
            <w:pPr>
              <w:spacing w:before="127" w:line="185"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258" w:type="dxa"/>
            <w:vMerge w:val="continue"/>
            <w:tcBorders>
              <w:top w:val="nil"/>
            </w:tcBorders>
            <w:vAlign w:val="top"/>
          </w:tcPr>
          <w:p w14:paraId="14DC50B2">
            <w:pPr>
              <w:rPr>
                <w:rFonts w:ascii="Arial"/>
                <w:sz w:val="21"/>
              </w:rPr>
            </w:pPr>
          </w:p>
        </w:tc>
        <w:tc>
          <w:tcPr>
            <w:tcW w:w="5912" w:type="dxa"/>
            <w:vAlign w:val="top"/>
          </w:tcPr>
          <w:p w14:paraId="3E1E5391">
            <w:pPr>
              <w:pStyle w:val="6"/>
              <w:spacing w:before="81" w:line="220" w:lineRule="auto"/>
              <w:ind w:left="2374"/>
              <w:rPr>
                <w:sz w:val="24"/>
                <w:szCs w:val="24"/>
              </w:rPr>
            </w:pPr>
            <w:r>
              <w:rPr>
                <w:spacing w:val="-5"/>
                <w:sz w:val="24"/>
                <w:szCs w:val="24"/>
              </w:rPr>
              <w:t>闪点</w:t>
            </w:r>
            <w:r>
              <w:rPr>
                <w:rFonts w:ascii="Times New Roman" w:hAnsi="Times New Roman" w:eastAsia="Times New Roman" w:cs="Times New Roman"/>
                <w:spacing w:val="-5"/>
                <w:sz w:val="24"/>
                <w:szCs w:val="24"/>
              </w:rPr>
              <w:t>&gt;120</w:t>
            </w:r>
            <w:r>
              <w:rPr>
                <w:spacing w:val="-5"/>
                <w:sz w:val="24"/>
                <w:szCs w:val="24"/>
              </w:rPr>
              <w:t>℃</w:t>
            </w:r>
          </w:p>
        </w:tc>
      </w:tr>
    </w:tbl>
    <w:p w14:paraId="29949FB0">
      <w:pPr>
        <w:spacing w:before="198" w:line="358" w:lineRule="auto"/>
        <w:ind w:left="124" w:right="112" w:firstLine="559"/>
        <w:jc w:val="both"/>
        <w:rPr>
          <w:rFonts w:ascii="宋体" w:hAnsi="宋体" w:eastAsia="宋体" w:cs="宋体"/>
          <w:sz w:val="28"/>
          <w:szCs w:val="28"/>
        </w:rPr>
      </w:pPr>
      <w:r>
        <w:rPr>
          <w:rFonts w:ascii="宋体" w:hAnsi="宋体" w:eastAsia="宋体" w:cs="宋体"/>
          <w:spacing w:val="1"/>
          <w:sz w:val="28"/>
          <w:szCs w:val="28"/>
        </w:rPr>
        <w:t>本项目危险化学品车辆专用停车场共设置停车位</w:t>
      </w:r>
      <w:r>
        <w:rPr>
          <w:rFonts w:ascii="宋体" w:hAnsi="宋体" w:eastAsia="宋体" w:cs="宋体"/>
          <w:spacing w:val="-57"/>
          <w:sz w:val="28"/>
          <w:szCs w:val="28"/>
        </w:rPr>
        <w:t xml:space="preserve"> </w:t>
      </w:r>
      <w:r>
        <w:rPr>
          <w:rFonts w:ascii="Times New Roman" w:hAnsi="Times New Roman" w:eastAsia="Times New Roman" w:cs="Times New Roman"/>
          <w:sz w:val="28"/>
          <w:szCs w:val="28"/>
        </w:rPr>
        <w:t xml:space="preserve">92 </w:t>
      </w:r>
      <w:r>
        <w:rPr>
          <w:rFonts w:ascii="宋体" w:hAnsi="宋体" w:eastAsia="宋体" w:cs="宋体"/>
          <w:sz w:val="28"/>
          <w:szCs w:val="28"/>
        </w:rPr>
        <w:t xml:space="preserve">个，其中重 </w:t>
      </w:r>
      <w:r>
        <w:rPr>
          <w:rFonts w:ascii="宋体" w:hAnsi="宋体" w:eastAsia="宋体" w:cs="宋体"/>
          <w:spacing w:val="-5"/>
          <w:sz w:val="28"/>
          <w:szCs w:val="28"/>
        </w:rPr>
        <w:t>载车辆停车位</w:t>
      </w:r>
      <w:r>
        <w:rPr>
          <w:rFonts w:ascii="宋体" w:hAnsi="宋体" w:eastAsia="宋体" w:cs="宋体"/>
          <w:spacing w:val="-26"/>
          <w:sz w:val="28"/>
          <w:szCs w:val="28"/>
        </w:rPr>
        <w:t xml:space="preserve"> </w:t>
      </w:r>
      <w:r>
        <w:rPr>
          <w:rFonts w:ascii="Times New Roman" w:hAnsi="Times New Roman" w:eastAsia="Times New Roman" w:cs="Times New Roman"/>
          <w:spacing w:val="-5"/>
          <w:sz w:val="28"/>
          <w:szCs w:val="28"/>
        </w:rPr>
        <w:t xml:space="preserve">10 </w:t>
      </w:r>
      <w:r>
        <w:rPr>
          <w:rFonts w:ascii="宋体" w:hAnsi="宋体" w:eastAsia="宋体" w:cs="宋体"/>
          <w:spacing w:val="-5"/>
          <w:sz w:val="28"/>
          <w:szCs w:val="28"/>
        </w:rPr>
        <w:t>个，空车停车位</w:t>
      </w:r>
      <w:r>
        <w:rPr>
          <w:rFonts w:ascii="宋体" w:hAnsi="宋体" w:eastAsia="宋体" w:cs="宋体"/>
          <w:spacing w:val="-56"/>
          <w:sz w:val="28"/>
          <w:szCs w:val="28"/>
        </w:rPr>
        <w:t xml:space="preserve"> </w:t>
      </w:r>
      <w:r>
        <w:rPr>
          <w:rFonts w:ascii="Times New Roman" w:hAnsi="Times New Roman" w:eastAsia="Times New Roman" w:cs="Times New Roman"/>
          <w:spacing w:val="-5"/>
          <w:sz w:val="28"/>
          <w:szCs w:val="28"/>
        </w:rPr>
        <w:t xml:space="preserve">82 </w:t>
      </w:r>
      <w:r>
        <w:rPr>
          <w:rFonts w:ascii="宋体" w:hAnsi="宋体" w:eastAsia="宋体" w:cs="宋体"/>
          <w:spacing w:val="-5"/>
          <w:sz w:val="28"/>
          <w:szCs w:val="28"/>
        </w:rPr>
        <w:t>个。根据园区危化品运输车辆实</w:t>
      </w:r>
      <w:r>
        <w:rPr>
          <w:rFonts w:ascii="宋体" w:hAnsi="宋体" w:eastAsia="宋体" w:cs="宋体"/>
          <w:sz w:val="28"/>
          <w:szCs w:val="28"/>
        </w:rPr>
        <w:t xml:space="preserve"> </w:t>
      </w:r>
      <w:r>
        <w:rPr>
          <w:rFonts w:ascii="宋体" w:hAnsi="宋体" w:eastAsia="宋体" w:cs="宋体"/>
          <w:spacing w:val="-4"/>
          <w:sz w:val="28"/>
          <w:szCs w:val="28"/>
        </w:rPr>
        <w:t>际停放需求和园区各化工企业危险品运输物品的调查结果，重载车辆</w:t>
      </w:r>
      <w:r>
        <w:rPr>
          <w:rFonts w:ascii="宋体" w:hAnsi="宋体" w:eastAsia="宋体" w:cs="宋体"/>
          <w:spacing w:val="13"/>
          <w:sz w:val="28"/>
          <w:szCs w:val="28"/>
        </w:rPr>
        <w:t xml:space="preserve"> </w:t>
      </w:r>
      <w:r>
        <w:rPr>
          <w:rFonts w:ascii="宋体" w:hAnsi="宋体" w:eastAsia="宋体" w:cs="宋体"/>
          <w:spacing w:val="-1"/>
          <w:sz w:val="28"/>
          <w:szCs w:val="28"/>
        </w:rPr>
        <w:t>停车位主要运输车危化品类别及特性见下表。</w:t>
      </w:r>
    </w:p>
    <w:p w14:paraId="0D68B230">
      <w:pPr>
        <w:spacing w:line="220" w:lineRule="auto"/>
        <w:ind w:left="230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5.1-4    </w:t>
      </w:r>
      <w:r>
        <w:rPr>
          <w:rFonts w:ascii="宋体" w:hAnsi="宋体" w:eastAsia="宋体" w:cs="宋体"/>
          <w:b/>
          <w:bCs/>
          <w:spacing w:val="-2"/>
          <w:sz w:val="24"/>
          <w:szCs w:val="24"/>
        </w:rPr>
        <w:t>重点专注风险物质理化性质</w:t>
      </w:r>
    </w:p>
    <w:p w14:paraId="1939F125">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857"/>
        <w:gridCol w:w="493"/>
        <w:gridCol w:w="5572"/>
        <w:gridCol w:w="1107"/>
      </w:tblGrid>
      <w:tr w14:paraId="2E6A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497" w:type="dxa"/>
            <w:textDirection w:val="tbRlV"/>
            <w:vAlign w:val="top"/>
          </w:tcPr>
          <w:p w14:paraId="2C24E62C">
            <w:pPr>
              <w:pStyle w:val="6"/>
              <w:spacing w:before="127" w:line="210" w:lineRule="auto"/>
              <w:ind w:left="194"/>
              <w:rPr>
                <w:sz w:val="24"/>
                <w:szCs w:val="24"/>
              </w:rPr>
            </w:pPr>
            <w:r>
              <w:rPr>
                <w:spacing w:val="-1"/>
                <w:sz w:val="24"/>
                <w:szCs w:val="24"/>
              </w:rPr>
              <w:t>序</w:t>
            </w:r>
            <w:r>
              <w:rPr>
                <w:spacing w:val="-48"/>
                <w:sz w:val="24"/>
                <w:szCs w:val="24"/>
              </w:rPr>
              <w:t xml:space="preserve"> </w:t>
            </w:r>
            <w:r>
              <w:rPr>
                <w:spacing w:val="-1"/>
                <w:sz w:val="24"/>
                <w:szCs w:val="24"/>
              </w:rPr>
              <w:t>号</w:t>
            </w:r>
          </w:p>
        </w:tc>
        <w:tc>
          <w:tcPr>
            <w:tcW w:w="857" w:type="dxa"/>
            <w:vAlign w:val="top"/>
          </w:tcPr>
          <w:p w14:paraId="08D646FC">
            <w:pPr>
              <w:pStyle w:val="6"/>
              <w:spacing w:before="194" w:line="220" w:lineRule="auto"/>
              <w:ind w:left="193"/>
              <w:rPr>
                <w:sz w:val="24"/>
                <w:szCs w:val="24"/>
              </w:rPr>
            </w:pPr>
            <w:r>
              <w:rPr>
                <w:spacing w:val="-5"/>
                <w:sz w:val="24"/>
                <w:szCs w:val="24"/>
              </w:rPr>
              <w:t>物质</w:t>
            </w:r>
          </w:p>
          <w:p w14:paraId="4276BBFD">
            <w:pPr>
              <w:pStyle w:val="6"/>
              <w:spacing w:before="26" w:line="221" w:lineRule="auto"/>
              <w:ind w:left="196"/>
              <w:rPr>
                <w:sz w:val="24"/>
                <w:szCs w:val="24"/>
              </w:rPr>
            </w:pPr>
            <w:r>
              <w:rPr>
                <w:spacing w:val="-7"/>
                <w:sz w:val="24"/>
                <w:szCs w:val="24"/>
              </w:rPr>
              <w:t>名称</w:t>
            </w:r>
          </w:p>
        </w:tc>
        <w:tc>
          <w:tcPr>
            <w:tcW w:w="493" w:type="dxa"/>
            <w:textDirection w:val="tbRlV"/>
            <w:vAlign w:val="top"/>
          </w:tcPr>
          <w:p w14:paraId="3598156A">
            <w:pPr>
              <w:pStyle w:val="6"/>
              <w:spacing w:before="126" w:line="209" w:lineRule="auto"/>
              <w:ind w:left="194"/>
              <w:rPr>
                <w:sz w:val="24"/>
                <w:szCs w:val="24"/>
              </w:rPr>
            </w:pPr>
            <w:r>
              <w:rPr>
                <w:spacing w:val="-1"/>
                <w:sz w:val="24"/>
                <w:szCs w:val="24"/>
              </w:rPr>
              <w:t>物</w:t>
            </w:r>
            <w:r>
              <w:rPr>
                <w:spacing w:val="-48"/>
                <w:sz w:val="24"/>
                <w:szCs w:val="24"/>
              </w:rPr>
              <w:t xml:space="preserve"> </w:t>
            </w:r>
            <w:r>
              <w:rPr>
                <w:spacing w:val="-1"/>
                <w:sz w:val="24"/>
                <w:szCs w:val="24"/>
              </w:rPr>
              <w:t>态</w:t>
            </w:r>
          </w:p>
        </w:tc>
        <w:tc>
          <w:tcPr>
            <w:tcW w:w="5572" w:type="dxa"/>
            <w:vAlign w:val="top"/>
          </w:tcPr>
          <w:p w14:paraId="4D2B4D75">
            <w:pPr>
              <w:spacing w:line="270" w:lineRule="auto"/>
              <w:rPr>
                <w:rFonts w:ascii="Arial"/>
                <w:sz w:val="21"/>
              </w:rPr>
            </w:pPr>
          </w:p>
          <w:p w14:paraId="0ED40F89">
            <w:pPr>
              <w:pStyle w:val="6"/>
              <w:spacing w:before="78" w:line="220" w:lineRule="auto"/>
              <w:ind w:left="2317"/>
              <w:rPr>
                <w:sz w:val="24"/>
                <w:szCs w:val="24"/>
              </w:rPr>
            </w:pPr>
            <w:r>
              <w:rPr>
                <w:spacing w:val="-4"/>
                <w:sz w:val="24"/>
                <w:szCs w:val="24"/>
              </w:rPr>
              <w:t>理化性质</w:t>
            </w:r>
          </w:p>
        </w:tc>
        <w:tc>
          <w:tcPr>
            <w:tcW w:w="1107" w:type="dxa"/>
            <w:vAlign w:val="top"/>
          </w:tcPr>
          <w:p w14:paraId="2B96C321">
            <w:pPr>
              <w:pStyle w:val="6"/>
              <w:spacing w:before="40" w:line="219" w:lineRule="auto"/>
              <w:ind w:left="118"/>
              <w:rPr>
                <w:sz w:val="24"/>
                <w:szCs w:val="24"/>
              </w:rPr>
            </w:pPr>
            <w:r>
              <w:rPr>
                <w:spacing w:val="-18"/>
                <w:sz w:val="24"/>
                <w:szCs w:val="24"/>
              </w:rPr>
              <w:t>毒性、危</w:t>
            </w:r>
          </w:p>
          <w:p w14:paraId="68163597">
            <w:pPr>
              <w:pStyle w:val="6"/>
              <w:spacing w:before="24" w:line="224" w:lineRule="auto"/>
              <w:ind w:left="201" w:right="106" w:hanging="80"/>
              <w:rPr>
                <w:sz w:val="24"/>
                <w:szCs w:val="24"/>
              </w:rPr>
            </w:pPr>
            <w:r>
              <w:rPr>
                <w:spacing w:val="-22"/>
                <w:sz w:val="24"/>
                <w:szCs w:val="24"/>
              </w:rPr>
              <w:t>害、危险</w:t>
            </w:r>
            <w:r>
              <w:rPr>
                <w:sz w:val="24"/>
                <w:szCs w:val="24"/>
              </w:rPr>
              <w:t xml:space="preserve"> </w:t>
            </w:r>
            <w:r>
              <w:rPr>
                <w:spacing w:val="-4"/>
                <w:sz w:val="24"/>
                <w:szCs w:val="24"/>
              </w:rPr>
              <w:t>标志等</w:t>
            </w:r>
          </w:p>
        </w:tc>
      </w:tr>
      <w:tr w14:paraId="6A0C5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7E04C6B1">
            <w:pPr>
              <w:spacing w:line="313" w:lineRule="auto"/>
              <w:rPr>
                <w:rFonts w:ascii="Arial"/>
                <w:sz w:val="21"/>
              </w:rPr>
            </w:pPr>
          </w:p>
          <w:p w14:paraId="787E9D92">
            <w:pPr>
              <w:spacing w:line="314" w:lineRule="auto"/>
              <w:rPr>
                <w:rFonts w:ascii="Arial"/>
                <w:sz w:val="21"/>
              </w:rPr>
            </w:pPr>
          </w:p>
          <w:p w14:paraId="0E4D2A40">
            <w:pPr>
              <w:spacing w:before="69" w:line="188" w:lineRule="auto"/>
              <w:ind w:left="21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57" w:type="dxa"/>
            <w:vAlign w:val="top"/>
          </w:tcPr>
          <w:p w14:paraId="7B0F8D45">
            <w:pPr>
              <w:spacing w:line="288" w:lineRule="auto"/>
              <w:rPr>
                <w:rFonts w:ascii="Arial"/>
                <w:sz w:val="21"/>
              </w:rPr>
            </w:pPr>
          </w:p>
          <w:p w14:paraId="7EB63A72">
            <w:pPr>
              <w:spacing w:line="288" w:lineRule="auto"/>
              <w:rPr>
                <w:rFonts w:ascii="Arial"/>
                <w:sz w:val="21"/>
              </w:rPr>
            </w:pPr>
          </w:p>
          <w:p w14:paraId="070EF461">
            <w:pPr>
              <w:pStyle w:val="6"/>
              <w:spacing w:before="78" w:line="220" w:lineRule="auto"/>
              <w:ind w:left="224"/>
              <w:rPr>
                <w:sz w:val="24"/>
                <w:szCs w:val="24"/>
              </w:rPr>
            </w:pPr>
            <w:r>
              <w:rPr>
                <w:spacing w:val="-21"/>
                <w:sz w:val="24"/>
                <w:szCs w:val="24"/>
              </w:rPr>
              <w:t>甲醇</w:t>
            </w:r>
          </w:p>
        </w:tc>
        <w:tc>
          <w:tcPr>
            <w:tcW w:w="493" w:type="dxa"/>
            <w:textDirection w:val="tbRlV"/>
            <w:vAlign w:val="top"/>
          </w:tcPr>
          <w:p w14:paraId="193E9BD4">
            <w:pPr>
              <w:pStyle w:val="6"/>
              <w:spacing w:before="125" w:line="209" w:lineRule="auto"/>
              <w:ind w:left="502"/>
              <w:rPr>
                <w:sz w:val="24"/>
                <w:szCs w:val="24"/>
              </w:rPr>
            </w:pPr>
            <w:r>
              <w:rPr>
                <w:spacing w:val="35"/>
                <w:sz w:val="24"/>
                <w:szCs w:val="24"/>
              </w:rPr>
              <w:t>液态</w:t>
            </w:r>
          </w:p>
        </w:tc>
        <w:tc>
          <w:tcPr>
            <w:tcW w:w="5572" w:type="dxa"/>
            <w:vAlign w:val="top"/>
          </w:tcPr>
          <w:p w14:paraId="6B5844E3">
            <w:pPr>
              <w:pStyle w:val="6"/>
              <w:spacing w:before="36" w:line="217" w:lineRule="auto"/>
              <w:jc w:val="right"/>
              <w:rPr>
                <w:sz w:val="24"/>
                <w:szCs w:val="24"/>
              </w:rPr>
            </w:pPr>
            <w:r>
              <w:rPr>
                <w:spacing w:val="-5"/>
                <w:sz w:val="24"/>
                <w:szCs w:val="24"/>
              </w:rPr>
              <w:t>易燃，其蒸气与空气可形成爆炸性混合物。遇明火、</w:t>
            </w:r>
          </w:p>
          <w:p w14:paraId="1D7FF6F6">
            <w:pPr>
              <w:pStyle w:val="6"/>
              <w:spacing w:before="29" w:line="218" w:lineRule="auto"/>
              <w:ind w:left="160"/>
              <w:rPr>
                <w:sz w:val="24"/>
                <w:szCs w:val="24"/>
              </w:rPr>
            </w:pPr>
            <w:r>
              <w:rPr>
                <w:spacing w:val="-1"/>
                <w:sz w:val="24"/>
                <w:szCs w:val="24"/>
              </w:rPr>
              <w:t>高热能引起燃烧爆炸。与氧化剂接触发生化学反应</w:t>
            </w:r>
          </w:p>
          <w:p w14:paraId="6FE699E4">
            <w:pPr>
              <w:pStyle w:val="6"/>
              <w:spacing w:before="26" w:line="218" w:lineRule="auto"/>
              <w:ind w:left="157"/>
              <w:rPr>
                <w:sz w:val="24"/>
                <w:szCs w:val="24"/>
              </w:rPr>
            </w:pPr>
            <w:r>
              <w:rPr>
                <w:spacing w:val="-1"/>
                <w:sz w:val="24"/>
                <w:szCs w:val="24"/>
              </w:rPr>
              <w:t>或引起燃烧。在火场中，受热的容器有爆炸危险。</w:t>
            </w:r>
          </w:p>
          <w:p w14:paraId="1F33EE28">
            <w:pPr>
              <w:pStyle w:val="6"/>
              <w:spacing w:before="28" w:line="217" w:lineRule="auto"/>
              <w:jc w:val="right"/>
              <w:rPr>
                <w:sz w:val="24"/>
                <w:szCs w:val="24"/>
              </w:rPr>
            </w:pPr>
            <w:r>
              <w:rPr>
                <w:spacing w:val="-5"/>
                <w:sz w:val="24"/>
                <w:szCs w:val="24"/>
              </w:rPr>
              <w:t>其蒸气比空气重，能在较低处扩散到相当远的地方，</w:t>
            </w:r>
          </w:p>
          <w:p w14:paraId="656130E0">
            <w:pPr>
              <w:pStyle w:val="6"/>
              <w:spacing w:before="29" w:line="207" w:lineRule="auto"/>
              <w:ind w:left="1713"/>
              <w:rPr>
                <w:sz w:val="24"/>
                <w:szCs w:val="24"/>
              </w:rPr>
            </w:pPr>
            <w:r>
              <w:rPr>
                <w:spacing w:val="-1"/>
                <w:sz w:val="24"/>
                <w:szCs w:val="24"/>
              </w:rPr>
              <w:t>遇明火会引着回燃。</w:t>
            </w:r>
          </w:p>
        </w:tc>
        <w:tc>
          <w:tcPr>
            <w:tcW w:w="1107" w:type="dxa"/>
            <w:vAlign w:val="top"/>
          </w:tcPr>
          <w:p w14:paraId="30D89C89">
            <w:pPr>
              <w:spacing w:line="421" w:lineRule="auto"/>
              <w:rPr>
                <w:rFonts w:ascii="Arial"/>
                <w:sz w:val="21"/>
              </w:rPr>
            </w:pPr>
          </w:p>
          <w:p w14:paraId="0D86DBFC">
            <w:pPr>
              <w:pStyle w:val="6"/>
              <w:spacing w:before="78" w:line="24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2FDD2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9" w:hRule="atLeast"/>
        </w:trPr>
        <w:tc>
          <w:tcPr>
            <w:tcW w:w="497" w:type="dxa"/>
            <w:vAlign w:val="top"/>
          </w:tcPr>
          <w:p w14:paraId="2940FC9E">
            <w:pPr>
              <w:spacing w:line="266" w:lineRule="auto"/>
              <w:rPr>
                <w:rFonts w:ascii="Arial"/>
                <w:sz w:val="21"/>
              </w:rPr>
            </w:pPr>
          </w:p>
          <w:p w14:paraId="48BC28C7">
            <w:pPr>
              <w:spacing w:line="266" w:lineRule="auto"/>
              <w:rPr>
                <w:rFonts w:ascii="Arial"/>
                <w:sz w:val="21"/>
              </w:rPr>
            </w:pPr>
          </w:p>
          <w:p w14:paraId="4550C768">
            <w:pPr>
              <w:spacing w:line="266" w:lineRule="auto"/>
              <w:rPr>
                <w:rFonts w:ascii="Arial"/>
                <w:sz w:val="21"/>
              </w:rPr>
            </w:pPr>
          </w:p>
          <w:p w14:paraId="59AAFAFE">
            <w:pPr>
              <w:spacing w:line="266" w:lineRule="auto"/>
              <w:rPr>
                <w:rFonts w:ascii="Arial"/>
                <w:sz w:val="21"/>
              </w:rPr>
            </w:pPr>
          </w:p>
          <w:p w14:paraId="2653E096">
            <w:pPr>
              <w:spacing w:line="266" w:lineRule="auto"/>
              <w:rPr>
                <w:rFonts w:ascii="Arial"/>
                <w:sz w:val="21"/>
              </w:rPr>
            </w:pPr>
          </w:p>
          <w:p w14:paraId="3E2CE9C6">
            <w:pPr>
              <w:spacing w:line="267" w:lineRule="auto"/>
              <w:rPr>
                <w:rFonts w:ascii="Arial"/>
                <w:sz w:val="21"/>
              </w:rPr>
            </w:pPr>
          </w:p>
          <w:p w14:paraId="4B26C860">
            <w:pPr>
              <w:spacing w:line="267" w:lineRule="auto"/>
              <w:rPr>
                <w:rFonts w:ascii="Arial"/>
                <w:sz w:val="21"/>
              </w:rPr>
            </w:pPr>
          </w:p>
          <w:p w14:paraId="3FD389E6">
            <w:pPr>
              <w:spacing w:before="69" w:line="188" w:lineRule="auto"/>
              <w:ind w:left="18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57" w:type="dxa"/>
            <w:vAlign w:val="top"/>
          </w:tcPr>
          <w:p w14:paraId="754F7B1B">
            <w:pPr>
              <w:spacing w:line="259" w:lineRule="auto"/>
              <w:rPr>
                <w:rFonts w:ascii="Arial"/>
                <w:sz w:val="21"/>
              </w:rPr>
            </w:pPr>
          </w:p>
          <w:p w14:paraId="359352D1">
            <w:pPr>
              <w:spacing w:line="259" w:lineRule="auto"/>
              <w:rPr>
                <w:rFonts w:ascii="Arial"/>
                <w:sz w:val="21"/>
              </w:rPr>
            </w:pPr>
          </w:p>
          <w:p w14:paraId="5BEF8AFF">
            <w:pPr>
              <w:spacing w:line="259" w:lineRule="auto"/>
              <w:rPr>
                <w:rFonts w:ascii="Arial"/>
                <w:sz w:val="21"/>
              </w:rPr>
            </w:pPr>
          </w:p>
          <w:p w14:paraId="7AD262E2">
            <w:pPr>
              <w:spacing w:line="259" w:lineRule="auto"/>
              <w:rPr>
                <w:rFonts w:ascii="Arial"/>
                <w:sz w:val="21"/>
              </w:rPr>
            </w:pPr>
          </w:p>
          <w:p w14:paraId="36DE91C1">
            <w:pPr>
              <w:spacing w:line="259" w:lineRule="auto"/>
              <w:rPr>
                <w:rFonts w:ascii="Arial"/>
                <w:sz w:val="21"/>
              </w:rPr>
            </w:pPr>
          </w:p>
          <w:p w14:paraId="567BA3A9">
            <w:pPr>
              <w:spacing w:line="259" w:lineRule="auto"/>
              <w:rPr>
                <w:rFonts w:ascii="Arial"/>
                <w:sz w:val="21"/>
              </w:rPr>
            </w:pPr>
          </w:p>
          <w:p w14:paraId="64843058">
            <w:pPr>
              <w:spacing w:line="259" w:lineRule="auto"/>
              <w:rPr>
                <w:rFonts w:ascii="Arial"/>
                <w:sz w:val="21"/>
              </w:rPr>
            </w:pPr>
          </w:p>
          <w:p w14:paraId="7D927461">
            <w:pPr>
              <w:pStyle w:val="6"/>
              <w:spacing w:before="78" w:line="219" w:lineRule="auto"/>
              <w:ind w:left="195"/>
              <w:rPr>
                <w:sz w:val="24"/>
                <w:szCs w:val="24"/>
              </w:rPr>
            </w:pPr>
            <w:r>
              <w:rPr>
                <w:spacing w:val="-6"/>
                <w:sz w:val="24"/>
                <w:szCs w:val="24"/>
              </w:rPr>
              <w:t>液氯</w:t>
            </w:r>
          </w:p>
        </w:tc>
        <w:tc>
          <w:tcPr>
            <w:tcW w:w="493" w:type="dxa"/>
            <w:textDirection w:val="tbRlV"/>
            <w:vAlign w:val="top"/>
          </w:tcPr>
          <w:p w14:paraId="05449527">
            <w:pPr>
              <w:pStyle w:val="6"/>
              <w:spacing w:before="125" w:line="209" w:lineRule="auto"/>
              <w:ind w:left="1746"/>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6A7C29D8">
            <w:pPr>
              <w:pStyle w:val="6"/>
              <w:spacing w:before="37" w:line="215" w:lineRule="auto"/>
              <w:jc w:val="right"/>
              <w:rPr>
                <w:sz w:val="24"/>
                <w:szCs w:val="24"/>
              </w:rPr>
            </w:pPr>
            <w:r>
              <w:rPr>
                <w:spacing w:val="-5"/>
                <w:sz w:val="24"/>
                <w:szCs w:val="24"/>
              </w:rPr>
              <w:t>液氯在常温常压下为黄绿色、有刺激性气味的气体，</w:t>
            </w:r>
          </w:p>
          <w:p w14:paraId="3534E838">
            <w:pPr>
              <w:pStyle w:val="6"/>
              <w:spacing w:before="30" w:line="215" w:lineRule="auto"/>
              <w:ind w:left="156"/>
              <w:rPr>
                <w:sz w:val="24"/>
                <w:szCs w:val="24"/>
              </w:rPr>
            </w:pPr>
            <w:r>
              <w:rPr>
                <w:spacing w:val="-1"/>
                <w:sz w:val="24"/>
                <w:szCs w:val="24"/>
              </w:rPr>
              <w:t>液态时为黄绿色的油状液体。液氯不燃但能助燃，</w:t>
            </w:r>
          </w:p>
          <w:p w14:paraId="5B21DF7E">
            <w:pPr>
              <w:pStyle w:val="6"/>
              <w:spacing w:before="31" w:line="219" w:lineRule="auto"/>
              <w:ind w:left="114"/>
              <w:rPr>
                <w:sz w:val="24"/>
                <w:szCs w:val="24"/>
              </w:rPr>
            </w:pPr>
            <w:r>
              <w:rPr>
                <w:spacing w:val="-5"/>
                <w:sz w:val="24"/>
                <w:szCs w:val="24"/>
              </w:rPr>
              <w:t>密度比空气大，约为空气的</w:t>
            </w:r>
            <w:r>
              <w:rPr>
                <w:spacing w:val="-48"/>
                <w:sz w:val="24"/>
                <w:szCs w:val="24"/>
              </w:rPr>
              <w:t xml:space="preserve"> </w:t>
            </w:r>
            <w:r>
              <w:rPr>
                <w:rFonts w:ascii="Times New Roman" w:hAnsi="Times New Roman" w:eastAsia="Times New Roman" w:cs="Times New Roman"/>
                <w:spacing w:val="-5"/>
                <w:sz w:val="24"/>
                <w:szCs w:val="24"/>
              </w:rPr>
              <w:t xml:space="preserve">2.5 </w:t>
            </w:r>
            <w:r>
              <w:rPr>
                <w:spacing w:val="-5"/>
                <w:sz w:val="24"/>
                <w:szCs w:val="24"/>
              </w:rPr>
              <w:t>倍，易溶于水，但在</w:t>
            </w:r>
          </w:p>
          <w:p w14:paraId="50371BDD">
            <w:pPr>
              <w:pStyle w:val="6"/>
              <w:spacing w:before="24" w:line="219" w:lineRule="auto"/>
              <w:ind w:left="157"/>
              <w:rPr>
                <w:sz w:val="24"/>
                <w:szCs w:val="24"/>
              </w:rPr>
            </w:pPr>
            <w:r>
              <w:rPr>
                <w:spacing w:val="-1"/>
                <w:sz w:val="24"/>
                <w:szCs w:val="24"/>
              </w:rPr>
              <w:t>水分存在下对钢铁有强烈腐蚀性。液氯对人体有剧</w:t>
            </w:r>
          </w:p>
          <w:p w14:paraId="20A11756">
            <w:pPr>
              <w:pStyle w:val="6"/>
              <w:spacing w:before="29" w:line="219" w:lineRule="auto"/>
              <w:ind w:left="156"/>
              <w:rPr>
                <w:sz w:val="24"/>
                <w:szCs w:val="24"/>
              </w:rPr>
            </w:pPr>
            <w:r>
              <w:rPr>
                <w:spacing w:val="-1"/>
                <w:sz w:val="24"/>
                <w:szCs w:val="24"/>
              </w:rPr>
              <w:t>毒，主要通过呼吸道吸入和皮肤接触进入人体，对</w:t>
            </w:r>
          </w:p>
          <w:p w14:paraId="3AE250D3">
            <w:pPr>
              <w:pStyle w:val="6"/>
              <w:spacing w:before="27" w:line="219" w:lineRule="auto"/>
              <w:ind w:left="169"/>
              <w:rPr>
                <w:sz w:val="24"/>
                <w:szCs w:val="24"/>
              </w:rPr>
            </w:pPr>
            <w:r>
              <w:rPr>
                <w:spacing w:val="-2"/>
                <w:sz w:val="24"/>
                <w:szCs w:val="24"/>
              </w:rPr>
              <w:t>眼、呼吸道粘膜有极强的刺激性。急性中毒症状包</w:t>
            </w:r>
          </w:p>
          <w:p w14:paraId="5832CAC6">
            <w:pPr>
              <w:pStyle w:val="6"/>
              <w:spacing w:before="25" w:line="216" w:lineRule="auto"/>
              <w:jc w:val="right"/>
              <w:rPr>
                <w:sz w:val="24"/>
                <w:szCs w:val="24"/>
              </w:rPr>
            </w:pPr>
            <w:r>
              <w:rPr>
                <w:spacing w:val="-4"/>
                <w:sz w:val="24"/>
                <w:szCs w:val="24"/>
              </w:rPr>
              <w:t>括咽痛、喉收缩、胸闷、气憋、呛咳、头痛、头晕、</w:t>
            </w:r>
          </w:p>
          <w:p w14:paraId="24687BEB">
            <w:pPr>
              <w:pStyle w:val="6"/>
              <w:spacing w:before="31" w:line="219" w:lineRule="auto"/>
              <w:ind w:left="165"/>
              <w:rPr>
                <w:sz w:val="24"/>
                <w:szCs w:val="24"/>
              </w:rPr>
            </w:pPr>
            <w:r>
              <w:rPr>
                <w:spacing w:val="-1"/>
                <w:sz w:val="24"/>
                <w:szCs w:val="24"/>
              </w:rPr>
              <w:t>乏力、恶心、呕吐等，严重时可导致肺水肿、窒息</w:t>
            </w:r>
          </w:p>
          <w:p w14:paraId="2CCA1C41">
            <w:pPr>
              <w:pStyle w:val="6"/>
              <w:spacing w:before="27" w:line="218" w:lineRule="auto"/>
              <w:jc w:val="right"/>
              <w:rPr>
                <w:sz w:val="24"/>
                <w:szCs w:val="24"/>
              </w:rPr>
            </w:pPr>
            <w:r>
              <w:rPr>
                <w:spacing w:val="-4"/>
                <w:sz w:val="24"/>
                <w:szCs w:val="24"/>
              </w:rPr>
              <w:t>甚至死亡。长期低浓度接触可能引起慢性支气管炎、</w:t>
            </w:r>
          </w:p>
          <w:p w14:paraId="467AF05B">
            <w:pPr>
              <w:pStyle w:val="6"/>
              <w:spacing w:before="29" w:line="217" w:lineRule="auto"/>
              <w:ind w:left="155"/>
              <w:rPr>
                <w:sz w:val="24"/>
                <w:szCs w:val="24"/>
              </w:rPr>
            </w:pPr>
            <w:r>
              <w:rPr>
                <w:spacing w:val="-1"/>
                <w:sz w:val="24"/>
                <w:szCs w:val="24"/>
              </w:rPr>
              <w:t>支气管哮喘等。液氯具有助燃性，能与多种化学品</w:t>
            </w:r>
          </w:p>
          <w:p w14:paraId="1052252B">
            <w:pPr>
              <w:pStyle w:val="6"/>
              <w:spacing w:before="27" w:line="217" w:lineRule="auto"/>
              <w:ind w:left="158"/>
              <w:rPr>
                <w:sz w:val="24"/>
                <w:szCs w:val="24"/>
              </w:rPr>
            </w:pPr>
            <w:r>
              <w:rPr>
                <w:spacing w:val="-1"/>
                <w:sz w:val="24"/>
                <w:szCs w:val="24"/>
              </w:rPr>
              <w:t>如乙炔、松节油、乙醚、氨、烃类、氢气、金属粉</w:t>
            </w:r>
          </w:p>
          <w:p w14:paraId="5AF076F2">
            <w:pPr>
              <w:pStyle w:val="6"/>
              <w:spacing w:before="30" w:line="218" w:lineRule="auto"/>
              <w:ind w:left="154"/>
              <w:rPr>
                <w:sz w:val="24"/>
                <w:szCs w:val="24"/>
              </w:rPr>
            </w:pPr>
            <w:r>
              <w:rPr>
                <w:spacing w:val="-1"/>
                <w:sz w:val="24"/>
                <w:szCs w:val="24"/>
              </w:rPr>
              <w:t>末等猛烈反应，发生爆炸或生成爆炸性物质。储存</w:t>
            </w:r>
          </w:p>
          <w:p w14:paraId="527F2448">
            <w:pPr>
              <w:pStyle w:val="6"/>
              <w:spacing w:before="29" w:line="205" w:lineRule="auto"/>
              <w:ind w:left="1597"/>
              <w:rPr>
                <w:sz w:val="24"/>
                <w:szCs w:val="24"/>
              </w:rPr>
            </w:pPr>
            <w:r>
              <w:rPr>
                <w:spacing w:val="-2"/>
                <w:sz w:val="24"/>
                <w:szCs w:val="24"/>
              </w:rPr>
              <w:t>容器受热可发生爆炸。</w:t>
            </w:r>
          </w:p>
        </w:tc>
        <w:tc>
          <w:tcPr>
            <w:tcW w:w="1107" w:type="dxa"/>
            <w:vAlign w:val="top"/>
          </w:tcPr>
          <w:p w14:paraId="35367314">
            <w:pPr>
              <w:spacing w:line="276" w:lineRule="auto"/>
              <w:rPr>
                <w:rFonts w:ascii="Arial"/>
                <w:sz w:val="21"/>
              </w:rPr>
            </w:pPr>
          </w:p>
          <w:p w14:paraId="1823A352">
            <w:pPr>
              <w:spacing w:line="276" w:lineRule="auto"/>
              <w:rPr>
                <w:rFonts w:ascii="Arial"/>
                <w:sz w:val="21"/>
              </w:rPr>
            </w:pPr>
          </w:p>
          <w:p w14:paraId="0D0578EC">
            <w:pPr>
              <w:spacing w:line="276" w:lineRule="auto"/>
              <w:rPr>
                <w:rFonts w:ascii="Arial"/>
                <w:sz w:val="21"/>
              </w:rPr>
            </w:pPr>
          </w:p>
          <w:p w14:paraId="6FB41DB3">
            <w:pPr>
              <w:spacing w:line="276" w:lineRule="auto"/>
              <w:rPr>
                <w:rFonts w:ascii="Arial"/>
                <w:sz w:val="21"/>
              </w:rPr>
            </w:pPr>
          </w:p>
          <w:p w14:paraId="3D03B92F">
            <w:pPr>
              <w:spacing w:line="276" w:lineRule="auto"/>
              <w:rPr>
                <w:rFonts w:ascii="Arial"/>
                <w:sz w:val="21"/>
              </w:rPr>
            </w:pPr>
          </w:p>
          <w:p w14:paraId="5C7D48E8">
            <w:pPr>
              <w:spacing w:line="277" w:lineRule="auto"/>
              <w:rPr>
                <w:rFonts w:ascii="Arial"/>
                <w:sz w:val="21"/>
              </w:rPr>
            </w:pPr>
          </w:p>
          <w:p w14:paraId="298BD8A7">
            <w:pPr>
              <w:pStyle w:val="6"/>
              <w:spacing w:before="78" w:line="243" w:lineRule="auto"/>
              <w:ind w:left="319" w:right="106" w:hanging="202"/>
              <w:rPr>
                <w:sz w:val="24"/>
                <w:szCs w:val="24"/>
              </w:rPr>
            </w:pPr>
            <w:r>
              <w:rPr>
                <w:spacing w:val="-21"/>
                <w:sz w:val="24"/>
                <w:szCs w:val="24"/>
              </w:rPr>
              <w:t>有毒，刺</w:t>
            </w:r>
            <w:r>
              <w:rPr>
                <w:sz w:val="24"/>
                <w:szCs w:val="24"/>
              </w:rPr>
              <w:t xml:space="preserve"> </w:t>
            </w:r>
            <w:r>
              <w:rPr>
                <w:spacing w:val="-5"/>
                <w:sz w:val="24"/>
                <w:szCs w:val="24"/>
              </w:rPr>
              <w:t>激性</w:t>
            </w:r>
          </w:p>
        </w:tc>
      </w:tr>
      <w:tr w14:paraId="622F1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31063565">
            <w:pPr>
              <w:spacing w:before="235"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57" w:type="dxa"/>
            <w:vAlign w:val="top"/>
          </w:tcPr>
          <w:p w14:paraId="07D8D223">
            <w:pPr>
              <w:pStyle w:val="6"/>
              <w:spacing w:before="193" w:line="217" w:lineRule="auto"/>
              <w:ind w:left="193"/>
              <w:rPr>
                <w:sz w:val="24"/>
                <w:szCs w:val="24"/>
              </w:rPr>
            </w:pPr>
            <w:r>
              <w:rPr>
                <w:spacing w:val="-5"/>
                <w:sz w:val="24"/>
                <w:szCs w:val="24"/>
              </w:rPr>
              <w:t>氨水</w:t>
            </w:r>
          </w:p>
        </w:tc>
        <w:tc>
          <w:tcPr>
            <w:tcW w:w="493" w:type="dxa"/>
            <w:textDirection w:val="tbRlV"/>
            <w:vAlign w:val="top"/>
          </w:tcPr>
          <w:p w14:paraId="2B746539">
            <w:pPr>
              <w:pStyle w:val="6"/>
              <w:spacing w:before="125" w:line="209" w:lineRule="auto"/>
              <w:ind w:left="39"/>
              <w:rPr>
                <w:sz w:val="24"/>
                <w:szCs w:val="24"/>
              </w:rPr>
            </w:pPr>
            <w:r>
              <w:rPr>
                <w:spacing w:val="34"/>
                <w:sz w:val="24"/>
                <w:szCs w:val="24"/>
              </w:rPr>
              <w:t>液态</w:t>
            </w:r>
          </w:p>
        </w:tc>
        <w:tc>
          <w:tcPr>
            <w:tcW w:w="5572" w:type="dxa"/>
            <w:vAlign w:val="top"/>
          </w:tcPr>
          <w:p w14:paraId="455F4AC2">
            <w:pPr>
              <w:pStyle w:val="6"/>
              <w:spacing w:before="40" w:line="217" w:lineRule="auto"/>
              <w:ind w:left="170"/>
              <w:rPr>
                <w:sz w:val="24"/>
                <w:szCs w:val="24"/>
              </w:rPr>
            </w:pPr>
            <w:r>
              <w:rPr>
                <w:spacing w:val="-2"/>
                <w:sz w:val="24"/>
                <w:szCs w:val="24"/>
              </w:rPr>
              <w:t>易分解放出氨气，温度越高，分解速度越快，可形</w:t>
            </w:r>
          </w:p>
          <w:p w14:paraId="25F46CE6">
            <w:pPr>
              <w:pStyle w:val="6"/>
              <w:spacing w:before="27" w:line="206" w:lineRule="auto"/>
              <w:ind w:left="1956"/>
              <w:rPr>
                <w:sz w:val="24"/>
                <w:szCs w:val="24"/>
              </w:rPr>
            </w:pPr>
            <w:r>
              <w:rPr>
                <w:spacing w:val="-2"/>
                <w:sz w:val="24"/>
                <w:szCs w:val="24"/>
              </w:rPr>
              <w:t>成爆炸性气氛。</w:t>
            </w:r>
          </w:p>
        </w:tc>
        <w:tc>
          <w:tcPr>
            <w:tcW w:w="1107" w:type="dxa"/>
            <w:vAlign w:val="top"/>
          </w:tcPr>
          <w:p w14:paraId="592E6D55">
            <w:pPr>
              <w:pStyle w:val="6"/>
              <w:spacing w:before="39" w:line="222" w:lineRule="auto"/>
              <w:ind w:left="199" w:right="74" w:hanging="84"/>
              <w:rPr>
                <w:sz w:val="24"/>
                <w:szCs w:val="24"/>
              </w:rPr>
            </w:pPr>
            <w:r>
              <w:rPr>
                <w:spacing w:val="-13"/>
                <w:sz w:val="24"/>
                <w:szCs w:val="24"/>
              </w:rPr>
              <w:t>挥发性、</w:t>
            </w:r>
            <w:r>
              <w:rPr>
                <w:spacing w:val="2"/>
                <w:sz w:val="24"/>
                <w:szCs w:val="24"/>
              </w:rPr>
              <w:t xml:space="preserve"> </w:t>
            </w:r>
            <w:r>
              <w:rPr>
                <w:spacing w:val="-4"/>
                <w:sz w:val="24"/>
                <w:szCs w:val="24"/>
              </w:rPr>
              <w:t>腐蚀性</w:t>
            </w:r>
          </w:p>
        </w:tc>
      </w:tr>
      <w:tr w14:paraId="6ACB9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7" w:type="dxa"/>
            <w:vAlign w:val="top"/>
          </w:tcPr>
          <w:p w14:paraId="69B8BBB7">
            <w:pPr>
              <w:spacing w:line="474" w:lineRule="auto"/>
              <w:rPr>
                <w:rFonts w:ascii="Arial"/>
                <w:sz w:val="21"/>
              </w:rPr>
            </w:pPr>
          </w:p>
          <w:p w14:paraId="7716D81C">
            <w:pPr>
              <w:spacing w:before="69" w:line="188" w:lineRule="auto"/>
              <w:ind w:left="1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57" w:type="dxa"/>
            <w:vAlign w:val="top"/>
          </w:tcPr>
          <w:p w14:paraId="71808B86">
            <w:pPr>
              <w:spacing w:line="424" w:lineRule="auto"/>
              <w:rPr>
                <w:rFonts w:ascii="Arial"/>
                <w:sz w:val="21"/>
              </w:rPr>
            </w:pPr>
          </w:p>
          <w:p w14:paraId="1E65F8B8">
            <w:pPr>
              <w:pStyle w:val="6"/>
              <w:spacing w:before="78" w:line="217" w:lineRule="auto"/>
              <w:ind w:left="195"/>
              <w:rPr>
                <w:sz w:val="24"/>
                <w:szCs w:val="24"/>
              </w:rPr>
            </w:pPr>
            <w:r>
              <w:rPr>
                <w:spacing w:val="-6"/>
                <w:sz w:val="24"/>
                <w:szCs w:val="24"/>
              </w:rPr>
              <w:t>液氨</w:t>
            </w:r>
          </w:p>
        </w:tc>
        <w:tc>
          <w:tcPr>
            <w:tcW w:w="493" w:type="dxa"/>
            <w:textDirection w:val="tbRlV"/>
            <w:vAlign w:val="top"/>
          </w:tcPr>
          <w:p w14:paraId="58FF51D9">
            <w:pPr>
              <w:pStyle w:val="6"/>
              <w:spacing w:before="125" w:line="209" w:lineRule="auto"/>
              <w:ind w:left="351"/>
              <w:rPr>
                <w:sz w:val="24"/>
                <w:szCs w:val="24"/>
              </w:rPr>
            </w:pPr>
            <w:r>
              <w:rPr>
                <w:spacing w:val="34"/>
                <w:sz w:val="24"/>
                <w:szCs w:val="24"/>
              </w:rPr>
              <w:t>液态</w:t>
            </w:r>
          </w:p>
        </w:tc>
        <w:tc>
          <w:tcPr>
            <w:tcW w:w="5572" w:type="dxa"/>
            <w:vAlign w:val="top"/>
          </w:tcPr>
          <w:p w14:paraId="00A87E46">
            <w:pPr>
              <w:pStyle w:val="6"/>
              <w:spacing w:before="38" w:line="218" w:lineRule="auto"/>
              <w:ind w:left="158"/>
              <w:rPr>
                <w:sz w:val="24"/>
                <w:szCs w:val="24"/>
              </w:rPr>
            </w:pPr>
            <w:r>
              <w:rPr>
                <w:spacing w:val="-1"/>
                <w:sz w:val="24"/>
                <w:szCs w:val="24"/>
              </w:rPr>
              <w:t>与空气混合能形成爆炸性混合物。遇明火、高热能</w:t>
            </w:r>
          </w:p>
          <w:p w14:paraId="57900930">
            <w:pPr>
              <w:pStyle w:val="6"/>
              <w:spacing w:before="28" w:line="216" w:lineRule="auto"/>
              <w:ind w:left="171"/>
              <w:rPr>
                <w:sz w:val="24"/>
                <w:szCs w:val="24"/>
              </w:rPr>
            </w:pPr>
            <w:r>
              <w:rPr>
                <w:spacing w:val="-2"/>
                <w:sz w:val="24"/>
                <w:szCs w:val="24"/>
              </w:rPr>
              <w:t>引起燃烧爆炸。与氟、氯等接触会发生剧烈的化学</w:t>
            </w:r>
          </w:p>
          <w:p w14:paraId="564F0E5D">
            <w:pPr>
              <w:pStyle w:val="6"/>
              <w:spacing w:before="29" w:line="218" w:lineRule="auto"/>
              <w:ind w:left="155"/>
              <w:rPr>
                <w:sz w:val="24"/>
                <w:szCs w:val="24"/>
              </w:rPr>
            </w:pPr>
            <w:r>
              <w:rPr>
                <w:spacing w:val="-1"/>
                <w:sz w:val="24"/>
                <w:szCs w:val="24"/>
              </w:rPr>
              <w:t>反应。若遇高热，容器内压增大，有开裂和爆炸的</w:t>
            </w:r>
          </w:p>
          <w:p w14:paraId="17613AAE">
            <w:pPr>
              <w:pStyle w:val="6"/>
              <w:spacing w:before="28" w:line="205" w:lineRule="auto"/>
              <w:ind w:left="2437"/>
              <w:rPr>
                <w:sz w:val="24"/>
                <w:szCs w:val="24"/>
              </w:rPr>
            </w:pPr>
            <w:r>
              <w:rPr>
                <w:spacing w:val="-5"/>
                <w:sz w:val="24"/>
                <w:szCs w:val="24"/>
              </w:rPr>
              <w:t>危险。</w:t>
            </w:r>
          </w:p>
        </w:tc>
        <w:tc>
          <w:tcPr>
            <w:tcW w:w="1107" w:type="dxa"/>
            <w:vAlign w:val="top"/>
          </w:tcPr>
          <w:p w14:paraId="03D1057C">
            <w:pPr>
              <w:spacing w:line="271" w:lineRule="auto"/>
              <w:rPr>
                <w:rFonts w:ascii="Arial"/>
                <w:sz w:val="21"/>
              </w:rPr>
            </w:pPr>
          </w:p>
          <w:p w14:paraId="14B40061">
            <w:pPr>
              <w:pStyle w:val="6"/>
              <w:spacing w:before="78" w:line="241" w:lineRule="auto"/>
              <w:ind w:left="319" w:right="106" w:hanging="202"/>
              <w:rPr>
                <w:sz w:val="24"/>
                <w:szCs w:val="24"/>
              </w:rPr>
            </w:pPr>
            <w:r>
              <w:rPr>
                <w:spacing w:val="-21"/>
                <w:sz w:val="24"/>
                <w:szCs w:val="24"/>
              </w:rPr>
              <w:t>有毒，刺</w:t>
            </w:r>
            <w:r>
              <w:rPr>
                <w:sz w:val="24"/>
                <w:szCs w:val="24"/>
              </w:rPr>
              <w:t xml:space="preserve"> </w:t>
            </w:r>
            <w:r>
              <w:rPr>
                <w:spacing w:val="-5"/>
                <w:sz w:val="24"/>
                <w:szCs w:val="24"/>
              </w:rPr>
              <w:t>激性</w:t>
            </w:r>
          </w:p>
        </w:tc>
      </w:tr>
      <w:tr w14:paraId="24199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97" w:type="dxa"/>
            <w:vAlign w:val="top"/>
          </w:tcPr>
          <w:p w14:paraId="0A2060ED">
            <w:pPr>
              <w:spacing w:before="241" w:line="185" w:lineRule="auto"/>
              <w:ind w:left="19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57" w:type="dxa"/>
            <w:vAlign w:val="top"/>
          </w:tcPr>
          <w:p w14:paraId="7A52BBE2">
            <w:pPr>
              <w:pStyle w:val="6"/>
              <w:spacing w:before="195" w:line="219" w:lineRule="auto"/>
              <w:ind w:left="316"/>
              <w:rPr>
                <w:sz w:val="24"/>
                <w:szCs w:val="24"/>
              </w:rPr>
            </w:pPr>
            <w:r>
              <w:rPr>
                <w:sz w:val="24"/>
                <w:szCs w:val="24"/>
              </w:rPr>
              <w:t>苯</w:t>
            </w:r>
          </w:p>
        </w:tc>
        <w:tc>
          <w:tcPr>
            <w:tcW w:w="493" w:type="dxa"/>
            <w:textDirection w:val="tbRlV"/>
            <w:vAlign w:val="top"/>
          </w:tcPr>
          <w:p w14:paraId="50999198">
            <w:pPr>
              <w:pStyle w:val="6"/>
              <w:spacing w:before="125" w:line="209" w:lineRule="auto"/>
              <w:ind w:left="40"/>
              <w:rPr>
                <w:sz w:val="24"/>
                <w:szCs w:val="24"/>
              </w:rPr>
            </w:pPr>
            <w:r>
              <w:rPr>
                <w:spacing w:val="35"/>
                <w:sz w:val="24"/>
                <w:szCs w:val="24"/>
              </w:rPr>
              <w:t>液态</w:t>
            </w:r>
          </w:p>
        </w:tc>
        <w:tc>
          <w:tcPr>
            <w:tcW w:w="5572" w:type="dxa"/>
            <w:vAlign w:val="top"/>
          </w:tcPr>
          <w:p w14:paraId="30109950">
            <w:pPr>
              <w:pStyle w:val="6"/>
              <w:spacing w:before="40" w:line="223" w:lineRule="auto"/>
              <w:ind w:left="157" w:right="142"/>
              <w:rPr>
                <w:sz w:val="24"/>
                <w:szCs w:val="24"/>
              </w:rPr>
            </w:pPr>
            <w:r>
              <w:rPr>
                <w:spacing w:val="-1"/>
                <w:sz w:val="24"/>
                <w:szCs w:val="24"/>
              </w:rPr>
              <w:t>苯具有较低的闪点和燃点，易在空气中形成爆炸性</w:t>
            </w:r>
            <w:r>
              <w:rPr>
                <w:spacing w:val="8"/>
                <w:sz w:val="24"/>
                <w:szCs w:val="24"/>
              </w:rPr>
              <w:t xml:space="preserve"> </w:t>
            </w:r>
            <w:r>
              <w:rPr>
                <w:spacing w:val="-1"/>
                <w:sz w:val="24"/>
                <w:szCs w:val="24"/>
              </w:rPr>
              <w:t>混合物，遇明火或高温易引发火灾和爆炸事故。苯</w:t>
            </w:r>
          </w:p>
        </w:tc>
        <w:tc>
          <w:tcPr>
            <w:tcW w:w="1107" w:type="dxa"/>
            <w:vAlign w:val="top"/>
          </w:tcPr>
          <w:p w14:paraId="1B5629DE">
            <w:pPr>
              <w:pStyle w:val="6"/>
              <w:spacing w:before="40" w:line="223"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bl>
    <w:p w14:paraId="00262ADB">
      <w:pPr>
        <w:pStyle w:val="2"/>
        <w:spacing w:line="187" w:lineRule="exact"/>
        <w:rPr>
          <w:sz w:val="16"/>
        </w:rPr>
      </w:pPr>
    </w:p>
    <w:p w14:paraId="57695172">
      <w:pPr>
        <w:spacing w:line="187" w:lineRule="exact"/>
        <w:rPr>
          <w:sz w:val="16"/>
          <w:szCs w:val="16"/>
        </w:rPr>
        <w:sectPr>
          <w:footerReference r:id="rId107" w:type="default"/>
          <w:pgSz w:w="11906" w:h="16839"/>
          <w:pgMar w:top="400" w:right="1687" w:bottom="1259" w:left="1687" w:header="0" w:footer="1097" w:gutter="0"/>
          <w:cols w:space="720" w:num="1"/>
        </w:sectPr>
      </w:pPr>
    </w:p>
    <w:p w14:paraId="0971BFFC">
      <w:pPr>
        <w:spacing w:before="19"/>
      </w:pPr>
    </w:p>
    <w:p w14:paraId="2F1EE1EE">
      <w:pPr>
        <w:spacing w:before="19"/>
      </w:pPr>
    </w:p>
    <w:p w14:paraId="7B7F8621">
      <w:pPr>
        <w:spacing w:before="18"/>
      </w:pPr>
    </w:p>
    <w:p w14:paraId="1D19ADD2">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857"/>
        <w:gridCol w:w="493"/>
        <w:gridCol w:w="5572"/>
        <w:gridCol w:w="1107"/>
      </w:tblGrid>
      <w:tr w14:paraId="5550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97" w:type="dxa"/>
            <w:vAlign w:val="top"/>
          </w:tcPr>
          <w:p w14:paraId="2DBB894B">
            <w:pPr>
              <w:rPr>
                <w:rFonts w:ascii="Arial"/>
                <w:sz w:val="21"/>
              </w:rPr>
            </w:pPr>
          </w:p>
        </w:tc>
        <w:tc>
          <w:tcPr>
            <w:tcW w:w="857" w:type="dxa"/>
            <w:vAlign w:val="top"/>
          </w:tcPr>
          <w:p w14:paraId="47ED87E7">
            <w:pPr>
              <w:rPr>
                <w:rFonts w:ascii="Arial"/>
                <w:sz w:val="21"/>
              </w:rPr>
            </w:pPr>
          </w:p>
        </w:tc>
        <w:tc>
          <w:tcPr>
            <w:tcW w:w="493" w:type="dxa"/>
            <w:vAlign w:val="top"/>
          </w:tcPr>
          <w:p w14:paraId="145087B3">
            <w:pPr>
              <w:rPr>
                <w:rFonts w:ascii="Arial"/>
                <w:sz w:val="21"/>
              </w:rPr>
            </w:pPr>
          </w:p>
        </w:tc>
        <w:tc>
          <w:tcPr>
            <w:tcW w:w="5572" w:type="dxa"/>
            <w:vAlign w:val="top"/>
          </w:tcPr>
          <w:p w14:paraId="1F28108C">
            <w:pPr>
              <w:pStyle w:val="6"/>
              <w:spacing w:before="42" w:line="217" w:lineRule="auto"/>
              <w:jc w:val="right"/>
              <w:rPr>
                <w:sz w:val="24"/>
                <w:szCs w:val="24"/>
              </w:rPr>
            </w:pPr>
            <w:r>
              <w:rPr>
                <w:spacing w:val="-4"/>
                <w:sz w:val="24"/>
                <w:szCs w:val="24"/>
              </w:rPr>
              <w:t>对人体具有毒害作用，长期接触苯可导致神经系统、</w:t>
            </w:r>
          </w:p>
          <w:p w14:paraId="73B66F4B">
            <w:pPr>
              <w:pStyle w:val="6"/>
              <w:spacing w:before="26" w:line="219" w:lineRule="auto"/>
              <w:ind w:left="153"/>
              <w:rPr>
                <w:sz w:val="24"/>
                <w:szCs w:val="24"/>
              </w:rPr>
            </w:pPr>
            <w:r>
              <w:rPr>
                <w:sz w:val="24"/>
                <w:szCs w:val="24"/>
              </w:rPr>
              <w:t>造血系统等受损，甚至引发白血病等严重疾病。苯</w:t>
            </w:r>
          </w:p>
          <w:p w14:paraId="5C0D3575">
            <w:pPr>
              <w:pStyle w:val="6"/>
              <w:spacing w:before="27" w:line="216" w:lineRule="auto"/>
              <w:ind w:left="153"/>
              <w:rPr>
                <w:sz w:val="24"/>
                <w:szCs w:val="24"/>
              </w:rPr>
            </w:pPr>
            <w:r>
              <w:rPr>
                <w:spacing w:val="-1"/>
                <w:sz w:val="24"/>
                <w:szCs w:val="24"/>
              </w:rPr>
              <w:t>在环境中的残留会对土壤、水源等造成污染，影响</w:t>
            </w:r>
          </w:p>
          <w:p w14:paraId="01B5B2B1">
            <w:pPr>
              <w:pStyle w:val="6"/>
              <w:spacing w:before="29" w:line="208" w:lineRule="auto"/>
              <w:ind w:left="1596"/>
              <w:rPr>
                <w:sz w:val="24"/>
                <w:szCs w:val="24"/>
              </w:rPr>
            </w:pPr>
            <w:r>
              <w:rPr>
                <w:spacing w:val="-2"/>
                <w:sz w:val="24"/>
                <w:szCs w:val="24"/>
              </w:rPr>
              <w:t>生态环境和人体健康。</w:t>
            </w:r>
          </w:p>
        </w:tc>
        <w:tc>
          <w:tcPr>
            <w:tcW w:w="1107" w:type="dxa"/>
            <w:vAlign w:val="top"/>
          </w:tcPr>
          <w:p w14:paraId="5412D115">
            <w:pPr>
              <w:rPr>
                <w:rFonts w:ascii="Arial"/>
                <w:sz w:val="21"/>
              </w:rPr>
            </w:pPr>
          </w:p>
        </w:tc>
      </w:tr>
      <w:tr w14:paraId="3A0D1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54875CD7">
            <w:pPr>
              <w:spacing w:line="314" w:lineRule="auto"/>
              <w:rPr>
                <w:rFonts w:ascii="Arial"/>
                <w:sz w:val="21"/>
              </w:rPr>
            </w:pPr>
          </w:p>
          <w:p w14:paraId="43E8AA65">
            <w:pPr>
              <w:spacing w:line="314" w:lineRule="auto"/>
              <w:rPr>
                <w:rFonts w:ascii="Arial"/>
                <w:sz w:val="21"/>
              </w:rPr>
            </w:pPr>
          </w:p>
          <w:p w14:paraId="6FC09D84">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57" w:type="dxa"/>
            <w:vAlign w:val="top"/>
          </w:tcPr>
          <w:p w14:paraId="229D88CB">
            <w:pPr>
              <w:spacing w:line="288" w:lineRule="auto"/>
              <w:rPr>
                <w:rFonts w:ascii="Arial"/>
                <w:sz w:val="21"/>
              </w:rPr>
            </w:pPr>
          </w:p>
          <w:p w14:paraId="00F2E544">
            <w:pPr>
              <w:spacing w:line="289" w:lineRule="auto"/>
              <w:rPr>
                <w:rFonts w:ascii="Arial"/>
                <w:sz w:val="21"/>
              </w:rPr>
            </w:pPr>
          </w:p>
          <w:p w14:paraId="6362B23D">
            <w:pPr>
              <w:pStyle w:val="6"/>
              <w:spacing w:before="78" w:line="219" w:lineRule="auto"/>
              <w:ind w:left="224"/>
              <w:rPr>
                <w:sz w:val="24"/>
                <w:szCs w:val="24"/>
              </w:rPr>
            </w:pPr>
            <w:r>
              <w:rPr>
                <w:spacing w:val="-21"/>
                <w:sz w:val="24"/>
                <w:szCs w:val="24"/>
              </w:rPr>
              <w:t>甲苯</w:t>
            </w:r>
          </w:p>
        </w:tc>
        <w:tc>
          <w:tcPr>
            <w:tcW w:w="493" w:type="dxa"/>
            <w:textDirection w:val="tbRlV"/>
            <w:vAlign w:val="top"/>
          </w:tcPr>
          <w:p w14:paraId="52C32ABB">
            <w:pPr>
              <w:pStyle w:val="6"/>
              <w:spacing w:before="125" w:line="209" w:lineRule="auto"/>
              <w:ind w:left="503"/>
              <w:rPr>
                <w:sz w:val="24"/>
                <w:szCs w:val="24"/>
              </w:rPr>
            </w:pPr>
            <w:r>
              <w:rPr>
                <w:spacing w:val="34"/>
                <w:sz w:val="24"/>
                <w:szCs w:val="24"/>
              </w:rPr>
              <w:t>液态</w:t>
            </w:r>
          </w:p>
        </w:tc>
        <w:tc>
          <w:tcPr>
            <w:tcW w:w="5572" w:type="dxa"/>
            <w:vAlign w:val="top"/>
          </w:tcPr>
          <w:p w14:paraId="41693378">
            <w:pPr>
              <w:pStyle w:val="6"/>
              <w:spacing w:before="35" w:line="217" w:lineRule="auto"/>
              <w:jc w:val="right"/>
              <w:rPr>
                <w:sz w:val="24"/>
                <w:szCs w:val="24"/>
              </w:rPr>
            </w:pPr>
            <w:r>
              <w:rPr>
                <w:spacing w:val="-5"/>
                <w:sz w:val="24"/>
                <w:szCs w:val="24"/>
              </w:rPr>
              <w:t>易燃，其蒸气与空气可形成爆炸性混合物。遇明火、</w:t>
            </w:r>
          </w:p>
          <w:p w14:paraId="242DC12A">
            <w:pPr>
              <w:pStyle w:val="6"/>
              <w:spacing w:before="29" w:line="218" w:lineRule="auto"/>
              <w:ind w:left="160"/>
              <w:rPr>
                <w:sz w:val="24"/>
                <w:szCs w:val="24"/>
              </w:rPr>
            </w:pPr>
            <w:r>
              <w:rPr>
                <w:spacing w:val="-1"/>
                <w:sz w:val="24"/>
                <w:szCs w:val="24"/>
              </w:rPr>
              <w:t>高热能引起燃烧爆炸。与氧化剂能发生强烈反应。</w:t>
            </w:r>
          </w:p>
          <w:p w14:paraId="41E4876F">
            <w:pPr>
              <w:pStyle w:val="6"/>
              <w:spacing w:before="28" w:line="217" w:lineRule="auto"/>
              <w:jc w:val="right"/>
              <w:rPr>
                <w:sz w:val="24"/>
                <w:szCs w:val="24"/>
              </w:rPr>
            </w:pPr>
            <w:r>
              <w:rPr>
                <w:spacing w:val="-5"/>
                <w:sz w:val="24"/>
                <w:szCs w:val="24"/>
              </w:rPr>
              <w:t>流速过快，容易产生和积聚静电。其蒸气比空气重，</w:t>
            </w:r>
          </w:p>
          <w:p w14:paraId="447E1C31">
            <w:pPr>
              <w:pStyle w:val="6"/>
              <w:spacing w:before="27" w:line="216" w:lineRule="auto"/>
              <w:ind w:left="163"/>
              <w:rPr>
                <w:sz w:val="24"/>
                <w:szCs w:val="24"/>
              </w:rPr>
            </w:pPr>
            <w:r>
              <w:rPr>
                <w:spacing w:val="-1"/>
                <w:sz w:val="24"/>
                <w:szCs w:val="24"/>
              </w:rPr>
              <w:t>能在较低处扩散到相当远的地方，遇明火会引着回</w:t>
            </w:r>
          </w:p>
          <w:p w14:paraId="428066EF">
            <w:pPr>
              <w:pStyle w:val="6"/>
              <w:spacing w:before="31" w:line="207" w:lineRule="auto"/>
              <w:ind w:left="2555"/>
              <w:rPr>
                <w:sz w:val="24"/>
                <w:szCs w:val="24"/>
              </w:rPr>
            </w:pPr>
            <w:r>
              <w:rPr>
                <w:spacing w:val="-6"/>
                <w:sz w:val="24"/>
                <w:szCs w:val="24"/>
              </w:rPr>
              <w:t>燃。</w:t>
            </w:r>
          </w:p>
        </w:tc>
        <w:tc>
          <w:tcPr>
            <w:tcW w:w="1107" w:type="dxa"/>
            <w:vAlign w:val="top"/>
          </w:tcPr>
          <w:p w14:paraId="753E8D93">
            <w:pPr>
              <w:spacing w:line="423" w:lineRule="auto"/>
              <w:rPr>
                <w:rFonts w:ascii="Arial"/>
                <w:sz w:val="21"/>
              </w:rPr>
            </w:pPr>
          </w:p>
          <w:p w14:paraId="222FCB68">
            <w:pPr>
              <w:pStyle w:val="6"/>
              <w:spacing w:before="78"/>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44804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7CA69F90">
            <w:pPr>
              <w:spacing w:line="315" w:lineRule="auto"/>
              <w:rPr>
                <w:rFonts w:ascii="Arial"/>
                <w:sz w:val="21"/>
              </w:rPr>
            </w:pPr>
          </w:p>
          <w:p w14:paraId="2BCBDE34">
            <w:pPr>
              <w:spacing w:line="316" w:lineRule="auto"/>
              <w:rPr>
                <w:rFonts w:ascii="Arial"/>
                <w:sz w:val="21"/>
              </w:rPr>
            </w:pPr>
          </w:p>
          <w:p w14:paraId="474642A6">
            <w:pPr>
              <w:spacing w:before="69" w:line="185" w:lineRule="auto"/>
              <w:ind w:left="19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57" w:type="dxa"/>
            <w:vAlign w:val="top"/>
          </w:tcPr>
          <w:p w14:paraId="0FA17A9D">
            <w:pPr>
              <w:spacing w:line="422" w:lineRule="auto"/>
              <w:rPr>
                <w:rFonts w:ascii="Arial"/>
                <w:sz w:val="21"/>
              </w:rPr>
            </w:pPr>
          </w:p>
          <w:p w14:paraId="3D2A7F83">
            <w:pPr>
              <w:pStyle w:val="6"/>
              <w:spacing w:before="78" w:line="242" w:lineRule="auto"/>
              <w:ind w:left="316" w:right="187" w:hanging="119"/>
              <w:rPr>
                <w:sz w:val="24"/>
                <w:szCs w:val="24"/>
              </w:rPr>
            </w:pPr>
            <w:r>
              <w:rPr>
                <w:spacing w:val="-7"/>
                <w:sz w:val="24"/>
                <w:szCs w:val="24"/>
              </w:rPr>
              <w:t>二甲</w:t>
            </w:r>
            <w:r>
              <w:rPr>
                <w:sz w:val="24"/>
                <w:szCs w:val="24"/>
              </w:rPr>
              <w:t xml:space="preserve"> 苯</w:t>
            </w:r>
          </w:p>
        </w:tc>
        <w:tc>
          <w:tcPr>
            <w:tcW w:w="493" w:type="dxa"/>
            <w:textDirection w:val="tbRlV"/>
            <w:vAlign w:val="top"/>
          </w:tcPr>
          <w:p w14:paraId="3CF49000">
            <w:pPr>
              <w:pStyle w:val="6"/>
              <w:spacing w:before="125" w:line="209" w:lineRule="auto"/>
              <w:ind w:left="503"/>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396588F1">
            <w:pPr>
              <w:pStyle w:val="6"/>
              <w:spacing w:before="38" w:line="217" w:lineRule="auto"/>
              <w:jc w:val="right"/>
              <w:rPr>
                <w:sz w:val="24"/>
                <w:szCs w:val="24"/>
              </w:rPr>
            </w:pPr>
            <w:r>
              <w:rPr>
                <w:spacing w:val="-5"/>
                <w:sz w:val="24"/>
                <w:szCs w:val="24"/>
              </w:rPr>
              <w:t>易燃，其蒸气与空气可形成爆炸性混合物。遇明火、</w:t>
            </w:r>
          </w:p>
          <w:p w14:paraId="3867B239">
            <w:pPr>
              <w:pStyle w:val="6"/>
              <w:spacing w:before="29" w:line="218" w:lineRule="auto"/>
              <w:ind w:left="160"/>
              <w:rPr>
                <w:sz w:val="24"/>
                <w:szCs w:val="24"/>
              </w:rPr>
            </w:pPr>
            <w:r>
              <w:rPr>
                <w:spacing w:val="-1"/>
                <w:sz w:val="24"/>
                <w:szCs w:val="24"/>
              </w:rPr>
              <w:t>高热能引起燃烧爆炸。与氧化剂能发生强烈反应。</w:t>
            </w:r>
          </w:p>
          <w:p w14:paraId="14DBFC24">
            <w:pPr>
              <w:pStyle w:val="6"/>
              <w:spacing w:before="26" w:line="217" w:lineRule="auto"/>
              <w:jc w:val="right"/>
              <w:rPr>
                <w:sz w:val="24"/>
                <w:szCs w:val="24"/>
              </w:rPr>
            </w:pPr>
            <w:r>
              <w:rPr>
                <w:spacing w:val="-5"/>
                <w:sz w:val="24"/>
                <w:szCs w:val="24"/>
              </w:rPr>
              <w:t>流速过快，容易产生和积聚静电。其蒸气比空气重，</w:t>
            </w:r>
          </w:p>
          <w:p w14:paraId="051B8DB2">
            <w:pPr>
              <w:pStyle w:val="6"/>
              <w:spacing w:before="29" w:line="216" w:lineRule="auto"/>
              <w:ind w:left="163"/>
              <w:rPr>
                <w:sz w:val="24"/>
                <w:szCs w:val="24"/>
              </w:rPr>
            </w:pPr>
            <w:r>
              <w:rPr>
                <w:spacing w:val="-1"/>
                <w:sz w:val="24"/>
                <w:szCs w:val="24"/>
              </w:rPr>
              <w:t>能在较低处扩散到相当远的地方，遇明火会引着回</w:t>
            </w:r>
          </w:p>
          <w:p w14:paraId="1D5A7393">
            <w:pPr>
              <w:pStyle w:val="6"/>
              <w:spacing w:before="31" w:line="206" w:lineRule="auto"/>
              <w:ind w:left="2555"/>
              <w:rPr>
                <w:sz w:val="24"/>
                <w:szCs w:val="24"/>
              </w:rPr>
            </w:pPr>
            <w:r>
              <w:rPr>
                <w:spacing w:val="-6"/>
                <w:sz w:val="24"/>
                <w:szCs w:val="24"/>
              </w:rPr>
              <w:t>燃。</w:t>
            </w:r>
          </w:p>
        </w:tc>
        <w:tc>
          <w:tcPr>
            <w:tcW w:w="1107" w:type="dxa"/>
            <w:vAlign w:val="top"/>
          </w:tcPr>
          <w:p w14:paraId="219D082C">
            <w:pPr>
              <w:spacing w:line="423" w:lineRule="auto"/>
              <w:rPr>
                <w:rFonts w:ascii="Arial"/>
                <w:sz w:val="21"/>
              </w:rPr>
            </w:pPr>
          </w:p>
          <w:p w14:paraId="1F7FCE1E">
            <w:pPr>
              <w:pStyle w:val="6"/>
              <w:spacing w:before="78" w:line="24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39AB9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97" w:type="dxa"/>
            <w:vAlign w:val="top"/>
          </w:tcPr>
          <w:p w14:paraId="161BABC9">
            <w:pPr>
              <w:spacing w:before="234"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57" w:type="dxa"/>
            <w:vAlign w:val="top"/>
          </w:tcPr>
          <w:p w14:paraId="4FE31168">
            <w:pPr>
              <w:pStyle w:val="6"/>
              <w:spacing w:before="37" w:line="219" w:lineRule="auto"/>
              <w:ind w:left="200"/>
              <w:rPr>
                <w:sz w:val="24"/>
                <w:szCs w:val="24"/>
              </w:rPr>
            </w:pPr>
            <w:r>
              <w:rPr>
                <w:spacing w:val="-8"/>
                <w:sz w:val="24"/>
                <w:szCs w:val="24"/>
              </w:rPr>
              <w:t>次氯</w:t>
            </w:r>
          </w:p>
          <w:p w14:paraId="4B22E7D4">
            <w:pPr>
              <w:pStyle w:val="6"/>
              <w:spacing w:before="27" w:line="206" w:lineRule="auto"/>
              <w:ind w:left="194"/>
              <w:rPr>
                <w:sz w:val="24"/>
                <w:szCs w:val="24"/>
              </w:rPr>
            </w:pPr>
            <w:r>
              <w:rPr>
                <w:spacing w:val="-6"/>
                <w:sz w:val="24"/>
                <w:szCs w:val="24"/>
              </w:rPr>
              <w:t>酸钠</w:t>
            </w:r>
          </w:p>
        </w:tc>
        <w:tc>
          <w:tcPr>
            <w:tcW w:w="493" w:type="dxa"/>
            <w:textDirection w:val="tbRlV"/>
            <w:vAlign w:val="top"/>
          </w:tcPr>
          <w:p w14:paraId="266D5303">
            <w:pPr>
              <w:pStyle w:val="6"/>
              <w:spacing w:before="125" w:line="209" w:lineRule="auto"/>
              <w:ind w:left="36"/>
              <w:rPr>
                <w:sz w:val="24"/>
                <w:szCs w:val="24"/>
              </w:rPr>
            </w:pPr>
            <w:r>
              <w:rPr>
                <w:spacing w:val="35"/>
                <w:sz w:val="24"/>
                <w:szCs w:val="24"/>
              </w:rPr>
              <w:t>液态</w:t>
            </w:r>
          </w:p>
        </w:tc>
        <w:tc>
          <w:tcPr>
            <w:tcW w:w="5572" w:type="dxa"/>
            <w:vAlign w:val="top"/>
          </w:tcPr>
          <w:p w14:paraId="626670A7">
            <w:pPr>
              <w:pStyle w:val="6"/>
              <w:spacing w:before="192" w:line="217" w:lineRule="auto"/>
              <w:ind w:left="158"/>
              <w:rPr>
                <w:sz w:val="24"/>
                <w:szCs w:val="24"/>
              </w:rPr>
            </w:pPr>
            <w:r>
              <w:rPr>
                <w:spacing w:val="-1"/>
                <w:sz w:val="24"/>
                <w:szCs w:val="24"/>
              </w:rPr>
              <w:t>受高热分解产生有毒的腐蚀性烟气。具有腐蚀性。</w:t>
            </w:r>
          </w:p>
        </w:tc>
        <w:tc>
          <w:tcPr>
            <w:tcW w:w="1107" w:type="dxa"/>
            <w:vAlign w:val="top"/>
          </w:tcPr>
          <w:p w14:paraId="04CD82E6">
            <w:pPr>
              <w:pStyle w:val="6"/>
              <w:spacing w:before="37" w:line="223" w:lineRule="auto"/>
              <w:ind w:left="319" w:right="106" w:hanging="202"/>
              <w:rPr>
                <w:sz w:val="24"/>
                <w:szCs w:val="24"/>
              </w:rPr>
            </w:pPr>
            <w:r>
              <w:rPr>
                <w:spacing w:val="-21"/>
                <w:sz w:val="24"/>
                <w:szCs w:val="24"/>
              </w:rPr>
              <w:t>有毒，腐</w:t>
            </w:r>
            <w:r>
              <w:rPr>
                <w:sz w:val="24"/>
                <w:szCs w:val="24"/>
              </w:rPr>
              <w:t xml:space="preserve"> </w:t>
            </w:r>
            <w:r>
              <w:rPr>
                <w:spacing w:val="-5"/>
                <w:sz w:val="24"/>
                <w:szCs w:val="24"/>
              </w:rPr>
              <w:t>蚀性</w:t>
            </w:r>
          </w:p>
        </w:tc>
      </w:tr>
      <w:tr w14:paraId="3601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4428A9C5">
            <w:pPr>
              <w:spacing w:line="314" w:lineRule="auto"/>
              <w:rPr>
                <w:rFonts w:ascii="Arial"/>
                <w:sz w:val="21"/>
              </w:rPr>
            </w:pPr>
          </w:p>
          <w:p w14:paraId="2C7683D3">
            <w:pPr>
              <w:spacing w:line="314" w:lineRule="auto"/>
              <w:rPr>
                <w:rFonts w:ascii="Arial"/>
                <w:sz w:val="21"/>
              </w:rPr>
            </w:pPr>
          </w:p>
          <w:p w14:paraId="5217C43A">
            <w:pPr>
              <w:spacing w:before="69" w:line="188" w:lineRule="auto"/>
              <w:ind w:left="194"/>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57" w:type="dxa"/>
            <w:vAlign w:val="top"/>
          </w:tcPr>
          <w:p w14:paraId="1E6C79C9">
            <w:pPr>
              <w:spacing w:line="423" w:lineRule="auto"/>
              <w:rPr>
                <w:rFonts w:ascii="Arial"/>
                <w:sz w:val="21"/>
              </w:rPr>
            </w:pPr>
          </w:p>
          <w:p w14:paraId="1948B8B8">
            <w:pPr>
              <w:pStyle w:val="6"/>
              <w:spacing w:before="78" w:line="219" w:lineRule="auto"/>
              <w:ind w:left="197"/>
              <w:rPr>
                <w:sz w:val="24"/>
                <w:szCs w:val="24"/>
              </w:rPr>
            </w:pPr>
            <w:r>
              <w:rPr>
                <w:spacing w:val="-7"/>
                <w:sz w:val="24"/>
                <w:szCs w:val="24"/>
              </w:rPr>
              <w:t>二氯</w:t>
            </w:r>
          </w:p>
          <w:p w14:paraId="6FC00724">
            <w:pPr>
              <w:pStyle w:val="6"/>
              <w:spacing w:before="26" w:line="220" w:lineRule="auto"/>
              <w:ind w:left="217"/>
              <w:rPr>
                <w:sz w:val="24"/>
                <w:szCs w:val="24"/>
              </w:rPr>
            </w:pPr>
            <w:r>
              <w:rPr>
                <w:spacing w:val="-17"/>
                <w:sz w:val="24"/>
                <w:szCs w:val="24"/>
              </w:rPr>
              <w:t>乙烷</w:t>
            </w:r>
          </w:p>
        </w:tc>
        <w:tc>
          <w:tcPr>
            <w:tcW w:w="493" w:type="dxa"/>
            <w:textDirection w:val="tbRlV"/>
            <w:vAlign w:val="top"/>
          </w:tcPr>
          <w:p w14:paraId="6A18F558">
            <w:pPr>
              <w:pStyle w:val="6"/>
              <w:spacing w:before="125" w:line="209" w:lineRule="auto"/>
              <w:ind w:left="503"/>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697BF634">
            <w:pPr>
              <w:pStyle w:val="6"/>
              <w:spacing w:before="38" w:line="217" w:lineRule="auto"/>
              <w:jc w:val="right"/>
              <w:rPr>
                <w:sz w:val="24"/>
                <w:szCs w:val="24"/>
              </w:rPr>
            </w:pPr>
            <w:r>
              <w:rPr>
                <w:spacing w:val="-5"/>
                <w:sz w:val="24"/>
                <w:szCs w:val="24"/>
              </w:rPr>
              <w:t>易燃，其蒸气与空气可形成爆炸性混合物。遇明火、</w:t>
            </w:r>
          </w:p>
          <w:p w14:paraId="04E0CDFF">
            <w:pPr>
              <w:pStyle w:val="6"/>
              <w:spacing w:before="29" w:line="218" w:lineRule="auto"/>
              <w:ind w:left="160"/>
              <w:rPr>
                <w:sz w:val="24"/>
                <w:szCs w:val="24"/>
              </w:rPr>
            </w:pPr>
            <w:r>
              <w:rPr>
                <w:spacing w:val="-1"/>
                <w:sz w:val="24"/>
                <w:szCs w:val="24"/>
              </w:rPr>
              <w:t>高热能引起燃烧爆炸。受高热分解产生有毒的腐蚀</w:t>
            </w:r>
          </w:p>
          <w:p w14:paraId="30AF4B8C">
            <w:pPr>
              <w:pStyle w:val="6"/>
              <w:spacing w:before="26" w:line="217" w:lineRule="auto"/>
              <w:ind w:left="157"/>
              <w:rPr>
                <w:sz w:val="24"/>
                <w:szCs w:val="24"/>
              </w:rPr>
            </w:pPr>
            <w:r>
              <w:rPr>
                <w:spacing w:val="-1"/>
                <w:sz w:val="24"/>
                <w:szCs w:val="24"/>
              </w:rPr>
              <w:t>性烟气。与氧化剂能发生强烈反应。其蒸气比空气</w:t>
            </w:r>
          </w:p>
          <w:p w14:paraId="357A30AC">
            <w:pPr>
              <w:pStyle w:val="6"/>
              <w:spacing w:before="29" w:line="216" w:lineRule="auto"/>
              <w:ind w:left="155"/>
              <w:rPr>
                <w:sz w:val="24"/>
                <w:szCs w:val="24"/>
              </w:rPr>
            </w:pPr>
            <w:r>
              <w:rPr>
                <w:spacing w:val="-1"/>
                <w:sz w:val="24"/>
                <w:szCs w:val="24"/>
              </w:rPr>
              <w:t>重，能在较低处扩散到相当远的地方，遇明火会引</w:t>
            </w:r>
          </w:p>
          <w:p w14:paraId="1CE7F85D">
            <w:pPr>
              <w:pStyle w:val="6"/>
              <w:spacing w:before="31" w:line="205" w:lineRule="auto"/>
              <w:ind w:left="2314"/>
              <w:rPr>
                <w:sz w:val="24"/>
                <w:szCs w:val="24"/>
              </w:rPr>
            </w:pPr>
            <w:r>
              <w:rPr>
                <w:spacing w:val="-3"/>
                <w:sz w:val="24"/>
                <w:szCs w:val="24"/>
              </w:rPr>
              <w:t>着回燃。</w:t>
            </w:r>
          </w:p>
        </w:tc>
        <w:tc>
          <w:tcPr>
            <w:tcW w:w="1107" w:type="dxa"/>
            <w:vAlign w:val="top"/>
          </w:tcPr>
          <w:p w14:paraId="6D070D83">
            <w:pPr>
              <w:pStyle w:val="6"/>
              <w:spacing w:before="194" w:line="239"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体、爆炸</w:t>
            </w:r>
          </w:p>
          <w:p w14:paraId="464CB64D">
            <w:pPr>
              <w:pStyle w:val="6"/>
              <w:spacing w:line="219" w:lineRule="auto"/>
              <w:ind w:left="119"/>
              <w:rPr>
                <w:sz w:val="24"/>
                <w:szCs w:val="24"/>
              </w:rPr>
            </w:pPr>
            <w:r>
              <w:rPr>
                <w:spacing w:val="-22"/>
                <w:sz w:val="24"/>
                <w:szCs w:val="24"/>
              </w:rPr>
              <w:t>性、腐蚀</w:t>
            </w:r>
          </w:p>
          <w:p w14:paraId="2DB0A9C8">
            <w:pPr>
              <w:pStyle w:val="6"/>
              <w:spacing w:before="26" w:line="221" w:lineRule="auto"/>
              <w:ind w:left="443"/>
              <w:rPr>
                <w:sz w:val="24"/>
                <w:szCs w:val="24"/>
              </w:rPr>
            </w:pPr>
            <w:r>
              <w:rPr>
                <w:sz w:val="24"/>
                <w:szCs w:val="24"/>
              </w:rPr>
              <w:t>性</w:t>
            </w:r>
          </w:p>
        </w:tc>
      </w:tr>
      <w:tr w14:paraId="04BAE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7" w:type="dxa"/>
            <w:vAlign w:val="top"/>
          </w:tcPr>
          <w:p w14:paraId="16078B80">
            <w:pPr>
              <w:spacing w:before="235"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857" w:type="dxa"/>
            <w:vAlign w:val="top"/>
          </w:tcPr>
          <w:p w14:paraId="02165E34">
            <w:pPr>
              <w:pStyle w:val="6"/>
              <w:spacing w:before="194" w:line="222" w:lineRule="auto"/>
              <w:ind w:left="224"/>
              <w:rPr>
                <w:sz w:val="24"/>
                <w:szCs w:val="24"/>
              </w:rPr>
            </w:pPr>
            <w:r>
              <w:rPr>
                <w:spacing w:val="-21"/>
                <w:sz w:val="24"/>
                <w:szCs w:val="24"/>
              </w:rPr>
              <w:t>甲醛</w:t>
            </w:r>
          </w:p>
        </w:tc>
        <w:tc>
          <w:tcPr>
            <w:tcW w:w="493" w:type="dxa"/>
            <w:textDirection w:val="tbRlV"/>
            <w:vAlign w:val="top"/>
          </w:tcPr>
          <w:p w14:paraId="56F694B8">
            <w:pPr>
              <w:pStyle w:val="6"/>
              <w:spacing w:before="126" w:line="207" w:lineRule="auto"/>
              <w:ind w:left="40"/>
              <w:rPr>
                <w:sz w:val="24"/>
                <w:szCs w:val="24"/>
              </w:rPr>
            </w:pPr>
            <w:r>
              <w:rPr>
                <w:spacing w:val="34"/>
                <w:sz w:val="24"/>
                <w:szCs w:val="24"/>
              </w:rPr>
              <w:t>气态</w:t>
            </w:r>
          </w:p>
        </w:tc>
        <w:tc>
          <w:tcPr>
            <w:tcW w:w="5572" w:type="dxa"/>
            <w:vAlign w:val="top"/>
          </w:tcPr>
          <w:p w14:paraId="201611F3">
            <w:pPr>
              <w:pStyle w:val="6"/>
              <w:spacing w:before="40" w:line="222" w:lineRule="auto"/>
              <w:ind w:left="403" w:right="142" w:hanging="248"/>
              <w:rPr>
                <w:sz w:val="24"/>
                <w:szCs w:val="24"/>
              </w:rPr>
            </w:pPr>
            <w:r>
              <w:rPr>
                <w:spacing w:val="-1"/>
                <w:sz w:val="24"/>
                <w:szCs w:val="24"/>
              </w:rPr>
              <w:t>其蒸气与空气可形成爆炸性混合物。遇明火、高热</w:t>
            </w:r>
            <w:r>
              <w:rPr>
                <w:spacing w:val="10"/>
                <w:sz w:val="24"/>
                <w:szCs w:val="24"/>
              </w:rPr>
              <w:t xml:space="preserve"> </w:t>
            </w:r>
            <w:r>
              <w:rPr>
                <w:spacing w:val="-1"/>
                <w:sz w:val="24"/>
                <w:szCs w:val="24"/>
              </w:rPr>
              <w:t>能引起燃烧爆炸。与氧化剂接触会猛烈反应。</w:t>
            </w:r>
          </w:p>
        </w:tc>
        <w:tc>
          <w:tcPr>
            <w:tcW w:w="1107" w:type="dxa"/>
            <w:vAlign w:val="top"/>
          </w:tcPr>
          <w:p w14:paraId="76C0061C">
            <w:pPr>
              <w:pStyle w:val="6"/>
              <w:spacing w:before="40" w:line="222" w:lineRule="auto"/>
              <w:ind w:left="116" w:right="106" w:firstLine="99"/>
              <w:rPr>
                <w:sz w:val="24"/>
                <w:szCs w:val="24"/>
              </w:rPr>
            </w:pPr>
            <w:r>
              <w:rPr>
                <w:spacing w:val="-9"/>
                <w:sz w:val="24"/>
                <w:szCs w:val="24"/>
              </w:rPr>
              <w:t>易燃液</w:t>
            </w:r>
            <w:r>
              <w:rPr>
                <w:sz w:val="24"/>
                <w:szCs w:val="24"/>
              </w:rPr>
              <w:t xml:space="preserve"> </w:t>
            </w:r>
            <w:r>
              <w:rPr>
                <w:spacing w:val="-21"/>
                <w:sz w:val="24"/>
                <w:szCs w:val="24"/>
              </w:rPr>
              <w:t>体、有毒</w:t>
            </w:r>
          </w:p>
        </w:tc>
      </w:tr>
      <w:tr w14:paraId="01AD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497" w:type="dxa"/>
            <w:vAlign w:val="top"/>
          </w:tcPr>
          <w:p w14:paraId="0DC82EFE">
            <w:pPr>
              <w:spacing w:line="314" w:lineRule="auto"/>
              <w:rPr>
                <w:rFonts w:ascii="Arial"/>
                <w:sz w:val="21"/>
              </w:rPr>
            </w:pPr>
          </w:p>
          <w:p w14:paraId="4BA17447">
            <w:pPr>
              <w:spacing w:line="315" w:lineRule="auto"/>
              <w:rPr>
                <w:rFonts w:ascii="Arial"/>
                <w:sz w:val="21"/>
              </w:rPr>
            </w:pPr>
          </w:p>
          <w:p w14:paraId="02BEA781">
            <w:pPr>
              <w:spacing w:before="69" w:line="188" w:lineRule="auto"/>
              <w:ind w:left="1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857" w:type="dxa"/>
            <w:vAlign w:val="top"/>
          </w:tcPr>
          <w:p w14:paraId="4EAA1996">
            <w:pPr>
              <w:spacing w:line="289" w:lineRule="auto"/>
              <w:rPr>
                <w:rFonts w:ascii="Arial"/>
                <w:sz w:val="21"/>
              </w:rPr>
            </w:pPr>
          </w:p>
          <w:p w14:paraId="5E653AB1">
            <w:pPr>
              <w:spacing w:line="289" w:lineRule="auto"/>
              <w:rPr>
                <w:rFonts w:ascii="Arial"/>
                <w:sz w:val="21"/>
              </w:rPr>
            </w:pPr>
          </w:p>
          <w:p w14:paraId="62E037ED">
            <w:pPr>
              <w:pStyle w:val="6"/>
              <w:spacing w:before="78" w:line="221" w:lineRule="auto"/>
              <w:ind w:left="192"/>
              <w:rPr>
                <w:sz w:val="24"/>
                <w:szCs w:val="24"/>
              </w:rPr>
            </w:pPr>
            <w:r>
              <w:rPr>
                <w:spacing w:val="-5"/>
                <w:sz w:val="24"/>
                <w:szCs w:val="24"/>
              </w:rPr>
              <w:t>硫酸</w:t>
            </w:r>
          </w:p>
        </w:tc>
        <w:tc>
          <w:tcPr>
            <w:tcW w:w="493" w:type="dxa"/>
            <w:textDirection w:val="tbRlV"/>
            <w:vAlign w:val="top"/>
          </w:tcPr>
          <w:p w14:paraId="1FE5CBCA">
            <w:pPr>
              <w:pStyle w:val="6"/>
              <w:spacing w:before="125" w:line="209" w:lineRule="auto"/>
              <w:ind w:left="504"/>
              <w:rPr>
                <w:sz w:val="24"/>
                <w:szCs w:val="24"/>
              </w:rPr>
            </w:pPr>
            <w:r>
              <w:rPr>
                <w:spacing w:val="35"/>
                <w:sz w:val="24"/>
                <w:szCs w:val="24"/>
              </w:rPr>
              <w:t>液态</w:t>
            </w:r>
          </w:p>
        </w:tc>
        <w:tc>
          <w:tcPr>
            <w:tcW w:w="5572" w:type="dxa"/>
            <w:vAlign w:val="top"/>
          </w:tcPr>
          <w:p w14:paraId="56211E6C">
            <w:pPr>
              <w:pStyle w:val="6"/>
              <w:spacing w:before="38" w:line="218" w:lineRule="auto"/>
              <w:ind w:left="153"/>
              <w:rPr>
                <w:sz w:val="24"/>
                <w:szCs w:val="24"/>
              </w:rPr>
            </w:pPr>
            <w:r>
              <w:rPr>
                <w:sz w:val="24"/>
                <w:szCs w:val="24"/>
              </w:rPr>
              <w:t>遇水大量放热，可发生沸溅。与易燃物（如苯）和</w:t>
            </w:r>
          </w:p>
          <w:p w14:paraId="02839758">
            <w:pPr>
              <w:pStyle w:val="6"/>
              <w:spacing w:before="28" w:line="216" w:lineRule="auto"/>
              <w:ind w:left="156"/>
              <w:rPr>
                <w:sz w:val="24"/>
                <w:szCs w:val="24"/>
              </w:rPr>
            </w:pPr>
            <w:r>
              <w:rPr>
                <w:spacing w:val="-1"/>
                <w:sz w:val="24"/>
                <w:szCs w:val="24"/>
              </w:rPr>
              <w:t>可燃物（如糖、纤维素等）接触会发生剧烈反应，</w:t>
            </w:r>
          </w:p>
          <w:p w14:paraId="48BFB8A6">
            <w:pPr>
              <w:pStyle w:val="6"/>
              <w:spacing w:before="28" w:line="218" w:lineRule="auto"/>
              <w:ind w:left="154"/>
              <w:rPr>
                <w:sz w:val="24"/>
                <w:szCs w:val="24"/>
              </w:rPr>
            </w:pPr>
            <w:r>
              <w:rPr>
                <w:spacing w:val="-1"/>
                <w:sz w:val="24"/>
                <w:szCs w:val="24"/>
              </w:rPr>
              <w:t>甚至引起燃烧。遇电石、高氯酸盐、雷酸盐、硝酸</w:t>
            </w:r>
          </w:p>
          <w:p w14:paraId="50966F72">
            <w:pPr>
              <w:pStyle w:val="6"/>
              <w:spacing w:before="28" w:line="218" w:lineRule="auto"/>
              <w:ind w:left="156"/>
              <w:rPr>
                <w:sz w:val="24"/>
                <w:szCs w:val="24"/>
              </w:rPr>
            </w:pPr>
            <w:r>
              <w:rPr>
                <w:spacing w:val="-1"/>
                <w:sz w:val="24"/>
                <w:szCs w:val="24"/>
              </w:rPr>
              <w:t>盐、苦味酸盐、金属粉末等猛烈反应，发生爆炸或</w:t>
            </w:r>
          </w:p>
          <w:p w14:paraId="01A1569A">
            <w:pPr>
              <w:pStyle w:val="6"/>
              <w:spacing w:before="29" w:line="204" w:lineRule="auto"/>
              <w:ind w:left="995"/>
              <w:rPr>
                <w:sz w:val="24"/>
                <w:szCs w:val="24"/>
              </w:rPr>
            </w:pPr>
            <w:r>
              <w:rPr>
                <w:spacing w:val="-1"/>
                <w:sz w:val="24"/>
                <w:szCs w:val="24"/>
              </w:rPr>
              <w:t>燃烧。有强烈的腐蚀性和吸水性。</w:t>
            </w:r>
          </w:p>
        </w:tc>
        <w:tc>
          <w:tcPr>
            <w:tcW w:w="1107" w:type="dxa"/>
            <w:vAlign w:val="top"/>
          </w:tcPr>
          <w:p w14:paraId="3EA87BB5">
            <w:pPr>
              <w:spacing w:line="270" w:lineRule="auto"/>
              <w:rPr>
                <w:rFonts w:ascii="Arial"/>
                <w:sz w:val="21"/>
              </w:rPr>
            </w:pPr>
          </w:p>
          <w:p w14:paraId="23FC61FC">
            <w:pPr>
              <w:pStyle w:val="6"/>
              <w:spacing w:before="78" w:line="218" w:lineRule="auto"/>
              <w:ind w:left="132"/>
              <w:rPr>
                <w:sz w:val="24"/>
                <w:szCs w:val="24"/>
              </w:rPr>
            </w:pPr>
            <w:r>
              <w:rPr>
                <w:spacing w:val="-21"/>
                <w:sz w:val="24"/>
                <w:szCs w:val="24"/>
              </w:rPr>
              <w:t>易燃，强</w:t>
            </w:r>
          </w:p>
          <w:p w14:paraId="4517E01F">
            <w:pPr>
              <w:pStyle w:val="6"/>
              <w:spacing w:before="26" w:line="242" w:lineRule="auto"/>
              <w:ind w:left="200" w:right="93" w:hanging="83"/>
              <w:rPr>
                <w:sz w:val="24"/>
                <w:szCs w:val="24"/>
              </w:rPr>
            </w:pPr>
            <w:r>
              <w:rPr>
                <w:spacing w:val="-18"/>
                <w:sz w:val="24"/>
                <w:szCs w:val="24"/>
              </w:rPr>
              <w:t>氧化剂，</w:t>
            </w:r>
            <w:r>
              <w:rPr>
                <w:spacing w:val="2"/>
                <w:sz w:val="24"/>
                <w:szCs w:val="24"/>
              </w:rPr>
              <w:t xml:space="preserve"> </w:t>
            </w:r>
            <w:r>
              <w:rPr>
                <w:spacing w:val="-4"/>
                <w:sz w:val="24"/>
                <w:szCs w:val="24"/>
              </w:rPr>
              <w:t>腐蚀性</w:t>
            </w:r>
          </w:p>
        </w:tc>
      </w:tr>
      <w:tr w14:paraId="19DB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497" w:type="dxa"/>
            <w:vAlign w:val="top"/>
          </w:tcPr>
          <w:p w14:paraId="3A50164A">
            <w:pPr>
              <w:spacing w:line="315" w:lineRule="auto"/>
              <w:rPr>
                <w:rFonts w:ascii="Arial"/>
                <w:sz w:val="21"/>
              </w:rPr>
            </w:pPr>
          </w:p>
          <w:p w14:paraId="48FC1502">
            <w:pPr>
              <w:spacing w:line="316" w:lineRule="auto"/>
              <w:rPr>
                <w:rFonts w:ascii="Arial"/>
                <w:sz w:val="21"/>
              </w:rPr>
            </w:pPr>
          </w:p>
          <w:p w14:paraId="3FDE59EF">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857" w:type="dxa"/>
            <w:vAlign w:val="top"/>
          </w:tcPr>
          <w:p w14:paraId="3C2D4427">
            <w:pPr>
              <w:spacing w:line="290" w:lineRule="auto"/>
              <w:rPr>
                <w:rFonts w:ascii="Arial"/>
                <w:sz w:val="21"/>
              </w:rPr>
            </w:pPr>
          </w:p>
          <w:p w14:paraId="42B37CA6">
            <w:pPr>
              <w:spacing w:line="290" w:lineRule="auto"/>
              <w:rPr>
                <w:rFonts w:ascii="Arial"/>
                <w:sz w:val="21"/>
              </w:rPr>
            </w:pPr>
          </w:p>
          <w:p w14:paraId="348BB369">
            <w:pPr>
              <w:pStyle w:val="6"/>
              <w:spacing w:before="78" w:line="221" w:lineRule="auto"/>
              <w:ind w:left="195"/>
              <w:rPr>
                <w:sz w:val="24"/>
                <w:szCs w:val="24"/>
              </w:rPr>
            </w:pPr>
            <w:r>
              <w:rPr>
                <w:spacing w:val="-6"/>
                <w:sz w:val="24"/>
                <w:szCs w:val="24"/>
              </w:rPr>
              <w:t>硝酸</w:t>
            </w:r>
          </w:p>
        </w:tc>
        <w:tc>
          <w:tcPr>
            <w:tcW w:w="493" w:type="dxa"/>
            <w:textDirection w:val="tbRlV"/>
            <w:vAlign w:val="top"/>
          </w:tcPr>
          <w:p w14:paraId="1A0EF4B2">
            <w:pPr>
              <w:pStyle w:val="6"/>
              <w:spacing w:before="125" w:line="209" w:lineRule="auto"/>
              <w:ind w:left="506"/>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0BAE0333">
            <w:pPr>
              <w:pStyle w:val="6"/>
              <w:spacing w:before="40" w:line="219" w:lineRule="auto"/>
              <w:ind w:left="159"/>
              <w:rPr>
                <w:sz w:val="24"/>
                <w:szCs w:val="24"/>
              </w:rPr>
            </w:pPr>
            <w:r>
              <w:rPr>
                <w:spacing w:val="-1"/>
                <w:sz w:val="24"/>
                <w:szCs w:val="24"/>
              </w:rPr>
              <w:t>强氧化剂。能与多种物质如金属粉末、电石、硫化</w:t>
            </w:r>
          </w:p>
          <w:p w14:paraId="1B4E86B5">
            <w:pPr>
              <w:pStyle w:val="6"/>
              <w:spacing w:before="27" w:line="218" w:lineRule="auto"/>
              <w:jc w:val="right"/>
              <w:rPr>
                <w:sz w:val="24"/>
                <w:szCs w:val="24"/>
              </w:rPr>
            </w:pPr>
            <w:r>
              <w:rPr>
                <w:spacing w:val="-4"/>
                <w:sz w:val="24"/>
                <w:szCs w:val="24"/>
              </w:rPr>
              <w:t>氢、松节油等猛烈反应，甚至发生爆炸。与还原剂、</w:t>
            </w:r>
          </w:p>
          <w:p w14:paraId="4AC99555">
            <w:pPr>
              <w:pStyle w:val="6"/>
              <w:spacing w:before="26" w:line="216" w:lineRule="auto"/>
              <w:ind w:left="156"/>
              <w:rPr>
                <w:sz w:val="24"/>
                <w:szCs w:val="24"/>
              </w:rPr>
            </w:pPr>
            <w:r>
              <w:rPr>
                <w:spacing w:val="-1"/>
                <w:sz w:val="24"/>
                <w:szCs w:val="24"/>
              </w:rPr>
              <w:t>可燃物如糖、纤维素、木屑、棉花、稻草或废纱头</w:t>
            </w:r>
          </w:p>
          <w:p w14:paraId="73D5D14B">
            <w:pPr>
              <w:pStyle w:val="6"/>
              <w:spacing w:before="30" w:line="217" w:lineRule="auto"/>
              <w:ind w:left="153"/>
              <w:rPr>
                <w:sz w:val="24"/>
                <w:szCs w:val="24"/>
              </w:rPr>
            </w:pPr>
            <w:r>
              <w:rPr>
                <w:spacing w:val="-1"/>
                <w:sz w:val="24"/>
                <w:szCs w:val="24"/>
              </w:rPr>
              <w:t>接触，引起燃烧并散发出剧毒的棕色烟雾。具有强</w:t>
            </w:r>
          </w:p>
          <w:p w14:paraId="4F2632E2">
            <w:pPr>
              <w:pStyle w:val="6"/>
              <w:spacing w:before="29" w:line="204" w:lineRule="auto"/>
              <w:ind w:left="2314"/>
              <w:rPr>
                <w:sz w:val="24"/>
                <w:szCs w:val="24"/>
              </w:rPr>
            </w:pPr>
            <w:r>
              <w:rPr>
                <w:spacing w:val="-3"/>
                <w:sz w:val="24"/>
                <w:szCs w:val="24"/>
              </w:rPr>
              <w:t>腐蚀性。</w:t>
            </w:r>
          </w:p>
        </w:tc>
        <w:tc>
          <w:tcPr>
            <w:tcW w:w="1107" w:type="dxa"/>
            <w:vAlign w:val="top"/>
          </w:tcPr>
          <w:p w14:paraId="5761E15F">
            <w:pPr>
              <w:spacing w:line="273" w:lineRule="auto"/>
              <w:rPr>
                <w:rFonts w:ascii="Arial"/>
                <w:sz w:val="21"/>
              </w:rPr>
            </w:pPr>
          </w:p>
          <w:p w14:paraId="2F97EA7B">
            <w:pPr>
              <w:pStyle w:val="6"/>
              <w:spacing w:before="78" w:line="218" w:lineRule="auto"/>
              <w:ind w:left="132"/>
              <w:rPr>
                <w:sz w:val="24"/>
                <w:szCs w:val="24"/>
              </w:rPr>
            </w:pPr>
            <w:r>
              <w:rPr>
                <w:spacing w:val="-22"/>
                <w:sz w:val="24"/>
                <w:szCs w:val="24"/>
              </w:rPr>
              <w:t>易爆、有</w:t>
            </w:r>
          </w:p>
          <w:p w14:paraId="0A6832B9">
            <w:pPr>
              <w:pStyle w:val="6"/>
              <w:spacing w:before="26" w:line="219" w:lineRule="auto"/>
              <w:ind w:left="118"/>
              <w:rPr>
                <w:sz w:val="24"/>
                <w:szCs w:val="24"/>
              </w:rPr>
            </w:pPr>
            <w:r>
              <w:rPr>
                <w:spacing w:val="-21"/>
                <w:sz w:val="24"/>
                <w:szCs w:val="24"/>
              </w:rPr>
              <w:t>毒、腐蚀</w:t>
            </w:r>
          </w:p>
          <w:p w14:paraId="341471DC">
            <w:pPr>
              <w:pStyle w:val="6"/>
              <w:spacing w:before="26" w:line="221" w:lineRule="auto"/>
              <w:ind w:left="443"/>
              <w:rPr>
                <w:sz w:val="24"/>
                <w:szCs w:val="24"/>
              </w:rPr>
            </w:pPr>
            <w:r>
              <w:rPr>
                <w:sz w:val="24"/>
                <w:szCs w:val="24"/>
              </w:rPr>
              <w:t>性</w:t>
            </w:r>
          </w:p>
        </w:tc>
      </w:tr>
      <w:tr w14:paraId="283F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497" w:type="dxa"/>
            <w:vAlign w:val="top"/>
          </w:tcPr>
          <w:p w14:paraId="2591151A">
            <w:pPr>
              <w:spacing w:line="322" w:lineRule="auto"/>
              <w:rPr>
                <w:rFonts w:ascii="Arial"/>
                <w:sz w:val="21"/>
              </w:rPr>
            </w:pPr>
          </w:p>
          <w:p w14:paraId="58433AAE">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857" w:type="dxa"/>
            <w:vAlign w:val="top"/>
          </w:tcPr>
          <w:p w14:paraId="6187E4C1">
            <w:pPr>
              <w:spacing w:line="271" w:lineRule="auto"/>
              <w:rPr>
                <w:rFonts w:ascii="Arial"/>
                <w:sz w:val="21"/>
              </w:rPr>
            </w:pPr>
          </w:p>
          <w:p w14:paraId="58ED0E41">
            <w:pPr>
              <w:pStyle w:val="6"/>
              <w:spacing w:before="78" w:line="221" w:lineRule="auto"/>
              <w:ind w:left="195"/>
              <w:rPr>
                <w:sz w:val="24"/>
                <w:szCs w:val="24"/>
              </w:rPr>
            </w:pPr>
            <w:r>
              <w:rPr>
                <w:spacing w:val="-6"/>
                <w:sz w:val="24"/>
                <w:szCs w:val="24"/>
              </w:rPr>
              <w:t>盐酸</w:t>
            </w:r>
          </w:p>
        </w:tc>
        <w:tc>
          <w:tcPr>
            <w:tcW w:w="493" w:type="dxa"/>
            <w:textDirection w:val="tbRlV"/>
            <w:vAlign w:val="top"/>
          </w:tcPr>
          <w:p w14:paraId="3458FE88">
            <w:pPr>
              <w:pStyle w:val="6"/>
              <w:spacing w:before="125" w:line="209" w:lineRule="auto"/>
              <w:ind w:left="195"/>
              <w:rPr>
                <w:sz w:val="24"/>
                <w:szCs w:val="24"/>
              </w:rPr>
            </w:pPr>
            <w:r>
              <w:rPr>
                <w:spacing w:val="-1"/>
                <w:sz w:val="24"/>
                <w:szCs w:val="24"/>
              </w:rPr>
              <w:t>液</w:t>
            </w:r>
            <w:r>
              <w:rPr>
                <w:spacing w:val="-47"/>
                <w:sz w:val="24"/>
                <w:szCs w:val="24"/>
              </w:rPr>
              <w:t xml:space="preserve"> </w:t>
            </w:r>
            <w:r>
              <w:rPr>
                <w:spacing w:val="-1"/>
                <w:sz w:val="24"/>
                <w:szCs w:val="24"/>
              </w:rPr>
              <w:t>态</w:t>
            </w:r>
          </w:p>
        </w:tc>
        <w:tc>
          <w:tcPr>
            <w:tcW w:w="5572" w:type="dxa"/>
            <w:vAlign w:val="top"/>
          </w:tcPr>
          <w:p w14:paraId="717BC237">
            <w:pPr>
              <w:pStyle w:val="6"/>
              <w:spacing w:before="39" w:line="218" w:lineRule="auto"/>
              <w:ind w:left="163"/>
              <w:rPr>
                <w:sz w:val="24"/>
                <w:szCs w:val="24"/>
              </w:rPr>
            </w:pPr>
            <w:r>
              <w:rPr>
                <w:spacing w:val="-1"/>
                <w:sz w:val="24"/>
                <w:szCs w:val="24"/>
              </w:rPr>
              <w:t>能与一些活性金属粉末发生反应，放出氢气。遇氰</w:t>
            </w:r>
          </w:p>
          <w:p w14:paraId="6EA10492">
            <w:pPr>
              <w:pStyle w:val="6"/>
              <w:spacing w:before="28" w:line="218" w:lineRule="auto"/>
              <w:jc w:val="right"/>
              <w:rPr>
                <w:sz w:val="24"/>
                <w:szCs w:val="24"/>
              </w:rPr>
            </w:pPr>
            <w:r>
              <w:rPr>
                <w:spacing w:val="-5"/>
                <w:sz w:val="24"/>
                <w:szCs w:val="24"/>
              </w:rPr>
              <w:t>化物能产生剧毒的氰化氢气体。与碱发生中合反应，</w:t>
            </w:r>
          </w:p>
          <w:p w14:paraId="6412333D">
            <w:pPr>
              <w:pStyle w:val="6"/>
              <w:spacing w:before="28" w:line="204" w:lineRule="auto"/>
              <w:ind w:left="759"/>
              <w:rPr>
                <w:sz w:val="24"/>
                <w:szCs w:val="24"/>
              </w:rPr>
            </w:pPr>
            <w:r>
              <w:rPr>
                <w:spacing w:val="-1"/>
                <w:sz w:val="24"/>
                <w:szCs w:val="24"/>
              </w:rPr>
              <w:t>并放出大量的热。具有较强的腐蚀性。</w:t>
            </w:r>
          </w:p>
        </w:tc>
        <w:tc>
          <w:tcPr>
            <w:tcW w:w="1107" w:type="dxa"/>
            <w:vAlign w:val="top"/>
          </w:tcPr>
          <w:p w14:paraId="50E2A2EF">
            <w:pPr>
              <w:pStyle w:val="6"/>
              <w:spacing w:before="195" w:line="242" w:lineRule="auto"/>
              <w:ind w:left="199" w:right="74" w:hanging="84"/>
              <w:rPr>
                <w:sz w:val="24"/>
                <w:szCs w:val="24"/>
              </w:rPr>
            </w:pPr>
            <w:r>
              <w:rPr>
                <w:spacing w:val="-13"/>
                <w:sz w:val="24"/>
                <w:szCs w:val="24"/>
              </w:rPr>
              <w:t>刺激性、</w:t>
            </w:r>
            <w:r>
              <w:rPr>
                <w:spacing w:val="2"/>
                <w:sz w:val="24"/>
                <w:szCs w:val="24"/>
              </w:rPr>
              <w:t xml:space="preserve"> </w:t>
            </w:r>
            <w:r>
              <w:rPr>
                <w:spacing w:val="-4"/>
                <w:sz w:val="24"/>
                <w:szCs w:val="24"/>
              </w:rPr>
              <w:t>腐蚀性</w:t>
            </w:r>
          </w:p>
        </w:tc>
      </w:tr>
      <w:tr w14:paraId="6C8EC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497" w:type="dxa"/>
            <w:vAlign w:val="top"/>
          </w:tcPr>
          <w:p w14:paraId="6E52581B">
            <w:pPr>
              <w:spacing w:line="476" w:lineRule="auto"/>
              <w:rPr>
                <w:rFonts w:ascii="Arial"/>
                <w:sz w:val="21"/>
              </w:rPr>
            </w:pPr>
          </w:p>
          <w:p w14:paraId="474EB6FD">
            <w:pPr>
              <w:spacing w:before="69" w:line="188" w:lineRule="auto"/>
              <w:ind w:left="15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857" w:type="dxa"/>
            <w:vAlign w:val="top"/>
          </w:tcPr>
          <w:p w14:paraId="04E11784">
            <w:pPr>
              <w:spacing w:line="426" w:lineRule="auto"/>
              <w:rPr>
                <w:rFonts w:ascii="Arial"/>
                <w:sz w:val="21"/>
              </w:rPr>
            </w:pPr>
          </w:p>
          <w:p w14:paraId="6BC1EA8A">
            <w:pPr>
              <w:pStyle w:val="6"/>
              <w:spacing w:before="78" w:line="220" w:lineRule="auto"/>
              <w:ind w:left="217"/>
              <w:rPr>
                <w:sz w:val="24"/>
                <w:szCs w:val="24"/>
              </w:rPr>
            </w:pPr>
            <w:r>
              <w:rPr>
                <w:spacing w:val="-17"/>
                <w:sz w:val="24"/>
                <w:szCs w:val="24"/>
              </w:rPr>
              <w:t>乙炔</w:t>
            </w:r>
          </w:p>
        </w:tc>
        <w:tc>
          <w:tcPr>
            <w:tcW w:w="493" w:type="dxa"/>
            <w:textDirection w:val="tbRlV"/>
            <w:vAlign w:val="top"/>
          </w:tcPr>
          <w:p w14:paraId="66FC4019">
            <w:pPr>
              <w:pStyle w:val="6"/>
              <w:spacing w:before="126" w:line="207" w:lineRule="auto"/>
              <w:ind w:left="350"/>
              <w:rPr>
                <w:sz w:val="24"/>
                <w:szCs w:val="24"/>
              </w:rPr>
            </w:pPr>
            <w:r>
              <w:rPr>
                <w:spacing w:val="-1"/>
                <w:sz w:val="24"/>
                <w:szCs w:val="24"/>
              </w:rPr>
              <w:t>气</w:t>
            </w:r>
            <w:r>
              <w:rPr>
                <w:spacing w:val="-47"/>
                <w:sz w:val="24"/>
                <w:szCs w:val="24"/>
              </w:rPr>
              <w:t xml:space="preserve"> </w:t>
            </w:r>
            <w:r>
              <w:rPr>
                <w:spacing w:val="-1"/>
                <w:sz w:val="24"/>
                <w:szCs w:val="24"/>
              </w:rPr>
              <w:t>态</w:t>
            </w:r>
          </w:p>
        </w:tc>
        <w:tc>
          <w:tcPr>
            <w:tcW w:w="5572" w:type="dxa"/>
            <w:vAlign w:val="top"/>
          </w:tcPr>
          <w:p w14:paraId="14C4074D">
            <w:pPr>
              <w:pStyle w:val="6"/>
              <w:spacing w:before="42" w:line="239" w:lineRule="auto"/>
              <w:ind w:left="153" w:right="142" w:firstLine="3"/>
              <w:jc w:val="both"/>
              <w:rPr>
                <w:sz w:val="24"/>
                <w:szCs w:val="24"/>
              </w:rPr>
            </w:pPr>
            <w:r>
              <w:rPr>
                <w:spacing w:val="-1"/>
                <w:sz w:val="24"/>
                <w:szCs w:val="24"/>
              </w:rPr>
              <w:t>极易燃烧爆炸。与空气混合能形成爆炸性混合物，</w:t>
            </w:r>
            <w:r>
              <w:rPr>
                <w:spacing w:val="8"/>
                <w:sz w:val="24"/>
                <w:szCs w:val="24"/>
              </w:rPr>
              <w:t xml:space="preserve"> </w:t>
            </w:r>
            <w:r>
              <w:rPr>
                <w:spacing w:val="-1"/>
                <w:sz w:val="24"/>
                <w:szCs w:val="24"/>
              </w:rPr>
              <w:t>遇明火、高热能引起燃烧爆炸。与氧化剂接触会猛</w:t>
            </w:r>
            <w:r>
              <w:rPr>
                <w:spacing w:val="12"/>
                <w:sz w:val="24"/>
                <w:szCs w:val="24"/>
              </w:rPr>
              <w:t xml:space="preserve"> </w:t>
            </w:r>
            <w:r>
              <w:rPr>
                <w:spacing w:val="-1"/>
                <w:sz w:val="24"/>
                <w:szCs w:val="24"/>
              </w:rPr>
              <w:t>烈反应。与氟、氯等接触会发生剧烈的化学反应。</w:t>
            </w:r>
          </w:p>
          <w:p w14:paraId="017D2759">
            <w:pPr>
              <w:pStyle w:val="6"/>
              <w:spacing w:line="207" w:lineRule="auto"/>
              <w:ind w:left="403"/>
              <w:rPr>
                <w:sz w:val="24"/>
                <w:szCs w:val="24"/>
              </w:rPr>
            </w:pPr>
            <w:r>
              <w:rPr>
                <w:spacing w:val="-1"/>
                <w:sz w:val="24"/>
                <w:szCs w:val="24"/>
              </w:rPr>
              <w:t>能与铜、银、汞等的化合物生成爆炸性物质。</w:t>
            </w:r>
          </w:p>
        </w:tc>
        <w:tc>
          <w:tcPr>
            <w:tcW w:w="1107" w:type="dxa"/>
            <w:vAlign w:val="top"/>
          </w:tcPr>
          <w:p w14:paraId="78760614">
            <w:pPr>
              <w:spacing w:line="271" w:lineRule="auto"/>
              <w:rPr>
                <w:rFonts w:ascii="Arial"/>
                <w:sz w:val="21"/>
              </w:rPr>
            </w:pPr>
          </w:p>
          <w:p w14:paraId="1B33330B">
            <w:pPr>
              <w:pStyle w:val="6"/>
              <w:spacing w:before="78" w:line="218" w:lineRule="auto"/>
              <w:ind w:left="132"/>
              <w:rPr>
                <w:sz w:val="24"/>
                <w:szCs w:val="24"/>
              </w:rPr>
            </w:pPr>
            <w:r>
              <w:rPr>
                <w:spacing w:val="-19"/>
                <w:sz w:val="24"/>
                <w:szCs w:val="24"/>
              </w:rPr>
              <w:t>易燃、易</w:t>
            </w:r>
          </w:p>
          <w:p w14:paraId="698A8467">
            <w:pPr>
              <w:pStyle w:val="6"/>
              <w:spacing w:before="28" w:line="218" w:lineRule="auto"/>
              <w:ind w:left="440"/>
              <w:rPr>
                <w:sz w:val="24"/>
                <w:szCs w:val="24"/>
              </w:rPr>
            </w:pPr>
            <w:r>
              <w:rPr>
                <w:sz w:val="24"/>
                <w:szCs w:val="24"/>
              </w:rPr>
              <w:t>爆</w:t>
            </w:r>
          </w:p>
        </w:tc>
      </w:tr>
    </w:tbl>
    <w:p w14:paraId="07FCA613">
      <w:pPr>
        <w:spacing w:before="42" w:line="220" w:lineRule="auto"/>
        <w:ind w:left="122"/>
        <w:outlineLvl w:val="1"/>
        <w:rPr>
          <w:rFonts w:ascii="宋体" w:hAnsi="宋体" w:eastAsia="宋体" w:cs="宋体"/>
          <w:sz w:val="28"/>
          <w:szCs w:val="28"/>
        </w:rPr>
      </w:pPr>
      <w:bookmarkStart w:id="15" w:name="bookmark16"/>
      <w:bookmarkEnd w:id="15"/>
      <w:r>
        <w:rPr>
          <w:rFonts w:ascii="Times New Roman" w:hAnsi="Times New Roman" w:eastAsia="Times New Roman" w:cs="Times New Roman"/>
          <w:b/>
          <w:bCs/>
          <w:spacing w:val="-3"/>
          <w:sz w:val="28"/>
          <w:szCs w:val="28"/>
        </w:rPr>
        <w:t xml:space="preserve">5.2 </w:t>
      </w:r>
      <w:r>
        <w:rPr>
          <w:rFonts w:ascii="宋体" w:hAnsi="宋体" w:eastAsia="宋体" w:cs="宋体"/>
          <w:b/>
          <w:bCs/>
          <w:spacing w:val="-3"/>
          <w:sz w:val="28"/>
          <w:szCs w:val="28"/>
        </w:rPr>
        <w:t>生产系统危险性识别</w:t>
      </w:r>
    </w:p>
    <w:p w14:paraId="7398562B">
      <w:pPr>
        <w:spacing w:before="208" w:line="221"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）危险化学品储运系统</w:t>
      </w:r>
    </w:p>
    <w:p w14:paraId="0E311BD3">
      <w:pPr>
        <w:spacing w:line="221" w:lineRule="auto"/>
        <w:rPr>
          <w:rFonts w:ascii="宋体" w:hAnsi="宋体" w:eastAsia="宋体" w:cs="宋体"/>
          <w:sz w:val="28"/>
          <w:szCs w:val="28"/>
        </w:rPr>
        <w:sectPr>
          <w:footerReference r:id="rId108" w:type="default"/>
          <w:pgSz w:w="11906" w:h="16839"/>
          <w:pgMar w:top="400" w:right="1687" w:bottom="1259" w:left="1687" w:header="0" w:footer="1097" w:gutter="0"/>
          <w:cols w:space="720" w:num="1"/>
        </w:sectPr>
      </w:pPr>
    </w:p>
    <w:p w14:paraId="50264DED">
      <w:pPr>
        <w:pStyle w:val="2"/>
        <w:spacing w:line="246" w:lineRule="auto"/>
      </w:pPr>
    </w:p>
    <w:p w14:paraId="1CB912AA">
      <w:pPr>
        <w:pStyle w:val="2"/>
        <w:spacing w:line="246" w:lineRule="auto"/>
      </w:pPr>
    </w:p>
    <w:p w14:paraId="040589CB">
      <w:pPr>
        <w:pStyle w:val="2"/>
        <w:spacing w:line="246" w:lineRule="auto"/>
      </w:pPr>
    </w:p>
    <w:p w14:paraId="4B827C8D">
      <w:pPr>
        <w:pStyle w:val="2"/>
        <w:spacing w:line="246" w:lineRule="auto"/>
      </w:pPr>
    </w:p>
    <w:p w14:paraId="048BEBCE">
      <w:pPr>
        <w:spacing w:before="91" w:line="359" w:lineRule="auto"/>
        <w:ind w:left="25" w:right="97" w:firstLine="560"/>
        <w:jc w:val="both"/>
        <w:rPr>
          <w:rFonts w:ascii="宋体" w:hAnsi="宋体" w:eastAsia="宋体" w:cs="宋体"/>
          <w:sz w:val="28"/>
          <w:szCs w:val="28"/>
        </w:rPr>
      </w:pPr>
      <w:r>
        <w:rPr>
          <w:rFonts w:ascii="宋体" w:hAnsi="宋体" w:eastAsia="宋体" w:cs="宋体"/>
          <w:spacing w:val="-4"/>
          <w:sz w:val="28"/>
          <w:szCs w:val="28"/>
        </w:rPr>
        <w:t>本项目风险评价的关键系统为危险化学品储运系统，停车场内满</w:t>
      </w:r>
      <w:r>
        <w:rPr>
          <w:rFonts w:ascii="宋体" w:hAnsi="宋体" w:eastAsia="宋体" w:cs="宋体"/>
          <w:spacing w:val="6"/>
          <w:sz w:val="28"/>
          <w:szCs w:val="28"/>
        </w:rPr>
        <w:t xml:space="preserve"> </w:t>
      </w:r>
      <w:r>
        <w:rPr>
          <w:rFonts w:ascii="宋体" w:hAnsi="宋体" w:eastAsia="宋体" w:cs="宋体"/>
          <w:spacing w:val="-4"/>
          <w:sz w:val="28"/>
          <w:szCs w:val="28"/>
        </w:rPr>
        <w:t>载运输车</w:t>
      </w:r>
      <w:r>
        <w:rPr>
          <w:rFonts w:hint="eastAsia" w:ascii="宋体" w:hAnsi="宋体" w:eastAsia="宋体" w:cs="宋体"/>
          <w:spacing w:val="-4"/>
          <w:sz w:val="28"/>
          <w:szCs w:val="28"/>
          <w:lang w:val="en-US" w:eastAsia="zh-CN"/>
        </w:rPr>
        <w:t>辆</w:t>
      </w:r>
      <w:r>
        <w:rPr>
          <w:rFonts w:ascii="宋体" w:hAnsi="宋体" w:eastAsia="宋体" w:cs="宋体"/>
          <w:spacing w:val="-4"/>
          <w:sz w:val="28"/>
          <w:szCs w:val="28"/>
        </w:rPr>
        <w:t>行驶和停放过程中，满载车辆的槽罐或货厢均有可能导致</w:t>
      </w:r>
      <w:r>
        <w:rPr>
          <w:rFonts w:ascii="宋体" w:hAnsi="宋体" w:eastAsia="宋体" w:cs="宋体"/>
          <w:spacing w:val="14"/>
          <w:sz w:val="28"/>
          <w:szCs w:val="28"/>
        </w:rPr>
        <w:t xml:space="preserve"> </w:t>
      </w:r>
      <w:r>
        <w:rPr>
          <w:rFonts w:ascii="宋体" w:hAnsi="宋体" w:eastAsia="宋体" w:cs="宋体"/>
          <w:spacing w:val="-1"/>
          <w:sz w:val="28"/>
          <w:szCs w:val="28"/>
        </w:rPr>
        <w:t>物质的释放与泄漏，发生毒害事故。</w:t>
      </w:r>
    </w:p>
    <w:p w14:paraId="596665AD">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）环保工程存在的危险、有害性</w:t>
      </w:r>
    </w:p>
    <w:p w14:paraId="5791B739">
      <w:pPr>
        <w:spacing w:before="212" w:line="359" w:lineRule="auto"/>
        <w:ind w:left="25" w:firstLine="560"/>
        <w:rPr>
          <w:rFonts w:ascii="宋体" w:hAnsi="宋体" w:eastAsia="宋体" w:cs="宋体"/>
          <w:sz w:val="28"/>
          <w:szCs w:val="28"/>
        </w:rPr>
      </w:pPr>
      <w:r>
        <w:rPr>
          <w:rFonts w:ascii="宋体" w:hAnsi="宋体" w:eastAsia="宋体" w:cs="宋体"/>
          <w:spacing w:val="-4"/>
          <w:sz w:val="28"/>
          <w:szCs w:val="28"/>
        </w:rPr>
        <w:t>本项目不涉及危险化学品生产，环保设施有危废暂存间、消防水</w:t>
      </w:r>
      <w:r>
        <w:rPr>
          <w:rFonts w:ascii="宋体" w:hAnsi="宋体" w:eastAsia="宋体" w:cs="宋体"/>
          <w:spacing w:val="6"/>
          <w:sz w:val="28"/>
          <w:szCs w:val="28"/>
        </w:rPr>
        <w:t xml:space="preserve"> </w:t>
      </w:r>
      <w:r>
        <w:rPr>
          <w:rFonts w:ascii="宋体" w:hAnsi="宋体" w:eastAsia="宋体" w:cs="宋体"/>
          <w:sz w:val="28"/>
          <w:szCs w:val="28"/>
        </w:rPr>
        <w:t>池、事故水池、初期雨水池、污水收集池等</w:t>
      </w:r>
      <w:r>
        <w:rPr>
          <w:rFonts w:ascii="宋体" w:hAnsi="宋体" w:eastAsia="宋体" w:cs="宋体"/>
          <w:spacing w:val="-1"/>
          <w:sz w:val="28"/>
          <w:szCs w:val="28"/>
        </w:rPr>
        <w:t>，环保设施风险主要有：</w:t>
      </w:r>
      <w:r>
        <w:rPr>
          <w:rFonts w:ascii="宋体" w:hAnsi="宋体" w:eastAsia="宋体" w:cs="宋体"/>
          <w:sz w:val="28"/>
          <w:szCs w:val="28"/>
        </w:rPr>
        <w:t xml:space="preserve"> </w:t>
      </w:r>
      <w:r>
        <w:rPr>
          <w:rFonts w:ascii="宋体" w:hAnsi="宋体" w:eastAsia="宋体" w:cs="宋体"/>
          <w:spacing w:val="-9"/>
          <w:sz w:val="28"/>
          <w:szCs w:val="28"/>
        </w:rPr>
        <w:t>污水收集池故障、事故水池故障，造成部分应急事</w:t>
      </w:r>
      <w:r>
        <w:rPr>
          <w:rFonts w:ascii="宋体" w:hAnsi="宋体" w:eastAsia="宋体" w:cs="宋体"/>
          <w:spacing w:val="-10"/>
          <w:sz w:val="28"/>
          <w:szCs w:val="28"/>
        </w:rPr>
        <w:t>故废水非正常排放。</w:t>
      </w:r>
    </w:p>
    <w:p w14:paraId="690DCD67">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）事故中的伴生</w:t>
      </w:r>
      <w:r>
        <w:rPr>
          <w:rFonts w:ascii="Times New Roman" w:hAnsi="Times New Roman" w:eastAsia="Times New Roman" w:cs="Times New Roman"/>
          <w:spacing w:val="-2"/>
          <w:sz w:val="28"/>
          <w:szCs w:val="28"/>
        </w:rPr>
        <w:t>/</w:t>
      </w:r>
      <w:r>
        <w:rPr>
          <w:rFonts w:ascii="宋体" w:hAnsi="宋体" w:eastAsia="宋体" w:cs="宋体"/>
          <w:spacing w:val="-2"/>
          <w:sz w:val="28"/>
          <w:szCs w:val="28"/>
        </w:rPr>
        <w:t>次生危害</w:t>
      </w:r>
    </w:p>
    <w:p w14:paraId="13D09510">
      <w:pPr>
        <w:spacing w:before="213" w:line="359" w:lineRule="auto"/>
        <w:ind w:left="23" w:firstLine="560"/>
        <w:rPr>
          <w:rFonts w:ascii="宋体" w:hAnsi="宋体" w:eastAsia="宋体" w:cs="宋体"/>
          <w:sz w:val="28"/>
          <w:szCs w:val="28"/>
        </w:rPr>
      </w:pPr>
      <w:r>
        <w:rPr>
          <w:rFonts w:ascii="宋体" w:hAnsi="宋体" w:eastAsia="宋体" w:cs="宋体"/>
          <w:spacing w:val="-3"/>
          <w:sz w:val="28"/>
          <w:szCs w:val="28"/>
        </w:rPr>
        <w:t>事故中发生的伴生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次生事故，主要决定于物质性质和事故类型。</w:t>
      </w:r>
      <w:r>
        <w:rPr>
          <w:rFonts w:ascii="宋体" w:hAnsi="宋体" w:eastAsia="宋体" w:cs="宋体"/>
          <w:spacing w:val="2"/>
          <w:sz w:val="28"/>
          <w:szCs w:val="28"/>
        </w:rPr>
        <w:t xml:space="preserve"> </w:t>
      </w:r>
      <w:r>
        <w:rPr>
          <w:rFonts w:ascii="宋体" w:hAnsi="宋体" w:eastAsia="宋体" w:cs="宋体"/>
          <w:spacing w:val="-4"/>
          <w:sz w:val="28"/>
          <w:szCs w:val="28"/>
        </w:rPr>
        <w:t>物质性质是事故中物质可能通过氧化、水解、热解、物料间反应过程</w:t>
      </w:r>
      <w:r>
        <w:rPr>
          <w:rFonts w:ascii="宋体" w:hAnsi="宋体" w:eastAsia="宋体" w:cs="宋体"/>
          <w:spacing w:val="15"/>
          <w:sz w:val="28"/>
          <w:szCs w:val="28"/>
        </w:rPr>
        <w:t xml:space="preserve"> </w:t>
      </w:r>
      <w:r>
        <w:rPr>
          <w:rFonts w:ascii="宋体" w:hAnsi="宋体" w:eastAsia="宋体" w:cs="宋体"/>
          <w:sz w:val="28"/>
          <w:szCs w:val="28"/>
        </w:rPr>
        <w:t>产生对环境污染的危害性。事故类型不同，可能产生</w:t>
      </w:r>
      <w:r>
        <w:rPr>
          <w:rFonts w:ascii="宋体" w:hAnsi="宋体" w:eastAsia="宋体" w:cs="宋体"/>
          <w:spacing w:val="-1"/>
          <w:sz w:val="28"/>
          <w:szCs w:val="28"/>
        </w:rPr>
        <w:t>反应过程不同，</w:t>
      </w:r>
      <w:r>
        <w:rPr>
          <w:rFonts w:ascii="宋体" w:hAnsi="宋体" w:eastAsia="宋体" w:cs="宋体"/>
          <w:sz w:val="28"/>
          <w:szCs w:val="28"/>
        </w:rPr>
        <w:t xml:space="preserve"> </w:t>
      </w:r>
      <w:r>
        <w:rPr>
          <w:rFonts w:ascii="宋体" w:hAnsi="宋体" w:eastAsia="宋体" w:cs="宋体"/>
          <w:spacing w:val="-9"/>
          <w:sz w:val="28"/>
          <w:szCs w:val="28"/>
        </w:rPr>
        <w:t>例如燃烧可能产生物料氧化、热解过程，泄漏冲洗可</w:t>
      </w:r>
      <w:r>
        <w:rPr>
          <w:rFonts w:ascii="宋体" w:hAnsi="宋体" w:eastAsia="宋体" w:cs="宋体"/>
          <w:spacing w:val="-10"/>
          <w:sz w:val="28"/>
          <w:szCs w:val="28"/>
        </w:rPr>
        <w:t>能发生水解过程，</w:t>
      </w:r>
      <w:r>
        <w:rPr>
          <w:rFonts w:ascii="宋体" w:hAnsi="宋体" w:eastAsia="宋体" w:cs="宋体"/>
          <w:sz w:val="28"/>
          <w:szCs w:val="28"/>
        </w:rPr>
        <w:t xml:space="preserve"> </w:t>
      </w:r>
      <w:r>
        <w:rPr>
          <w:rFonts w:ascii="宋体" w:hAnsi="宋体" w:eastAsia="宋体" w:cs="宋体"/>
          <w:spacing w:val="3"/>
          <w:sz w:val="28"/>
          <w:szCs w:val="28"/>
        </w:rPr>
        <w:t>物料不相容过程等。本项目的伴生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次生风险主要为火灾烟气、废气</w:t>
      </w:r>
      <w:r>
        <w:rPr>
          <w:rFonts w:ascii="宋体" w:hAnsi="宋体" w:eastAsia="宋体" w:cs="宋体"/>
          <w:spacing w:val="7"/>
          <w:sz w:val="28"/>
          <w:szCs w:val="28"/>
        </w:rPr>
        <w:t xml:space="preserve"> </w:t>
      </w:r>
      <w:r>
        <w:rPr>
          <w:rFonts w:ascii="宋体" w:hAnsi="宋体" w:eastAsia="宋体" w:cs="宋体"/>
          <w:spacing w:val="-1"/>
          <w:sz w:val="28"/>
          <w:szCs w:val="28"/>
        </w:rPr>
        <w:t>迁移和事故废水的影响。</w:t>
      </w:r>
    </w:p>
    <w:p w14:paraId="4D8D4CD8">
      <w:pPr>
        <w:spacing w:before="1" w:line="219" w:lineRule="auto"/>
        <w:ind w:left="575"/>
        <w:rPr>
          <w:rFonts w:ascii="宋体" w:hAnsi="宋体" w:eastAsia="宋体" w:cs="宋体"/>
          <w:sz w:val="28"/>
          <w:szCs w:val="28"/>
        </w:rPr>
      </w:pPr>
      <w:r>
        <w:rPr>
          <w:rFonts w:ascii="Times New Roman" w:hAnsi="Times New Roman" w:eastAsia="Times New Roman" w:cs="Times New Roman"/>
          <w:sz w:val="28"/>
          <w:szCs w:val="28"/>
        </w:rPr>
        <w:t>A.</w:t>
      </w:r>
      <w:r>
        <w:rPr>
          <w:rFonts w:ascii="宋体" w:hAnsi="宋体" w:eastAsia="宋体" w:cs="宋体"/>
          <w:sz w:val="28"/>
          <w:szCs w:val="28"/>
        </w:rPr>
        <w:t>火灾烟气</w:t>
      </w:r>
    </w:p>
    <w:p w14:paraId="47F51641">
      <w:pPr>
        <w:spacing w:before="209" w:line="359" w:lineRule="auto"/>
        <w:ind w:left="25" w:right="97" w:firstLine="576"/>
        <w:rPr>
          <w:rFonts w:ascii="宋体" w:hAnsi="宋体" w:eastAsia="宋体" w:cs="宋体"/>
          <w:sz w:val="28"/>
          <w:szCs w:val="28"/>
        </w:rPr>
      </w:pPr>
      <w:r>
        <w:rPr>
          <w:rFonts w:ascii="宋体" w:hAnsi="宋体" w:eastAsia="宋体" w:cs="宋体"/>
          <w:sz w:val="28"/>
          <w:szCs w:val="28"/>
        </w:rPr>
        <w:t>当发生火灾爆炸事故时，除</w:t>
      </w:r>
      <w:r>
        <w:rPr>
          <w:rFonts w:ascii="宋体" w:hAnsi="宋体" w:eastAsia="宋体" w:cs="宋体"/>
          <w:spacing w:val="-44"/>
          <w:sz w:val="28"/>
          <w:szCs w:val="28"/>
        </w:rPr>
        <w:t xml:space="preserve"> </w:t>
      </w:r>
      <w:r>
        <w:rPr>
          <w:rFonts w:ascii="Times New Roman" w:hAnsi="Times New Roman" w:eastAsia="Times New Roman" w:cs="Times New Roman"/>
          <w:sz w:val="28"/>
          <w:szCs w:val="28"/>
        </w:rPr>
        <w:t>CO</w:t>
      </w:r>
      <w:r>
        <w:rPr>
          <w:rFonts w:ascii="Times New Roman" w:hAnsi="Times New Roman" w:eastAsia="Times New Roman" w:cs="Times New Roman"/>
          <w:position w:val="-1"/>
          <w:sz w:val="18"/>
          <w:szCs w:val="18"/>
        </w:rPr>
        <w:t>2</w:t>
      </w:r>
      <w:r>
        <w:rPr>
          <w:rFonts w:ascii="Times New Roman" w:hAnsi="Times New Roman" w:eastAsia="Times New Roman" w:cs="Times New Roman"/>
          <w:spacing w:val="16"/>
          <w:w w:val="101"/>
          <w:position w:val="-1"/>
          <w:sz w:val="18"/>
          <w:szCs w:val="18"/>
        </w:rPr>
        <w:t xml:space="preserve"> </w:t>
      </w:r>
      <w:r>
        <w:rPr>
          <w:rFonts w:ascii="宋体" w:hAnsi="宋体" w:eastAsia="宋体" w:cs="宋体"/>
          <w:sz w:val="28"/>
          <w:szCs w:val="28"/>
        </w:rPr>
        <w:t>和</w:t>
      </w:r>
      <w:r>
        <w:rPr>
          <w:rFonts w:ascii="宋体" w:hAnsi="宋体" w:eastAsia="宋体" w:cs="宋体"/>
          <w:spacing w:val="-64"/>
          <w:sz w:val="28"/>
          <w:szCs w:val="28"/>
        </w:rPr>
        <w:t xml:space="preserve"> </w:t>
      </w:r>
      <w:r>
        <w:rPr>
          <w:rFonts w:ascii="Times New Roman" w:hAnsi="Times New Roman" w:eastAsia="Times New Roman" w:cs="Times New Roman"/>
          <w:sz w:val="28"/>
          <w:szCs w:val="28"/>
        </w:rPr>
        <w:t>H</w:t>
      </w:r>
      <w:r>
        <w:rPr>
          <w:rFonts w:ascii="Times New Roman" w:hAnsi="Times New Roman" w:eastAsia="Times New Roman" w:cs="Times New Roman"/>
          <w:position w:val="-1"/>
          <w:sz w:val="18"/>
          <w:szCs w:val="18"/>
        </w:rPr>
        <w:t>2</w:t>
      </w:r>
      <w:r>
        <w:rPr>
          <w:rFonts w:ascii="Times New Roman" w:hAnsi="Times New Roman" w:eastAsia="Times New Roman" w:cs="Times New Roman"/>
          <w:sz w:val="28"/>
          <w:szCs w:val="28"/>
        </w:rPr>
        <w:t xml:space="preserve">O </w:t>
      </w:r>
      <w:r>
        <w:rPr>
          <w:rFonts w:ascii="宋体" w:hAnsi="宋体" w:eastAsia="宋体" w:cs="宋体"/>
          <w:sz w:val="28"/>
          <w:szCs w:val="28"/>
        </w:rPr>
        <w:t xml:space="preserve">等燃烧产物外，在不完 </w:t>
      </w:r>
      <w:r>
        <w:rPr>
          <w:rFonts w:ascii="宋体" w:hAnsi="宋体" w:eastAsia="宋体" w:cs="宋体"/>
          <w:spacing w:val="-3"/>
          <w:sz w:val="28"/>
          <w:szCs w:val="28"/>
        </w:rPr>
        <w:t>全燃烧的条件下可能产生少量具有毒害作用的</w:t>
      </w:r>
      <w:r>
        <w:rPr>
          <w:rFonts w:ascii="宋体" w:hAnsi="宋体" w:eastAsia="宋体" w:cs="宋体"/>
          <w:spacing w:val="-52"/>
          <w:sz w:val="28"/>
          <w:szCs w:val="28"/>
        </w:rPr>
        <w:t xml:space="preserve"> </w:t>
      </w:r>
      <w:r>
        <w:rPr>
          <w:rFonts w:ascii="Times New Roman" w:hAnsi="Times New Roman" w:eastAsia="Times New Roman" w:cs="Times New Roman"/>
          <w:spacing w:val="-3"/>
          <w:sz w:val="28"/>
          <w:szCs w:val="28"/>
        </w:rPr>
        <w:t xml:space="preserve">CO </w:t>
      </w:r>
      <w:r>
        <w:rPr>
          <w:rFonts w:ascii="宋体" w:hAnsi="宋体" w:eastAsia="宋体" w:cs="宋体"/>
          <w:spacing w:val="-3"/>
          <w:sz w:val="28"/>
          <w:szCs w:val="28"/>
        </w:rPr>
        <w:t>等，对空气环境及</w:t>
      </w:r>
      <w:r>
        <w:rPr>
          <w:rFonts w:ascii="宋体" w:hAnsi="宋体" w:eastAsia="宋体" w:cs="宋体"/>
          <w:sz w:val="28"/>
          <w:szCs w:val="28"/>
        </w:rPr>
        <w:t xml:space="preserve"> </w:t>
      </w:r>
      <w:r>
        <w:rPr>
          <w:rFonts w:ascii="宋体" w:hAnsi="宋体" w:eastAsia="宋体" w:cs="宋体"/>
          <w:spacing w:val="-1"/>
          <w:sz w:val="28"/>
          <w:szCs w:val="28"/>
        </w:rPr>
        <w:t>人群健康造成一定影响。</w:t>
      </w:r>
    </w:p>
    <w:p w14:paraId="098AB4E0">
      <w:pPr>
        <w:spacing w:before="1" w:line="220" w:lineRule="auto"/>
        <w:ind w:left="578"/>
        <w:rPr>
          <w:rFonts w:ascii="宋体" w:hAnsi="宋体" w:eastAsia="宋体" w:cs="宋体"/>
          <w:sz w:val="28"/>
          <w:szCs w:val="28"/>
        </w:rPr>
      </w:pPr>
      <w:r>
        <w:rPr>
          <w:rFonts w:ascii="Times New Roman" w:hAnsi="Times New Roman" w:eastAsia="Times New Roman" w:cs="Times New Roman"/>
          <w:spacing w:val="-1"/>
          <w:sz w:val="28"/>
          <w:szCs w:val="28"/>
        </w:rPr>
        <w:t>B.</w:t>
      </w:r>
      <w:r>
        <w:rPr>
          <w:rFonts w:ascii="宋体" w:hAnsi="宋体" w:eastAsia="宋体" w:cs="宋体"/>
          <w:spacing w:val="-1"/>
          <w:sz w:val="28"/>
          <w:szCs w:val="28"/>
        </w:rPr>
        <w:t>废气迁移</w:t>
      </w:r>
    </w:p>
    <w:p w14:paraId="6454FA7F">
      <w:pPr>
        <w:spacing w:before="212" w:line="359" w:lineRule="auto"/>
        <w:ind w:left="25" w:firstLine="560"/>
        <w:rPr>
          <w:rFonts w:ascii="宋体" w:hAnsi="宋体" w:eastAsia="宋体" w:cs="宋体"/>
          <w:sz w:val="28"/>
          <w:szCs w:val="28"/>
        </w:rPr>
      </w:pPr>
      <w:r>
        <w:rPr>
          <w:rFonts w:ascii="宋体" w:hAnsi="宋体" w:eastAsia="宋体" w:cs="宋体"/>
          <w:spacing w:val="-10"/>
          <w:sz w:val="28"/>
          <w:szCs w:val="28"/>
        </w:rPr>
        <w:t>本项目发生泄漏事故后，有机物挥发至空气中，或在空气中迁移、</w:t>
      </w:r>
      <w:r>
        <w:rPr>
          <w:rFonts w:ascii="宋体" w:hAnsi="宋体" w:eastAsia="宋体" w:cs="宋体"/>
          <w:spacing w:val="2"/>
          <w:sz w:val="28"/>
          <w:szCs w:val="28"/>
        </w:rPr>
        <w:t xml:space="preserve"> </w:t>
      </w:r>
      <w:r>
        <w:rPr>
          <w:rFonts w:ascii="宋体" w:hAnsi="宋体" w:eastAsia="宋体" w:cs="宋体"/>
          <w:spacing w:val="-4"/>
          <w:sz w:val="28"/>
          <w:szCs w:val="28"/>
        </w:rPr>
        <w:t>或进入水体、或进入土壤，泄漏事故源附近局部区域会因少量物料沉</w:t>
      </w:r>
      <w:r>
        <w:rPr>
          <w:rFonts w:ascii="宋体" w:hAnsi="宋体" w:eastAsia="宋体" w:cs="宋体"/>
          <w:spacing w:val="14"/>
          <w:sz w:val="28"/>
          <w:szCs w:val="28"/>
        </w:rPr>
        <w:t xml:space="preserve"> </w:t>
      </w:r>
      <w:r>
        <w:rPr>
          <w:rFonts w:ascii="宋体" w:hAnsi="宋体" w:eastAsia="宋体" w:cs="宋体"/>
          <w:spacing w:val="-4"/>
          <w:sz w:val="28"/>
          <w:szCs w:val="28"/>
        </w:rPr>
        <w:t>积或渗透降至土壤或地下水，造成土壤和地下水有机物浓度升高，可</w:t>
      </w:r>
      <w:r>
        <w:rPr>
          <w:rFonts w:ascii="宋体" w:hAnsi="宋体" w:eastAsia="宋体" w:cs="宋体"/>
          <w:spacing w:val="14"/>
          <w:sz w:val="28"/>
          <w:szCs w:val="28"/>
        </w:rPr>
        <w:t xml:space="preserve"> </w:t>
      </w:r>
      <w:r>
        <w:rPr>
          <w:rFonts w:ascii="宋体" w:hAnsi="宋体" w:eastAsia="宋体" w:cs="宋体"/>
          <w:spacing w:val="-1"/>
          <w:sz w:val="28"/>
          <w:szCs w:val="28"/>
        </w:rPr>
        <w:t>能会对周围局部区域的植物生长造成影响。</w:t>
      </w:r>
    </w:p>
    <w:p w14:paraId="660DD532">
      <w:pPr>
        <w:spacing w:before="1" w:line="219" w:lineRule="auto"/>
        <w:ind w:left="583"/>
        <w:rPr>
          <w:rFonts w:ascii="宋体" w:hAnsi="宋体" w:eastAsia="宋体" w:cs="宋体"/>
          <w:sz w:val="28"/>
          <w:szCs w:val="28"/>
        </w:rPr>
      </w:pPr>
      <w:r>
        <w:rPr>
          <w:rFonts w:ascii="Times New Roman" w:hAnsi="Times New Roman" w:eastAsia="Times New Roman" w:cs="Times New Roman"/>
          <w:spacing w:val="-2"/>
          <w:sz w:val="28"/>
          <w:szCs w:val="28"/>
        </w:rPr>
        <w:t>C.</w:t>
      </w:r>
      <w:r>
        <w:rPr>
          <w:rFonts w:ascii="宋体" w:hAnsi="宋体" w:eastAsia="宋体" w:cs="宋体"/>
          <w:spacing w:val="-2"/>
          <w:sz w:val="28"/>
          <w:szCs w:val="28"/>
        </w:rPr>
        <w:t>事故废水</w:t>
      </w:r>
    </w:p>
    <w:p w14:paraId="39E5532A">
      <w:pPr>
        <w:spacing w:before="211" w:line="219" w:lineRule="auto"/>
        <w:ind w:left="584"/>
        <w:rPr>
          <w:rFonts w:ascii="宋体" w:hAnsi="宋体" w:eastAsia="宋体" w:cs="宋体"/>
          <w:sz w:val="28"/>
          <w:szCs w:val="28"/>
        </w:rPr>
      </w:pPr>
      <w:r>
        <w:rPr>
          <w:rFonts w:ascii="宋体" w:hAnsi="宋体" w:eastAsia="宋体" w:cs="宋体"/>
          <w:spacing w:val="-4"/>
          <w:sz w:val="28"/>
          <w:szCs w:val="28"/>
        </w:rPr>
        <w:t>物料泄漏事故处理过程中，可能产生冲洗废水，如发生火灾爆炸</w:t>
      </w:r>
    </w:p>
    <w:p w14:paraId="3E669957">
      <w:pPr>
        <w:spacing w:line="219" w:lineRule="auto"/>
        <w:rPr>
          <w:rFonts w:ascii="宋体" w:hAnsi="宋体" w:eastAsia="宋体" w:cs="宋体"/>
          <w:sz w:val="28"/>
          <w:szCs w:val="28"/>
        </w:rPr>
        <w:sectPr>
          <w:footerReference r:id="rId109" w:type="default"/>
          <w:pgSz w:w="11906" w:h="16839"/>
          <w:pgMar w:top="400" w:right="1701" w:bottom="1259" w:left="1785" w:header="0" w:footer="1097" w:gutter="0"/>
          <w:cols w:space="720" w:num="1"/>
        </w:sectPr>
      </w:pPr>
    </w:p>
    <w:p w14:paraId="0F20886E">
      <w:pPr>
        <w:pStyle w:val="2"/>
        <w:spacing w:line="245" w:lineRule="auto"/>
      </w:pPr>
    </w:p>
    <w:p w14:paraId="2966685A">
      <w:pPr>
        <w:pStyle w:val="2"/>
        <w:spacing w:line="246" w:lineRule="auto"/>
      </w:pPr>
    </w:p>
    <w:p w14:paraId="16CB6945">
      <w:pPr>
        <w:pStyle w:val="2"/>
        <w:spacing w:line="246" w:lineRule="auto"/>
      </w:pPr>
    </w:p>
    <w:p w14:paraId="1128C6F8">
      <w:pPr>
        <w:pStyle w:val="2"/>
        <w:spacing w:line="246" w:lineRule="auto"/>
      </w:pPr>
    </w:p>
    <w:p w14:paraId="07B3324A">
      <w:pPr>
        <w:spacing w:before="91" w:line="359" w:lineRule="auto"/>
        <w:ind w:left="25" w:right="13"/>
        <w:rPr>
          <w:rFonts w:ascii="宋体" w:hAnsi="宋体" w:eastAsia="宋体" w:cs="宋体"/>
          <w:sz w:val="28"/>
          <w:szCs w:val="28"/>
        </w:rPr>
      </w:pPr>
      <w:r>
        <w:rPr>
          <w:rFonts w:ascii="宋体" w:hAnsi="宋体" w:eastAsia="宋体" w:cs="宋体"/>
          <w:spacing w:val="-4"/>
          <w:sz w:val="28"/>
          <w:szCs w:val="28"/>
        </w:rPr>
        <w:t>事故，会产生大量的消防废水，事故处理过程中产生的洗消废水中会</w:t>
      </w:r>
      <w:r>
        <w:rPr>
          <w:rFonts w:ascii="宋体" w:hAnsi="宋体" w:eastAsia="宋体" w:cs="宋体"/>
          <w:spacing w:val="14"/>
          <w:sz w:val="28"/>
          <w:szCs w:val="28"/>
        </w:rPr>
        <w:t xml:space="preserve"> </w:t>
      </w:r>
      <w:r>
        <w:rPr>
          <w:rFonts w:ascii="宋体" w:hAnsi="宋体" w:eastAsia="宋体" w:cs="宋体"/>
          <w:spacing w:val="-2"/>
          <w:sz w:val="28"/>
          <w:szCs w:val="28"/>
        </w:rPr>
        <w:t>含有一定量的有机物。</w:t>
      </w:r>
    </w:p>
    <w:p w14:paraId="76CCBF94">
      <w:pPr>
        <w:spacing w:line="359" w:lineRule="auto"/>
        <w:ind w:left="48" w:right="13" w:firstLine="540"/>
        <w:rPr>
          <w:rFonts w:ascii="宋体" w:hAnsi="宋体" w:eastAsia="宋体" w:cs="宋体"/>
          <w:sz w:val="28"/>
          <w:szCs w:val="28"/>
        </w:rPr>
      </w:pPr>
      <w:r>
        <w:rPr>
          <w:rFonts w:ascii="宋体" w:hAnsi="宋体" w:eastAsia="宋体" w:cs="宋体"/>
          <w:spacing w:val="-4"/>
          <w:sz w:val="28"/>
          <w:szCs w:val="28"/>
        </w:rPr>
        <w:t>项目没有生产设施，仅在运营过程中涉及重载车辆停车场等场所</w:t>
      </w:r>
      <w:r>
        <w:rPr>
          <w:rFonts w:ascii="宋体" w:hAnsi="宋体" w:eastAsia="宋体" w:cs="宋体"/>
          <w:spacing w:val="2"/>
          <w:sz w:val="28"/>
          <w:szCs w:val="28"/>
        </w:rPr>
        <w:t xml:space="preserve"> </w:t>
      </w:r>
      <w:r>
        <w:rPr>
          <w:rFonts w:ascii="宋体" w:hAnsi="宋体" w:eastAsia="宋体" w:cs="宋体"/>
          <w:spacing w:val="-3"/>
          <w:sz w:val="28"/>
          <w:szCs w:val="28"/>
        </w:rPr>
        <w:t>的泄漏</w:t>
      </w:r>
      <w:r>
        <w:rPr>
          <w:rFonts w:ascii="Times New Roman" w:hAnsi="Times New Roman" w:eastAsia="Times New Roman" w:cs="Times New Roman"/>
          <w:spacing w:val="-3"/>
          <w:sz w:val="28"/>
          <w:szCs w:val="28"/>
        </w:rPr>
        <w:t>/</w:t>
      </w:r>
      <w:r>
        <w:rPr>
          <w:rFonts w:ascii="宋体" w:hAnsi="宋体" w:eastAsia="宋体" w:cs="宋体"/>
          <w:spacing w:val="-3"/>
          <w:sz w:val="28"/>
          <w:szCs w:val="28"/>
        </w:rPr>
        <w:t>火灾</w:t>
      </w:r>
      <w:r>
        <w:rPr>
          <w:rFonts w:ascii="Times New Roman" w:hAnsi="Times New Roman" w:eastAsia="Times New Roman" w:cs="Times New Roman"/>
          <w:spacing w:val="-3"/>
          <w:sz w:val="28"/>
          <w:szCs w:val="28"/>
        </w:rPr>
        <w:t>/</w:t>
      </w:r>
      <w:r>
        <w:rPr>
          <w:rFonts w:ascii="宋体" w:hAnsi="宋体" w:eastAsia="宋体" w:cs="宋体"/>
          <w:spacing w:val="-3"/>
          <w:sz w:val="28"/>
          <w:szCs w:val="28"/>
        </w:rPr>
        <w:t>爆炸事故。</w:t>
      </w:r>
    </w:p>
    <w:p w14:paraId="65FAF957">
      <w:pPr>
        <w:spacing w:before="1" w:line="219" w:lineRule="auto"/>
        <w:ind w:left="23"/>
        <w:outlineLvl w:val="1"/>
        <w:rPr>
          <w:rFonts w:ascii="宋体" w:hAnsi="宋体" w:eastAsia="宋体" w:cs="宋体"/>
          <w:sz w:val="28"/>
          <w:szCs w:val="28"/>
        </w:rPr>
      </w:pPr>
      <w:bookmarkStart w:id="16" w:name="bookmark17"/>
      <w:bookmarkEnd w:id="16"/>
      <w:r>
        <w:rPr>
          <w:rFonts w:ascii="Times New Roman" w:hAnsi="Times New Roman" w:eastAsia="Times New Roman" w:cs="Times New Roman"/>
          <w:b/>
          <w:bCs/>
          <w:spacing w:val="-3"/>
          <w:sz w:val="28"/>
          <w:szCs w:val="28"/>
        </w:rPr>
        <w:t xml:space="preserve">5.3 </w:t>
      </w:r>
      <w:r>
        <w:rPr>
          <w:rFonts w:ascii="宋体" w:hAnsi="宋体" w:eastAsia="宋体" w:cs="宋体"/>
          <w:b/>
          <w:bCs/>
          <w:spacing w:val="-3"/>
          <w:sz w:val="28"/>
          <w:szCs w:val="28"/>
        </w:rPr>
        <w:t>环境风险类型及危害分析</w:t>
      </w:r>
    </w:p>
    <w:p w14:paraId="4999DF21">
      <w:pPr>
        <w:spacing w:before="21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）环境风险类型</w:t>
      </w:r>
    </w:p>
    <w:p w14:paraId="6FE95206">
      <w:pPr>
        <w:spacing w:before="211" w:line="359" w:lineRule="auto"/>
        <w:ind w:left="25" w:right="13" w:firstLine="560"/>
        <w:rPr>
          <w:rFonts w:ascii="宋体" w:hAnsi="宋体" w:eastAsia="宋体" w:cs="宋体"/>
          <w:sz w:val="28"/>
          <w:szCs w:val="28"/>
        </w:rPr>
      </w:pPr>
      <w:r>
        <w:rPr>
          <w:rFonts w:ascii="宋体" w:hAnsi="宋体" w:eastAsia="宋体" w:cs="宋体"/>
          <w:spacing w:val="6"/>
          <w:sz w:val="28"/>
          <w:szCs w:val="28"/>
        </w:rPr>
        <w:t>本项目停车场危险品运输车临时贮存涉及的多为易燃易爆和有</w:t>
      </w:r>
      <w:r>
        <w:rPr>
          <w:rFonts w:ascii="宋体" w:hAnsi="宋体" w:eastAsia="宋体" w:cs="宋体"/>
          <w:spacing w:val="12"/>
          <w:sz w:val="28"/>
          <w:szCs w:val="28"/>
        </w:rPr>
        <w:t xml:space="preserve"> </w:t>
      </w:r>
      <w:r>
        <w:rPr>
          <w:rFonts w:ascii="宋体" w:hAnsi="宋体" w:eastAsia="宋体" w:cs="宋体"/>
          <w:spacing w:val="-4"/>
          <w:sz w:val="28"/>
          <w:szCs w:val="28"/>
        </w:rPr>
        <w:t>毒有害物质，危险品运输车（罐车）在停车场暂存时，如遇到管理操</w:t>
      </w:r>
      <w:r>
        <w:rPr>
          <w:rFonts w:ascii="宋体" w:hAnsi="宋体" w:eastAsia="宋体" w:cs="宋体"/>
          <w:spacing w:val="14"/>
          <w:sz w:val="28"/>
          <w:szCs w:val="28"/>
        </w:rPr>
        <w:t xml:space="preserve"> </w:t>
      </w:r>
      <w:r>
        <w:rPr>
          <w:rFonts w:ascii="宋体" w:hAnsi="宋体" w:eastAsia="宋体" w:cs="宋体"/>
          <w:spacing w:val="-4"/>
          <w:sz w:val="28"/>
          <w:szCs w:val="28"/>
        </w:rPr>
        <w:t>作不当或意外事故，存在火灾、爆炸和泄漏等事故风险。当发生上述</w:t>
      </w:r>
      <w:r>
        <w:rPr>
          <w:rFonts w:ascii="宋体" w:hAnsi="宋体" w:eastAsia="宋体" w:cs="宋体"/>
          <w:spacing w:val="14"/>
          <w:sz w:val="28"/>
          <w:szCs w:val="28"/>
        </w:rPr>
        <w:t xml:space="preserve"> </w:t>
      </w:r>
      <w:r>
        <w:rPr>
          <w:rFonts w:ascii="宋体" w:hAnsi="宋体" w:eastAsia="宋体" w:cs="宋体"/>
          <w:spacing w:val="-4"/>
          <w:sz w:val="28"/>
          <w:szCs w:val="28"/>
        </w:rPr>
        <w:t>事故时，将会造成有毒有害物质外泄，对周边大气、地下水环境产生</w:t>
      </w:r>
      <w:r>
        <w:rPr>
          <w:rFonts w:ascii="宋体" w:hAnsi="宋体" w:eastAsia="宋体" w:cs="宋体"/>
          <w:spacing w:val="14"/>
          <w:sz w:val="28"/>
          <w:szCs w:val="28"/>
        </w:rPr>
        <w:t xml:space="preserve"> </w:t>
      </w:r>
      <w:r>
        <w:rPr>
          <w:rFonts w:ascii="宋体" w:hAnsi="宋体" w:eastAsia="宋体" w:cs="宋体"/>
          <w:spacing w:val="-4"/>
          <w:sz w:val="28"/>
          <w:szCs w:val="28"/>
        </w:rPr>
        <w:t>污染影响。此外项目场内危险物质若发生火灾和爆炸后产生的次生物</w:t>
      </w:r>
      <w:r>
        <w:rPr>
          <w:rFonts w:ascii="宋体" w:hAnsi="宋体" w:eastAsia="宋体" w:cs="宋体"/>
          <w:spacing w:val="14"/>
          <w:sz w:val="28"/>
          <w:szCs w:val="28"/>
        </w:rPr>
        <w:t xml:space="preserve"> </w:t>
      </w:r>
      <w:r>
        <w:rPr>
          <w:rFonts w:ascii="宋体" w:hAnsi="宋体" w:eastAsia="宋体" w:cs="宋体"/>
          <w:spacing w:val="-2"/>
          <w:sz w:val="28"/>
          <w:szCs w:val="28"/>
        </w:rPr>
        <w:t>一氧化碳、</w:t>
      </w:r>
      <w:r>
        <w:rPr>
          <w:rFonts w:ascii="Times New Roman" w:hAnsi="Times New Roman" w:eastAsia="Times New Roman" w:cs="Times New Roman"/>
          <w:spacing w:val="-2"/>
          <w:sz w:val="28"/>
          <w:szCs w:val="28"/>
        </w:rPr>
        <w:t>SO</w:t>
      </w:r>
      <w:r>
        <w:rPr>
          <w:rFonts w:ascii="Times New Roman" w:hAnsi="Times New Roman" w:eastAsia="Times New Roman" w:cs="Times New Roman"/>
          <w:spacing w:val="-2"/>
          <w:position w:val="-1"/>
          <w:sz w:val="18"/>
          <w:szCs w:val="18"/>
        </w:rPr>
        <w:t>2</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NOx </w:t>
      </w:r>
      <w:r>
        <w:rPr>
          <w:rFonts w:ascii="宋体" w:hAnsi="宋体" w:eastAsia="宋体" w:cs="宋体"/>
          <w:spacing w:val="-2"/>
          <w:sz w:val="28"/>
          <w:szCs w:val="28"/>
        </w:rPr>
        <w:t>等会对周边企业人员健康造成威胁，甚至导致</w:t>
      </w:r>
      <w:r>
        <w:rPr>
          <w:rFonts w:ascii="宋体" w:hAnsi="宋体" w:eastAsia="宋体" w:cs="宋体"/>
          <w:spacing w:val="18"/>
          <w:sz w:val="28"/>
          <w:szCs w:val="28"/>
        </w:rPr>
        <w:t xml:space="preserve"> </w:t>
      </w:r>
      <w:r>
        <w:rPr>
          <w:rFonts w:ascii="宋体" w:hAnsi="宋体" w:eastAsia="宋体" w:cs="宋体"/>
          <w:spacing w:val="-2"/>
          <w:sz w:val="28"/>
          <w:szCs w:val="28"/>
        </w:rPr>
        <w:t>出现中毒现象。</w:t>
      </w:r>
    </w:p>
    <w:p w14:paraId="15F45822">
      <w:pPr>
        <w:spacing w:before="1" w:line="217" w:lineRule="auto"/>
        <w:ind w:left="583"/>
        <w:rPr>
          <w:rFonts w:ascii="宋体" w:hAnsi="宋体" w:eastAsia="宋体" w:cs="宋体"/>
          <w:sz w:val="28"/>
          <w:szCs w:val="28"/>
        </w:rPr>
      </w:pPr>
      <w:r>
        <w:rPr>
          <w:rFonts w:ascii="宋体" w:hAnsi="宋体" w:eastAsia="宋体" w:cs="宋体"/>
          <w:spacing w:val="-2"/>
          <w:sz w:val="28"/>
          <w:szCs w:val="28"/>
        </w:rPr>
        <w:t>①火灾、爆炸</w:t>
      </w:r>
    </w:p>
    <w:p w14:paraId="662C2D99">
      <w:pPr>
        <w:spacing w:before="216" w:line="359" w:lineRule="auto"/>
        <w:ind w:left="26" w:right="13" w:firstLine="559"/>
        <w:rPr>
          <w:rFonts w:ascii="宋体" w:hAnsi="宋体" w:eastAsia="宋体" w:cs="宋体"/>
          <w:sz w:val="28"/>
          <w:szCs w:val="28"/>
        </w:rPr>
      </w:pPr>
      <w:r>
        <w:rPr>
          <w:rFonts w:ascii="宋体" w:hAnsi="宋体" w:eastAsia="宋体" w:cs="宋体"/>
          <w:spacing w:val="-4"/>
          <w:sz w:val="28"/>
          <w:szCs w:val="28"/>
        </w:rPr>
        <w:t>本项目涉及的易燃易爆风险物质较多，当风险物质出现事故泄漏</w:t>
      </w:r>
      <w:r>
        <w:rPr>
          <w:rFonts w:ascii="宋体" w:hAnsi="宋体" w:eastAsia="宋体" w:cs="宋体"/>
          <w:spacing w:val="6"/>
          <w:sz w:val="28"/>
          <w:szCs w:val="28"/>
        </w:rPr>
        <w:t xml:space="preserve"> </w:t>
      </w:r>
      <w:r>
        <w:rPr>
          <w:rFonts w:ascii="宋体" w:hAnsi="宋体" w:eastAsia="宋体" w:cs="宋体"/>
          <w:spacing w:val="-4"/>
          <w:sz w:val="28"/>
          <w:szCs w:val="28"/>
        </w:rPr>
        <w:t>时遇到明火火源、静电后发生火灾爆炸事故。爆炸的影响主要是产生</w:t>
      </w:r>
      <w:r>
        <w:rPr>
          <w:rFonts w:ascii="宋体" w:hAnsi="宋体" w:eastAsia="宋体" w:cs="宋体"/>
          <w:spacing w:val="13"/>
          <w:sz w:val="28"/>
          <w:szCs w:val="28"/>
        </w:rPr>
        <w:t xml:space="preserve"> </w:t>
      </w:r>
      <w:r>
        <w:rPr>
          <w:rFonts w:ascii="宋体" w:hAnsi="宋体" w:eastAsia="宋体" w:cs="宋体"/>
          <w:spacing w:val="-4"/>
          <w:sz w:val="28"/>
          <w:szCs w:val="28"/>
        </w:rPr>
        <w:t>巨大的空气冲击波，使周围建筑物受损，人员伤亡；燃烧形成的强烈</w:t>
      </w:r>
      <w:r>
        <w:rPr>
          <w:rFonts w:ascii="宋体" w:hAnsi="宋体" w:eastAsia="宋体" w:cs="宋体"/>
          <w:spacing w:val="13"/>
          <w:sz w:val="28"/>
          <w:szCs w:val="28"/>
        </w:rPr>
        <w:t xml:space="preserve"> </w:t>
      </w:r>
      <w:r>
        <w:rPr>
          <w:rFonts w:ascii="宋体" w:hAnsi="宋体" w:eastAsia="宋体" w:cs="宋体"/>
          <w:spacing w:val="-1"/>
          <w:sz w:val="28"/>
          <w:szCs w:val="28"/>
        </w:rPr>
        <w:t>烟气和有毒有害气流，使周围环境空气受污染。</w:t>
      </w:r>
    </w:p>
    <w:p w14:paraId="0B174392">
      <w:pPr>
        <w:spacing w:before="1" w:line="217" w:lineRule="auto"/>
        <w:ind w:left="581"/>
        <w:rPr>
          <w:rFonts w:ascii="宋体" w:hAnsi="宋体" w:eastAsia="宋体" w:cs="宋体"/>
          <w:sz w:val="28"/>
          <w:szCs w:val="28"/>
        </w:rPr>
      </w:pPr>
      <w:r>
        <w:rPr>
          <w:rFonts w:ascii="宋体" w:hAnsi="宋体" w:eastAsia="宋体" w:cs="宋体"/>
          <w:spacing w:val="-3"/>
          <w:sz w:val="28"/>
          <w:szCs w:val="28"/>
        </w:rPr>
        <w:t>②泄漏</w:t>
      </w:r>
    </w:p>
    <w:p w14:paraId="724A00A0">
      <w:pPr>
        <w:spacing w:before="216" w:line="359" w:lineRule="auto"/>
        <w:ind w:left="23" w:right="13" w:firstLine="561"/>
        <w:rPr>
          <w:rFonts w:ascii="宋体" w:hAnsi="宋体" w:eastAsia="宋体" w:cs="宋体"/>
          <w:sz w:val="28"/>
          <w:szCs w:val="28"/>
        </w:rPr>
      </w:pPr>
      <w:r>
        <w:rPr>
          <w:rFonts w:ascii="宋体" w:hAnsi="宋体" w:eastAsia="宋体" w:cs="宋体"/>
          <w:spacing w:val="-4"/>
          <w:sz w:val="28"/>
          <w:szCs w:val="28"/>
        </w:rPr>
        <w:t>本项目为危险品运输车辆停车场项目，危险品运输车辆在场内临</w:t>
      </w:r>
      <w:r>
        <w:rPr>
          <w:rFonts w:ascii="宋体" w:hAnsi="宋体" w:eastAsia="宋体" w:cs="宋体"/>
          <w:spacing w:val="6"/>
          <w:sz w:val="28"/>
          <w:szCs w:val="28"/>
        </w:rPr>
        <w:t xml:space="preserve"> </w:t>
      </w:r>
      <w:r>
        <w:rPr>
          <w:rFonts w:ascii="宋体" w:hAnsi="宋体" w:eastAsia="宋体" w:cs="宋体"/>
          <w:spacing w:val="-4"/>
          <w:sz w:val="28"/>
          <w:szCs w:val="28"/>
        </w:rPr>
        <w:t>时停放。当危险品运输罐车发生破损时会导致物料泄漏，当事故泄漏</w:t>
      </w:r>
      <w:r>
        <w:rPr>
          <w:rFonts w:ascii="宋体" w:hAnsi="宋体" w:eastAsia="宋体" w:cs="宋体"/>
          <w:spacing w:val="15"/>
          <w:sz w:val="28"/>
          <w:szCs w:val="28"/>
        </w:rPr>
        <w:t xml:space="preserve"> </w:t>
      </w:r>
      <w:r>
        <w:rPr>
          <w:rFonts w:ascii="宋体" w:hAnsi="宋体" w:eastAsia="宋体" w:cs="宋体"/>
          <w:spacing w:val="-4"/>
          <w:sz w:val="28"/>
          <w:szCs w:val="28"/>
        </w:rPr>
        <w:t>未及时处理或采取的处理措施不当时，会造成有毒、有害物质通过扩</w:t>
      </w:r>
      <w:r>
        <w:rPr>
          <w:rFonts w:ascii="宋体" w:hAnsi="宋体" w:eastAsia="宋体" w:cs="宋体"/>
          <w:spacing w:val="15"/>
          <w:sz w:val="28"/>
          <w:szCs w:val="28"/>
        </w:rPr>
        <w:t xml:space="preserve"> </w:t>
      </w:r>
      <w:r>
        <w:rPr>
          <w:rFonts w:ascii="宋体" w:hAnsi="宋体" w:eastAsia="宋体" w:cs="宋体"/>
          <w:spacing w:val="-4"/>
          <w:sz w:val="28"/>
          <w:szCs w:val="28"/>
        </w:rPr>
        <w:t>散、接触等引起周边区域人员中毒，且危险物质泄漏进入环境，将对</w:t>
      </w:r>
      <w:r>
        <w:rPr>
          <w:rFonts w:ascii="宋体" w:hAnsi="宋体" w:eastAsia="宋体" w:cs="宋体"/>
          <w:spacing w:val="15"/>
          <w:sz w:val="28"/>
          <w:szCs w:val="28"/>
        </w:rPr>
        <w:t xml:space="preserve"> </w:t>
      </w:r>
      <w:r>
        <w:rPr>
          <w:rFonts w:ascii="宋体" w:hAnsi="宋体" w:eastAsia="宋体" w:cs="宋体"/>
          <w:spacing w:val="-1"/>
          <w:sz w:val="28"/>
          <w:szCs w:val="28"/>
        </w:rPr>
        <w:t>地下水、土壤等外环境造成污染影响。</w:t>
      </w:r>
    </w:p>
    <w:p w14:paraId="3819851D">
      <w:pPr>
        <w:spacing w:before="1" w:line="217" w:lineRule="auto"/>
        <w:ind w:left="581"/>
        <w:rPr>
          <w:rFonts w:ascii="宋体" w:hAnsi="宋体" w:eastAsia="宋体" w:cs="宋体"/>
          <w:sz w:val="28"/>
          <w:szCs w:val="28"/>
        </w:rPr>
      </w:pPr>
      <w:r>
        <w:rPr>
          <w:rFonts w:ascii="宋体" w:hAnsi="宋体" w:eastAsia="宋体" w:cs="宋体"/>
          <w:spacing w:val="-2"/>
          <w:sz w:val="28"/>
          <w:szCs w:val="28"/>
        </w:rPr>
        <w:t>③次生灾害</w:t>
      </w:r>
    </w:p>
    <w:p w14:paraId="254957C9">
      <w:pPr>
        <w:spacing w:line="217" w:lineRule="auto"/>
        <w:rPr>
          <w:rFonts w:ascii="宋体" w:hAnsi="宋体" w:eastAsia="宋体" w:cs="宋体"/>
          <w:sz w:val="28"/>
          <w:szCs w:val="28"/>
        </w:rPr>
        <w:sectPr>
          <w:footerReference r:id="rId110" w:type="default"/>
          <w:pgSz w:w="11906" w:h="16839"/>
          <w:pgMar w:top="400" w:right="1785" w:bottom="1259" w:left="1785" w:header="0" w:footer="1097" w:gutter="0"/>
          <w:cols w:space="720" w:num="1"/>
        </w:sectPr>
      </w:pPr>
    </w:p>
    <w:p w14:paraId="45F53267">
      <w:pPr>
        <w:pStyle w:val="2"/>
        <w:spacing w:line="246" w:lineRule="auto"/>
      </w:pPr>
    </w:p>
    <w:p w14:paraId="44D52059">
      <w:pPr>
        <w:pStyle w:val="2"/>
        <w:spacing w:line="246" w:lineRule="auto"/>
      </w:pPr>
    </w:p>
    <w:p w14:paraId="0A9BAC23">
      <w:pPr>
        <w:pStyle w:val="2"/>
        <w:spacing w:line="247" w:lineRule="auto"/>
      </w:pPr>
    </w:p>
    <w:p w14:paraId="65FCA28F">
      <w:pPr>
        <w:pStyle w:val="2"/>
        <w:spacing w:line="247" w:lineRule="auto"/>
      </w:pPr>
    </w:p>
    <w:p w14:paraId="62D12CCA">
      <w:pPr>
        <w:spacing w:before="91" w:line="359" w:lineRule="auto"/>
        <w:ind w:left="23" w:right="13" w:firstLine="561"/>
        <w:jc w:val="both"/>
        <w:rPr>
          <w:rFonts w:ascii="宋体" w:hAnsi="宋体" w:eastAsia="宋体" w:cs="宋体"/>
          <w:sz w:val="28"/>
          <w:szCs w:val="28"/>
        </w:rPr>
      </w:pPr>
      <w:r>
        <w:rPr>
          <w:rFonts w:ascii="宋体" w:hAnsi="宋体" w:eastAsia="宋体" w:cs="宋体"/>
          <w:spacing w:val="6"/>
          <w:sz w:val="28"/>
          <w:szCs w:val="28"/>
        </w:rPr>
        <w:t>本项目停车场危险品运输车的危险物质泄漏或发生火灾爆炸后</w:t>
      </w:r>
      <w:r>
        <w:rPr>
          <w:rFonts w:ascii="宋体" w:hAnsi="宋体" w:eastAsia="宋体" w:cs="宋体"/>
          <w:spacing w:val="12"/>
          <w:sz w:val="28"/>
          <w:szCs w:val="28"/>
        </w:rPr>
        <w:t xml:space="preserve"> </w:t>
      </w:r>
      <w:r>
        <w:rPr>
          <w:rFonts w:ascii="宋体" w:hAnsi="宋体" w:eastAsia="宋体" w:cs="宋体"/>
          <w:spacing w:val="2"/>
          <w:sz w:val="28"/>
          <w:szCs w:val="28"/>
        </w:rPr>
        <w:t>会产生次生灾害，一般发生火灾爆炸事故后会生成一氧化碳（</w:t>
      </w:r>
      <w:r>
        <w:rPr>
          <w:rFonts w:ascii="Times New Roman" w:hAnsi="Times New Roman" w:eastAsia="Times New Roman" w:cs="Times New Roman"/>
          <w:sz w:val="28"/>
          <w:szCs w:val="28"/>
        </w:rPr>
        <w:t>CO</w:t>
      </w:r>
      <w:r>
        <w:rPr>
          <w:rFonts w:ascii="宋体" w:hAnsi="宋体" w:eastAsia="宋体" w:cs="宋体"/>
          <w:spacing w:val="2"/>
          <w:sz w:val="28"/>
          <w:szCs w:val="28"/>
        </w:rPr>
        <w:t>）</w:t>
      </w:r>
      <w:r>
        <w:rPr>
          <w:rFonts w:ascii="宋体" w:hAnsi="宋体" w:eastAsia="宋体" w:cs="宋体"/>
          <w:spacing w:val="8"/>
          <w:sz w:val="28"/>
          <w:szCs w:val="28"/>
        </w:rPr>
        <w:t xml:space="preserve"> </w:t>
      </w:r>
      <w:r>
        <w:rPr>
          <w:rFonts w:ascii="宋体" w:hAnsi="宋体" w:eastAsia="宋体" w:cs="宋体"/>
          <w:spacing w:val="-3"/>
          <w:sz w:val="28"/>
          <w:szCs w:val="28"/>
        </w:rPr>
        <w:t>和氮氧化物（</w:t>
      </w:r>
      <w:r>
        <w:rPr>
          <w:rFonts w:ascii="Times New Roman" w:hAnsi="Times New Roman" w:eastAsia="Times New Roman" w:cs="Times New Roman"/>
          <w:spacing w:val="-3"/>
          <w:sz w:val="28"/>
          <w:szCs w:val="28"/>
        </w:rPr>
        <w:t>NOx</w:t>
      </w:r>
      <w:r>
        <w:rPr>
          <w:rFonts w:ascii="宋体" w:hAnsi="宋体" w:eastAsia="宋体" w:cs="宋体"/>
          <w:spacing w:val="-3"/>
          <w:sz w:val="28"/>
          <w:szCs w:val="28"/>
        </w:rPr>
        <w:t>）以及粉尘，上述气体都是有害气体，人体吸入后</w:t>
      </w:r>
      <w:r>
        <w:rPr>
          <w:rFonts w:ascii="宋体" w:hAnsi="宋体" w:eastAsia="宋体" w:cs="宋体"/>
          <w:spacing w:val="4"/>
          <w:sz w:val="28"/>
          <w:szCs w:val="28"/>
        </w:rPr>
        <w:t xml:space="preserve"> </w:t>
      </w:r>
      <w:r>
        <w:rPr>
          <w:rFonts w:ascii="宋体" w:hAnsi="宋体" w:eastAsia="宋体" w:cs="宋体"/>
          <w:spacing w:val="-4"/>
          <w:sz w:val="28"/>
          <w:szCs w:val="28"/>
        </w:rPr>
        <w:t>轻则中毒，重则死亡，同时会对大气环境造成污染。且若发生火灾爆</w:t>
      </w:r>
      <w:r>
        <w:rPr>
          <w:rFonts w:ascii="宋体" w:hAnsi="宋体" w:eastAsia="宋体" w:cs="宋体"/>
          <w:spacing w:val="15"/>
          <w:sz w:val="28"/>
          <w:szCs w:val="28"/>
        </w:rPr>
        <w:t xml:space="preserve"> </w:t>
      </w:r>
      <w:r>
        <w:rPr>
          <w:rFonts w:ascii="宋体" w:hAnsi="宋体" w:eastAsia="宋体" w:cs="宋体"/>
          <w:spacing w:val="-4"/>
          <w:sz w:val="28"/>
          <w:szCs w:val="28"/>
        </w:rPr>
        <w:t>炸事故后，一般采用消防水对火灾爆炸源或泄漏区进行喷淋洒水，该</w:t>
      </w:r>
      <w:r>
        <w:rPr>
          <w:rFonts w:ascii="宋体" w:hAnsi="宋体" w:eastAsia="宋体" w:cs="宋体"/>
          <w:spacing w:val="15"/>
          <w:sz w:val="28"/>
          <w:szCs w:val="28"/>
        </w:rPr>
        <w:t xml:space="preserve"> </w:t>
      </w:r>
      <w:r>
        <w:rPr>
          <w:rFonts w:ascii="宋体" w:hAnsi="宋体" w:eastAsia="宋体" w:cs="宋体"/>
          <w:spacing w:val="-4"/>
          <w:sz w:val="28"/>
          <w:szCs w:val="28"/>
        </w:rPr>
        <w:t>措施会导致泄漏的部分物质转移至消防废水中，消防废水直接外排会</w:t>
      </w:r>
      <w:r>
        <w:rPr>
          <w:rFonts w:ascii="宋体" w:hAnsi="宋体" w:eastAsia="宋体" w:cs="宋体"/>
          <w:spacing w:val="15"/>
          <w:sz w:val="28"/>
          <w:szCs w:val="28"/>
        </w:rPr>
        <w:t xml:space="preserve"> </w:t>
      </w:r>
      <w:r>
        <w:rPr>
          <w:rFonts w:ascii="宋体" w:hAnsi="宋体" w:eastAsia="宋体" w:cs="宋体"/>
          <w:spacing w:val="-4"/>
          <w:sz w:val="28"/>
          <w:szCs w:val="28"/>
        </w:rPr>
        <w:t>导致对地表水和地下水环境影响造成影响。为避免事故状态下泄漏的</w:t>
      </w:r>
      <w:r>
        <w:rPr>
          <w:rFonts w:ascii="宋体" w:hAnsi="宋体" w:eastAsia="宋体" w:cs="宋体"/>
          <w:spacing w:val="15"/>
          <w:sz w:val="28"/>
          <w:szCs w:val="28"/>
        </w:rPr>
        <w:t xml:space="preserve"> </w:t>
      </w:r>
      <w:r>
        <w:rPr>
          <w:rFonts w:ascii="宋体" w:hAnsi="宋体" w:eastAsia="宋体" w:cs="宋体"/>
          <w:spacing w:val="-4"/>
          <w:sz w:val="28"/>
          <w:szCs w:val="28"/>
        </w:rPr>
        <w:t>有毒有害物质及火灾爆炸消防废水对环境的污染，要求企业运营期制</w:t>
      </w:r>
      <w:r>
        <w:rPr>
          <w:rFonts w:ascii="宋体" w:hAnsi="宋体" w:eastAsia="宋体" w:cs="宋体"/>
          <w:spacing w:val="15"/>
          <w:sz w:val="28"/>
          <w:szCs w:val="28"/>
        </w:rPr>
        <w:t xml:space="preserve"> </w:t>
      </w:r>
      <w:r>
        <w:rPr>
          <w:rFonts w:ascii="宋体" w:hAnsi="宋体" w:eastAsia="宋体" w:cs="宋体"/>
          <w:spacing w:val="-4"/>
          <w:sz w:val="28"/>
          <w:szCs w:val="28"/>
        </w:rPr>
        <w:t>定严格的废水收集设施和拦截方案，设置消防污水收集管（沟）、切</w:t>
      </w:r>
      <w:r>
        <w:rPr>
          <w:rFonts w:ascii="宋体" w:hAnsi="宋体" w:eastAsia="宋体" w:cs="宋体"/>
          <w:spacing w:val="15"/>
          <w:sz w:val="28"/>
          <w:szCs w:val="28"/>
        </w:rPr>
        <w:t xml:space="preserve"> </w:t>
      </w:r>
      <w:r>
        <w:rPr>
          <w:rFonts w:ascii="宋体" w:hAnsi="宋体" w:eastAsia="宋体" w:cs="宋体"/>
          <w:spacing w:val="-1"/>
          <w:sz w:val="28"/>
          <w:szCs w:val="28"/>
        </w:rPr>
        <w:t>换阀门和监控池，严禁事故废水外排厂外，避免次生灾害污染。</w:t>
      </w:r>
    </w:p>
    <w:p w14:paraId="6ECE7034">
      <w:pPr>
        <w:spacing w:before="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）环境风险物质转移的途径和影响分析</w:t>
      </w:r>
    </w:p>
    <w:p w14:paraId="5268993D">
      <w:pPr>
        <w:spacing w:before="210" w:line="218" w:lineRule="auto"/>
        <w:ind w:left="583"/>
        <w:rPr>
          <w:rFonts w:ascii="宋体" w:hAnsi="宋体" w:eastAsia="宋体" w:cs="宋体"/>
          <w:sz w:val="28"/>
          <w:szCs w:val="28"/>
        </w:rPr>
      </w:pPr>
      <w:r>
        <w:rPr>
          <w:rFonts w:ascii="宋体" w:hAnsi="宋体" w:eastAsia="宋体" w:cs="宋体"/>
          <w:spacing w:val="-2"/>
          <w:sz w:val="28"/>
          <w:szCs w:val="28"/>
        </w:rPr>
        <w:t>①大气环境</w:t>
      </w:r>
    </w:p>
    <w:p w14:paraId="69C71D92">
      <w:pPr>
        <w:spacing w:before="215" w:line="359" w:lineRule="auto"/>
        <w:ind w:left="23" w:right="13" w:firstLine="564"/>
        <w:jc w:val="both"/>
        <w:rPr>
          <w:rFonts w:ascii="宋体" w:hAnsi="宋体" w:eastAsia="宋体" w:cs="宋体"/>
          <w:sz w:val="28"/>
          <w:szCs w:val="28"/>
        </w:rPr>
      </w:pPr>
      <w:r>
        <w:rPr>
          <w:rFonts w:ascii="宋体" w:hAnsi="宋体" w:eastAsia="宋体" w:cs="宋体"/>
          <w:spacing w:val="-4"/>
          <w:sz w:val="28"/>
          <w:szCs w:val="28"/>
        </w:rPr>
        <w:t>项目停车区有毒物质泄漏、易燃易爆物质发生火灾、爆炸，产生</w:t>
      </w:r>
      <w:r>
        <w:rPr>
          <w:rFonts w:ascii="宋体" w:hAnsi="宋体" w:eastAsia="宋体" w:cs="宋体"/>
          <w:spacing w:val="2"/>
          <w:sz w:val="28"/>
          <w:szCs w:val="28"/>
        </w:rPr>
        <w:t xml:space="preserve"> </w:t>
      </w:r>
      <w:r>
        <w:rPr>
          <w:rFonts w:ascii="宋体" w:hAnsi="宋体" w:eastAsia="宋体" w:cs="宋体"/>
          <w:spacing w:val="-2"/>
          <w:sz w:val="28"/>
          <w:szCs w:val="28"/>
        </w:rPr>
        <w:t>的</w:t>
      </w:r>
      <w:r>
        <w:rPr>
          <w:rFonts w:ascii="宋体" w:hAnsi="宋体" w:eastAsia="宋体" w:cs="宋体"/>
          <w:spacing w:val="-60"/>
          <w:sz w:val="28"/>
          <w:szCs w:val="28"/>
        </w:rPr>
        <w:t xml:space="preserve"> </w:t>
      </w:r>
      <w:r>
        <w:rPr>
          <w:rFonts w:ascii="Times New Roman" w:hAnsi="Times New Roman" w:eastAsia="Times New Roman" w:cs="Times New Roman"/>
          <w:spacing w:val="-2"/>
          <w:sz w:val="28"/>
          <w:szCs w:val="28"/>
        </w:rPr>
        <w:t>CO</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NOx </w:t>
      </w:r>
      <w:r>
        <w:rPr>
          <w:rFonts w:ascii="宋体" w:hAnsi="宋体" w:eastAsia="宋体" w:cs="宋体"/>
          <w:spacing w:val="-2"/>
          <w:sz w:val="28"/>
          <w:szCs w:val="28"/>
        </w:rPr>
        <w:t>等有毒气体会造成大气环境污染，大气污染物</w:t>
      </w:r>
      <w:r>
        <w:rPr>
          <w:rFonts w:ascii="宋体" w:hAnsi="宋体" w:eastAsia="宋体" w:cs="宋体"/>
          <w:spacing w:val="-3"/>
          <w:sz w:val="28"/>
          <w:szCs w:val="28"/>
        </w:rPr>
        <w:t>通过呼吸</w:t>
      </w:r>
      <w:r>
        <w:rPr>
          <w:rFonts w:ascii="宋体" w:hAnsi="宋体" w:eastAsia="宋体" w:cs="宋体"/>
          <w:sz w:val="28"/>
          <w:szCs w:val="28"/>
        </w:rPr>
        <w:t xml:space="preserve"> </w:t>
      </w:r>
      <w:r>
        <w:rPr>
          <w:rFonts w:ascii="宋体" w:hAnsi="宋体" w:eastAsia="宋体" w:cs="宋体"/>
          <w:spacing w:val="-1"/>
          <w:sz w:val="28"/>
          <w:szCs w:val="28"/>
        </w:rPr>
        <w:t>道、消化道和皮肤短时间内大量进入人体，处于半致死浓度和</w:t>
      </w:r>
      <w:r>
        <w:rPr>
          <w:rFonts w:ascii="宋体" w:hAnsi="宋体" w:eastAsia="宋体" w:cs="宋体"/>
          <w:spacing w:val="-51"/>
          <w:sz w:val="28"/>
          <w:szCs w:val="28"/>
        </w:rPr>
        <w:t xml:space="preserve"> </w:t>
      </w:r>
      <w:r>
        <w:rPr>
          <w:rFonts w:ascii="Times New Roman" w:hAnsi="Times New Roman" w:eastAsia="Times New Roman" w:cs="Times New Roman"/>
          <w:spacing w:val="-1"/>
          <w:sz w:val="28"/>
          <w:szCs w:val="28"/>
        </w:rPr>
        <w:t>IDLH</w:t>
      </w:r>
      <w:r>
        <w:rPr>
          <w:rFonts w:ascii="Times New Roman" w:hAnsi="Times New Roman" w:eastAsia="Times New Roman" w:cs="Times New Roman"/>
          <w:sz w:val="28"/>
          <w:szCs w:val="28"/>
        </w:rPr>
        <w:t xml:space="preserve"> </w:t>
      </w:r>
      <w:r>
        <w:rPr>
          <w:rFonts w:ascii="宋体" w:hAnsi="宋体" w:eastAsia="宋体" w:cs="宋体"/>
          <w:spacing w:val="-1"/>
          <w:sz w:val="28"/>
          <w:szCs w:val="28"/>
        </w:rPr>
        <w:t>浓度等高污染浓度区域的生命将受到威胁。</w:t>
      </w:r>
    </w:p>
    <w:p w14:paraId="12742908">
      <w:pPr>
        <w:spacing w:before="1" w:line="217" w:lineRule="auto"/>
        <w:ind w:left="581"/>
        <w:rPr>
          <w:rFonts w:ascii="宋体" w:hAnsi="宋体" w:eastAsia="宋体" w:cs="宋体"/>
          <w:sz w:val="28"/>
          <w:szCs w:val="28"/>
        </w:rPr>
      </w:pPr>
      <w:r>
        <w:rPr>
          <w:rFonts w:ascii="宋体" w:hAnsi="宋体" w:eastAsia="宋体" w:cs="宋体"/>
          <w:spacing w:val="-2"/>
          <w:sz w:val="28"/>
          <w:szCs w:val="28"/>
        </w:rPr>
        <w:t>②地表水环境</w:t>
      </w:r>
    </w:p>
    <w:p w14:paraId="3D88C411">
      <w:pPr>
        <w:spacing w:before="214" w:line="359" w:lineRule="auto"/>
        <w:ind w:left="23" w:right="13" w:firstLine="564"/>
        <w:rPr>
          <w:rFonts w:ascii="宋体" w:hAnsi="宋体" w:eastAsia="宋体" w:cs="宋体"/>
          <w:sz w:val="28"/>
          <w:szCs w:val="28"/>
        </w:rPr>
      </w:pPr>
      <w:r>
        <w:rPr>
          <w:rFonts w:ascii="宋体" w:hAnsi="宋体" w:eastAsia="宋体" w:cs="宋体"/>
          <w:spacing w:val="-4"/>
          <w:sz w:val="28"/>
          <w:szCs w:val="28"/>
        </w:rPr>
        <w:t>一旦发生环境风险事故，风险物料发生大量泄漏时，极有可能引</w:t>
      </w:r>
      <w:r>
        <w:rPr>
          <w:rFonts w:ascii="宋体" w:hAnsi="宋体" w:eastAsia="宋体" w:cs="宋体"/>
          <w:spacing w:val="2"/>
          <w:sz w:val="28"/>
          <w:szCs w:val="28"/>
        </w:rPr>
        <w:t xml:space="preserve"> </w:t>
      </w:r>
      <w:r>
        <w:rPr>
          <w:rFonts w:ascii="宋体" w:hAnsi="宋体" w:eastAsia="宋体" w:cs="宋体"/>
          <w:spacing w:val="-4"/>
          <w:sz w:val="28"/>
          <w:szCs w:val="28"/>
        </w:rPr>
        <w:t>发火灾爆炸事故。为防止引发火灾爆炸和环境空气污染事故，一般采</w:t>
      </w:r>
      <w:r>
        <w:rPr>
          <w:rFonts w:ascii="宋体" w:hAnsi="宋体" w:eastAsia="宋体" w:cs="宋体"/>
          <w:spacing w:val="15"/>
          <w:sz w:val="28"/>
          <w:szCs w:val="28"/>
        </w:rPr>
        <w:t xml:space="preserve"> </w:t>
      </w:r>
      <w:r>
        <w:rPr>
          <w:rFonts w:ascii="宋体" w:hAnsi="宋体" w:eastAsia="宋体" w:cs="宋体"/>
          <w:spacing w:val="-4"/>
          <w:sz w:val="28"/>
          <w:szCs w:val="28"/>
        </w:rPr>
        <w:t>用消防水对火灾爆炸源或泄漏区进行喷淋洒水，该措施会导致泄漏的</w:t>
      </w:r>
      <w:r>
        <w:rPr>
          <w:rFonts w:ascii="宋体" w:hAnsi="宋体" w:eastAsia="宋体" w:cs="宋体"/>
          <w:spacing w:val="15"/>
          <w:sz w:val="28"/>
          <w:szCs w:val="28"/>
        </w:rPr>
        <w:t xml:space="preserve"> </w:t>
      </w:r>
      <w:r>
        <w:rPr>
          <w:rFonts w:ascii="宋体" w:hAnsi="宋体" w:eastAsia="宋体" w:cs="宋体"/>
          <w:spacing w:val="-4"/>
          <w:sz w:val="28"/>
          <w:szCs w:val="28"/>
        </w:rPr>
        <w:t>部分物质转移至消防废水中，消防废水通过场区雨水排放口直接外排</w:t>
      </w:r>
      <w:r>
        <w:rPr>
          <w:rFonts w:ascii="宋体" w:hAnsi="宋体" w:eastAsia="宋体" w:cs="宋体"/>
          <w:spacing w:val="15"/>
          <w:sz w:val="28"/>
          <w:szCs w:val="28"/>
        </w:rPr>
        <w:t xml:space="preserve"> </w:t>
      </w:r>
      <w:r>
        <w:rPr>
          <w:rFonts w:ascii="宋体" w:hAnsi="宋体" w:eastAsia="宋体" w:cs="宋体"/>
          <w:spacing w:val="-1"/>
          <w:sz w:val="28"/>
          <w:szCs w:val="28"/>
        </w:rPr>
        <w:t>会导致对下游地表水环境影响造成影响。</w:t>
      </w:r>
    </w:p>
    <w:p w14:paraId="3D09F439">
      <w:pPr>
        <w:spacing w:before="1" w:line="217" w:lineRule="auto"/>
        <w:ind w:left="581"/>
        <w:rPr>
          <w:rFonts w:ascii="宋体" w:hAnsi="宋体" w:eastAsia="宋体" w:cs="宋体"/>
          <w:sz w:val="28"/>
          <w:szCs w:val="28"/>
        </w:rPr>
      </w:pPr>
      <w:r>
        <w:rPr>
          <w:rFonts w:ascii="宋体" w:hAnsi="宋体" w:eastAsia="宋体" w:cs="宋体"/>
          <w:spacing w:val="-1"/>
          <w:sz w:val="28"/>
          <w:szCs w:val="28"/>
        </w:rPr>
        <w:t>③土壤和地下水</w:t>
      </w:r>
    </w:p>
    <w:p w14:paraId="342263EC">
      <w:pPr>
        <w:spacing w:before="215" w:line="361" w:lineRule="auto"/>
        <w:ind w:left="23" w:right="13" w:firstLine="564"/>
        <w:rPr>
          <w:rFonts w:ascii="宋体" w:hAnsi="宋体" w:eastAsia="宋体" w:cs="宋体"/>
          <w:sz w:val="28"/>
          <w:szCs w:val="28"/>
        </w:rPr>
      </w:pPr>
      <w:r>
        <w:rPr>
          <w:rFonts w:ascii="宋体" w:hAnsi="宋体" w:eastAsia="宋体" w:cs="宋体"/>
          <w:spacing w:val="-4"/>
          <w:sz w:val="28"/>
          <w:szCs w:val="28"/>
        </w:rPr>
        <w:t>项目停车区有毒有害风险物质事故泄漏时会形成地表漫流、垂直</w:t>
      </w:r>
      <w:r>
        <w:rPr>
          <w:rFonts w:ascii="宋体" w:hAnsi="宋体" w:eastAsia="宋体" w:cs="宋体"/>
          <w:spacing w:val="2"/>
          <w:sz w:val="28"/>
          <w:szCs w:val="28"/>
        </w:rPr>
        <w:t xml:space="preserve"> </w:t>
      </w:r>
      <w:r>
        <w:rPr>
          <w:rFonts w:ascii="宋体" w:hAnsi="宋体" w:eastAsia="宋体" w:cs="宋体"/>
          <w:spacing w:val="-4"/>
          <w:sz w:val="28"/>
          <w:szCs w:val="28"/>
        </w:rPr>
        <w:t>入渗等途径进入项目及周边区域的土壤和地下水。随着时间的推移污</w:t>
      </w:r>
    </w:p>
    <w:p w14:paraId="5DB41ACC">
      <w:pPr>
        <w:spacing w:line="361" w:lineRule="auto"/>
        <w:rPr>
          <w:rFonts w:ascii="宋体" w:hAnsi="宋体" w:eastAsia="宋体" w:cs="宋体"/>
          <w:sz w:val="28"/>
          <w:szCs w:val="28"/>
        </w:rPr>
        <w:sectPr>
          <w:footerReference r:id="rId111" w:type="default"/>
          <w:pgSz w:w="11906" w:h="16839"/>
          <w:pgMar w:top="400" w:right="1785" w:bottom="1259" w:left="1785" w:header="0" w:footer="1097" w:gutter="0"/>
          <w:cols w:space="720" w:num="1"/>
        </w:sectPr>
      </w:pPr>
    </w:p>
    <w:p w14:paraId="1B38A0A5">
      <w:pPr>
        <w:pStyle w:val="2"/>
        <w:spacing w:line="245" w:lineRule="auto"/>
      </w:pPr>
    </w:p>
    <w:p w14:paraId="4B7962EF">
      <w:pPr>
        <w:pStyle w:val="2"/>
        <w:spacing w:line="246" w:lineRule="auto"/>
      </w:pPr>
    </w:p>
    <w:p w14:paraId="34BDE827">
      <w:pPr>
        <w:pStyle w:val="2"/>
        <w:spacing w:line="246" w:lineRule="auto"/>
      </w:pPr>
    </w:p>
    <w:p w14:paraId="487D8923">
      <w:pPr>
        <w:pStyle w:val="2"/>
        <w:spacing w:line="246" w:lineRule="auto"/>
      </w:pPr>
    </w:p>
    <w:p w14:paraId="1FDE6EF1">
      <w:pPr>
        <w:spacing w:before="91" w:line="359" w:lineRule="auto"/>
        <w:ind w:left="127" w:right="112" w:firstLine="1"/>
        <w:rPr>
          <w:rFonts w:ascii="宋体" w:hAnsi="宋体" w:eastAsia="宋体" w:cs="宋体"/>
          <w:sz w:val="28"/>
          <w:szCs w:val="28"/>
        </w:rPr>
      </w:pPr>
      <w:r>
        <w:rPr>
          <w:rFonts w:ascii="宋体" w:hAnsi="宋体" w:eastAsia="宋体" w:cs="宋体"/>
          <w:spacing w:val="-4"/>
          <w:sz w:val="28"/>
          <w:szCs w:val="28"/>
        </w:rPr>
        <w:t>染物会逐渐由浅层向深层地下水、土壤环境渗透，可能造成区域地下</w:t>
      </w:r>
      <w:r>
        <w:rPr>
          <w:rFonts w:ascii="宋体" w:hAnsi="宋体" w:eastAsia="宋体" w:cs="宋体"/>
          <w:spacing w:val="10"/>
          <w:sz w:val="28"/>
          <w:szCs w:val="28"/>
        </w:rPr>
        <w:t xml:space="preserve"> </w:t>
      </w:r>
      <w:r>
        <w:rPr>
          <w:rFonts w:ascii="宋体" w:hAnsi="宋体" w:eastAsia="宋体" w:cs="宋体"/>
          <w:spacing w:val="-2"/>
          <w:sz w:val="28"/>
          <w:szCs w:val="28"/>
        </w:rPr>
        <w:t>水污染以及土壤污染。</w:t>
      </w:r>
    </w:p>
    <w:p w14:paraId="7D409361">
      <w:pPr>
        <w:spacing w:before="1"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）环境风险识别结果</w:t>
      </w:r>
    </w:p>
    <w:p w14:paraId="1E502CE5">
      <w:pPr>
        <w:spacing w:before="204" w:line="219" w:lineRule="auto"/>
        <w:ind w:left="290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5.3-1    </w:t>
      </w:r>
      <w:r>
        <w:rPr>
          <w:rFonts w:ascii="宋体" w:hAnsi="宋体" w:eastAsia="宋体" w:cs="宋体"/>
          <w:b/>
          <w:bCs/>
          <w:spacing w:val="-2"/>
          <w:sz w:val="24"/>
          <w:szCs w:val="24"/>
        </w:rPr>
        <w:t>风险途径识别表</w:t>
      </w:r>
    </w:p>
    <w:p w14:paraId="25CF3C3B">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1"/>
        <w:gridCol w:w="1219"/>
        <w:gridCol w:w="1357"/>
        <w:gridCol w:w="1459"/>
        <w:gridCol w:w="1256"/>
        <w:gridCol w:w="1974"/>
      </w:tblGrid>
      <w:tr w14:paraId="17449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61" w:type="dxa"/>
            <w:vAlign w:val="top"/>
          </w:tcPr>
          <w:p w14:paraId="64BB7F25">
            <w:pPr>
              <w:pStyle w:val="6"/>
              <w:spacing w:before="194" w:line="220" w:lineRule="auto"/>
              <w:ind w:left="160"/>
              <w:rPr>
                <w:sz w:val="24"/>
                <w:szCs w:val="24"/>
              </w:rPr>
            </w:pPr>
            <w:r>
              <w:rPr>
                <w:spacing w:val="-4"/>
                <w:sz w:val="24"/>
                <w:szCs w:val="24"/>
              </w:rPr>
              <w:t>危险单元</w:t>
            </w:r>
          </w:p>
        </w:tc>
        <w:tc>
          <w:tcPr>
            <w:tcW w:w="1219" w:type="dxa"/>
            <w:vAlign w:val="top"/>
          </w:tcPr>
          <w:p w14:paraId="450AB529">
            <w:pPr>
              <w:pStyle w:val="6"/>
              <w:spacing w:before="194" w:line="220" w:lineRule="auto"/>
              <w:ind w:left="256"/>
              <w:rPr>
                <w:sz w:val="24"/>
                <w:szCs w:val="24"/>
              </w:rPr>
            </w:pPr>
            <w:r>
              <w:rPr>
                <w:spacing w:val="-4"/>
                <w:sz w:val="24"/>
                <w:szCs w:val="24"/>
              </w:rPr>
              <w:t>风险源</w:t>
            </w:r>
          </w:p>
        </w:tc>
        <w:tc>
          <w:tcPr>
            <w:tcW w:w="1357" w:type="dxa"/>
            <w:vAlign w:val="top"/>
          </w:tcPr>
          <w:p w14:paraId="6738314D">
            <w:pPr>
              <w:pStyle w:val="6"/>
              <w:spacing w:before="41" w:line="223" w:lineRule="auto"/>
              <w:ind w:left="445" w:right="196" w:hanging="239"/>
              <w:rPr>
                <w:sz w:val="24"/>
                <w:szCs w:val="24"/>
              </w:rPr>
            </w:pPr>
            <w:r>
              <w:rPr>
                <w:spacing w:val="-3"/>
                <w:sz w:val="24"/>
                <w:szCs w:val="24"/>
              </w:rPr>
              <w:t>重点关注</w:t>
            </w:r>
            <w:r>
              <w:rPr>
                <w:sz w:val="24"/>
                <w:szCs w:val="24"/>
              </w:rPr>
              <w:t xml:space="preserve"> </w:t>
            </w:r>
            <w:r>
              <w:rPr>
                <w:spacing w:val="-5"/>
                <w:sz w:val="24"/>
                <w:szCs w:val="24"/>
              </w:rPr>
              <w:t>物质</w:t>
            </w:r>
          </w:p>
        </w:tc>
        <w:tc>
          <w:tcPr>
            <w:tcW w:w="1459" w:type="dxa"/>
            <w:vAlign w:val="top"/>
          </w:tcPr>
          <w:p w14:paraId="52811108">
            <w:pPr>
              <w:pStyle w:val="6"/>
              <w:spacing w:before="41" w:line="219" w:lineRule="auto"/>
              <w:ind w:left="136"/>
              <w:rPr>
                <w:sz w:val="24"/>
                <w:szCs w:val="24"/>
              </w:rPr>
            </w:pPr>
            <w:r>
              <w:rPr>
                <w:spacing w:val="-2"/>
                <w:sz w:val="24"/>
                <w:szCs w:val="24"/>
              </w:rPr>
              <w:t>环境风险类</w:t>
            </w:r>
          </w:p>
          <w:p w14:paraId="20E8781F">
            <w:pPr>
              <w:pStyle w:val="6"/>
              <w:spacing w:before="24" w:line="208" w:lineRule="auto"/>
              <w:ind w:left="624"/>
              <w:rPr>
                <w:sz w:val="24"/>
                <w:szCs w:val="24"/>
              </w:rPr>
            </w:pPr>
            <w:r>
              <w:rPr>
                <w:sz w:val="24"/>
                <w:szCs w:val="24"/>
              </w:rPr>
              <w:t>型</w:t>
            </w:r>
          </w:p>
        </w:tc>
        <w:tc>
          <w:tcPr>
            <w:tcW w:w="1256" w:type="dxa"/>
            <w:vAlign w:val="top"/>
          </w:tcPr>
          <w:p w14:paraId="412ED45E">
            <w:pPr>
              <w:pStyle w:val="6"/>
              <w:spacing w:before="40" w:line="220" w:lineRule="auto"/>
              <w:ind w:left="156"/>
              <w:rPr>
                <w:sz w:val="24"/>
                <w:szCs w:val="24"/>
              </w:rPr>
            </w:pPr>
            <w:r>
              <w:rPr>
                <w:spacing w:val="-3"/>
                <w:sz w:val="24"/>
                <w:szCs w:val="24"/>
              </w:rPr>
              <w:t>环境影响</w:t>
            </w:r>
          </w:p>
          <w:p w14:paraId="622623B4">
            <w:pPr>
              <w:pStyle w:val="6"/>
              <w:spacing w:before="23" w:line="208" w:lineRule="auto"/>
              <w:ind w:left="396"/>
              <w:rPr>
                <w:sz w:val="24"/>
                <w:szCs w:val="24"/>
              </w:rPr>
            </w:pPr>
            <w:r>
              <w:rPr>
                <w:spacing w:val="-5"/>
                <w:sz w:val="24"/>
                <w:szCs w:val="24"/>
              </w:rPr>
              <w:t>途径</w:t>
            </w:r>
          </w:p>
        </w:tc>
        <w:tc>
          <w:tcPr>
            <w:tcW w:w="1974" w:type="dxa"/>
            <w:vAlign w:val="top"/>
          </w:tcPr>
          <w:p w14:paraId="29AA0477">
            <w:pPr>
              <w:pStyle w:val="6"/>
              <w:spacing w:before="41" w:line="223" w:lineRule="auto"/>
              <w:ind w:left="634" w:right="145" w:hanging="479"/>
              <w:rPr>
                <w:sz w:val="24"/>
                <w:szCs w:val="24"/>
              </w:rPr>
            </w:pPr>
            <w:r>
              <w:rPr>
                <w:spacing w:val="-2"/>
                <w:sz w:val="24"/>
                <w:szCs w:val="24"/>
              </w:rPr>
              <w:t>可能受影响的敏</w:t>
            </w:r>
            <w:r>
              <w:rPr>
                <w:spacing w:val="1"/>
                <w:sz w:val="24"/>
                <w:szCs w:val="24"/>
              </w:rPr>
              <w:t xml:space="preserve"> </w:t>
            </w:r>
            <w:r>
              <w:rPr>
                <w:spacing w:val="-4"/>
                <w:sz w:val="24"/>
                <w:szCs w:val="24"/>
              </w:rPr>
              <w:t>感目标</w:t>
            </w:r>
          </w:p>
        </w:tc>
      </w:tr>
      <w:tr w14:paraId="3ABD3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1261" w:type="dxa"/>
            <w:vAlign w:val="top"/>
          </w:tcPr>
          <w:p w14:paraId="2B588DF1">
            <w:pPr>
              <w:spacing w:line="268" w:lineRule="auto"/>
              <w:rPr>
                <w:rFonts w:ascii="Arial"/>
                <w:sz w:val="21"/>
              </w:rPr>
            </w:pPr>
          </w:p>
          <w:p w14:paraId="55E63EF4">
            <w:pPr>
              <w:pStyle w:val="6"/>
              <w:spacing w:before="78" w:line="220" w:lineRule="auto"/>
              <w:ind w:left="160"/>
              <w:rPr>
                <w:sz w:val="24"/>
                <w:szCs w:val="24"/>
              </w:rPr>
            </w:pPr>
            <w:r>
              <w:rPr>
                <w:spacing w:val="-4"/>
                <w:sz w:val="24"/>
                <w:szCs w:val="24"/>
              </w:rPr>
              <w:t>危险化学</w:t>
            </w:r>
          </w:p>
          <w:p w14:paraId="01C215C1">
            <w:pPr>
              <w:pStyle w:val="6"/>
              <w:spacing w:before="23" w:line="219" w:lineRule="auto"/>
              <w:ind w:left="177"/>
              <w:rPr>
                <w:sz w:val="24"/>
                <w:szCs w:val="24"/>
              </w:rPr>
            </w:pPr>
            <w:r>
              <w:rPr>
                <w:spacing w:val="-8"/>
                <w:sz w:val="24"/>
                <w:szCs w:val="24"/>
              </w:rPr>
              <w:t>品停车区</w:t>
            </w:r>
          </w:p>
        </w:tc>
        <w:tc>
          <w:tcPr>
            <w:tcW w:w="1219" w:type="dxa"/>
            <w:vAlign w:val="top"/>
          </w:tcPr>
          <w:p w14:paraId="588419A3">
            <w:pPr>
              <w:pStyle w:val="6"/>
              <w:spacing w:before="36" w:line="219" w:lineRule="auto"/>
              <w:ind w:left="134"/>
              <w:rPr>
                <w:sz w:val="24"/>
                <w:szCs w:val="24"/>
              </w:rPr>
            </w:pPr>
            <w:r>
              <w:rPr>
                <w:spacing w:val="-3"/>
                <w:sz w:val="24"/>
                <w:szCs w:val="24"/>
              </w:rPr>
              <w:t>场内停放</w:t>
            </w:r>
          </w:p>
          <w:p w14:paraId="64D8EF0E">
            <w:pPr>
              <w:pStyle w:val="6"/>
              <w:spacing w:before="26" w:line="220" w:lineRule="auto"/>
              <w:ind w:left="155"/>
              <w:rPr>
                <w:sz w:val="24"/>
                <w:szCs w:val="24"/>
              </w:rPr>
            </w:pPr>
            <w:r>
              <w:rPr>
                <w:spacing w:val="-8"/>
                <w:sz w:val="24"/>
                <w:szCs w:val="24"/>
              </w:rPr>
              <w:t>的重载危</w:t>
            </w:r>
          </w:p>
          <w:p w14:paraId="46609EE2">
            <w:pPr>
              <w:pStyle w:val="6"/>
              <w:spacing w:before="23" w:line="220" w:lineRule="auto"/>
              <w:ind w:left="148"/>
              <w:rPr>
                <w:sz w:val="24"/>
                <w:szCs w:val="24"/>
              </w:rPr>
            </w:pPr>
            <w:r>
              <w:rPr>
                <w:spacing w:val="-6"/>
                <w:sz w:val="24"/>
                <w:szCs w:val="24"/>
              </w:rPr>
              <w:t>险化学品</w:t>
            </w:r>
          </w:p>
          <w:p w14:paraId="7562C012">
            <w:pPr>
              <w:pStyle w:val="6"/>
              <w:spacing w:before="26" w:line="207" w:lineRule="auto"/>
              <w:ind w:left="135"/>
              <w:rPr>
                <w:sz w:val="24"/>
                <w:szCs w:val="24"/>
              </w:rPr>
            </w:pPr>
            <w:r>
              <w:rPr>
                <w:spacing w:val="-3"/>
                <w:sz w:val="24"/>
                <w:szCs w:val="24"/>
              </w:rPr>
              <w:t>运输车辆</w:t>
            </w:r>
          </w:p>
        </w:tc>
        <w:tc>
          <w:tcPr>
            <w:tcW w:w="1357" w:type="dxa"/>
            <w:vAlign w:val="top"/>
          </w:tcPr>
          <w:p w14:paraId="0D972175">
            <w:pPr>
              <w:pStyle w:val="6"/>
              <w:spacing w:before="37" w:line="239" w:lineRule="auto"/>
              <w:ind w:left="116" w:right="87" w:firstLine="90"/>
              <w:jc w:val="both"/>
              <w:rPr>
                <w:sz w:val="24"/>
                <w:szCs w:val="24"/>
              </w:rPr>
            </w:pPr>
            <w:r>
              <w:rPr>
                <w:spacing w:val="-3"/>
                <w:sz w:val="24"/>
                <w:szCs w:val="24"/>
              </w:rPr>
              <w:t>液氯、甲</w:t>
            </w:r>
            <w:r>
              <w:rPr>
                <w:sz w:val="24"/>
                <w:szCs w:val="24"/>
              </w:rPr>
              <w:t xml:space="preserve">  </w:t>
            </w:r>
            <w:r>
              <w:rPr>
                <w:spacing w:val="-11"/>
                <w:sz w:val="24"/>
                <w:szCs w:val="24"/>
              </w:rPr>
              <w:t>醇、氨水、</w:t>
            </w:r>
            <w:r>
              <w:rPr>
                <w:spacing w:val="1"/>
                <w:sz w:val="24"/>
                <w:szCs w:val="24"/>
              </w:rPr>
              <w:t xml:space="preserve"> </w:t>
            </w:r>
            <w:r>
              <w:rPr>
                <w:spacing w:val="21"/>
                <w:sz w:val="24"/>
                <w:szCs w:val="24"/>
              </w:rPr>
              <w:t>液氨、硫</w:t>
            </w:r>
          </w:p>
          <w:p w14:paraId="01D5805F">
            <w:pPr>
              <w:pStyle w:val="6"/>
              <w:spacing w:line="207" w:lineRule="auto"/>
              <w:ind w:left="206"/>
              <w:rPr>
                <w:sz w:val="24"/>
                <w:szCs w:val="24"/>
              </w:rPr>
            </w:pPr>
            <w:r>
              <w:rPr>
                <w:spacing w:val="-3"/>
                <w:sz w:val="24"/>
                <w:szCs w:val="24"/>
              </w:rPr>
              <w:t>酸、苯等</w:t>
            </w:r>
          </w:p>
        </w:tc>
        <w:tc>
          <w:tcPr>
            <w:tcW w:w="1459" w:type="dxa"/>
            <w:vAlign w:val="top"/>
          </w:tcPr>
          <w:p w14:paraId="6A9A6C3A">
            <w:pPr>
              <w:pStyle w:val="6"/>
              <w:spacing w:before="36" w:line="219" w:lineRule="auto"/>
              <w:ind w:left="140"/>
              <w:rPr>
                <w:sz w:val="24"/>
                <w:szCs w:val="24"/>
              </w:rPr>
            </w:pPr>
            <w:r>
              <w:rPr>
                <w:spacing w:val="-3"/>
                <w:sz w:val="24"/>
                <w:szCs w:val="24"/>
              </w:rPr>
              <w:t>泄露、火灾</w:t>
            </w:r>
          </w:p>
          <w:p w14:paraId="4F7108C9">
            <w:pPr>
              <w:pStyle w:val="6"/>
              <w:spacing w:before="26" w:line="218" w:lineRule="auto"/>
              <w:ind w:left="137"/>
              <w:rPr>
                <w:sz w:val="24"/>
                <w:szCs w:val="24"/>
              </w:rPr>
            </w:pPr>
            <w:r>
              <w:rPr>
                <w:spacing w:val="-3"/>
                <w:sz w:val="24"/>
                <w:szCs w:val="24"/>
              </w:rPr>
              <w:t>和爆炸引发</w:t>
            </w:r>
          </w:p>
          <w:p w14:paraId="47AB59EC">
            <w:pPr>
              <w:pStyle w:val="6"/>
              <w:spacing w:before="26" w:line="219" w:lineRule="auto"/>
              <w:ind w:left="156"/>
              <w:rPr>
                <w:sz w:val="24"/>
                <w:szCs w:val="24"/>
              </w:rPr>
            </w:pPr>
            <w:r>
              <w:rPr>
                <w:spacing w:val="-6"/>
                <w:sz w:val="24"/>
                <w:szCs w:val="24"/>
              </w:rPr>
              <w:t>的次生污染</w:t>
            </w:r>
          </w:p>
          <w:p w14:paraId="4E37FFC0">
            <w:pPr>
              <w:pStyle w:val="6"/>
              <w:spacing w:before="27" w:line="207" w:lineRule="auto"/>
              <w:ind w:left="497"/>
              <w:rPr>
                <w:sz w:val="24"/>
                <w:szCs w:val="24"/>
              </w:rPr>
            </w:pPr>
            <w:r>
              <w:rPr>
                <w:spacing w:val="-6"/>
                <w:sz w:val="24"/>
                <w:szCs w:val="24"/>
              </w:rPr>
              <w:t>风险</w:t>
            </w:r>
          </w:p>
        </w:tc>
        <w:tc>
          <w:tcPr>
            <w:tcW w:w="1256" w:type="dxa"/>
            <w:vAlign w:val="top"/>
          </w:tcPr>
          <w:p w14:paraId="1A6A2FB8">
            <w:pPr>
              <w:pStyle w:val="6"/>
              <w:spacing w:before="192" w:line="220" w:lineRule="auto"/>
              <w:ind w:left="159"/>
              <w:rPr>
                <w:sz w:val="24"/>
                <w:szCs w:val="24"/>
              </w:rPr>
            </w:pPr>
            <w:r>
              <w:rPr>
                <w:spacing w:val="-1"/>
                <w:sz w:val="24"/>
                <w:szCs w:val="24"/>
              </w:rPr>
              <w:t>大气、地</w:t>
            </w:r>
          </w:p>
          <w:p w14:paraId="6B88F5DC">
            <w:pPr>
              <w:pStyle w:val="6"/>
              <w:spacing w:before="23" w:line="219" w:lineRule="auto"/>
              <w:ind w:left="163"/>
              <w:rPr>
                <w:sz w:val="24"/>
                <w:szCs w:val="24"/>
              </w:rPr>
            </w:pPr>
            <w:r>
              <w:rPr>
                <w:spacing w:val="-2"/>
                <w:sz w:val="24"/>
                <w:szCs w:val="24"/>
              </w:rPr>
              <w:t>下水、土</w:t>
            </w:r>
          </w:p>
          <w:p w14:paraId="468B8324">
            <w:pPr>
              <w:pStyle w:val="6"/>
              <w:spacing w:before="26" w:line="221" w:lineRule="auto"/>
              <w:ind w:left="516"/>
              <w:rPr>
                <w:sz w:val="24"/>
                <w:szCs w:val="24"/>
              </w:rPr>
            </w:pPr>
            <w:r>
              <w:rPr>
                <w:sz w:val="24"/>
                <w:szCs w:val="24"/>
              </w:rPr>
              <w:t>壤</w:t>
            </w:r>
          </w:p>
        </w:tc>
        <w:tc>
          <w:tcPr>
            <w:tcW w:w="1974" w:type="dxa"/>
            <w:vMerge w:val="restart"/>
            <w:tcBorders>
              <w:bottom w:val="nil"/>
            </w:tcBorders>
            <w:vAlign w:val="top"/>
          </w:tcPr>
          <w:p w14:paraId="716A217F">
            <w:pPr>
              <w:spacing w:line="241" w:lineRule="auto"/>
              <w:rPr>
                <w:rFonts w:ascii="Arial"/>
                <w:sz w:val="21"/>
              </w:rPr>
            </w:pPr>
          </w:p>
          <w:p w14:paraId="44E65BC9">
            <w:pPr>
              <w:spacing w:line="241" w:lineRule="auto"/>
              <w:rPr>
                <w:rFonts w:ascii="Arial"/>
                <w:sz w:val="21"/>
              </w:rPr>
            </w:pPr>
          </w:p>
          <w:p w14:paraId="4EA20E6A">
            <w:pPr>
              <w:spacing w:line="241" w:lineRule="auto"/>
              <w:rPr>
                <w:rFonts w:ascii="Arial"/>
                <w:sz w:val="21"/>
              </w:rPr>
            </w:pPr>
          </w:p>
          <w:p w14:paraId="1F32792B">
            <w:pPr>
              <w:spacing w:line="241" w:lineRule="auto"/>
              <w:rPr>
                <w:rFonts w:ascii="Arial"/>
                <w:sz w:val="21"/>
              </w:rPr>
            </w:pPr>
          </w:p>
          <w:p w14:paraId="44B00C6C">
            <w:pPr>
              <w:spacing w:line="241" w:lineRule="auto"/>
              <w:rPr>
                <w:rFonts w:ascii="Arial"/>
                <w:sz w:val="21"/>
              </w:rPr>
            </w:pPr>
          </w:p>
          <w:p w14:paraId="188A7FAB">
            <w:pPr>
              <w:pStyle w:val="6"/>
              <w:spacing w:before="78" w:line="220" w:lineRule="auto"/>
              <w:ind w:left="157"/>
              <w:rPr>
                <w:sz w:val="24"/>
                <w:szCs w:val="24"/>
              </w:rPr>
            </w:pPr>
            <w:r>
              <w:rPr>
                <w:spacing w:val="-2"/>
                <w:sz w:val="24"/>
                <w:szCs w:val="24"/>
              </w:rPr>
              <w:t>项目区周边的企</w:t>
            </w:r>
          </w:p>
          <w:p w14:paraId="3EE20D3A">
            <w:pPr>
              <w:pStyle w:val="6"/>
              <w:spacing w:before="25" w:line="220" w:lineRule="auto"/>
              <w:ind w:left="152"/>
              <w:rPr>
                <w:sz w:val="24"/>
                <w:szCs w:val="24"/>
              </w:rPr>
            </w:pPr>
            <w:r>
              <w:rPr>
                <w:spacing w:val="-2"/>
                <w:sz w:val="24"/>
                <w:szCs w:val="24"/>
              </w:rPr>
              <w:t>业、居民以及西</w:t>
            </w:r>
          </w:p>
          <w:p w14:paraId="54886EDA">
            <w:pPr>
              <w:pStyle w:val="6"/>
              <w:spacing w:before="23" w:line="220" w:lineRule="auto"/>
              <w:ind w:left="153"/>
              <w:rPr>
                <w:sz w:val="24"/>
                <w:szCs w:val="24"/>
              </w:rPr>
            </w:pPr>
            <w:r>
              <w:rPr>
                <w:spacing w:val="-2"/>
                <w:sz w:val="24"/>
                <w:szCs w:val="24"/>
              </w:rPr>
              <w:t>鄂尔多斯自然保</w:t>
            </w:r>
          </w:p>
          <w:p w14:paraId="42C10486">
            <w:pPr>
              <w:pStyle w:val="6"/>
              <w:spacing w:before="26" w:line="220" w:lineRule="auto"/>
              <w:ind w:left="634"/>
              <w:rPr>
                <w:sz w:val="24"/>
                <w:szCs w:val="24"/>
              </w:rPr>
            </w:pPr>
            <w:r>
              <w:rPr>
                <w:spacing w:val="-4"/>
                <w:sz w:val="24"/>
                <w:szCs w:val="24"/>
              </w:rPr>
              <w:t>护区。</w:t>
            </w:r>
          </w:p>
        </w:tc>
      </w:tr>
      <w:tr w14:paraId="2754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261" w:type="dxa"/>
            <w:vAlign w:val="top"/>
          </w:tcPr>
          <w:p w14:paraId="4F820051">
            <w:pPr>
              <w:spacing w:line="269" w:lineRule="auto"/>
              <w:rPr>
                <w:rFonts w:ascii="Arial"/>
                <w:sz w:val="21"/>
              </w:rPr>
            </w:pPr>
          </w:p>
          <w:p w14:paraId="35F933D2">
            <w:pPr>
              <w:pStyle w:val="6"/>
              <w:spacing w:before="78" w:line="219" w:lineRule="auto"/>
              <w:ind w:left="160"/>
              <w:rPr>
                <w:sz w:val="24"/>
                <w:szCs w:val="24"/>
              </w:rPr>
            </w:pPr>
            <w:r>
              <w:rPr>
                <w:spacing w:val="-4"/>
                <w:sz w:val="24"/>
                <w:szCs w:val="24"/>
              </w:rPr>
              <w:t>危废暂存</w:t>
            </w:r>
          </w:p>
          <w:p w14:paraId="19352374">
            <w:pPr>
              <w:pStyle w:val="6"/>
              <w:spacing w:before="24" w:line="222" w:lineRule="auto"/>
              <w:ind w:left="536"/>
              <w:rPr>
                <w:sz w:val="24"/>
                <w:szCs w:val="24"/>
              </w:rPr>
            </w:pPr>
            <w:r>
              <w:rPr>
                <w:sz w:val="24"/>
                <w:szCs w:val="24"/>
              </w:rPr>
              <w:t>间</w:t>
            </w:r>
          </w:p>
        </w:tc>
        <w:tc>
          <w:tcPr>
            <w:tcW w:w="1219" w:type="dxa"/>
            <w:vAlign w:val="top"/>
          </w:tcPr>
          <w:p w14:paraId="63AAA3E1">
            <w:pPr>
              <w:spacing w:line="422" w:lineRule="auto"/>
              <w:rPr>
                <w:rFonts w:ascii="Arial"/>
                <w:sz w:val="21"/>
              </w:rPr>
            </w:pPr>
          </w:p>
          <w:p w14:paraId="38314CF3">
            <w:pPr>
              <w:pStyle w:val="6"/>
              <w:spacing w:before="78" w:line="220" w:lineRule="auto"/>
              <w:ind w:left="138"/>
              <w:rPr>
                <w:sz w:val="24"/>
                <w:szCs w:val="24"/>
              </w:rPr>
            </w:pPr>
            <w:r>
              <w:rPr>
                <w:spacing w:val="-4"/>
                <w:sz w:val="24"/>
                <w:szCs w:val="24"/>
              </w:rPr>
              <w:t>危险废物</w:t>
            </w:r>
          </w:p>
        </w:tc>
        <w:tc>
          <w:tcPr>
            <w:tcW w:w="1357" w:type="dxa"/>
            <w:vAlign w:val="top"/>
          </w:tcPr>
          <w:p w14:paraId="0B761888">
            <w:pPr>
              <w:pStyle w:val="6"/>
              <w:spacing w:before="36" w:line="219" w:lineRule="auto"/>
              <w:ind w:left="112"/>
              <w:rPr>
                <w:sz w:val="24"/>
                <w:szCs w:val="24"/>
              </w:rPr>
            </w:pPr>
            <w:r>
              <w:rPr>
                <w:spacing w:val="-12"/>
                <w:sz w:val="24"/>
                <w:szCs w:val="24"/>
              </w:rPr>
              <w:t>废机油、含</w:t>
            </w:r>
          </w:p>
          <w:p w14:paraId="0ACAF23B">
            <w:pPr>
              <w:pStyle w:val="6"/>
              <w:spacing w:before="28" w:line="239" w:lineRule="auto"/>
              <w:ind w:left="206" w:right="105" w:hanging="89"/>
              <w:rPr>
                <w:sz w:val="24"/>
                <w:szCs w:val="24"/>
              </w:rPr>
            </w:pPr>
            <w:r>
              <w:rPr>
                <w:spacing w:val="-15"/>
                <w:sz w:val="24"/>
                <w:szCs w:val="24"/>
              </w:rPr>
              <w:t>油介质、污</w:t>
            </w:r>
            <w:r>
              <w:rPr>
                <w:spacing w:val="3"/>
                <w:sz w:val="24"/>
                <w:szCs w:val="24"/>
              </w:rPr>
              <w:t xml:space="preserve"> </w:t>
            </w:r>
            <w:r>
              <w:rPr>
                <w:spacing w:val="-3"/>
                <w:sz w:val="24"/>
                <w:szCs w:val="24"/>
              </w:rPr>
              <w:t>泥和浮渣</w:t>
            </w:r>
          </w:p>
          <w:p w14:paraId="12BC6B28">
            <w:pPr>
              <w:pStyle w:val="6"/>
              <w:spacing w:line="205" w:lineRule="auto"/>
              <w:ind w:left="567"/>
              <w:rPr>
                <w:sz w:val="24"/>
                <w:szCs w:val="24"/>
              </w:rPr>
            </w:pPr>
            <w:r>
              <w:rPr>
                <w:sz w:val="24"/>
                <w:szCs w:val="24"/>
              </w:rPr>
              <w:t>等</w:t>
            </w:r>
          </w:p>
        </w:tc>
        <w:tc>
          <w:tcPr>
            <w:tcW w:w="1459" w:type="dxa"/>
            <w:vAlign w:val="top"/>
          </w:tcPr>
          <w:p w14:paraId="6D21D45A">
            <w:pPr>
              <w:spacing w:line="422" w:lineRule="auto"/>
              <w:rPr>
                <w:rFonts w:ascii="Arial"/>
                <w:sz w:val="21"/>
              </w:rPr>
            </w:pPr>
          </w:p>
          <w:p w14:paraId="0A3D86FC">
            <w:pPr>
              <w:pStyle w:val="6"/>
              <w:spacing w:before="78" w:line="220" w:lineRule="auto"/>
              <w:ind w:left="500"/>
              <w:rPr>
                <w:sz w:val="24"/>
                <w:szCs w:val="24"/>
              </w:rPr>
            </w:pPr>
            <w:r>
              <w:rPr>
                <w:spacing w:val="-7"/>
                <w:sz w:val="24"/>
                <w:szCs w:val="24"/>
              </w:rPr>
              <w:t>泄露</w:t>
            </w:r>
          </w:p>
        </w:tc>
        <w:tc>
          <w:tcPr>
            <w:tcW w:w="1256" w:type="dxa"/>
            <w:vAlign w:val="top"/>
          </w:tcPr>
          <w:p w14:paraId="154B692B">
            <w:pPr>
              <w:spacing w:line="269" w:lineRule="auto"/>
              <w:rPr>
                <w:rFonts w:ascii="Arial"/>
                <w:sz w:val="21"/>
              </w:rPr>
            </w:pPr>
          </w:p>
          <w:p w14:paraId="49C49500">
            <w:pPr>
              <w:pStyle w:val="6"/>
              <w:spacing w:before="78" w:line="219" w:lineRule="auto"/>
              <w:ind w:left="156"/>
              <w:rPr>
                <w:sz w:val="24"/>
                <w:szCs w:val="24"/>
              </w:rPr>
            </w:pPr>
            <w:r>
              <w:rPr>
                <w:spacing w:val="-3"/>
                <w:sz w:val="24"/>
                <w:szCs w:val="24"/>
              </w:rPr>
              <w:t>地下水、</w:t>
            </w:r>
          </w:p>
          <w:p w14:paraId="65914AEA">
            <w:pPr>
              <w:pStyle w:val="6"/>
              <w:spacing w:before="24" w:line="221" w:lineRule="auto"/>
              <w:ind w:left="397"/>
              <w:rPr>
                <w:sz w:val="24"/>
                <w:szCs w:val="24"/>
              </w:rPr>
            </w:pPr>
            <w:r>
              <w:rPr>
                <w:spacing w:val="-6"/>
                <w:sz w:val="24"/>
                <w:szCs w:val="24"/>
              </w:rPr>
              <w:t>土壤</w:t>
            </w:r>
          </w:p>
        </w:tc>
        <w:tc>
          <w:tcPr>
            <w:tcW w:w="1974" w:type="dxa"/>
            <w:vMerge w:val="continue"/>
            <w:tcBorders>
              <w:top w:val="nil"/>
              <w:bottom w:val="nil"/>
            </w:tcBorders>
            <w:vAlign w:val="top"/>
          </w:tcPr>
          <w:p w14:paraId="0EFC2EB8">
            <w:pPr>
              <w:rPr>
                <w:rFonts w:ascii="Arial"/>
                <w:sz w:val="21"/>
              </w:rPr>
            </w:pPr>
          </w:p>
        </w:tc>
      </w:tr>
      <w:tr w14:paraId="5E4BB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261" w:type="dxa"/>
            <w:vAlign w:val="top"/>
          </w:tcPr>
          <w:p w14:paraId="4E36A3E5">
            <w:pPr>
              <w:pStyle w:val="6"/>
              <w:spacing w:before="39" w:line="239" w:lineRule="auto"/>
              <w:ind w:left="157" w:right="147" w:firstLine="120"/>
              <w:rPr>
                <w:sz w:val="24"/>
                <w:szCs w:val="24"/>
              </w:rPr>
            </w:pPr>
            <w:r>
              <w:rPr>
                <w:spacing w:val="-4"/>
                <w:sz w:val="24"/>
                <w:szCs w:val="24"/>
              </w:rPr>
              <w:t>事故水</w:t>
            </w:r>
            <w:r>
              <w:rPr>
                <w:sz w:val="24"/>
                <w:szCs w:val="24"/>
              </w:rPr>
              <w:t xml:space="preserve">  </w:t>
            </w:r>
            <w:r>
              <w:rPr>
                <w:spacing w:val="-3"/>
                <w:sz w:val="24"/>
                <w:szCs w:val="24"/>
              </w:rPr>
              <w:t>池、雨水</w:t>
            </w:r>
          </w:p>
          <w:p w14:paraId="04EB3488">
            <w:pPr>
              <w:pStyle w:val="6"/>
              <w:spacing w:line="219" w:lineRule="auto"/>
              <w:ind w:left="166"/>
              <w:rPr>
                <w:sz w:val="24"/>
                <w:szCs w:val="24"/>
              </w:rPr>
            </w:pPr>
            <w:r>
              <w:rPr>
                <w:spacing w:val="-5"/>
                <w:sz w:val="24"/>
                <w:szCs w:val="24"/>
              </w:rPr>
              <w:t>收集池等</w:t>
            </w:r>
          </w:p>
          <w:p w14:paraId="3F842A88">
            <w:pPr>
              <w:pStyle w:val="6"/>
              <w:spacing w:before="26" w:line="208" w:lineRule="auto"/>
              <w:ind w:left="397"/>
              <w:rPr>
                <w:sz w:val="24"/>
                <w:szCs w:val="24"/>
              </w:rPr>
            </w:pPr>
            <w:r>
              <w:rPr>
                <w:spacing w:val="-5"/>
                <w:sz w:val="24"/>
                <w:szCs w:val="24"/>
              </w:rPr>
              <w:t>池体</w:t>
            </w:r>
          </w:p>
        </w:tc>
        <w:tc>
          <w:tcPr>
            <w:tcW w:w="1219" w:type="dxa"/>
            <w:vAlign w:val="top"/>
          </w:tcPr>
          <w:p w14:paraId="083F0C48">
            <w:pPr>
              <w:spacing w:line="424" w:lineRule="auto"/>
              <w:rPr>
                <w:rFonts w:ascii="Arial"/>
                <w:sz w:val="21"/>
              </w:rPr>
            </w:pPr>
          </w:p>
          <w:p w14:paraId="2C029CC5">
            <w:pPr>
              <w:pStyle w:val="6"/>
              <w:spacing w:before="78" w:line="219" w:lineRule="auto"/>
              <w:ind w:left="138"/>
              <w:rPr>
                <w:sz w:val="24"/>
                <w:szCs w:val="24"/>
              </w:rPr>
            </w:pPr>
            <w:r>
              <w:rPr>
                <w:spacing w:val="-4"/>
                <w:sz w:val="24"/>
                <w:szCs w:val="24"/>
              </w:rPr>
              <w:t>各类池体</w:t>
            </w:r>
          </w:p>
        </w:tc>
        <w:tc>
          <w:tcPr>
            <w:tcW w:w="1357" w:type="dxa"/>
            <w:vAlign w:val="top"/>
          </w:tcPr>
          <w:p w14:paraId="0B419657">
            <w:pPr>
              <w:pStyle w:val="6"/>
              <w:spacing w:before="40" w:line="239" w:lineRule="auto"/>
              <w:ind w:left="116" w:right="87" w:firstLine="90"/>
              <w:jc w:val="both"/>
              <w:rPr>
                <w:sz w:val="24"/>
                <w:szCs w:val="24"/>
              </w:rPr>
            </w:pPr>
            <w:r>
              <w:rPr>
                <w:spacing w:val="-3"/>
                <w:sz w:val="24"/>
                <w:szCs w:val="24"/>
              </w:rPr>
              <w:t>液氯、甲</w:t>
            </w:r>
            <w:r>
              <w:rPr>
                <w:sz w:val="24"/>
                <w:szCs w:val="24"/>
              </w:rPr>
              <w:t xml:space="preserve">  </w:t>
            </w:r>
            <w:r>
              <w:rPr>
                <w:spacing w:val="-11"/>
                <w:sz w:val="24"/>
                <w:szCs w:val="24"/>
              </w:rPr>
              <w:t>醇、氨水、</w:t>
            </w:r>
            <w:r>
              <w:rPr>
                <w:spacing w:val="1"/>
                <w:sz w:val="24"/>
                <w:szCs w:val="24"/>
              </w:rPr>
              <w:t xml:space="preserve"> </w:t>
            </w:r>
            <w:r>
              <w:rPr>
                <w:spacing w:val="21"/>
                <w:sz w:val="24"/>
                <w:szCs w:val="24"/>
              </w:rPr>
              <w:t>液氨、硫</w:t>
            </w:r>
          </w:p>
          <w:p w14:paraId="4A62A421">
            <w:pPr>
              <w:pStyle w:val="6"/>
              <w:spacing w:line="207" w:lineRule="auto"/>
              <w:ind w:left="206"/>
              <w:rPr>
                <w:sz w:val="24"/>
                <w:szCs w:val="24"/>
              </w:rPr>
            </w:pPr>
            <w:r>
              <w:rPr>
                <w:spacing w:val="-3"/>
                <w:sz w:val="24"/>
                <w:szCs w:val="24"/>
              </w:rPr>
              <w:t>酸、苯等</w:t>
            </w:r>
          </w:p>
        </w:tc>
        <w:tc>
          <w:tcPr>
            <w:tcW w:w="1459" w:type="dxa"/>
            <w:vAlign w:val="top"/>
          </w:tcPr>
          <w:p w14:paraId="1F0E50EB">
            <w:pPr>
              <w:spacing w:line="424" w:lineRule="auto"/>
              <w:rPr>
                <w:rFonts w:ascii="Arial"/>
                <w:sz w:val="21"/>
              </w:rPr>
            </w:pPr>
          </w:p>
          <w:p w14:paraId="247BCC3A">
            <w:pPr>
              <w:pStyle w:val="6"/>
              <w:spacing w:before="78" w:line="220" w:lineRule="auto"/>
              <w:ind w:left="500"/>
              <w:rPr>
                <w:sz w:val="24"/>
                <w:szCs w:val="24"/>
              </w:rPr>
            </w:pPr>
            <w:r>
              <w:rPr>
                <w:spacing w:val="-7"/>
                <w:sz w:val="24"/>
                <w:szCs w:val="24"/>
              </w:rPr>
              <w:t>泄露</w:t>
            </w:r>
          </w:p>
        </w:tc>
        <w:tc>
          <w:tcPr>
            <w:tcW w:w="1256" w:type="dxa"/>
            <w:vAlign w:val="top"/>
          </w:tcPr>
          <w:p w14:paraId="31A2E75F">
            <w:pPr>
              <w:spacing w:line="272" w:lineRule="auto"/>
              <w:rPr>
                <w:rFonts w:ascii="Arial"/>
                <w:sz w:val="21"/>
              </w:rPr>
            </w:pPr>
          </w:p>
          <w:p w14:paraId="0421404B">
            <w:pPr>
              <w:pStyle w:val="6"/>
              <w:spacing w:before="78" w:line="219" w:lineRule="auto"/>
              <w:ind w:left="156"/>
              <w:rPr>
                <w:sz w:val="24"/>
                <w:szCs w:val="24"/>
              </w:rPr>
            </w:pPr>
            <w:r>
              <w:rPr>
                <w:spacing w:val="-3"/>
                <w:sz w:val="24"/>
                <w:szCs w:val="24"/>
              </w:rPr>
              <w:t>地下水、</w:t>
            </w:r>
          </w:p>
          <w:p w14:paraId="644FE657">
            <w:pPr>
              <w:pStyle w:val="6"/>
              <w:spacing w:before="24" w:line="221" w:lineRule="auto"/>
              <w:ind w:left="397"/>
              <w:rPr>
                <w:sz w:val="24"/>
                <w:szCs w:val="24"/>
              </w:rPr>
            </w:pPr>
            <w:r>
              <w:rPr>
                <w:spacing w:val="-6"/>
                <w:sz w:val="24"/>
                <w:szCs w:val="24"/>
              </w:rPr>
              <w:t>土壤</w:t>
            </w:r>
          </w:p>
        </w:tc>
        <w:tc>
          <w:tcPr>
            <w:tcW w:w="1974" w:type="dxa"/>
            <w:vMerge w:val="continue"/>
            <w:tcBorders>
              <w:top w:val="nil"/>
            </w:tcBorders>
            <w:vAlign w:val="top"/>
          </w:tcPr>
          <w:p w14:paraId="79218C7E">
            <w:pPr>
              <w:rPr>
                <w:rFonts w:ascii="Arial"/>
                <w:sz w:val="21"/>
              </w:rPr>
            </w:pPr>
          </w:p>
        </w:tc>
      </w:tr>
    </w:tbl>
    <w:p w14:paraId="6446ACAB">
      <w:pPr>
        <w:spacing w:before="206" w:line="227" w:lineRule="auto"/>
        <w:ind w:left="126"/>
        <w:outlineLvl w:val="0"/>
        <w:rPr>
          <w:rFonts w:ascii="黑体" w:hAnsi="黑体" w:eastAsia="黑体" w:cs="黑体"/>
          <w:sz w:val="31"/>
          <w:szCs w:val="31"/>
        </w:rPr>
      </w:pPr>
      <w:bookmarkStart w:id="17" w:name="bookmark18"/>
      <w:bookmarkEnd w:id="17"/>
      <w:r>
        <w:rPr>
          <w:rFonts w:ascii="Times New Roman" w:hAnsi="Times New Roman" w:eastAsia="Times New Roman" w:cs="Times New Roman"/>
          <w:spacing w:val="7"/>
          <w:sz w:val="31"/>
          <w:szCs w:val="31"/>
        </w:rPr>
        <w:t xml:space="preserve">6 </w:t>
      </w:r>
      <w:r>
        <w:rPr>
          <w:rFonts w:ascii="黑体" w:hAnsi="黑体" w:eastAsia="黑体" w:cs="黑体"/>
          <w:spacing w:val="7"/>
          <w:sz w:val="31"/>
          <w:szCs w:val="31"/>
        </w:rPr>
        <w:t>风险事故情形分析</w:t>
      </w:r>
    </w:p>
    <w:p w14:paraId="25CD49CB">
      <w:pPr>
        <w:spacing w:before="232" w:line="221" w:lineRule="auto"/>
        <w:ind w:left="123"/>
        <w:outlineLvl w:val="1"/>
        <w:rPr>
          <w:rFonts w:ascii="宋体" w:hAnsi="宋体" w:eastAsia="宋体" w:cs="宋体"/>
          <w:sz w:val="28"/>
          <w:szCs w:val="28"/>
        </w:rPr>
      </w:pPr>
      <w:bookmarkStart w:id="18" w:name="bookmark19"/>
      <w:bookmarkEnd w:id="18"/>
      <w:r>
        <w:rPr>
          <w:rFonts w:ascii="Times New Roman" w:hAnsi="Times New Roman" w:eastAsia="Times New Roman" w:cs="Times New Roman"/>
          <w:b/>
          <w:bCs/>
          <w:spacing w:val="-3"/>
          <w:sz w:val="28"/>
          <w:szCs w:val="28"/>
        </w:rPr>
        <w:t xml:space="preserve">6.1 </w:t>
      </w:r>
      <w:r>
        <w:rPr>
          <w:rFonts w:ascii="宋体" w:hAnsi="宋体" w:eastAsia="宋体" w:cs="宋体"/>
          <w:b/>
          <w:bCs/>
          <w:spacing w:val="-3"/>
          <w:sz w:val="28"/>
          <w:szCs w:val="28"/>
        </w:rPr>
        <w:t>风险事故情形设定</w:t>
      </w:r>
    </w:p>
    <w:p w14:paraId="2F976906">
      <w:pPr>
        <w:spacing w:before="211" w:line="359" w:lineRule="auto"/>
        <w:ind w:left="124" w:right="36" w:firstLine="558"/>
        <w:jc w:val="both"/>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）的要求，</w:t>
      </w:r>
      <w:r>
        <w:rPr>
          <w:rFonts w:ascii="宋体" w:hAnsi="宋体" w:eastAsia="宋体" w:cs="宋体"/>
          <w:spacing w:val="13"/>
          <w:sz w:val="28"/>
          <w:szCs w:val="28"/>
        </w:rPr>
        <w:t xml:space="preserve"> </w:t>
      </w:r>
      <w:r>
        <w:rPr>
          <w:rFonts w:ascii="宋体" w:hAnsi="宋体" w:eastAsia="宋体" w:cs="宋体"/>
          <w:spacing w:val="-4"/>
          <w:sz w:val="28"/>
          <w:szCs w:val="28"/>
        </w:rPr>
        <w:t>风险事故情形的设定是在风险识别的基础上，选择对环境影响较大并</w:t>
      </w:r>
      <w:r>
        <w:rPr>
          <w:rFonts w:ascii="宋体" w:hAnsi="宋体" w:eastAsia="宋体" w:cs="宋体"/>
          <w:spacing w:val="13"/>
          <w:sz w:val="28"/>
          <w:szCs w:val="28"/>
        </w:rPr>
        <w:t xml:space="preserve"> </w:t>
      </w:r>
      <w:r>
        <w:rPr>
          <w:rFonts w:ascii="宋体" w:hAnsi="宋体" w:eastAsia="宋体" w:cs="宋体"/>
          <w:spacing w:val="-4"/>
          <w:sz w:val="28"/>
          <w:szCs w:val="28"/>
        </w:rPr>
        <w:t>具有代表性的事故类型，设定风险事故情形。根据风险识别结果，同</w:t>
      </w:r>
      <w:r>
        <w:rPr>
          <w:rFonts w:ascii="宋体" w:hAnsi="宋体" w:eastAsia="宋体" w:cs="宋体"/>
          <w:spacing w:val="13"/>
          <w:sz w:val="28"/>
          <w:szCs w:val="28"/>
        </w:rPr>
        <w:t xml:space="preserve"> </w:t>
      </w:r>
      <w:r>
        <w:rPr>
          <w:rFonts w:ascii="宋体" w:hAnsi="宋体" w:eastAsia="宋体" w:cs="宋体"/>
          <w:spacing w:val="-5"/>
          <w:sz w:val="28"/>
          <w:szCs w:val="28"/>
        </w:rPr>
        <w:t>时泄露频率参考</w:t>
      </w:r>
      <w:r>
        <w:rPr>
          <w:rFonts w:ascii="宋体" w:hAnsi="宋体" w:eastAsia="宋体" w:cs="宋体"/>
          <w:spacing w:val="-48"/>
          <w:sz w:val="28"/>
          <w:szCs w:val="28"/>
        </w:rPr>
        <w:t xml:space="preserve"> </w:t>
      </w:r>
      <w:r>
        <w:rPr>
          <w:rFonts w:ascii="Times New Roman" w:hAnsi="Times New Roman" w:eastAsia="Times New Roman" w:cs="Times New Roman"/>
          <w:spacing w:val="-5"/>
          <w:sz w:val="28"/>
          <w:szCs w:val="28"/>
        </w:rPr>
        <w:t>HJ169-2018</w:t>
      </w:r>
      <w:r>
        <w:rPr>
          <w:rFonts w:ascii="Times New Roman" w:hAnsi="Times New Roman" w:eastAsia="Times New Roman" w:cs="Times New Roman"/>
          <w:spacing w:val="32"/>
          <w:sz w:val="28"/>
          <w:szCs w:val="28"/>
        </w:rPr>
        <w:t xml:space="preserve"> </w:t>
      </w:r>
      <w:r>
        <w:rPr>
          <w:rFonts w:ascii="宋体" w:hAnsi="宋体" w:eastAsia="宋体" w:cs="宋体"/>
          <w:spacing w:val="-5"/>
          <w:sz w:val="28"/>
          <w:szCs w:val="28"/>
        </w:rPr>
        <w:t>附录</w:t>
      </w:r>
      <w:r>
        <w:rPr>
          <w:rFonts w:ascii="宋体" w:hAnsi="宋体" w:eastAsia="宋体" w:cs="宋体"/>
          <w:spacing w:val="-67"/>
          <w:sz w:val="28"/>
          <w:szCs w:val="28"/>
        </w:rPr>
        <w:t xml:space="preserve"> </w:t>
      </w:r>
      <w:r>
        <w:rPr>
          <w:rFonts w:ascii="Times New Roman" w:hAnsi="Times New Roman" w:eastAsia="Times New Roman" w:cs="Times New Roman"/>
          <w:spacing w:val="-5"/>
          <w:sz w:val="28"/>
          <w:szCs w:val="28"/>
        </w:rPr>
        <w:t>E</w:t>
      </w:r>
      <w:r>
        <w:rPr>
          <w:rFonts w:ascii="宋体" w:hAnsi="宋体" w:eastAsia="宋体" w:cs="宋体"/>
          <w:spacing w:val="-5"/>
          <w:sz w:val="28"/>
          <w:szCs w:val="28"/>
        </w:rPr>
        <w:t>，本项目风险事故情形设定如下：</w:t>
      </w:r>
    </w:p>
    <w:p w14:paraId="2FDADBF8">
      <w:pPr>
        <w:spacing w:before="2"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）危险化学品泄漏事件</w:t>
      </w:r>
    </w:p>
    <w:p w14:paraId="6F13CA9E">
      <w:pPr>
        <w:spacing w:before="209" w:line="360" w:lineRule="auto"/>
        <w:ind w:left="123" w:right="59" w:firstLine="560"/>
        <w:rPr>
          <w:rFonts w:ascii="宋体" w:hAnsi="宋体" w:eastAsia="宋体" w:cs="宋体"/>
          <w:sz w:val="28"/>
          <w:szCs w:val="28"/>
        </w:rPr>
      </w:pPr>
      <w:r>
        <w:rPr>
          <w:rFonts w:ascii="宋体" w:hAnsi="宋体" w:eastAsia="宋体" w:cs="宋体"/>
          <w:spacing w:val="-4"/>
          <w:sz w:val="28"/>
          <w:szCs w:val="28"/>
        </w:rPr>
        <w:t>本项目为棋西项目区危险化学品车辆专用停车场项目，主要功能</w:t>
      </w:r>
      <w:r>
        <w:rPr>
          <w:rFonts w:ascii="宋体" w:hAnsi="宋体" w:eastAsia="宋体" w:cs="宋体"/>
          <w:spacing w:val="6"/>
          <w:sz w:val="28"/>
          <w:szCs w:val="28"/>
        </w:rPr>
        <w:t xml:space="preserve"> </w:t>
      </w:r>
      <w:r>
        <w:rPr>
          <w:rFonts w:ascii="宋体" w:hAnsi="宋体" w:eastAsia="宋体" w:cs="宋体"/>
          <w:spacing w:val="-4"/>
          <w:sz w:val="28"/>
          <w:szCs w:val="28"/>
        </w:rPr>
        <w:t>为危险化学品车辆停车、</w:t>
      </w:r>
      <w:r>
        <w:rPr>
          <w:rFonts w:hint="eastAsia" w:ascii="宋体" w:hAnsi="宋体" w:eastAsia="宋体" w:cs="宋体"/>
          <w:spacing w:val="-4"/>
          <w:sz w:val="28"/>
          <w:szCs w:val="28"/>
          <w:lang w:val="en-US" w:eastAsia="zh-CN"/>
        </w:rPr>
        <w:t>候</w:t>
      </w:r>
      <w:r>
        <w:rPr>
          <w:rFonts w:ascii="宋体" w:hAnsi="宋体" w:eastAsia="宋体" w:cs="宋体"/>
          <w:spacing w:val="-4"/>
          <w:sz w:val="28"/>
          <w:szCs w:val="28"/>
        </w:rPr>
        <w:t>检、过磅、车辆简单清洗和检修，涉及风</w:t>
      </w:r>
      <w:r>
        <w:rPr>
          <w:rFonts w:ascii="宋体" w:hAnsi="宋体" w:eastAsia="宋体" w:cs="宋体"/>
          <w:spacing w:val="14"/>
          <w:sz w:val="28"/>
          <w:szCs w:val="28"/>
        </w:rPr>
        <w:t xml:space="preserve"> </w:t>
      </w:r>
      <w:r>
        <w:rPr>
          <w:rFonts w:ascii="宋体" w:hAnsi="宋体" w:eastAsia="宋体" w:cs="宋体"/>
          <w:spacing w:val="6"/>
          <w:sz w:val="28"/>
          <w:szCs w:val="28"/>
        </w:rPr>
        <w:t>险物质主要来源于停车区内停泊车辆承载物及其运载化学品后残余</w:t>
      </w:r>
      <w:r>
        <w:rPr>
          <w:rFonts w:ascii="宋体" w:hAnsi="宋体" w:eastAsia="宋体" w:cs="宋体"/>
          <w:sz w:val="28"/>
          <w:szCs w:val="28"/>
        </w:rPr>
        <w:t xml:space="preserve"> </w:t>
      </w:r>
      <w:r>
        <w:rPr>
          <w:rFonts w:ascii="宋体" w:hAnsi="宋体" w:eastAsia="宋体" w:cs="宋体"/>
          <w:spacing w:val="-4"/>
          <w:sz w:val="28"/>
          <w:szCs w:val="28"/>
        </w:rPr>
        <w:t>物质。根据根据《鄂托克经济开发区棋盘井产业园危险化学品车辆专</w:t>
      </w:r>
      <w:r>
        <w:rPr>
          <w:rFonts w:ascii="宋体" w:hAnsi="宋体" w:eastAsia="宋体" w:cs="宋体"/>
          <w:spacing w:val="14"/>
          <w:sz w:val="28"/>
          <w:szCs w:val="28"/>
        </w:rPr>
        <w:t xml:space="preserve"> </w:t>
      </w:r>
      <w:r>
        <w:rPr>
          <w:rFonts w:ascii="宋体" w:hAnsi="宋体" w:eastAsia="宋体" w:cs="宋体"/>
          <w:spacing w:val="-4"/>
          <w:sz w:val="28"/>
          <w:szCs w:val="28"/>
        </w:rPr>
        <w:t>用停车场建设项目可行性研究报告》，重载停车区危化品运输车辆停</w:t>
      </w:r>
      <w:r>
        <w:rPr>
          <w:rFonts w:ascii="宋体" w:hAnsi="宋体" w:eastAsia="宋体" w:cs="宋体"/>
          <w:spacing w:val="14"/>
          <w:sz w:val="28"/>
          <w:szCs w:val="28"/>
        </w:rPr>
        <w:t xml:space="preserve"> </w:t>
      </w:r>
      <w:r>
        <w:rPr>
          <w:rFonts w:ascii="宋体" w:hAnsi="宋体" w:eastAsia="宋体" w:cs="宋体"/>
          <w:spacing w:val="-2"/>
          <w:sz w:val="28"/>
          <w:szCs w:val="28"/>
        </w:rPr>
        <w:t>放危险货物类型主要为易燃可燃液体、可燃固体；不燃气体、酸类、</w:t>
      </w:r>
    </w:p>
    <w:p w14:paraId="0FBA15D6">
      <w:pPr>
        <w:spacing w:line="360" w:lineRule="auto"/>
        <w:rPr>
          <w:rFonts w:ascii="宋体" w:hAnsi="宋体" w:eastAsia="宋体" w:cs="宋体"/>
          <w:sz w:val="28"/>
          <w:szCs w:val="28"/>
        </w:rPr>
        <w:sectPr>
          <w:footerReference r:id="rId112" w:type="default"/>
          <w:pgSz w:w="11906" w:h="16839"/>
          <w:pgMar w:top="400" w:right="1687" w:bottom="1259" w:left="1687" w:header="0" w:footer="1097" w:gutter="0"/>
          <w:cols w:space="720" w:num="1"/>
        </w:sectPr>
      </w:pPr>
    </w:p>
    <w:p w14:paraId="0173BAE1">
      <w:pPr>
        <w:pStyle w:val="2"/>
        <w:spacing w:line="246" w:lineRule="auto"/>
      </w:pPr>
    </w:p>
    <w:p w14:paraId="4E10A53B">
      <w:pPr>
        <w:pStyle w:val="2"/>
        <w:spacing w:line="246" w:lineRule="auto"/>
      </w:pPr>
    </w:p>
    <w:p w14:paraId="1220F874">
      <w:pPr>
        <w:pStyle w:val="2"/>
        <w:spacing w:line="246" w:lineRule="auto"/>
      </w:pPr>
    </w:p>
    <w:p w14:paraId="4F0A8633">
      <w:pPr>
        <w:pStyle w:val="2"/>
        <w:spacing w:line="246" w:lineRule="auto"/>
      </w:pPr>
    </w:p>
    <w:p w14:paraId="4A0E871E">
      <w:pPr>
        <w:spacing w:before="91" w:line="359" w:lineRule="auto"/>
        <w:ind w:left="26" w:right="120" w:firstLine="3"/>
        <w:jc w:val="both"/>
        <w:rPr>
          <w:rFonts w:ascii="宋体" w:hAnsi="宋体" w:eastAsia="宋体" w:cs="宋体"/>
          <w:sz w:val="28"/>
          <w:szCs w:val="28"/>
        </w:rPr>
      </w:pPr>
      <w:r>
        <w:rPr>
          <w:rFonts w:ascii="宋体" w:hAnsi="宋体" w:eastAsia="宋体" w:cs="宋体"/>
          <w:spacing w:val="-4"/>
          <w:sz w:val="28"/>
          <w:szCs w:val="28"/>
        </w:rPr>
        <w:t>一般化学品区；可燃气体、碱类区；遇水剧烈反应物质。若发生危险</w:t>
      </w:r>
      <w:r>
        <w:rPr>
          <w:rFonts w:ascii="宋体" w:hAnsi="宋体" w:eastAsia="宋体" w:cs="宋体"/>
          <w:spacing w:val="10"/>
          <w:sz w:val="28"/>
          <w:szCs w:val="28"/>
        </w:rPr>
        <w:t xml:space="preserve"> </w:t>
      </w:r>
      <w:r>
        <w:rPr>
          <w:rFonts w:ascii="宋体" w:hAnsi="宋体" w:eastAsia="宋体" w:cs="宋体"/>
          <w:spacing w:val="-4"/>
          <w:sz w:val="28"/>
          <w:szCs w:val="28"/>
        </w:rPr>
        <w:t>化学品泄漏事件，主要环境影响为有毒有害物质在大气中的扩散以及</w:t>
      </w:r>
      <w:r>
        <w:rPr>
          <w:rFonts w:ascii="宋体" w:hAnsi="宋体" w:eastAsia="宋体" w:cs="宋体"/>
          <w:spacing w:val="13"/>
          <w:sz w:val="28"/>
          <w:szCs w:val="28"/>
        </w:rPr>
        <w:t xml:space="preserve"> </w:t>
      </w:r>
      <w:r>
        <w:rPr>
          <w:rFonts w:ascii="宋体" w:hAnsi="宋体" w:eastAsia="宋体" w:cs="宋体"/>
          <w:spacing w:val="-1"/>
          <w:sz w:val="28"/>
          <w:szCs w:val="28"/>
        </w:rPr>
        <w:t>有毒有害物质在地下水和土壤环境中的运移扩散。</w:t>
      </w:r>
    </w:p>
    <w:p w14:paraId="017A274F">
      <w:pPr>
        <w:spacing w:before="1" w:line="217" w:lineRule="auto"/>
        <w:ind w:left="583"/>
        <w:rPr>
          <w:rFonts w:ascii="宋体" w:hAnsi="宋体" w:eastAsia="宋体" w:cs="宋体"/>
          <w:sz w:val="28"/>
          <w:szCs w:val="28"/>
        </w:rPr>
      </w:pPr>
      <w:r>
        <w:rPr>
          <w:rFonts w:ascii="宋体" w:hAnsi="宋体" w:eastAsia="宋体" w:cs="宋体"/>
          <w:spacing w:val="-1"/>
          <w:sz w:val="28"/>
          <w:szCs w:val="28"/>
        </w:rPr>
        <w:t>①有毒有害物质在大气中的扩散</w:t>
      </w:r>
    </w:p>
    <w:p w14:paraId="06260993">
      <w:pPr>
        <w:spacing w:before="215" w:line="359" w:lineRule="auto"/>
        <w:ind w:left="26" w:right="67" w:firstLine="559"/>
        <w:rPr>
          <w:rFonts w:ascii="宋体" w:hAnsi="宋体" w:eastAsia="宋体" w:cs="宋体"/>
          <w:sz w:val="28"/>
          <w:szCs w:val="28"/>
        </w:rPr>
      </w:pPr>
      <w:r>
        <w:rPr>
          <w:rFonts w:ascii="宋体" w:hAnsi="宋体" w:eastAsia="宋体" w:cs="宋体"/>
          <w:spacing w:val="-4"/>
          <w:sz w:val="28"/>
          <w:szCs w:val="28"/>
        </w:rPr>
        <w:t>若发生危险化学品泄漏事件，泄漏的化学品在空气中挥发，形成</w:t>
      </w:r>
      <w:r>
        <w:rPr>
          <w:rFonts w:ascii="宋体" w:hAnsi="宋体" w:eastAsia="宋体" w:cs="宋体"/>
          <w:spacing w:val="6"/>
          <w:sz w:val="28"/>
          <w:szCs w:val="28"/>
        </w:rPr>
        <w:t xml:space="preserve"> </w:t>
      </w:r>
      <w:r>
        <w:rPr>
          <w:rFonts w:ascii="宋体" w:hAnsi="宋体" w:eastAsia="宋体" w:cs="宋体"/>
          <w:spacing w:val="-2"/>
          <w:sz w:val="28"/>
          <w:szCs w:val="28"/>
        </w:rPr>
        <w:t>有毒气体，可能导致空气污染，此外，燃烧不充分时可能产生光气、</w:t>
      </w:r>
      <w:r>
        <w:rPr>
          <w:rFonts w:ascii="宋体" w:hAnsi="宋体" w:eastAsia="宋体" w:cs="宋体"/>
          <w:spacing w:val="5"/>
          <w:sz w:val="28"/>
          <w:szCs w:val="28"/>
        </w:rPr>
        <w:t xml:space="preserve"> </w:t>
      </w:r>
      <w:r>
        <w:rPr>
          <w:rFonts w:ascii="宋体" w:hAnsi="宋体" w:eastAsia="宋体" w:cs="宋体"/>
          <w:spacing w:val="-1"/>
          <w:sz w:val="28"/>
          <w:szCs w:val="28"/>
        </w:rPr>
        <w:t>二噁英等强毒性物质，进一步加剧空气污染。</w:t>
      </w:r>
    </w:p>
    <w:p w14:paraId="2A341F6D">
      <w:pPr>
        <w:spacing w:before="1" w:line="217" w:lineRule="auto"/>
        <w:ind w:left="581"/>
        <w:rPr>
          <w:rFonts w:ascii="宋体" w:hAnsi="宋体" w:eastAsia="宋体" w:cs="宋体"/>
          <w:sz w:val="28"/>
          <w:szCs w:val="28"/>
        </w:rPr>
      </w:pPr>
      <w:r>
        <w:rPr>
          <w:rFonts w:ascii="宋体" w:hAnsi="宋体" w:eastAsia="宋体" w:cs="宋体"/>
          <w:spacing w:val="-1"/>
          <w:sz w:val="28"/>
          <w:szCs w:val="28"/>
        </w:rPr>
        <w:t>②有毒有害物质在地下水和土壤环境中的运移扩散</w:t>
      </w:r>
    </w:p>
    <w:p w14:paraId="61999116">
      <w:pPr>
        <w:spacing w:before="215" w:line="359" w:lineRule="auto"/>
        <w:ind w:left="25" w:right="120" w:firstLine="562"/>
        <w:rPr>
          <w:rFonts w:ascii="宋体" w:hAnsi="宋体" w:eastAsia="宋体" w:cs="宋体"/>
          <w:sz w:val="28"/>
          <w:szCs w:val="28"/>
        </w:rPr>
      </w:pPr>
      <w:r>
        <w:rPr>
          <w:rFonts w:ascii="宋体" w:hAnsi="宋体" w:eastAsia="宋体" w:cs="宋体"/>
          <w:spacing w:val="-4"/>
          <w:sz w:val="28"/>
          <w:szCs w:val="28"/>
        </w:rPr>
        <w:t>危险化学品进入土壤和地下水后，会导致土壤酸化、碱化、板结</w:t>
      </w:r>
      <w:r>
        <w:rPr>
          <w:rFonts w:ascii="宋体" w:hAnsi="宋体" w:eastAsia="宋体" w:cs="宋体"/>
          <w:spacing w:val="4"/>
          <w:sz w:val="28"/>
          <w:szCs w:val="28"/>
        </w:rPr>
        <w:t xml:space="preserve"> </w:t>
      </w:r>
      <w:r>
        <w:rPr>
          <w:rFonts w:ascii="宋体" w:hAnsi="宋体" w:eastAsia="宋体" w:cs="宋体"/>
          <w:spacing w:val="-4"/>
          <w:sz w:val="28"/>
          <w:szCs w:val="28"/>
        </w:rPr>
        <w:t>等问题，影响土壤的肥力和生态系统，导致植物生长受阻，还会通过</w:t>
      </w:r>
      <w:r>
        <w:rPr>
          <w:rFonts w:ascii="宋体" w:hAnsi="宋体" w:eastAsia="宋体" w:cs="宋体"/>
          <w:spacing w:val="14"/>
          <w:sz w:val="28"/>
          <w:szCs w:val="28"/>
        </w:rPr>
        <w:t xml:space="preserve"> </w:t>
      </w:r>
      <w:r>
        <w:rPr>
          <w:rFonts w:ascii="宋体" w:hAnsi="宋体" w:eastAsia="宋体" w:cs="宋体"/>
          <w:spacing w:val="-1"/>
          <w:sz w:val="28"/>
          <w:szCs w:val="28"/>
        </w:rPr>
        <w:t>食物链积累和放大，对生态系统造成长期的不良影响。</w:t>
      </w:r>
    </w:p>
    <w:p w14:paraId="71DA0D17">
      <w:pPr>
        <w:spacing w:line="359" w:lineRule="auto"/>
        <w:ind w:left="25" w:firstLine="560"/>
        <w:jc w:val="both"/>
        <w:rPr>
          <w:rFonts w:ascii="宋体" w:hAnsi="宋体" w:eastAsia="宋体" w:cs="宋体"/>
          <w:sz w:val="28"/>
          <w:szCs w:val="28"/>
        </w:rPr>
      </w:pPr>
      <w:r>
        <w:rPr>
          <w:rFonts w:ascii="宋体" w:hAnsi="宋体" w:eastAsia="宋体" w:cs="宋体"/>
          <w:spacing w:val="-4"/>
          <w:sz w:val="28"/>
          <w:szCs w:val="28"/>
        </w:rPr>
        <w:t>若发生危险化学品泄漏事件，首先可利用围堰将重载停车区泄露</w:t>
      </w:r>
      <w:r>
        <w:rPr>
          <w:rFonts w:ascii="宋体" w:hAnsi="宋体" w:eastAsia="宋体" w:cs="宋体"/>
          <w:spacing w:val="3"/>
          <w:sz w:val="28"/>
          <w:szCs w:val="28"/>
        </w:rPr>
        <w:t xml:space="preserve">  </w:t>
      </w:r>
      <w:r>
        <w:rPr>
          <w:rFonts w:ascii="宋体" w:hAnsi="宋体" w:eastAsia="宋体" w:cs="宋体"/>
          <w:spacing w:val="-9"/>
          <w:sz w:val="28"/>
          <w:szCs w:val="28"/>
        </w:rPr>
        <w:t>的危险化学品收集，同时场区设有消防水池、事故水池和初期雨水池，</w:t>
      </w:r>
      <w:r>
        <w:rPr>
          <w:rFonts w:ascii="宋体" w:hAnsi="宋体" w:eastAsia="宋体" w:cs="宋体"/>
          <w:spacing w:val="13"/>
          <w:sz w:val="28"/>
          <w:szCs w:val="28"/>
        </w:rPr>
        <w:t xml:space="preserve"> </w:t>
      </w:r>
      <w:r>
        <w:rPr>
          <w:rFonts w:ascii="宋体" w:hAnsi="宋体" w:eastAsia="宋体" w:cs="宋体"/>
          <w:spacing w:val="-9"/>
          <w:sz w:val="28"/>
          <w:szCs w:val="28"/>
        </w:rPr>
        <w:t>可将事故废水（车载化学品）有效收集，防止事故废水（车载化学品）</w:t>
      </w:r>
      <w:r>
        <w:rPr>
          <w:rFonts w:ascii="宋体" w:hAnsi="宋体" w:eastAsia="宋体" w:cs="宋体"/>
          <w:spacing w:val="13"/>
          <w:sz w:val="28"/>
          <w:szCs w:val="28"/>
        </w:rPr>
        <w:t xml:space="preserve"> </w:t>
      </w:r>
      <w:r>
        <w:rPr>
          <w:rFonts w:ascii="宋体" w:hAnsi="宋体" w:eastAsia="宋体" w:cs="宋体"/>
          <w:spacing w:val="-9"/>
          <w:sz w:val="28"/>
          <w:szCs w:val="28"/>
        </w:rPr>
        <w:t>外排对外环境造成不良影响。若事故废水（车载化学品）未及时收集，</w:t>
      </w:r>
      <w:r>
        <w:rPr>
          <w:rFonts w:ascii="宋体" w:hAnsi="宋体" w:eastAsia="宋体" w:cs="宋体"/>
          <w:spacing w:val="13"/>
          <w:sz w:val="28"/>
          <w:szCs w:val="28"/>
        </w:rPr>
        <w:t xml:space="preserve"> </w:t>
      </w:r>
      <w:r>
        <w:rPr>
          <w:rFonts w:ascii="宋体" w:hAnsi="宋体" w:eastAsia="宋体" w:cs="宋体"/>
          <w:spacing w:val="-4"/>
          <w:sz w:val="28"/>
          <w:szCs w:val="28"/>
        </w:rPr>
        <w:t>事故废水（车载化学品）将有可能由雨水管道流出造成污染，因此建</w:t>
      </w:r>
      <w:r>
        <w:rPr>
          <w:rFonts w:ascii="宋体" w:hAnsi="宋体" w:eastAsia="宋体" w:cs="宋体"/>
          <w:spacing w:val="7"/>
          <w:sz w:val="28"/>
          <w:szCs w:val="28"/>
        </w:rPr>
        <w:t xml:space="preserve">  </w:t>
      </w:r>
      <w:r>
        <w:rPr>
          <w:rFonts w:ascii="宋体" w:hAnsi="宋体" w:eastAsia="宋体" w:cs="宋体"/>
          <w:spacing w:val="-4"/>
          <w:sz w:val="28"/>
          <w:szCs w:val="28"/>
        </w:rPr>
        <w:t>设单位应做到加强雨水排放口的管理，保证事故状态下雨水口阀门为</w:t>
      </w:r>
      <w:r>
        <w:rPr>
          <w:rFonts w:ascii="宋体" w:hAnsi="宋体" w:eastAsia="宋体" w:cs="宋体"/>
          <w:spacing w:val="7"/>
          <w:sz w:val="28"/>
          <w:szCs w:val="28"/>
        </w:rPr>
        <w:t xml:space="preserve">  </w:t>
      </w:r>
      <w:r>
        <w:rPr>
          <w:rFonts w:ascii="宋体" w:hAnsi="宋体" w:eastAsia="宋体" w:cs="宋体"/>
          <w:spacing w:val="-4"/>
          <w:sz w:val="28"/>
          <w:szCs w:val="28"/>
        </w:rPr>
        <w:t>关闭状态，做好事故状态下的应急响应，尽量将事故废水控制在厂区</w:t>
      </w:r>
      <w:r>
        <w:rPr>
          <w:rFonts w:ascii="宋体" w:hAnsi="宋体" w:eastAsia="宋体" w:cs="宋体"/>
          <w:spacing w:val="7"/>
          <w:sz w:val="28"/>
          <w:szCs w:val="28"/>
        </w:rPr>
        <w:t xml:space="preserve">  </w:t>
      </w:r>
      <w:r>
        <w:rPr>
          <w:rFonts w:ascii="宋体" w:hAnsi="宋体" w:eastAsia="宋体" w:cs="宋体"/>
          <w:spacing w:val="-4"/>
          <w:sz w:val="28"/>
          <w:szCs w:val="28"/>
        </w:rPr>
        <w:t>范围予以收集处理。另外，建议定期收集棋西项目区地下水监测点环</w:t>
      </w:r>
      <w:r>
        <w:rPr>
          <w:rFonts w:ascii="宋体" w:hAnsi="宋体" w:eastAsia="宋体" w:cs="宋体"/>
          <w:spacing w:val="7"/>
          <w:sz w:val="28"/>
          <w:szCs w:val="28"/>
        </w:rPr>
        <w:t xml:space="preserve">  </w:t>
      </w:r>
      <w:r>
        <w:rPr>
          <w:rFonts w:ascii="宋体" w:hAnsi="宋体" w:eastAsia="宋体" w:cs="宋体"/>
          <w:spacing w:val="-1"/>
          <w:sz w:val="28"/>
          <w:szCs w:val="28"/>
        </w:rPr>
        <w:t>境监测数据，了解区域地下水环境质量。</w:t>
      </w:r>
    </w:p>
    <w:p w14:paraId="0783F5C6">
      <w:pPr>
        <w:spacing w:line="218"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）火灾、爆炸引发的次生环境事件。</w:t>
      </w:r>
    </w:p>
    <w:p w14:paraId="2664138D">
      <w:pPr>
        <w:spacing w:before="215" w:line="360" w:lineRule="auto"/>
        <w:ind w:left="27" w:right="89" w:firstLine="558"/>
        <w:rPr>
          <w:rFonts w:ascii="宋体" w:hAnsi="宋体" w:eastAsia="宋体" w:cs="宋体"/>
          <w:sz w:val="28"/>
          <w:szCs w:val="28"/>
        </w:rPr>
      </w:pPr>
      <w:r>
        <w:rPr>
          <w:rFonts w:ascii="宋体" w:hAnsi="宋体" w:eastAsia="宋体" w:cs="宋体"/>
          <w:spacing w:val="-4"/>
          <w:sz w:val="28"/>
          <w:szCs w:val="28"/>
        </w:rPr>
        <w:t>重载车区场所如遇具有易燃、易爆特性的物质泄漏，遇明火、高</w:t>
      </w:r>
      <w:r>
        <w:rPr>
          <w:rFonts w:ascii="宋体" w:hAnsi="宋体" w:eastAsia="宋体" w:cs="宋体"/>
          <w:spacing w:val="6"/>
          <w:sz w:val="28"/>
          <w:szCs w:val="28"/>
        </w:rPr>
        <w:t xml:space="preserve"> </w:t>
      </w:r>
      <w:r>
        <w:rPr>
          <w:rFonts w:ascii="宋体" w:hAnsi="宋体" w:eastAsia="宋体" w:cs="宋体"/>
          <w:spacing w:val="-4"/>
          <w:sz w:val="28"/>
          <w:szCs w:val="28"/>
        </w:rPr>
        <w:t>热会引起燃烧甚至爆炸。各种设备会因金属材料受介质的腐蚀变薄或</w:t>
      </w:r>
      <w:r>
        <w:rPr>
          <w:rFonts w:ascii="宋体" w:hAnsi="宋体" w:eastAsia="宋体" w:cs="宋体"/>
          <w:spacing w:val="12"/>
          <w:sz w:val="28"/>
          <w:szCs w:val="28"/>
        </w:rPr>
        <w:t xml:space="preserve"> </w:t>
      </w:r>
      <w:r>
        <w:rPr>
          <w:rFonts w:ascii="宋体" w:hAnsi="宋体" w:eastAsia="宋体" w:cs="宋体"/>
          <w:spacing w:val="-4"/>
          <w:sz w:val="28"/>
          <w:szCs w:val="28"/>
        </w:rPr>
        <w:t>局部腐蚀，机械强度降低。一旦发生火灾，公司应立即通知区域内的</w:t>
      </w:r>
      <w:r>
        <w:rPr>
          <w:rFonts w:ascii="宋体" w:hAnsi="宋体" w:eastAsia="宋体" w:cs="宋体"/>
          <w:spacing w:val="12"/>
          <w:sz w:val="28"/>
          <w:szCs w:val="28"/>
        </w:rPr>
        <w:t xml:space="preserve"> </w:t>
      </w:r>
      <w:r>
        <w:rPr>
          <w:rFonts w:ascii="宋体" w:hAnsi="宋体" w:eastAsia="宋体" w:cs="宋体"/>
          <w:spacing w:val="-3"/>
          <w:sz w:val="28"/>
          <w:szCs w:val="28"/>
        </w:rPr>
        <w:t>人员以及区域其他作业人员进行疏散，撤离时应做好安全防护措施，</w:t>
      </w:r>
    </w:p>
    <w:p w14:paraId="3BCD1EEF">
      <w:pPr>
        <w:spacing w:line="360" w:lineRule="auto"/>
        <w:rPr>
          <w:rFonts w:ascii="宋体" w:hAnsi="宋体" w:eastAsia="宋体" w:cs="宋体"/>
          <w:sz w:val="28"/>
          <w:szCs w:val="28"/>
        </w:rPr>
        <w:sectPr>
          <w:footerReference r:id="rId113" w:type="default"/>
          <w:pgSz w:w="11906" w:h="16839"/>
          <w:pgMar w:top="400" w:right="1679" w:bottom="1259" w:left="1785" w:header="0" w:footer="1097" w:gutter="0"/>
          <w:cols w:space="720" w:num="1"/>
        </w:sectPr>
      </w:pPr>
    </w:p>
    <w:p w14:paraId="7CBF3400">
      <w:pPr>
        <w:pStyle w:val="2"/>
        <w:spacing w:line="245" w:lineRule="auto"/>
      </w:pPr>
    </w:p>
    <w:p w14:paraId="49161B4B">
      <w:pPr>
        <w:pStyle w:val="2"/>
        <w:spacing w:line="246" w:lineRule="auto"/>
      </w:pPr>
    </w:p>
    <w:p w14:paraId="1A9F1574">
      <w:pPr>
        <w:pStyle w:val="2"/>
        <w:spacing w:line="246" w:lineRule="auto"/>
      </w:pPr>
    </w:p>
    <w:p w14:paraId="372E4C43">
      <w:pPr>
        <w:pStyle w:val="2"/>
        <w:spacing w:line="246" w:lineRule="auto"/>
      </w:pPr>
    </w:p>
    <w:p w14:paraId="00ADCA52">
      <w:pPr>
        <w:spacing w:before="91" w:line="220" w:lineRule="auto"/>
        <w:ind w:left="42"/>
        <w:rPr>
          <w:rFonts w:ascii="宋体" w:hAnsi="宋体" w:eastAsia="宋体" w:cs="宋体"/>
          <w:sz w:val="28"/>
          <w:szCs w:val="28"/>
        </w:rPr>
      </w:pPr>
      <w:r>
        <w:rPr>
          <w:rFonts w:ascii="宋体" w:hAnsi="宋体" w:eastAsia="宋体" w:cs="宋体"/>
          <w:spacing w:val="-6"/>
          <w:sz w:val="28"/>
          <w:szCs w:val="28"/>
        </w:rPr>
        <w:t>防止中毒。</w:t>
      </w:r>
    </w:p>
    <w:p w14:paraId="658F6207">
      <w:pPr>
        <w:spacing w:before="212" w:line="359" w:lineRule="auto"/>
        <w:ind w:left="26" w:right="13" w:firstLine="560"/>
        <w:jc w:val="both"/>
        <w:rPr>
          <w:rFonts w:ascii="宋体" w:hAnsi="宋体" w:eastAsia="宋体" w:cs="宋体"/>
          <w:sz w:val="28"/>
          <w:szCs w:val="28"/>
        </w:rPr>
      </w:pPr>
      <w:r>
        <w:rPr>
          <w:rFonts w:ascii="宋体" w:hAnsi="宋体" w:eastAsia="宋体" w:cs="宋体"/>
          <w:spacing w:val="-4"/>
          <w:sz w:val="28"/>
          <w:szCs w:val="28"/>
        </w:rPr>
        <w:t>火灾、爆炸引发的大气次生环境事件主要是由于机油燃烧产生浓</w:t>
      </w:r>
      <w:r>
        <w:rPr>
          <w:rFonts w:ascii="宋体" w:hAnsi="宋体" w:eastAsia="宋体" w:cs="宋体"/>
          <w:spacing w:val="5"/>
          <w:sz w:val="28"/>
          <w:szCs w:val="28"/>
        </w:rPr>
        <w:t xml:space="preserve"> </w:t>
      </w:r>
      <w:r>
        <w:rPr>
          <w:rFonts w:ascii="宋体" w:hAnsi="宋体" w:eastAsia="宋体" w:cs="宋体"/>
          <w:spacing w:val="-4"/>
          <w:sz w:val="28"/>
          <w:szCs w:val="28"/>
        </w:rPr>
        <w:t>烟、一氧化碳、二氧化硫等污染物，燃烧产生的污染物可能会对周边</w:t>
      </w:r>
      <w:r>
        <w:rPr>
          <w:rFonts w:ascii="宋体" w:hAnsi="宋体" w:eastAsia="宋体" w:cs="宋体"/>
          <w:spacing w:val="13"/>
          <w:sz w:val="28"/>
          <w:szCs w:val="28"/>
        </w:rPr>
        <w:t xml:space="preserve"> </w:t>
      </w:r>
      <w:r>
        <w:rPr>
          <w:rFonts w:ascii="宋体" w:hAnsi="宋体" w:eastAsia="宋体" w:cs="宋体"/>
          <w:spacing w:val="-4"/>
          <w:sz w:val="28"/>
          <w:szCs w:val="28"/>
        </w:rPr>
        <w:t>的大气环境造成一定的影响。火灾发生后，发现有浓烟和异味后，建</w:t>
      </w:r>
      <w:r>
        <w:rPr>
          <w:rFonts w:ascii="宋体" w:hAnsi="宋体" w:eastAsia="宋体" w:cs="宋体"/>
          <w:spacing w:val="13"/>
          <w:sz w:val="28"/>
          <w:szCs w:val="28"/>
        </w:rPr>
        <w:t xml:space="preserve"> </w:t>
      </w:r>
      <w:r>
        <w:rPr>
          <w:rFonts w:ascii="宋体" w:hAnsi="宋体" w:eastAsia="宋体" w:cs="宋体"/>
          <w:spacing w:val="-1"/>
          <w:sz w:val="28"/>
          <w:szCs w:val="28"/>
        </w:rPr>
        <w:t>议鸣哨通知员工进行撤离，撤离时应做好安全防护措施。</w:t>
      </w:r>
    </w:p>
    <w:p w14:paraId="1A929E8C">
      <w:pPr>
        <w:spacing w:before="1" w:line="359" w:lineRule="auto"/>
        <w:ind w:left="22" w:right="13" w:firstLine="563"/>
        <w:jc w:val="both"/>
        <w:rPr>
          <w:rFonts w:ascii="宋体" w:hAnsi="宋体" w:eastAsia="宋体" w:cs="宋体"/>
          <w:sz w:val="28"/>
          <w:szCs w:val="28"/>
        </w:rPr>
      </w:pPr>
      <w:r>
        <w:rPr>
          <w:rFonts w:ascii="宋体" w:hAnsi="宋体" w:eastAsia="宋体" w:cs="宋体"/>
          <w:spacing w:val="-4"/>
          <w:sz w:val="28"/>
          <w:szCs w:val="28"/>
        </w:rPr>
        <w:t>火灾、爆炸安全风险事件的水环境次生风险事件主要考虑消防废</w:t>
      </w:r>
      <w:r>
        <w:rPr>
          <w:rFonts w:ascii="宋体" w:hAnsi="宋体" w:eastAsia="宋体" w:cs="宋体"/>
          <w:spacing w:val="5"/>
          <w:sz w:val="28"/>
          <w:szCs w:val="28"/>
        </w:rPr>
        <w:t xml:space="preserve"> </w:t>
      </w:r>
      <w:r>
        <w:rPr>
          <w:rFonts w:ascii="宋体" w:hAnsi="宋体" w:eastAsia="宋体" w:cs="宋体"/>
          <w:spacing w:val="-4"/>
          <w:sz w:val="28"/>
          <w:szCs w:val="28"/>
        </w:rPr>
        <w:t>水及泄漏液体影响，场区设有消防水池、事故水池和初期雨水池，可</w:t>
      </w:r>
      <w:r>
        <w:rPr>
          <w:rFonts w:ascii="宋体" w:hAnsi="宋体" w:eastAsia="宋体" w:cs="宋体"/>
          <w:spacing w:val="16"/>
          <w:sz w:val="28"/>
          <w:szCs w:val="28"/>
        </w:rPr>
        <w:t xml:space="preserve"> </w:t>
      </w:r>
      <w:r>
        <w:rPr>
          <w:rFonts w:ascii="宋体" w:hAnsi="宋体" w:eastAsia="宋体" w:cs="宋体"/>
          <w:spacing w:val="-4"/>
          <w:sz w:val="28"/>
          <w:szCs w:val="28"/>
        </w:rPr>
        <w:t>将消防废水及泄漏液体有效收集，防止事故废水（车载化学品）外排</w:t>
      </w:r>
      <w:r>
        <w:rPr>
          <w:rFonts w:ascii="宋体" w:hAnsi="宋体" w:eastAsia="宋体" w:cs="宋体"/>
          <w:spacing w:val="16"/>
          <w:sz w:val="28"/>
          <w:szCs w:val="28"/>
        </w:rPr>
        <w:t xml:space="preserve"> </w:t>
      </w:r>
      <w:r>
        <w:rPr>
          <w:rFonts w:ascii="宋体" w:hAnsi="宋体" w:eastAsia="宋体" w:cs="宋体"/>
          <w:spacing w:val="-1"/>
          <w:sz w:val="28"/>
          <w:szCs w:val="28"/>
        </w:rPr>
        <w:t>对外环境造成不良影响。</w:t>
      </w:r>
    </w:p>
    <w:p w14:paraId="2CD2AFA6">
      <w:pPr>
        <w:spacing w:before="1" w:line="220" w:lineRule="auto"/>
        <w:ind w:left="24"/>
        <w:outlineLvl w:val="1"/>
        <w:rPr>
          <w:rFonts w:ascii="宋体" w:hAnsi="宋体" w:eastAsia="宋体" w:cs="宋体"/>
          <w:sz w:val="28"/>
          <w:szCs w:val="28"/>
        </w:rPr>
      </w:pPr>
      <w:bookmarkStart w:id="19" w:name="bookmark20"/>
      <w:bookmarkEnd w:id="19"/>
      <w:r>
        <w:rPr>
          <w:rFonts w:ascii="Times New Roman" w:hAnsi="Times New Roman" w:eastAsia="Times New Roman" w:cs="Times New Roman"/>
          <w:b/>
          <w:bCs/>
          <w:spacing w:val="-3"/>
          <w:sz w:val="28"/>
          <w:szCs w:val="28"/>
        </w:rPr>
        <w:t xml:space="preserve">6.2 </w:t>
      </w:r>
      <w:r>
        <w:rPr>
          <w:rFonts w:ascii="宋体" w:hAnsi="宋体" w:eastAsia="宋体" w:cs="宋体"/>
          <w:b/>
          <w:bCs/>
          <w:spacing w:val="-3"/>
          <w:sz w:val="28"/>
          <w:szCs w:val="28"/>
        </w:rPr>
        <w:t>源项分析</w:t>
      </w:r>
    </w:p>
    <w:p w14:paraId="2E7D09FD">
      <w:pPr>
        <w:spacing w:before="209"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）泄漏事故源项分析</w:t>
      </w:r>
    </w:p>
    <w:p w14:paraId="093A489C">
      <w:pPr>
        <w:spacing w:before="211" w:line="359" w:lineRule="auto"/>
        <w:ind w:left="25" w:right="13" w:firstLine="559"/>
        <w:rPr>
          <w:rFonts w:ascii="宋体" w:hAnsi="宋体" w:eastAsia="宋体" w:cs="宋体"/>
          <w:sz w:val="28"/>
          <w:szCs w:val="28"/>
        </w:rPr>
      </w:pPr>
      <w:r>
        <w:rPr>
          <w:rFonts w:ascii="宋体" w:hAnsi="宋体" w:eastAsia="宋体" w:cs="宋体"/>
          <w:spacing w:val="-3"/>
          <w:sz w:val="28"/>
          <w:szCs w:val="28"/>
        </w:rPr>
        <w:t>假设重载罐车单个储罐泄露最大容积为</w:t>
      </w:r>
      <w:r>
        <w:rPr>
          <w:rFonts w:ascii="宋体" w:hAnsi="宋体" w:eastAsia="宋体" w:cs="宋体"/>
          <w:spacing w:val="-57"/>
          <w:sz w:val="28"/>
          <w:szCs w:val="28"/>
        </w:rPr>
        <w:t xml:space="preserve"> </w:t>
      </w:r>
      <w:r>
        <w:rPr>
          <w:rFonts w:ascii="Times New Roman" w:hAnsi="Times New Roman" w:eastAsia="Times New Roman" w:cs="Times New Roman"/>
          <w:spacing w:val="-3"/>
          <w:sz w:val="28"/>
          <w:szCs w:val="28"/>
        </w:rPr>
        <w:t>30m</w:t>
      </w:r>
      <w:r>
        <w:rPr>
          <w:rFonts w:ascii="宋体" w:hAnsi="宋体" w:eastAsia="宋体" w:cs="宋体"/>
          <w:spacing w:val="-3"/>
          <w:sz w:val="28"/>
          <w:szCs w:val="28"/>
        </w:rPr>
        <w:t>³</w:t>
      </w:r>
      <w:r>
        <w:rPr>
          <w:rFonts w:ascii="宋体" w:hAnsi="宋体" w:eastAsia="宋体" w:cs="宋体"/>
          <w:spacing w:val="-105"/>
          <w:sz w:val="28"/>
          <w:szCs w:val="28"/>
        </w:rPr>
        <w:t xml:space="preserve"> </w:t>
      </w:r>
      <w:r>
        <w:rPr>
          <w:rFonts w:ascii="宋体" w:hAnsi="宋体" w:eastAsia="宋体" w:cs="宋体"/>
          <w:spacing w:val="-4"/>
          <w:sz w:val="28"/>
          <w:szCs w:val="28"/>
        </w:rPr>
        <w:t>,</w:t>
      </w:r>
      <w:r>
        <w:rPr>
          <w:rFonts w:ascii="宋体" w:hAnsi="宋体" w:eastAsia="宋体" w:cs="宋体"/>
          <w:spacing w:val="74"/>
          <w:sz w:val="28"/>
          <w:szCs w:val="28"/>
        </w:rPr>
        <w:t xml:space="preserve"> </w:t>
      </w:r>
      <w:r>
        <w:rPr>
          <w:rFonts w:ascii="宋体" w:hAnsi="宋体" w:eastAsia="宋体" w:cs="宋体"/>
          <w:spacing w:val="-4"/>
          <w:sz w:val="28"/>
          <w:szCs w:val="28"/>
        </w:rPr>
        <w:t>事故泄露清醒选</w:t>
      </w:r>
      <w:r>
        <w:rPr>
          <w:rFonts w:ascii="宋体" w:hAnsi="宋体" w:eastAsia="宋体" w:cs="宋体"/>
          <w:sz w:val="28"/>
          <w:szCs w:val="28"/>
        </w:rPr>
        <w:t xml:space="preserve"> </w:t>
      </w:r>
      <w:r>
        <w:rPr>
          <w:rFonts w:ascii="宋体" w:hAnsi="宋体" w:eastAsia="宋体" w:cs="宋体"/>
          <w:spacing w:val="-5"/>
          <w:sz w:val="28"/>
          <w:szCs w:val="28"/>
        </w:rPr>
        <w:t>择泄露孔径为</w:t>
      </w:r>
      <w:r>
        <w:rPr>
          <w:rFonts w:ascii="宋体" w:hAnsi="宋体" w:eastAsia="宋体" w:cs="宋体"/>
          <w:spacing w:val="-31"/>
          <w:sz w:val="28"/>
          <w:szCs w:val="28"/>
        </w:rPr>
        <w:t xml:space="preserve"> </w:t>
      </w:r>
      <w:r>
        <w:rPr>
          <w:rFonts w:ascii="Times New Roman" w:hAnsi="Times New Roman" w:eastAsia="Times New Roman" w:cs="Times New Roman"/>
          <w:spacing w:val="-5"/>
          <w:sz w:val="28"/>
          <w:szCs w:val="28"/>
        </w:rPr>
        <w:t xml:space="preserve">10mm </w:t>
      </w:r>
      <w:r>
        <w:rPr>
          <w:rFonts w:ascii="宋体" w:hAnsi="宋体" w:eastAsia="宋体" w:cs="宋体"/>
          <w:spacing w:val="-5"/>
          <w:sz w:val="28"/>
          <w:szCs w:val="28"/>
        </w:rPr>
        <w:t>孔径，项目为设置紧急隔离系统的单元，泄露时</w:t>
      </w:r>
      <w:r>
        <w:rPr>
          <w:rFonts w:ascii="宋体" w:hAnsi="宋体" w:eastAsia="宋体" w:cs="宋体"/>
          <w:sz w:val="28"/>
          <w:szCs w:val="28"/>
        </w:rPr>
        <w:t xml:space="preserve"> 间设定为</w:t>
      </w:r>
      <w:r>
        <w:rPr>
          <w:rFonts w:ascii="宋体" w:hAnsi="宋体" w:eastAsia="宋体" w:cs="宋体"/>
          <w:spacing w:val="-36"/>
          <w:sz w:val="28"/>
          <w:szCs w:val="28"/>
        </w:rPr>
        <w:t xml:space="preserve"> </w:t>
      </w:r>
      <w:r>
        <w:rPr>
          <w:rFonts w:ascii="Times New Roman" w:hAnsi="Times New Roman" w:eastAsia="Times New Roman" w:cs="Times New Roman"/>
          <w:sz w:val="28"/>
          <w:szCs w:val="28"/>
        </w:rPr>
        <w:t xml:space="preserve">15 </w:t>
      </w:r>
      <w:r>
        <w:rPr>
          <w:rFonts w:ascii="宋体" w:hAnsi="宋体" w:eastAsia="宋体" w:cs="宋体"/>
          <w:sz w:val="28"/>
          <w:szCs w:val="28"/>
        </w:rPr>
        <w:t>分钟。本项目设定事故源强的计算方法按照《建设项目 环境风险评价技术导则》（</w:t>
      </w:r>
      <w:r>
        <w:rPr>
          <w:rFonts w:ascii="Times New Roman" w:hAnsi="Times New Roman" w:eastAsia="Times New Roman" w:cs="Times New Roman"/>
          <w:sz w:val="28"/>
          <w:szCs w:val="28"/>
        </w:rPr>
        <w:t>HJ169-20</w:t>
      </w:r>
      <w:r>
        <w:rPr>
          <w:rFonts w:ascii="Times New Roman" w:hAnsi="Times New Roman" w:eastAsia="Times New Roman" w:cs="Times New Roman"/>
          <w:spacing w:val="-1"/>
          <w:sz w:val="28"/>
          <w:szCs w:val="28"/>
        </w:rPr>
        <w:t>18</w:t>
      </w:r>
      <w:r>
        <w:rPr>
          <w:rFonts w:ascii="宋体" w:hAnsi="宋体" w:eastAsia="宋体" w:cs="宋体"/>
          <w:spacing w:val="-1"/>
          <w:sz w:val="28"/>
          <w:szCs w:val="28"/>
        </w:rPr>
        <w:t>）附录中推荐的方法，</w:t>
      </w:r>
    </w:p>
    <w:p w14:paraId="16B010DA">
      <w:pPr>
        <w:spacing w:before="1" w:line="217" w:lineRule="auto"/>
        <w:ind w:left="583"/>
        <w:rPr>
          <w:rFonts w:ascii="宋体" w:hAnsi="宋体" w:eastAsia="宋体" w:cs="宋体"/>
          <w:sz w:val="28"/>
          <w:szCs w:val="28"/>
        </w:rPr>
      </w:pPr>
      <w:r>
        <w:rPr>
          <w:rFonts w:ascii="宋体" w:hAnsi="宋体" w:eastAsia="宋体" w:cs="宋体"/>
          <w:spacing w:val="-1"/>
          <w:sz w:val="28"/>
          <w:szCs w:val="28"/>
        </w:rPr>
        <w:t>①液体泄漏速率计算</w:t>
      </w:r>
    </w:p>
    <w:p w14:paraId="75DC949D">
      <w:pPr>
        <w:spacing w:before="214" w:line="220" w:lineRule="auto"/>
        <w:ind w:left="586"/>
        <w:rPr>
          <w:rFonts w:ascii="宋体" w:hAnsi="宋体" w:eastAsia="宋体" w:cs="宋体"/>
          <w:sz w:val="28"/>
          <w:szCs w:val="28"/>
        </w:rPr>
      </w:pPr>
      <w:r>
        <w:rPr>
          <w:rFonts w:ascii="宋体" w:hAnsi="宋体" w:eastAsia="宋体" w:cs="宋体"/>
          <w:spacing w:val="-1"/>
          <w:sz w:val="28"/>
          <w:szCs w:val="28"/>
        </w:rPr>
        <w:t>液体泄露速率按照以下公式计算：</w:t>
      </w:r>
    </w:p>
    <w:p w14:paraId="7BF36E7D">
      <w:pPr>
        <w:spacing w:before="169" w:line="4675" w:lineRule="exact"/>
        <w:ind w:firstLine="573"/>
      </w:pPr>
      <w:r>
        <w:rPr>
          <w:position w:val="-93"/>
        </w:rPr>
        <w:drawing>
          <wp:inline distT="0" distB="0" distL="0" distR="0">
            <wp:extent cx="3360420" cy="29686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81"/>
                    <a:stretch>
                      <a:fillRect/>
                    </a:stretch>
                  </pic:blipFill>
                  <pic:spPr>
                    <a:xfrm>
                      <a:off x="0" y="0"/>
                      <a:ext cx="3360420" cy="2968752"/>
                    </a:xfrm>
                    <a:prstGeom prst="rect">
                      <a:avLst/>
                    </a:prstGeom>
                  </pic:spPr>
                </pic:pic>
              </a:graphicData>
            </a:graphic>
          </wp:inline>
        </w:drawing>
      </w:r>
    </w:p>
    <w:p w14:paraId="7C800821">
      <w:pPr>
        <w:spacing w:line="4675" w:lineRule="exact"/>
        <w:sectPr>
          <w:footerReference r:id="rId114" w:type="default"/>
          <w:pgSz w:w="11906" w:h="16839"/>
          <w:pgMar w:top="400" w:right="1785" w:bottom="1259" w:left="1785" w:header="0" w:footer="1097" w:gutter="0"/>
          <w:cols w:space="720" w:num="1"/>
        </w:sectPr>
      </w:pPr>
    </w:p>
    <w:p w14:paraId="4E5530F7">
      <w:pPr>
        <w:pStyle w:val="2"/>
        <w:spacing w:line="245" w:lineRule="auto"/>
      </w:pPr>
    </w:p>
    <w:p w14:paraId="6CC4C54E">
      <w:pPr>
        <w:pStyle w:val="2"/>
        <w:spacing w:line="246" w:lineRule="auto"/>
      </w:pPr>
    </w:p>
    <w:p w14:paraId="1E0C6472">
      <w:pPr>
        <w:pStyle w:val="2"/>
        <w:spacing w:line="246" w:lineRule="auto"/>
      </w:pPr>
    </w:p>
    <w:p w14:paraId="52A94727">
      <w:pPr>
        <w:pStyle w:val="2"/>
        <w:spacing w:line="246" w:lineRule="auto"/>
      </w:pPr>
    </w:p>
    <w:p w14:paraId="69ED8028">
      <w:pPr>
        <w:spacing w:before="91" w:line="219" w:lineRule="auto"/>
        <w:ind w:left="684"/>
        <w:rPr>
          <w:rFonts w:ascii="宋体" w:hAnsi="宋体" w:eastAsia="宋体" w:cs="宋体"/>
          <w:sz w:val="28"/>
          <w:szCs w:val="28"/>
        </w:rPr>
      </w:pPr>
      <w:r>
        <w:rPr>
          <w:rFonts w:ascii="宋体" w:hAnsi="宋体" w:eastAsia="宋体" w:cs="宋体"/>
          <w:spacing w:val="-1"/>
          <w:sz w:val="28"/>
          <w:szCs w:val="28"/>
        </w:rPr>
        <w:t>本项目各危险物质泄露速率详见下表。</w:t>
      </w:r>
    </w:p>
    <w:p w14:paraId="756A1AF3">
      <w:pPr>
        <w:spacing w:before="207" w:line="219" w:lineRule="auto"/>
        <w:ind w:left="1916"/>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6.2-1 </w:t>
      </w:r>
      <w:r>
        <w:rPr>
          <w:rFonts w:ascii="宋体" w:hAnsi="宋体" w:eastAsia="宋体" w:cs="宋体"/>
          <w:b/>
          <w:bCs/>
          <w:spacing w:val="-2"/>
          <w:sz w:val="24"/>
          <w:szCs w:val="24"/>
        </w:rPr>
        <w:t>各危险物质泄露速率计算结果一</w:t>
      </w:r>
      <w:r>
        <w:rPr>
          <w:rFonts w:ascii="宋体" w:hAnsi="宋体" w:eastAsia="宋体" w:cs="宋体"/>
          <w:b/>
          <w:bCs/>
          <w:spacing w:val="-3"/>
          <w:sz w:val="24"/>
          <w:szCs w:val="24"/>
        </w:rPr>
        <w:t>览表</w:t>
      </w:r>
    </w:p>
    <w:p w14:paraId="5134D805">
      <w:pPr>
        <w:spacing w:line="14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677"/>
        <w:gridCol w:w="984"/>
        <w:gridCol w:w="946"/>
        <w:gridCol w:w="1132"/>
        <w:gridCol w:w="1004"/>
        <w:gridCol w:w="824"/>
        <w:gridCol w:w="773"/>
        <w:gridCol w:w="746"/>
        <w:gridCol w:w="880"/>
      </w:tblGrid>
      <w:tr w14:paraId="250B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560" w:type="dxa"/>
            <w:textDirection w:val="tbRlV"/>
            <w:vAlign w:val="top"/>
          </w:tcPr>
          <w:p w14:paraId="15BBDB77">
            <w:pPr>
              <w:pStyle w:val="6"/>
              <w:spacing w:before="156" w:line="209" w:lineRule="auto"/>
              <w:ind w:left="193"/>
              <w:rPr>
                <w:sz w:val="24"/>
                <w:szCs w:val="24"/>
              </w:rPr>
            </w:pPr>
            <w:r>
              <w:rPr>
                <w:spacing w:val="53"/>
                <w:sz w:val="24"/>
                <w:szCs w:val="24"/>
              </w:rPr>
              <w:t>风险物质</w:t>
            </w:r>
          </w:p>
        </w:tc>
        <w:tc>
          <w:tcPr>
            <w:tcW w:w="677" w:type="dxa"/>
            <w:textDirection w:val="tbRlV"/>
            <w:vAlign w:val="top"/>
          </w:tcPr>
          <w:p w14:paraId="45DF2A2F">
            <w:pPr>
              <w:pStyle w:val="6"/>
              <w:spacing w:before="219" w:line="206" w:lineRule="auto"/>
              <w:ind w:left="40"/>
              <w:rPr>
                <w:sz w:val="24"/>
                <w:szCs w:val="24"/>
              </w:rPr>
            </w:pPr>
            <w:r>
              <w:pict>
                <v:shape id="_x0000_s1031" o:spid="_x0000_s1031" o:spt="202" type="#_x0000_t202" style="position:absolute;left:0pt;margin-left:4.85pt;margin-top:47.9pt;height:31.4pt;width:24.5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14:paraId="4A0B7B56">
                        <w:pPr>
                          <w:pStyle w:val="6"/>
                          <w:spacing w:before="20" w:line="220" w:lineRule="auto"/>
                          <w:ind w:left="20"/>
                          <w:rPr>
                            <w:rFonts w:ascii="Times New Roman" w:hAnsi="Times New Roman" w:eastAsia="Times New Roman" w:cs="Times New Roman"/>
                            <w:sz w:val="24"/>
                            <w:szCs w:val="24"/>
                          </w:rPr>
                        </w:pPr>
                        <w:r>
                          <w:rPr>
                            <w:spacing w:val="13"/>
                            <w:sz w:val="24"/>
                            <w:szCs w:val="24"/>
                          </w:rPr>
                          <w:t>积</w:t>
                        </w:r>
                        <w:r>
                          <w:rPr>
                            <w:rFonts w:ascii="Times New Roman" w:hAnsi="Times New Roman" w:eastAsia="Times New Roman" w:cs="Times New Roman"/>
                            <w:spacing w:val="13"/>
                            <w:sz w:val="24"/>
                            <w:szCs w:val="24"/>
                          </w:rPr>
                          <w:t>m</w:t>
                        </w:r>
                      </w:p>
                      <w:p w14:paraId="19AD1333">
                        <w:pPr>
                          <w:pStyle w:val="6"/>
                          <w:spacing w:before="49" w:line="194" w:lineRule="auto"/>
                          <w:ind w:left="184"/>
                          <w:rPr>
                            <w:sz w:val="24"/>
                            <w:szCs w:val="24"/>
                          </w:rPr>
                        </w:pPr>
                        <w:r>
                          <w:rPr>
                            <w:sz w:val="24"/>
                            <w:szCs w:val="24"/>
                          </w:rPr>
                          <w:t>³</w:t>
                        </w:r>
                      </w:p>
                    </w:txbxContent>
                  </v:textbox>
                </v:shape>
              </w:pict>
            </w:r>
            <w:r>
              <w:rPr>
                <w:spacing w:val="47"/>
                <w:sz w:val="24"/>
                <w:szCs w:val="24"/>
              </w:rPr>
              <w:t>罐车容</w:t>
            </w:r>
          </w:p>
        </w:tc>
        <w:tc>
          <w:tcPr>
            <w:tcW w:w="984" w:type="dxa"/>
            <w:vAlign w:val="top"/>
          </w:tcPr>
          <w:p w14:paraId="102E94D9">
            <w:pPr>
              <w:spacing w:line="270" w:lineRule="auto"/>
              <w:rPr>
                <w:rFonts w:ascii="Arial"/>
                <w:sz w:val="21"/>
              </w:rPr>
            </w:pPr>
          </w:p>
          <w:p w14:paraId="050D56BE">
            <w:pPr>
              <w:pStyle w:val="6"/>
              <w:spacing w:before="78" w:line="237" w:lineRule="auto"/>
              <w:ind w:left="112" w:right="109" w:firstLine="26"/>
              <w:rPr>
                <w:rFonts w:ascii="Times New Roman" w:hAnsi="Times New Roman" w:eastAsia="Times New Roman" w:cs="Times New Roman"/>
                <w:sz w:val="24"/>
                <w:szCs w:val="24"/>
              </w:rPr>
            </w:pPr>
            <w:r>
              <w:rPr>
                <w:spacing w:val="-4"/>
                <w:sz w:val="24"/>
                <w:szCs w:val="24"/>
              </w:rPr>
              <w:t>液体密</w:t>
            </w:r>
            <w:r>
              <w:rPr>
                <w:sz w:val="24"/>
                <w:szCs w:val="24"/>
              </w:rPr>
              <w:t xml:space="preserve"> </w:t>
            </w:r>
            <w:r>
              <w:rPr>
                <w:spacing w:val="7"/>
                <w:sz w:val="24"/>
                <w:szCs w:val="24"/>
              </w:rPr>
              <w:t>度</w:t>
            </w:r>
            <w:r>
              <w:rPr>
                <w:rFonts w:ascii="Times New Roman" w:hAnsi="Times New Roman" w:eastAsia="Times New Roman" w:cs="Times New Roman"/>
                <w:sz w:val="24"/>
                <w:szCs w:val="24"/>
              </w:rPr>
              <w:t>kg</w:t>
            </w:r>
            <w:r>
              <w:rPr>
                <w:rFonts w:ascii="Times New Roman" w:hAnsi="Times New Roman" w:eastAsia="Times New Roman" w:cs="Times New Roman"/>
                <w:spacing w:val="7"/>
                <w:sz w:val="24"/>
                <w:szCs w:val="24"/>
              </w:rPr>
              <w:t>/m</w:t>
            </w:r>
          </w:p>
          <w:p w14:paraId="0697AE21">
            <w:pPr>
              <w:pStyle w:val="6"/>
              <w:spacing w:before="31" w:line="194" w:lineRule="auto"/>
              <w:ind w:left="433"/>
              <w:rPr>
                <w:sz w:val="24"/>
                <w:szCs w:val="24"/>
              </w:rPr>
            </w:pPr>
            <w:r>
              <w:rPr>
                <w:sz w:val="24"/>
                <w:szCs w:val="24"/>
              </w:rPr>
              <w:t>³</w:t>
            </w:r>
          </w:p>
        </w:tc>
        <w:tc>
          <w:tcPr>
            <w:tcW w:w="946" w:type="dxa"/>
            <w:vAlign w:val="top"/>
          </w:tcPr>
          <w:p w14:paraId="17267570">
            <w:pPr>
              <w:spacing w:line="426" w:lineRule="auto"/>
              <w:rPr>
                <w:rFonts w:ascii="Arial"/>
                <w:sz w:val="21"/>
              </w:rPr>
            </w:pPr>
          </w:p>
          <w:p w14:paraId="69738F25">
            <w:pPr>
              <w:pStyle w:val="6"/>
              <w:spacing w:before="78" w:line="242" w:lineRule="auto"/>
              <w:ind w:left="238" w:right="111" w:hanging="120"/>
              <w:rPr>
                <w:sz w:val="24"/>
                <w:szCs w:val="24"/>
              </w:rPr>
            </w:pPr>
            <w:r>
              <w:rPr>
                <w:spacing w:val="-4"/>
                <w:sz w:val="24"/>
                <w:szCs w:val="24"/>
              </w:rPr>
              <w:t>裂口面</w:t>
            </w:r>
            <w:r>
              <w:rPr>
                <w:spacing w:val="1"/>
                <w:sz w:val="24"/>
                <w:szCs w:val="24"/>
              </w:rPr>
              <w:t xml:space="preserve"> </w:t>
            </w:r>
            <w:r>
              <w:rPr>
                <w:spacing w:val="-5"/>
                <w:sz w:val="24"/>
                <w:szCs w:val="24"/>
              </w:rPr>
              <w:t>积㎡</w:t>
            </w:r>
          </w:p>
        </w:tc>
        <w:tc>
          <w:tcPr>
            <w:tcW w:w="1132" w:type="dxa"/>
            <w:vAlign w:val="top"/>
          </w:tcPr>
          <w:p w14:paraId="58C200D8">
            <w:pPr>
              <w:spacing w:line="270" w:lineRule="auto"/>
              <w:rPr>
                <w:rFonts w:ascii="Arial"/>
                <w:sz w:val="21"/>
              </w:rPr>
            </w:pPr>
          </w:p>
          <w:p w14:paraId="6EF63C15">
            <w:pPr>
              <w:pStyle w:val="6"/>
              <w:spacing w:before="78" w:line="219" w:lineRule="auto"/>
              <w:ind w:left="217"/>
              <w:rPr>
                <w:sz w:val="24"/>
                <w:szCs w:val="24"/>
              </w:rPr>
            </w:pPr>
            <w:r>
              <w:rPr>
                <w:spacing w:val="-5"/>
                <w:sz w:val="24"/>
                <w:szCs w:val="24"/>
              </w:rPr>
              <w:t>容器内</w:t>
            </w:r>
          </w:p>
          <w:p w14:paraId="5BF16DAA">
            <w:pPr>
              <w:pStyle w:val="6"/>
              <w:spacing w:before="26" w:line="219" w:lineRule="auto"/>
              <w:ind w:left="214"/>
              <w:rPr>
                <w:sz w:val="24"/>
                <w:szCs w:val="24"/>
              </w:rPr>
            </w:pPr>
            <w:r>
              <w:rPr>
                <w:spacing w:val="-4"/>
                <w:sz w:val="24"/>
                <w:szCs w:val="24"/>
              </w:rPr>
              <w:t>介质压</w:t>
            </w:r>
          </w:p>
          <w:p w14:paraId="5CDA55C0">
            <w:pPr>
              <w:pStyle w:val="6"/>
              <w:spacing w:before="28" w:line="210" w:lineRule="auto"/>
              <w:ind w:left="314"/>
              <w:rPr>
                <w:rFonts w:ascii="Times New Roman" w:hAnsi="Times New Roman" w:eastAsia="Times New Roman" w:cs="Times New Roman"/>
                <w:sz w:val="24"/>
                <w:szCs w:val="24"/>
              </w:rPr>
            </w:pPr>
            <w:r>
              <w:rPr>
                <w:spacing w:val="-5"/>
                <w:sz w:val="24"/>
                <w:szCs w:val="24"/>
              </w:rPr>
              <w:t>力</w:t>
            </w:r>
            <w:r>
              <w:rPr>
                <w:spacing w:val="-60"/>
                <w:sz w:val="24"/>
                <w:szCs w:val="24"/>
              </w:rPr>
              <w:t xml:space="preserve"> </w:t>
            </w:r>
            <w:r>
              <w:rPr>
                <w:rFonts w:ascii="Times New Roman" w:hAnsi="Times New Roman" w:eastAsia="Times New Roman" w:cs="Times New Roman"/>
                <w:spacing w:val="-5"/>
                <w:sz w:val="24"/>
                <w:szCs w:val="24"/>
              </w:rPr>
              <w:t>pa</w:t>
            </w:r>
          </w:p>
        </w:tc>
        <w:tc>
          <w:tcPr>
            <w:tcW w:w="1004" w:type="dxa"/>
            <w:vAlign w:val="top"/>
          </w:tcPr>
          <w:p w14:paraId="58745237">
            <w:pPr>
              <w:spacing w:line="425" w:lineRule="auto"/>
              <w:rPr>
                <w:rFonts w:ascii="Arial"/>
                <w:sz w:val="21"/>
              </w:rPr>
            </w:pPr>
          </w:p>
          <w:p w14:paraId="43C7395B">
            <w:pPr>
              <w:pStyle w:val="6"/>
              <w:spacing w:before="78" w:line="220" w:lineRule="auto"/>
              <w:ind w:left="150"/>
              <w:rPr>
                <w:sz w:val="24"/>
                <w:szCs w:val="24"/>
              </w:rPr>
            </w:pPr>
            <w:r>
              <w:rPr>
                <w:spacing w:val="-4"/>
                <w:sz w:val="24"/>
                <w:szCs w:val="24"/>
              </w:rPr>
              <w:t>环境压</w:t>
            </w:r>
          </w:p>
          <w:p w14:paraId="676EEB67">
            <w:pPr>
              <w:pStyle w:val="6"/>
              <w:spacing w:before="26" w:line="210" w:lineRule="auto"/>
              <w:ind w:left="250"/>
              <w:rPr>
                <w:rFonts w:ascii="Times New Roman" w:hAnsi="Times New Roman" w:eastAsia="Times New Roman" w:cs="Times New Roman"/>
                <w:sz w:val="24"/>
                <w:szCs w:val="24"/>
              </w:rPr>
            </w:pPr>
            <w:r>
              <w:rPr>
                <w:spacing w:val="-5"/>
                <w:sz w:val="24"/>
                <w:szCs w:val="24"/>
              </w:rPr>
              <w:t>力</w:t>
            </w:r>
            <w:r>
              <w:rPr>
                <w:spacing w:val="-60"/>
                <w:sz w:val="24"/>
                <w:szCs w:val="24"/>
              </w:rPr>
              <w:t xml:space="preserve"> </w:t>
            </w:r>
            <w:r>
              <w:rPr>
                <w:rFonts w:ascii="Times New Roman" w:hAnsi="Times New Roman" w:eastAsia="Times New Roman" w:cs="Times New Roman"/>
                <w:spacing w:val="-5"/>
                <w:sz w:val="24"/>
                <w:szCs w:val="24"/>
              </w:rPr>
              <w:t>pa</w:t>
            </w:r>
          </w:p>
        </w:tc>
        <w:tc>
          <w:tcPr>
            <w:tcW w:w="824" w:type="dxa"/>
            <w:vAlign w:val="top"/>
          </w:tcPr>
          <w:p w14:paraId="5F27D79A">
            <w:pPr>
              <w:pStyle w:val="6"/>
              <w:spacing w:before="56" w:line="221" w:lineRule="auto"/>
              <w:ind w:left="180"/>
              <w:rPr>
                <w:sz w:val="24"/>
                <w:szCs w:val="24"/>
              </w:rPr>
            </w:pPr>
            <w:r>
              <w:rPr>
                <w:spacing w:val="-5"/>
                <w:sz w:val="24"/>
                <w:szCs w:val="24"/>
              </w:rPr>
              <w:t>裂口</w:t>
            </w:r>
          </w:p>
          <w:p w14:paraId="1468D7ED">
            <w:pPr>
              <w:pStyle w:val="6"/>
              <w:spacing w:before="22" w:line="227" w:lineRule="auto"/>
              <w:ind w:left="182"/>
              <w:rPr>
                <w:sz w:val="24"/>
                <w:szCs w:val="24"/>
              </w:rPr>
            </w:pPr>
            <w:r>
              <w:rPr>
                <w:spacing w:val="-6"/>
                <w:sz w:val="24"/>
                <w:szCs w:val="24"/>
              </w:rPr>
              <w:t>之上</w:t>
            </w:r>
          </w:p>
          <w:p w14:paraId="78332F04">
            <w:pPr>
              <w:pStyle w:val="6"/>
              <w:spacing w:before="16" w:line="220" w:lineRule="auto"/>
              <w:ind w:left="182"/>
              <w:rPr>
                <w:sz w:val="24"/>
                <w:szCs w:val="24"/>
              </w:rPr>
            </w:pPr>
            <w:r>
              <w:rPr>
                <w:spacing w:val="-6"/>
                <w:sz w:val="24"/>
                <w:szCs w:val="24"/>
              </w:rPr>
              <w:t>液位</w:t>
            </w:r>
          </w:p>
          <w:p w14:paraId="21EECA6B">
            <w:pPr>
              <w:pStyle w:val="6"/>
              <w:spacing w:before="26" w:line="219" w:lineRule="auto"/>
              <w:ind w:left="187"/>
              <w:rPr>
                <w:sz w:val="24"/>
                <w:szCs w:val="24"/>
              </w:rPr>
            </w:pPr>
            <w:r>
              <w:rPr>
                <w:spacing w:val="-8"/>
                <w:sz w:val="24"/>
                <w:szCs w:val="24"/>
              </w:rPr>
              <w:t>高度</w:t>
            </w:r>
          </w:p>
          <w:p w14:paraId="73FC0E50">
            <w:pPr>
              <w:spacing w:before="102" w:line="164" w:lineRule="exact"/>
              <w:ind w:left="31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773" w:type="dxa"/>
            <w:vAlign w:val="top"/>
          </w:tcPr>
          <w:p w14:paraId="0E08951E">
            <w:pPr>
              <w:spacing w:line="286" w:lineRule="auto"/>
              <w:rPr>
                <w:rFonts w:ascii="Arial"/>
                <w:sz w:val="21"/>
              </w:rPr>
            </w:pPr>
          </w:p>
          <w:p w14:paraId="2B822C0C">
            <w:pPr>
              <w:pStyle w:val="6"/>
              <w:spacing w:before="78" w:line="220" w:lineRule="auto"/>
              <w:ind w:left="159"/>
              <w:rPr>
                <w:sz w:val="24"/>
                <w:szCs w:val="24"/>
              </w:rPr>
            </w:pPr>
            <w:r>
              <w:rPr>
                <w:spacing w:val="-7"/>
                <w:sz w:val="24"/>
                <w:szCs w:val="24"/>
              </w:rPr>
              <w:t>泄露</w:t>
            </w:r>
          </w:p>
          <w:p w14:paraId="7802152A">
            <w:pPr>
              <w:pStyle w:val="6"/>
              <w:spacing w:before="26" w:line="246" w:lineRule="auto"/>
              <w:ind w:left="185" w:right="141" w:hanging="31"/>
              <w:rPr>
                <w:rFonts w:ascii="Times New Roman" w:hAnsi="Times New Roman" w:eastAsia="Times New Roman" w:cs="Times New Roman"/>
                <w:sz w:val="24"/>
                <w:szCs w:val="24"/>
              </w:rPr>
            </w:pPr>
            <w:r>
              <w:rPr>
                <w:spacing w:val="-5"/>
                <w:sz w:val="24"/>
                <w:szCs w:val="24"/>
              </w:rPr>
              <w:t>速率</w:t>
            </w:r>
            <w:r>
              <w:rPr>
                <w:sz w:val="24"/>
                <w:szCs w:val="24"/>
              </w:rPr>
              <w:t xml:space="preserve"> </w:t>
            </w:r>
            <w:r>
              <w:rPr>
                <w:rFonts w:ascii="Times New Roman" w:hAnsi="Times New Roman" w:eastAsia="Times New Roman" w:cs="Times New Roman"/>
                <w:spacing w:val="-1"/>
                <w:sz w:val="24"/>
                <w:szCs w:val="24"/>
              </w:rPr>
              <w:t>kg/s</w:t>
            </w:r>
          </w:p>
        </w:tc>
        <w:tc>
          <w:tcPr>
            <w:tcW w:w="746" w:type="dxa"/>
            <w:vAlign w:val="top"/>
          </w:tcPr>
          <w:p w14:paraId="1D12D83C">
            <w:pPr>
              <w:spacing w:line="286" w:lineRule="auto"/>
              <w:rPr>
                <w:rFonts w:ascii="Arial"/>
                <w:sz w:val="21"/>
              </w:rPr>
            </w:pPr>
          </w:p>
          <w:p w14:paraId="73DDDAC2">
            <w:pPr>
              <w:pStyle w:val="6"/>
              <w:spacing w:before="78" w:line="219" w:lineRule="auto"/>
              <w:ind w:left="144"/>
              <w:rPr>
                <w:sz w:val="24"/>
                <w:szCs w:val="24"/>
              </w:rPr>
            </w:pPr>
            <w:r>
              <w:rPr>
                <w:spacing w:val="-7"/>
                <w:sz w:val="24"/>
                <w:szCs w:val="24"/>
              </w:rPr>
              <w:t>持续</w:t>
            </w:r>
          </w:p>
          <w:p w14:paraId="635A96C2">
            <w:pPr>
              <w:pStyle w:val="6"/>
              <w:spacing w:before="28" w:line="221" w:lineRule="auto"/>
              <w:ind w:left="128"/>
              <w:rPr>
                <w:sz w:val="24"/>
                <w:szCs w:val="24"/>
              </w:rPr>
            </w:pPr>
            <w:r>
              <w:rPr>
                <w:spacing w:val="-11"/>
                <w:sz w:val="24"/>
                <w:szCs w:val="24"/>
              </w:rPr>
              <w:t>时间</w:t>
            </w:r>
          </w:p>
          <w:p w14:paraId="62BB7D02">
            <w:pPr>
              <w:spacing w:before="42" w:line="192" w:lineRule="auto"/>
              <w:ind w:left="18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min</w:t>
            </w:r>
          </w:p>
        </w:tc>
        <w:tc>
          <w:tcPr>
            <w:tcW w:w="880" w:type="dxa"/>
            <w:vAlign w:val="top"/>
          </w:tcPr>
          <w:p w14:paraId="7887A910">
            <w:pPr>
              <w:spacing w:line="286" w:lineRule="auto"/>
              <w:rPr>
                <w:rFonts w:ascii="Arial"/>
                <w:sz w:val="21"/>
              </w:rPr>
            </w:pPr>
          </w:p>
          <w:p w14:paraId="1E220EBF">
            <w:pPr>
              <w:pStyle w:val="6"/>
              <w:spacing w:before="78" w:line="223" w:lineRule="auto"/>
              <w:ind w:left="212"/>
              <w:rPr>
                <w:sz w:val="24"/>
                <w:szCs w:val="24"/>
              </w:rPr>
            </w:pPr>
            <w:r>
              <w:rPr>
                <w:spacing w:val="-8"/>
                <w:sz w:val="24"/>
                <w:szCs w:val="24"/>
              </w:rPr>
              <w:t>总泄</w:t>
            </w:r>
          </w:p>
          <w:p w14:paraId="782E8919">
            <w:pPr>
              <w:pStyle w:val="6"/>
              <w:spacing w:before="21" w:line="221" w:lineRule="auto"/>
              <w:ind w:left="206"/>
              <w:rPr>
                <w:sz w:val="24"/>
                <w:szCs w:val="24"/>
              </w:rPr>
            </w:pPr>
            <w:r>
              <w:rPr>
                <w:spacing w:val="-5"/>
                <w:sz w:val="24"/>
                <w:szCs w:val="24"/>
              </w:rPr>
              <w:t>漏量</w:t>
            </w:r>
          </w:p>
          <w:p w14:paraId="319A785B">
            <w:pPr>
              <w:spacing w:before="42" w:line="192"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kg</w:t>
            </w:r>
          </w:p>
        </w:tc>
      </w:tr>
      <w:tr w14:paraId="64FD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65B4F214">
            <w:pPr>
              <w:pStyle w:val="6"/>
              <w:spacing w:before="157" w:line="206" w:lineRule="auto"/>
              <w:ind w:left="35"/>
              <w:rPr>
                <w:sz w:val="24"/>
                <w:szCs w:val="24"/>
              </w:rPr>
            </w:pPr>
            <w:r>
              <w:rPr>
                <w:spacing w:val="-1"/>
                <w:sz w:val="24"/>
                <w:szCs w:val="24"/>
              </w:rPr>
              <w:t>甲</w:t>
            </w:r>
            <w:r>
              <w:rPr>
                <w:spacing w:val="-47"/>
                <w:sz w:val="24"/>
                <w:szCs w:val="24"/>
              </w:rPr>
              <w:t xml:space="preserve"> </w:t>
            </w:r>
            <w:r>
              <w:rPr>
                <w:spacing w:val="-1"/>
                <w:sz w:val="24"/>
                <w:szCs w:val="24"/>
              </w:rPr>
              <w:t>醇</w:t>
            </w:r>
          </w:p>
        </w:tc>
        <w:tc>
          <w:tcPr>
            <w:tcW w:w="677" w:type="dxa"/>
            <w:vAlign w:val="top"/>
          </w:tcPr>
          <w:p w14:paraId="1AB0DD02">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53ABA6A6">
            <w:pPr>
              <w:spacing w:before="232" w:line="188" w:lineRule="auto"/>
              <w:ind w:left="31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796</w:t>
            </w:r>
          </w:p>
        </w:tc>
        <w:tc>
          <w:tcPr>
            <w:tcW w:w="946" w:type="dxa"/>
            <w:vAlign w:val="top"/>
          </w:tcPr>
          <w:p w14:paraId="1C7F0F92">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5EBA3E39">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3BADEFF">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7138822">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F80DC6F">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0.60</w:t>
            </w:r>
          </w:p>
        </w:tc>
        <w:tc>
          <w:tcPr>
            <w:tcW w:w="746" w:type="dxa"/>
            <w:vAlign w:val="top"/>
          </w:tcPr>
          <w:p w14:paraId="12B2E02D">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FC75B69">
            <w:pPr>
              <w:spacing w:before="232"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539.55</w:t>
            </w:r>
          </w:p>
        </w:tc>
      </w:tr>
      <w:tr w14:paraId="4040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17F049D3">
            <w:pPr>
              <w:pStyle w:val="6"/>
              <w:spacing w:before="156" w:line="206" w:lineRule="auto"/>
              <w:ind w:left="36"/>
              <w:rPr>
                <w:sz w:val="24"/>
                <w:szCs w:val="24"/>
              </w:rPr>
            </w:pPr>
            <w:r>
              <w:rPr>
                <w:spacing w:val="-1"/>
                <w:sz w:val="24"/>
                <w:szCs w:val="24"/>
              </w:rPr>
              <w:t>氨</w:t>
            </w:r>
            <w:r>
              <w:rPr>
                <w:spacing w:val="-47"/>
                <w:sz w:val="24"/>
                <w:szCs w:val="24"/>
              </w:rPr>
              <w:t xml:space="preserve"> </w:t>
            </w:r>
            <w:r>
              <w:rPr>
                <w:spacing w:val="-1"/>
                <w:sz w:val="24"/>
                <w:szCs w:val="24"/>
              </w:rPr>
              <w:t>水</w:t>
            </w:r>
          </w:p>
        </w:tc>
        <w:tc>
          <w:tcPr>
            <w:tcW w:w="677" w:type="dxa"/>
            <w:vAlign w:val="top"/>
          </w:tcPr>
          <w:p w14:paraId="570C9DEA">
            <w:pPr>
              <w:spacing w:before="234"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696E97D">
            <w:pPr>
              <w:spacing w:before="234"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897</w:t>
            </w:r>
          </w:p>
        </w:tc>
        <w:tc>
          <w:tcPr>
            <w:tcW w:w="946" w:type="dxa"/>
            <w:vAlign w:val="top"/>
          </w:tcPr>
          <w:p w14:paraId="70C37078">
            <w:pPr>
              <w:spacing w:before="234"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8BD2893">
            <w:pPr>
              <w:spacing w:before="234"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7DF2AD19">
            <w:pPr>
              <w:spacing w:before="234"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F5258F0">
            <w:pPr>
              <w:spacing w:before="234"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48990BB0">
            <w:pPr>
              <w:spacing w:before="234"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0.64</w:t>
            </w:r>
          </w:p>
        </w:tc>
        <w:tc>
          <w:tcPr>
            <w:tcW w:w="746" w:type="dxa"/>
            <w:vAlign w:val="top"/>
          </w:tcPr>
          <w:p w14:paraId="35E60BFC">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5DDF5533">
            <w:pPr>
              <w:spacing w:before="234"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579.00</w:t>
            </w:r>
          </w:p>
        </w:tc>
      </w:tr>
      <w:tr w14:paraId="7DAB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06DDEA27">
            <w:pPr>
              <w:pStyle w:val="6"/>
              <w:spacing w:before="156" w:line="206" w:lineRule="auto"/>
              <w:ind w:left="34"/>
              <w:rPr>
                <w:sz w:val="24"/>
                <w:szCs w:val="24"/>
              </w:rPr>
            </w:pPr>
            <w:r>
              <w:rPr>
                <w:spacing w:val="35"/>
                <w:sz w:val="24"/>
                <w:szCs w:val="24"/>
              </w:rPr>
              <w:t>液氨</w:t>
            </w:r>
          </w:p>
        </w:tc>
        <w:tc>
          <w:tcPr>
            <w:tcW w:w="677" w:type="dxa"/>
            <w:vAlign w:val="top"/>
          </w:tcPr>
          <w:p w14:paraId="2A47CC19">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12F43B0">
            <w:pPr>
              <w:spacing w:before="232" w:line="188" w:lineRule="auto"/>
              <w:ind w:left="31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682</w:t>
            </w:r>
          </w:p>
        </w:tc>
        <w:tc>
          <w:tcPr>
            <w:tcW w:w="946" w:type="dxa"/>
            <w:vAlign w:val="top"/>
          </w:tcPr>
          <w:p w14:paraId="518777C3">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3F1EBB43">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077E497A">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DEAE6D0">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1F4584EF">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0.55</w:t>
            </w:r>
          </w:p>
        </w:tc>
        <w:tc>
          <w:tcPr>
            <w:tcW w:w="746" w:type="dxa"/>
            <w:vAlign w:val="top"/>
          </w:tcPr>
          <w:p w14:paraId="3AF8A496">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18AFD80B">
            <w:pPr>
              <w:spacing w:before="232" w:line="188" w:lineRule="auto"/>
              <w:ind w:left="11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493.20</w:t>
            </w:r>
          </w:p>
        </w:tc>
      </w:tr>
      <w:tr w14:paraId="3DDE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6DCF71A4">
            <w:pPr>
              <w:pStyle w:val="6"/>
              <w:spacing w:before="156" w:line="210" w:lineRule="auto"/>
              <w:ind w:left="36"/>
              <w:rPr>
                <w:sz w:val="24"/>
                <w:szCs w:val="24"/>
              </w:rPr>
            </w:pPr>
            <w:r>
              <w:rPr>
                <w:spacing w:val="-1"/>
                <w:sz w:val="24"/>
                <w:szCs w:val="24"/>
              </w:rPr>
              <w:t>硫</w:t>
            </w:r>
            <w:r>
              <w:rPr>
                <w:spacing w:val="-47"/>
                <w:sz w:val="24"/>
                <w:szCs w:val="24"/>
              </w:rPr>
              <w:t xml:space="preserve"> </w:t>
            </w:r>
            <w:r>
              <w:rPr>
                <w:spacing w:val="-1"/>
                <w:sz w:val="24"/>
                <w:szCs w:val="24"/>
              </w:rPr>
              <w:t>酸</w:t>
            </w:r>
          </w:p>
        </w:tc>
        <w:tc>
          <w:tcPr>
            <w:tcW w:w="677" w:type="dxa"/>
            <w:vAlign w:val="top"/>
          </w:tcPr>
          <w:p w14:paraId="3392C882">
            <w:pPr>
              <w:spacing w:before="234"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0B8BA1A">
            <w:pPr>
              <w:spacing w:before="234"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1840</w:t>
            </w:r>
          </w:p>
        </w:tc>
        <w:tc>
          <w:tcPr>
            <w:tcW w:w="946" w:type="dxa"/>
            <w:vAlign w:val="top"/>
          </w:tcPr>
          <w:p w14:paraId="1E3F3842">
            <w:pPr>
              <w:spacing w:before="234"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29B6381B">
            <w:pPr>
              <w:spacing w:before="234"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C6C0476">
            <w:pPr>
              <w:spacing w:before="234"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D302729">
            <w:pPr>
              <w:spacing w:before="234"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2CACD6F4">
            <w:pPr>
              <w:spacing w:before="234" w:line="188" w:lineRule="auto"/>
              <w:ind w:left="203"/>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1.01</w:t>
            </w:r>
          </w:p>
        </w:tc>
        <w:tc>
          <w:tcPr>
            <w:tcW w:w="746" w:type="dxa"/>
            <w:vAlign w:val="top"/>
          </w:tcPr>
          <w:p w14:paraId="6717701C">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2D2506C7">
            <w:pPr>
              <w:spacing w:before="234"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908.52</w:t>
            </w:r>
          </w:p>
        </w:tc>
      </w:tr>
      <w:tr w14:paraId="30D3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60" w:type="dxa"/>
            <w:vAlign w:val="top"/>
          </w:tcPr>
          <w:p w14:paraId="229D3E76">
            <w:pPr>
              <w:pStyle w:val="6"/>
              <w:spacing w:before="34" w:line="209" w:lineRule="auto"/>
              <w:ind w:left="170"/>
              <w:rPr>
                <w:sz w:val="24"/>
                <w:szCs w:val="24"/>
              </w:rPr>
            </w:pPr>
            <w:r>
              <w:rPr>
                <w:sz w:val="24"/>
                <w:szCs w:val="24"/>
              </w:rPr>
              <w:t>苯</w:t>
            </w:r>
          </w:p>
        </w:tc>
        <w:tc>
          <w:tcPr>
            <w:tcW w:w="677" w:type="dxa"/>
            <w:vAlign w:val="top"/>
          </w:tcPr>
          <w:p w14:paraId="1DFF30DC">
            <w:pPr>
              <w:spacing w:before="7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182672EB">
            <w:pPr>
              <w:spacing w:before="76"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862</w:t>
            </w:r>
          </w:p>
        </w:tc>
        <w:tc>
          <w:tcPr>
            <w:tcW w:w="946" w:type="dxa"/>
            <w:vAlign w:val="top"/>
          </w:tcPr>
          <w:p w14:paraId="1D5EDF4F">
            <w:pPr>
              <w:spacing w:before="76"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7735520">
            <w:pPr>
              <w:spacing w:before="76"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6C84641">
            <w:pPr>
              <w:spacing w:before="76"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72B1EE87">
            <w:pPr>
              <w:spacing w:before="76"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7BCCDFF7">
            <w:pPr>
              <w:spacing w:before="76"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0.63</w:t>
            </w:r>
          </w:p>
        </w:tc>
        <w:tc>
          <w:tcPr>
            <w:tcW w:w="746" w:type="dxa"/>
            <w:vAlign w:val="top"/>
          </w:tcPr>
          <w:p w14:paraId="77425490">
            <w:pPr>
              <w:spacing w:before="76"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25826634">
            <w:pPr>
              <w:spacing w:before="76" w:line="188" w:lineRule="auto"/>
              <w:ind w:left="1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565.48</w:t>
            </w:r>
          </w:p>
        </w:tc>
      </w:tr>
      <w:tr w14:paraId="5F6D5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60" w:type="dxa"/>
            <w:textDirection w:val="tbRlV"/>
            <w:vAlign w:val="top"/>
          </w:tcPr>
          <w:p w14:paraId="05162D9A">
            <w:pPr>
              <w:pStyle w:val="6"/>
              <w:spacing w:before="156" w:line="205" w:lineRule="auto"/>
              <w:ind w:left="37"/>
              <w:rPr>
                <w:sz w:val="24"/>
                <w:szCs w:val="24"/>
              </w:rPr>
            </w:pPr>
            <w:r>
              <w:rPr>
                <w:spacing w:val="34"/>
                <w:sz w:val="24"/>
                <w:szCs w:val="24"/>
              </w:rPr>
              <w:t>甲苯</w:t>
            </w:r>
          </w:p>
        </w:tc>
        <w:tc>
          <w:tcPr>
            <w:tcW w:w="677" w:type="dxa"/>
            <w:vAlign w:val="top"/>
          </w:tcPr>
          <w:p w14:paraId="41165895">
            <w:pPr>
              <w:spacing w:before="23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0130297C">
            <w:pPr>
              <w:spacing w:before="232"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880</w:t>
            </w:r>
          </w:p>
        </w:tc>
        <w:tc>
          <w:tcPr>
            <w:tcW w:w="946" w:type="dxa"/>
            <w:vAlign w:val="top"/>
          </w:tcPr>
          <w:p w14:paraId="04C81279">
            <w:pPr>
              <w:spacing w:before="232"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7BC860EE">
            <w:pPr>
              <w:spacing w:before="232"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17DE3A19">
            <w:pPr>
              <w:spacing w:before="232"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6E5D1574">
            <w:pPr>
              <w:spacing w:before="232"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39CCAC75">
            <w:pPr>
              <w:spacing w:before="232"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0.36</w:t>
            </w:r>
          </w:p>
        </w:tc>
        <w:tc>
          <w:tcPr>
            <w:tcW w:w="746" w:type="dxa"/>
            <w:vAlign w:val="top"/>
          </w:tcPr>
          <w:p w14:paraId="5A671863">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D6D6A9C">
            <w:pPr>
              <w:spacing w:before="232"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323.73</w:t>
            </w:r>
          </w:p>
        </w:tc>
      </w:tr>
      <w:tr w14:paraId="4CDA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60" w:type="dxa"/>
            <w:textDirection w:val="tbRlV"/>
            <w:vAlign w:val="top"/>
          </w:tcPr>
          <w:p w14:paraId="58690B15">
            <w:pPr>
              <w:pStyle w:val="6"/>
              <w:spacing w:before="156" w:line="205" w:lineRule="auto"/>
              <w:ind w:left="80"/>
              <w:rPr>
                <w:sz w:val="24"/>
                <w:szCs w:val="24"/>
              </w:rPr>
            </w:pPr>
            <w:r>
              <w:rPr>
                <w:spacing w:val="32"/>
                <w:sz w:val="24"/>
                <w:szCs w:val="24"/>
              </w:rPr>
              <w:t>二甲苯</w:t>
            </w:r>
          </w:p>
        </w:tc>
        <w:tc>
          <w:tcPr>
            <w:tcW w:w="677" w:type="dxa"/>
            <w:vAlign w:val="top"/>
          </w:tcPr>
          <w:p w14:paraId="183BD04E">
            <w:pPr>
              <w:spacing w:line="316" w:lineRule="auto"/>
              <w:rPr>
                <w:rFonts w:ascii="Arial"/>
                <w:sz w:val="21"/>
              </w:rPr>
            </w:pPr>
          </w:p>
          <w:p w14:paraId="2955ADBD">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B0B2F82">
            <w:pPr>
              <w:spacing w:line="316" w:lineRule="auto"/>
              <w:rPr>
                <w:rFonts w:ascii="Arial"/>
                <w:sz w:val="21"/>
              </w:rPr>
            </w:pPr>
          </w:p>
          <w:p w14:paraId="1A5FB656">
            <w:pPr>
              <w:spacing w:before="69" w:line="188" w:lineRule="auto"/>
              <w:ind w:left="32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860</w:t>
            </w:r>
          </w:p>
        </w:tc>
        <w:tc>
          <w:tcPr>
            <w:tcW w:w="946" w:type="dxa"/>
            <w:vAlign w:val="top"/>
          </w:tcPr>
          <w:p w14:paraId="6F096AD9">
            <w:pPr>
              <w:spacing w:line="316" w:lineRule="auto"/>
              <w:rPr>
                <w:rFonts w:ascii="Arial"/>
                <w:sz w:val="21"/>
              </w:rPr>
            </w:pPr>
          </w:p>
          <w:p w14:paraId="0AF256E7">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7E9930BD">
            <w:pPr>
              <w:spacing w:line="316" w:lineRule="auto"/>
              <w:rPr>
                <w:rFonts w:ascii="Arial"/>
                <w:sz w:val="21"/>
              </w:rPr>
            </w:pPr>
          </w:p>
          <w:p w14:paraId="28842BE7">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4BEBA643">
            <w:pPr>
              <w:spacing w:line="316" w:lineRule="auto"/>
              <w:rPr>
                <w:rFonts w:ascii="Arial"/>
                <w:sz w:val="21"/>
              </w:rPr>
            </w:pPr>
          </w:p>
          <w:p w14:paraId="30681C09">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2AC48524">
            <w:pPr>
              <w:spacing w:line="316" w:lineRule="auto"/>
              <w:rPr>
                <w:rFonts w:ascii="Arial"/>
                <w:sz w:val="21"/>
              </w:rPr>
            </w:pPr>
          </w:p>
          <w:p w14:paraId="0F49909E">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FA4F22B">
            <w:pPr>
              <w:spacing w:line="316" w:lineRule="auto"/>
              <w:rPr>
                <w:rFonts w:ascii="Arial"/>
                <w:sz w:val="21"/>
              </w:rPr>
            </w:pPr>
          </w:p>
          <w:p w14:paraId="1073BF88">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0.39</w:t>
            </w:r>
          </w:p>
        </w:tc>
        <w:tc>
          <w:tcPr>
            <w:tcW w:w="746" w:type="dxa"/>
            <w:vAlign w:val="top"/>
          </w:tcPr>
          <w:p w14:paraId="4A9A873D">
            <w:pPr>
              <w:spacing w:line="316" w:lineRule="auto"/>
              <w:rPr>
                <w:rFonts w:ascii="Arial"/>
                <w:sz w:val="21"/>
              </w:rPr>
            </w:pPr>
          </w:p>
          <w:p w14:paraId="2F03656A">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7AEF9505">
            <w:pPr>
              <w:spacing w:line="316" w:lineRule="auto"/>
              <w:rPr>
                <w:rFonts w:ascii="Arial"/>
                <w:sz w:val="21"/>
              </w:rPr>
            </w:pPr>
          </w:p>
          <w:p w14:paraId="416D3E29">
            <w:pPr>
              <w:spacing w:before="69"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347.40</w:t>
            </w:r>
          </w:p>
        </w:tc>
      </w:tr>
      <w:tr w14:paraId="7278E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0" w:type="dxa"/>
            <w:textDirection w:val="tbRlV"/>
            <w:vAlign w:val="top"/>
          </w:tcPr>
          <w:p w14:paraId="506280B2">
            <w:pPr>
              <w:pStyle w:val="6"/>
              <w:spacing w:before="156" w:line="209" w:lineRule="auto"/>
              <w:ind w:left="37"/>
              <w:rPr>
                <w:sz w:val="24"/>
                <w:szCs w:val="24"/>
              </w:rPr>
            </w:pPr>
            <w:r>
              <w:rPr>
                <w:spacing w:val="-1"/>
                <w:sz w:val="24"/>
                <w:szCs w:val="24"/>
              </w:rPr>
              <w:t>次</w:t>
            </w:r>
            <w:r>
              <w:rPr>
                <w:spacing w:val="-46"/>
                <w:sz w:val="24"/>
                <w:szCs w:val="24"/>
              </w:rPr>
              <w:t xml:space="preserve"> </w:t>
            </w:r>
            <w:r>
              <w:rPr>
                <w:spacing w:val="-1"/>
                <w:sz w:val="24"/>
                <w:szCs w:val="24"/>
              </w:rPr>
              <w:t>氯</w:t>
            </w:r>
            <w:r>
              <w:rPr>
                <w:spacing w:val="-50"/>
                <w:sz w:val="24"/>
                <w:szCs w:val="24"/>
              </w:rPr>
              <w:t xml:space="preserve"> </w:t>
            </w:r>
            <w:r>
              <w:rPr>
                <w:spacing w:val="-1"/>
                <w:sz w:val="24"/>
                <w:szCs w:val="24"/>
              </w:rPr>
              <w:t>酸</w:t>
            </w:r>
            <w:r>
              <w:rPr>
                <w:spacing w:val="-48"/>
                <w:sz w:val="24"/>
                <w:szCs w:val="24"/>
              </w:rPr>
              <w:t xml:space="preserve"> </w:t>
            </w:r>
            <w:r>
              <w:rPr>
                <w:spacing w:val="-1"/>
                <w:sz w:val="24"/>
                <w:szCs w:val="24"/>
              </w:rPr>
              <w:t>钠</w:t>
            </w:r>
          </w:p>
        </w:tc>
        <w:tc>
          <w:tcPr>
            <w:tcW w:w="677" w:type="dxa"/>
            <w:vAlign w:val="top"/>
          </w:tcPr>
          <w:p w14:paraId="1DD01D99">
            <w:pPr>
              <w:spacing w:line="472" w:lineRule="auto"/>
              <w:rPr>
                <w:rFonts w:ascii="Arial"/>
                <w:sz w:val="21"/>
              </w:rPr>
            </w:pPr>
          </w:p>
          <w:p w14:paraId="5A8EE24D">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69D5ABE0">
            <w:pPr>
              <w:spacing w:line="472" w:lineRule="auto"/>
              <w:rPr>
                <w:rFonts w:ascii="Arial"/>
                <w:sz w:val="21"/>
              </w:rPr>
            </w:pPr>
          </w:p>
          <w:p w14:paraId="7A7FFD93">
            <w:pPr>
              <w:spacing w:before="69" w:line="188" w:lineRule="auto"/>
              <w:ind w:left="281"/>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1100</w:t>
            </w:r>
          </w:p>
        </w:tc>
        <w:tc>
          <w:tcPr>
            <w:tcW w:w="946" w:type="dxa"/>
            <w:vAlign w:val="top"/>
          </w:tcPr>
          <w:p w14:paraId="0C4187C5">
            <w:pPr>
              <w:spacing w:line="472" w:lineRule="auto"/>
              <w:rPr>
                <w:rFonts w:ascii="Arial"/>
                <w:sz w:val="21"/>
              </w:rPr>
            </w:pPr>
          </w:p>
          <w:p w14:paraId="22C2D7EB">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2E8FA2F6">
            <w:pPr>
              <w:spacing w:line="472" w:lineRule="auto"/>
              <w:rPr>
                <w:rFonts w:ascii="Arial"/>
                <w:sz w:val="21"/>
              </w:rPr>
            </w:pPr>
          </w:p>
          <w:p w14:paraId="55E9F782">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3843EE3">
            <w:pPr>
              <w:spacing w:line="472" w:lineRule="auto"/>
              <w:rPr>
                <w:rFonts w:ascii="Arial"/>
                <w:sz w:val="21"/>
              </w:rPr>
            </w:pPr>
          </w:p>
          <w:p w14:paraId="65A19CD6">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14DEB5AC">
            <w:pPr>
              <w:spacing w:line="472" w:lineRule="auto"/>
              <w:rPr>
                <w:rFonts w:ascii="Arial"/>
                <w:sz w:val="21"/>
              </w:rPr>
            </w:pPr>
          </w:p>
          <w:p w14:paraId="56356E42">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57A5FADF">
            <w:pPr>
              <w:spacing w:line="472" w:lineRule="auto"/>
              <w:rPr>
                <w:rFonts w:ascii="Arial"/>
                <w:sz w:val="21"/>
              </w:rPr>
            </w:pPr>
          </w:p>
          <w:p w14:paraId="7EF2E80A">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0.33</w:t>
            </w:r>
          </w:p>
        </w:tc>
        <w:tc>
          <w:tcPr>
            <w:tcW w:w="746" w:type="dxa"/>
            <w:vAlign w:val="top"/>
          </w:tcPr>
          <w:p w14:paraId="47C97C09">
            <w:pPr>
              <w:spacing w:line="472" w:lineRule="auto"/>
              <w:rPr>
                <w:rFonts w:ascii="Arial"/>
                <w:sz w:val="21"/>
              </w:rPr>
            </w:pPr>
          </w:p>
          <w:p w14:paraId="081B6183">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1C831382">
            <w:pPr>
              <w:spacing w:line="472" w:lineRule="auto"/>
              <w:rPr>
                <w:rFonts w:ascii="Arial"/>
                <w:sz w:val="21"/>
              </w:rPr>
            </w:pPr>
          </w:p>
          <w:p w14:paraId="25F80B3A">
            <w:pPr>
              <w:spacing w:before="69" w:line="188" w:lineRule="auto"/>
              <w:ind w:left="11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295.92</w:t>
            </w:r>
          </w:p>
        </w:tc>
      </w:tr>
      <w:tr w14:paraId="18325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60" w:type="dxa"/>
            <w:textDirection w:val="tbRlV"/>
            <w:vAlign w:val="top"/>
          </w:tcPr>
          <w:p w14:paraId="5F11FBCD">
            <w:pPr>
              <w:pStyle w:val="6"/>
              <w:spacing w:before="156" w:line="207" w:lineRule="auto"/>
              <w:ind w:left="82"/>
              <w:rPr>
                <w:sz w:val="24"/>
                <w:szCs w:val="24"/>
              </w:rPr>
            </w:pPr>
            <w:r>
              <w:rPr>
                <w:spacing w:val="-19"/>
                <w:sz w:val="24"/>
                <w:szCs w:val="24"/>
              </w:rPr>
              <w:t>二 氯</w:t>
            </w:r>
            <w:r>
              <w:rPr>
                <w:spacing w:val="-50"/>
                <w:sz w:val="24"/>
                <w:szCs w:val="24"/>
              </w:rPr>
              <w:t xml:space="preserve"> </w:t>
            </w:r>
            <w:r>
              <w:rPr>
                <w:spacing w:val="-19"/>
                <w:sz w:val="24"/>
                <w:szCs w:val="24"/>
              </w:rPr>
              <w:t>乙</w:t>
            </w:r>
            <w:r>
              <w:rPr>
                <w:spacing w:val="-47"/>
                <w:sz w:val="24"/>
                <w:szCs w:val="24"/>
              </w:rPr>
              <w:t xml:space="preserve"> </w:t>
            </w:r>
            <w:r>
              <w:rPr>
                <w:spacing w:val="-19"/>
                <w:sz w:val="24"/>
                <w:szCs w:val="24"/>
              </w:rPr>
              <w:t>烷</w:t>
            </w:r>
          </w:p>
        </w:tc>
        <w:tc>
          <w:tcPr>
            <w:tcW w:w="677" w:type="dxa"/>
            <w:vAlign w:val="top"/>
          </w:tcPr>
          <w:p w14:paraId="4750BE8E">
            <w:pPr>
              <w:spacing w:line="473" w:lineRule="auto"/>
              <w:rPr>
                <w:rFonts w:ascii="Arial"/>
                <w:sz w:val="21"/>
              </w:rPr>
            </w:pPr>
          </w:p>
          <w:p w14:paraId="7A8FE1F5">
            <w:pPr>
              <w:spacing w:before="6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50CCA6E7">
            <w:pPr>
              <w:spacing w:line="473" w:lineRule="auto"/>
              <w:rPr>
                <w:rFonts w:ascii="Arial"/>
                <w:sz w:val="21"/>
              </w:rPr>
            </w:pPr>
          </w:p>
          <w:p w14:paraId="66B23C2F">
            <w:pPr>
              <w:spacing w:before="69"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1230</w:t>
            </w:r>
          </w:p>
        </w:tc>
        <w:tc>
          <w:tcPr>
            <w:tcW w:w="946" w:type="dxa"/>
            <w:vAlign w:val="top"/>
          </w:tcPr>
          <w:p w14:paraId="71D604D4">
            <w:pPr>
              <w:spacing w:line="473" w:lineRule="auto"/>
              <w:rPr>
                <w:rFonts w:ascii="Arial"/>
                <w:sz w:val="21"/>
              </w:rPr>
            </w:pPr>
          </w:p>
          <w:p w14:paraId="18AA819F">
            <w:pPr>
              <w:spacing w:before="69"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5B6EF375">
            <w:pPr>
              <w:spacing w:line="473" w:lineRule="auto"/>
              <w:rPr>
                <w:rFonts w:ascii="Arial"/>
                <w:sz w:val="21"/>
              </w:rPr>
            </w:pPr>
          </w:p>
          <w:p w14:paraId="63E08530">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0D44C0F0">
            <w:pPr>
              <w:spacing w:line="473" w:lineRule="auto"/>
              <w:rPr>
                <w:rFonts w:ascii="Arial"/>
                <w:sz w:val="21"/>
              </w:rPr>
            </w:pPr>
          </w:p>
          <w:p w14:paraId="0F2C9E66">
            <w:pPr>
              <w:spacing w:before="69"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2D55FC0D">
            <w:pPr>
              <w:spacing w:line="473" w:lineRule="auto"/>
              <w:rPr>
                <w:rFonts w:ascii="Arial"/>
                <w:sz w:val="21"/>
              </w:rPr>
            </w:pPr>
          </w:p>
          <w:p w14:paraId="508727A7">
            <w:pPr>
              <w:spacing w:before="69"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72DE0901">
            <w:pPr>
              <w:spacing w:line="473" w:lineRule="auto"/>
              <w:rPr>
                <w:rFonts w:ascii="Arial"/>
                <w:sz w:val="21"/>
              </w:rPr>
            </w:pPr>
          </w:p>
          <w:p w14:paraId="267A51D7">
            <w:pPr>
              <w:spacing w:before="69"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0.61</w:t>
            </w:r>
          </w:p>
        </w:tc>
        <w:tc>
          <w:tcPr>
            <w:tcW w:w="746" w:type="dxa"/>
            <w:vAlign w:val="top"/>
          </w:tcPr>
          <w:p w14:paraId="65F78645">
            <w:pPr>
              <w:spacing w:line="473" w:lineRule="auto"/>
              <w:rPr>
                <w:rFonts w:ascii="Arial"/>
                <w:sz w:val="21"/>
              </w:rPr>
            </w:pPr>
          </w:p>
          <w:p w14:paraId="30FFD1C5">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7F0DA219">
            <w:pPr>
              <w:spacing w:line="473" w:lineRule="auto"/>
              <w:rPr>
                <w:rFonts w:ascii="Arial"/>
                <w:sz w:val="21"/>
              </w:rPr>
            </w:pPr>
          </w:p>
          <w:p w14:paraId="7EF6E984">
            <w:pPr>
              <w:spacing w:before="69" w:line="188" w:lineRule="auto"/>
              <w:ind w:left="12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545.11</w:t>
            </w:r>
          </w:p>
        </w:tc>
      </w:tr>
      <w:tr w14:paraId="5F49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4EBD6682">
            <w:pPr>
              <w:pStyle w:val="6"/>
              <w:spacing w:before="157" w:line="206" w:lineRule="auto"/>
              <w:ind w:left="39"/>
              <w:rPr>
                <w:sz w:val="24"/>
                <w:szCs w:val="24"/>
              </w:rPr>
            </w:pPr>
            <w:r>
              <w:rPr>
                <w:spacing w:val="-1"/>
                <w:sz w:val="24"/>
                <w:szCs w:val="24"/>
              </w:rPr>
              <w:t>液</w:t>
            </w:r>
            <w:r>
              <w:rPr>
                <w:spacing w:val="-47"/>
                <w:sz w:val="24"/>
                <w:szCs w:val="24"/>
              </w:rPr>
              <w:t xml:space="preserve"> </w:t>
            </w:r>
            <w:r>
              <w:rPr>
                <w:spacing w:val="-1"/>
                <w:sz w:val="24"/>
                <w:szCs w:val="24"/>
              </w:rPr>
              <w:t>氯</w:t>
            </w:r>
          </w:p>
        </w:tc>
        <w:tc>
          <w:tcPr>
            <w:tcW w:w="677" w:type="dxa"/>
            <w:vAlign w:val="top"/>
          </w:tcPr>
          <w:p w14:paraId="431D0780">
            <w:pPr>
              <w:spacing w:before="237"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2752CD6C">
            <w:pPr>
              <w:spacing w:before="237"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1460</w:t>
            </w:r>
          </w:p>
        </w:tc>
        <w:tc>
          <w:tcPr>
            <w:tcW w:w="946" w:type="dxa"/>
            <w:vAlign w:val="top"/>
          </w:tcPr>
          <w:p w14:paraId="46F4105B">
            <w:pPr>
              <w:spacing w:before="237"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06418061">
            <w:pPr>
              <w:spacing w:before="237"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6E5BB1E0">
            <w:pPr>
              <w:spacing w:before="237"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56F4E0FE">
            <w:pPr>
              <w:spacing w:before="237"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40FA1E3F">
            <w:pPr>
              <w:spacing w:before="237"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4462FB2C">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5249BFCE">
            <w:pPr>
              <w:spacing w:before="237"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339.29</w:t>
            </w:r>
          </w:p>
        </w:tc>
      </w:tr>
      <w:tr w14:paraId="10B4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60" w:type="dxa"/>
            <w:textDirection w:val="tbRlV"/>
            <w:vAlign w:val="top"/>
          </w:tcPr>
          <w:p w14:paraId="13A3F915">
            <w:pPr>
              <w:pStyle w:val="6"/>
              <w:spacing w:before="157" w:line="208" w:lineRule="auto"/>
              <w:ind w:left="38"/>
              <w:rPr>
                <w:sz w:val="24"/>
                <w:szCs w:val="24"/>
              </w:rPr>
            </w:pPr>
            <w:r>
              <w:rPr>
                <w:spacing w:val="-1"/>
                <w:sz w:val="24"/>
                <w:szCs w:val="24"/>
              </w:rPr>
              <w:t>硝</w:t>
            </w:r>
            <w:r>
              <w:rPr>
                <w:spacing w:val="-47"/>
                <w:sz w:val="24"/>
                <w:szCs w:val="24"/>
              </w:rPr>
              <w:t xml:space="preserve"> </w:t>
            </w:r>
            <w:r>
              <w:rPr>
                <w:spacing w:val="-1"/>
                <w:sz w:val="24"/>
                <w:szCs w:val="24"/>
              </w:rPr>
              <w:t>酸</w:t>
            </w:r>
          </w:p>
        </w:tc>
        <w:tc>
          <w:tcPr>
            <w:tcW w:w="677" w:type="dxa"/>
            <w:vAlign w:val="top"/>
          </w:tcPr>
          <w:p w14:paraId="6BC2BCD1">
            <w:pPr>
              <w:spacing w:before="23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3E6E95A6">
            <w:pPr>
              <w:spacing w:before="236" w:line="188" w:lineRule="auto"/>
              <w:ind w:left="276"/>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1400</w:t>
            </w:r>
          </w:p>
        </w:tc>
        <w:tc>
          <w:tcPr>
            <w:tcW w:w="946" w:type="dxa"/>
            <w:vAlign w:val="top"/>
          </w:tcPr>
          <w:p w14:paraId="6E203983">
            <w:pPr>
              <w:spacing w:before="236"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10BCFB49">
            <w:pPr>
              <w:spacing w:before="236"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5ACC7B3B">
            <w:pPr>
              <w:spacing w:before="236"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4098CEE9">
            <w:pPr>
              <w:spacing w:before="236"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624D6AB9">
            <w:pPr>
              <w:spacing w:before="236"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3E03BA72">
            <w:pPr>
              <w:spacing w:before="236"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3B73E62F">
            <w:pPr>
              <w:spacing w:before="236"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343.47</w:t>
            </w:r>
          </w:p>
        </w:tc>
      </w:tr>
      <w:tr w14:paraId="5AA8A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60" w:type="dxa"/>
            <w:textDirection w:val="tbRlV"/>
            <w:vAlign w:val="top"/>
          </w:tcPr>
          <w:p w14:paraId="57779161">
            <w:pPr>
              <w:pStyle w:val="6"/>
              <w:spacing w:before="157" w:line="208" w:lineRule="auto"/>
              <w:ind w:left="40"/>
              <w:rPr>
                <w:sz w:val="24"/>
                <w:szCs w:val="24"/>
              </w:rPr>
            </w:pPr>
            <w:r>
              <w:rPr>
                <w:spacing w:val="35"/>
                <w:sz w:val="24"/>
                <w:szCs w:val="24"/>
              </w:rPr>
              <w:t>盐酸</w:t>
            </w:r>
          </w:p>
        </w:tc>
        <w:tc>
          <w:tcPr>
            <w:tcW w:w="677" w:type="dxa"/>
            <w:vAlign w:val="top"/>
          </w:tcPr>
          <w:p w14:paraId="235BA0B0">
            <w:pPr>
              <w:spacing w:before="237" w:line="188" w:lineRule="auto"/>
              <w:ind w:left="22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984" w:type="dxa"/>
            <w:vAlign w:val="top"/>
          </w:tcPr>
          <w:p w14:paraId="492675A6">
            <w:pPr>
              <w:spacing w:before="237" w:line="188" w:lineRule="auto"/>
              <w:ind w:left="281"/>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1180</w:t>
            </w:r>
          </w:p>
        </w:tc>
        <w:tc>
          <w:tcPr>
            <w:tcW w:w="946" w:type="dxa"/>
            <w:vAlign w:val="top"/>
          </w:tcPr>
          <w:p w14:paraId="75F7CE54">
            <w:pPr>
              <w:spacing w:before="237" w:line="188" w:lineRule="auto"/>
              <w:ind w:left="14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0.0001</w:t>
            </w:r>
          </w:p>
        </w:tc>
        <w:tc>
          <w:tcPr>
            <w:tcW w:w="1132" w:type="dxa"/>
            <w:vAlign w:val="top"/>
          </w:tcPr>
          <w:p w14:paraId="67E41EEE">
            <w:pPr>
              <w:spacing w:before="237"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120000</w:t>
            </w:r>
          </w:p>
        </w:tc>
        <w:tc>
          <w:tcPr>
            <w:tcW w:w="1004" w:type="dxa"/>
            <w:vAlign w:val="top"/>
          </w:tcPr>
          <w:p w14:paraId="50C4498A">
            <w:pPr>
              <w:spacing w:before="237" w:line="188" w:lineRule="auto"/>
              <w:ind w:left="16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101325</w:t>
            </w:r>
          </w:p>
        </w:tc>
        <w:tc>
          <w:tcPr>
            <w:tcW w:w="824" w:type="dxa"/>
            <w:vAlign w:val="top"/>
          </w:tcPr>
          <w:p w14:paraId="5ACDB06A">
            <w:pPr>
              <w:spacing w:before="237" w:line="188" w:lineRule="auto"/>
              <w:ind w:left="27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773" w:type="dxa"/>
            <w:vAlign w:val="top"/>
          </w:tcPr>
          <w:p w14:paraId="25F3702B">
            <w:pPr>
              <w:spacing w:before="237" w:line="188" w:lineRule="auto"/>
              <w:ind w:left="1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746" w:type="dxa"/>
            <w:vAlign w:val="top"/>
          </w:tcPr>
          <w:p w14:paraId="754ABFA1">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880" w:type="dxa"/>
            <w:vAlign w:val="top"/>
          </w:tcPr>
          <w:p w14:paraId="486A7CA2">
            <w:pPr>
              <w:spacing w:before="237" w:line="188" w:lineRule="auto"/>
              <w:ind w:left="11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338.82</w:t>
            </w:r>
          </w:p>
        </w:tc>
      </w:tr>
    </w:tbl>
    <w:p w14:paraId="3F35FA8A">
      <w:pPr>
        <w:spacing w:before="197" w:line="218" w:lineRule="auto"/>
        <w:ind w:left="680"/>
        <w:rPr>
          <w:rFonts w:ascii="宋体" w:hAnsi="宋体" w:eastAsia="宋体" w:cs="宋体"/>
          <w:sz w:val="28"/>
          <w:szCs w:val="28"/>
        </w:rPr>
      </w:pPr>
      <w:r>
        <w:rPr>
          <w:rFonts w:ascii="宋体" w:hAnsi="宋体" w:eastAsia="宋体" w:cs="宋体"/>
          <w:spacing w:val="-2"/>
          <w:sz w:val="28"/>
          <w:szCs w:val="28"/>
        </w:rPr>
        <w:t>②蒸发量计算</w:t>
      </w:r>
    </w:p>
    <w:p w14:paraId="476BE79C">
      <w:pPr>
        <w:spacing w:before="215" w:line="359" w:lineRule="auto"/>
        <w:ind w:left="123" w:right="36" w:firstLine="559"/>
        <w:rPr>
          <w:rFonts w:ascii="宋体" w:hAnsi="宋体" w:eastAsia="宋体" w:cs="宋体"/>
          <w:sz w:val="28"/>
          <w:szCs w:val="28"/>
        </w:rPr>
      </w:pPr>
      <w:r>
        <w:rPr>
          <w:rFonts w:ascii="宋体" w:hAnsi="宋体" w:eastAsia="宋体" w:cs="宋体"/>
          <w:spacing w:val="-7"/>
          <w:sz w:val="28"/>
          <w:szCs w:val="28"/>
        </w:rPr>
        <w:t>根据《建设项目环境风险评价技术导则》（</w:t>
      </w:r>
      <w:r>
        <w:rPr>
          <w:rFonts w:ascii="Times New Roman" w:hAnsi="Times New Roman" w:eastAsia="Times New Roman" w:cs="Times New Roman"/>
          <w:spacing w:val="-7"/>
          <w:sz w:val="28"/>
          <w:szCs w:val="28"/>
        </w:rPr>
        <w:t>HJ169-2018</w:t>
      </w:r>
      <w:r>
        <w:rPr>
          <w:rFonts w:ascii="宋体" w:hAnsi="宋体" w:eastAsia="宋体" w:cs="宋体"/>
          <w:spacing w:val="-7"/>
          <w:sz w:val="28"/>
          <w:szCs w:val="28"/>
        </w:rPr>
        <w:t>）附</w:t>
      </w:r>
      <w:r>
        <w:rPr>
          <w:rFonts w:ascii="宋体" w:hAnsi="宋体" w:eastAsia="宋体" w:cs="宋体"/>
          <w:spacing w:val="-8"/>
          <w:sz w:val="28"/>
          <w:szCs w:val="28"/>
        </w:rPr>
        <w:t>录</w:t>
      </w:r>
      <w:r>
        <w:rPr>
          <w:rFonts w:ascii="宋体" w:hAnsi="宋体" w:eastAsia="宋体" w:cs="宋体"/>
          <w:spacing w:val="-68"/>
          <w:sz w:val="28"/>
          <w:szCs w:val="28"/>
        </w:rPr>
        <w:t xml:space="preserve"> </w:t>
      </w:r>
      <w:r>
        <w:rPr>
          <w:rFonts w:ascii="Times New Roman" w:hAnsi="Times New Roman" w:eastAsia="Times New Roman" w:cs="Times New Roman"/>
          <w:spacing w:val="-8"/>
          <w:sz w:val="28"/>
          <w:szCs w:val="28"/>
        </w:rPr>
        <w:t>F</w:t>
      </w:r>
      <w:r>
        <w:rPr>
          <w:rFonts w:ascii="宋体" w:hAnsi="宋体" w:eastAsia="宋体" w:cs="宋体"/>
          <w:spacing w:val="-8"/>
          <w:sz w:val="28"/>
          <w:szCs w:val="28"/>
        </w:rPr>
        <w:t>，</w:t>
      </w:r>
      <w:r>
        <w:rPr>
          <w:rFonts w:ascii="宋体" w:hAnsi="宋体" w:eastAsia="宋体" w:cs="宋体"/>
          <w:sz w:val="28"/>
          <w:szCs w:val="28"/>
        </w:rPr>
        <w:t xml:space="preserve"> </w:t>
      </w:r>
      <w:r>
        <w:rPr>
          <w:rFonts w:ascii="宋体" w:hAnsi="宋体" w:eastAsia="宋体" w:cs="宋体"/>
          <w:spacing w:val="-4"/>
          <w:sz w:val="28"/>
          <w:szCs w:val="28"/>
        </w:rPr>
        <w:t>泄漏液体的蒸发分为闪蒸蒸发、热量蒸发和质量蒸发三种，其蒸发总</w:t>
      </w:r>
      <w:r>
        <w:rPr>
          <w:rFonts w:ascii="宋体" w:hAnsi="宋体" w:eastAsia="宋体" w:cs="宋体"/>
          <w:spacing w:val="14"/>
          <w:sz w:val="28"/>
          <w:szCs w:val="28"/>
        </w:rPr>
        <w:t xml:space="preserve"> </w:t>
      </w:r>
      <w:r>
        <w:rPr>
          <w:rFonts w:ascii="宋体" w:hAnsi="宋体" w:eastAsia="宋体" w:cs="宋体"/>
          <w:spacing w:val="-2"/>
          <w:sz w:val="28"/>
          <w:szCs w:val="28"/>
        </w:rPr>
        <w:t>量为这三种蒸发之和。根据风险物质的理化特性，甲醇、硫酸、苯、</w:t>
      </w:r>
    </w:p>
    <w:p w14:paraId="566C90A2">
      <w:pPr>
        <w:spacing w:line="359" w:lineRule="auto"/>
        <w:rPr>
          <w:rFonts w:ascii="宋体" w:hAnsi="宋体" w:eastAsia="宋体" w:cs="宋体"/>
          <w:sz w:val="28"/>
          <w:szCs w:val="28"/>
        </w:rPr>
        <w:sectPr>
          <w:footerReference r:id="rId115" w:type="default"/>
          <w:pgSz w:w="11906" w:h="16839"/>
          <w:pgMar w:top="400" w:right="1687" w:bottom="1259" w:left="1687" w:header="0" w:footer="1097" w:gutter="0"/>
          <w:cols w:space="720" w:num="1"/>
        </w:sectPr>
      </w:pPr>
    </w:p>
    <w:p w14:paraId="14EFB555">
      <w:pPr>
        <w:pStyle w:val="2"/>
        <w:spacing w:line="246" w:lineRule="auto"/>
      </w:pPr>
    </w:p>
    <w:p w14:paraId="291240AC">
      <w:pPr>
        <w:pStyle w:val="2"/>
        <w:spacing w:line="246" w:lineRule="auto"/>
      </w:pPr>
    </w:p>
    <w:p w14:paraId="028CDDA8">
      <w:pPr>
        <w:pStyle w:val="2"/>
        <w:spacing w:line="246" w:lineRule="auto"/>
      </w:pPr>
    </w:p>
    <w:p w14:paraId="7A582D65">
      <w:pPr>
        <w:pStyle w:val="2"/>
        <w:spacing w:line="246" w:lineRule="auto"/>
      </w:pPr>
    </w:p>
    <w:p w14:paraId="4E5B9744">
      <w:pPr>
        <w:spacing w:before="91" w:line="359" w:lineRule="auto"/>
        <w:ind w:left="25" w:firstLine="36"/>
        <w:jc w:val="both"/>
        <w:rPr>
          <w:rFonts w:ascii="宋体" w:hAnsi="宋体" w:eastAsia="宋体" w:cs="宋体"/>
          <w:sz w:val="28"/>
          <w:szCs w:val="28"/>
        </w:rPr>
      </w:pPr>
      <w:r>
        <w:rPr>
          <w:rFonts w:ascii="宋体" w:hAnsi="宋体" w:eastAsia="宋体" w:cs="宋体"/>
          <w:spacing w:val="-5"/>
          <w:sz w:val="28"/>
          <w:szCs w:val="28"/>
        </w:rPr>
        <w:t>甲苯、二甲苯、次氯酸钠、二氯乙烷、硝酸、盐酸的沸点均高于周边</w:t>
      </w:r>
      <w:r>
        <w:rPr>
          <w:rFonts w:ascii="宋体" w:hAnsi="宋体" w:eastAsia="宋体" w:cs="宋体"/>
          <w:spacing w:val="8"/>
          <w:sz w:val="28"/>
          <w:szCs w:val="28"/>
        </w:rPr>
        <w:t xml:space="preserve"> </w:t>
      </w:r>
      <w:r>
        <w:rPr>
          <w:rFonts w:ascii="宋体" w:hAnsi="宋体" w:eastAsia="宋体" w:cs="宋体"/>
          <w:spacing w:val="-2"/>
          <w:sz w:val="28"/>
          <w:szCs w:val="28"/>
        </w:rPr>
        <w:t>环境气温，不会出现闪蒸蒸发、热量蒸发，仅考虑质量蒸发；液氨、</w:t>
      </w:r>
      <w:r>
        <w:rPr>
          <w:rFonts w:ascii="宋体" w:hAnsi="宋体" w:eastAsia="宋体" w:cs="宋体"/>
          <w:spacing w:val="6"/>
          <w:sz w:val="28"/>
          <w:szCs w:val="28"/>
        </w:rPr>
        <w:t xml:space="preserve"> </w:t>
      </w:r>
      <w:r>
        <w:rPr>
          <w:rFonts w:ascii="宋体" w:hAnsi="宋体" w:eastAsia="宋体" w:cs="宋体"/>
          <w:spacing w:val="-4"/>
          <w:sz w:val="28"/>
          <w:szCs w:val="28"/>
        </w:rPr>
        <w:t>液氯的沸点低于周边环境气温，除应考虑质量蒸发外，还应考虑闪蒸</w:t>
      </w:r>
      <w:r>
        <w:rPr>
          <w:rFonts w:ascii="宋体" w:hAnsi="宋体" w:eastAsia="宋体" w:cs="宋体"/>
          <w:spacing w:val="14"/>
          <w:sz w:val="28"/>
          <w:szCs w:val="28"/>
        </w:rPr>
        <w:t xml:space="preserve"> </w:t>
      </w:r>
      <w:r>
        <w:rPr>
          <w:rFonts w:ascii="宋体" w:hAnsi="宋体" w:eastAsia="宋体" w:cs="宋体"/>
          <w:spacing w:val="-2"/>
          <w:sz w:val="28"/>
          <w:szCs w:val="28"/>
        </w:rPr>
        <w:t>蒸发和热量蒸发。</w:t>
      </w:r>
    </w:p>
    <w:p w14:paraId="10624124">
      <w:pPr>
        <w:spacing w:before="1" w:line="220" w:lineRule="auto"/>
        <w:ind w:left="575"/>
        <w:rPr>
          <w:rFonts w:ascii="宋体" w:hAnsi="宋体" w:eastAsia="宋体" w:cs="宋体"/>
          <w:sz w:val="28"/>
          <w:szCs w:val="28"/>
        </w:rPr>
      </w:pPr>
      <w:r>
        <w:rPr>
          <w:rFonts w:ascii="Times New Roman" w:hAnsi="Times New Roman" w:eastAsia="Times New Roman" w:cs="Times New Roman"/>
          <w:spacing w:val="-7"/>
          <w:sz w:val="28"/>
          <w:szCs w:val="28"/>
        </w:rPr>
        <w:t>A.</w:t>
      </w:r>
      <w:r>
        <w:rPr>
          <w:rFonts w:ascii="Times New Roman" w:hAnsi="Times New Roman" w:eastAsia="Times New Roman" w:cs="Times New Roman"/>
          <w:spacing w:val="-29"/>
          <w:sz w:val="28"/>
          <w:szCs w:val="28"/>
        </w:rPr>
        <w:t xml:space="preserve"> </w:t>
      </w:r>
      <w:r>
        <w:rPr>
          <w:rFonts w:ascii="宋体" w:hAnsi="宋体" w:eastAsia="宋体" w:cs="宋体"/>
          <w:spacing w:val="-7"/>
          <w:sz w:val="28"/>
          <w:szCs w:val="28"/>
        </w:rPr>
        <w:t>闪蒸蒸发</w:t>
      </w:r>
    </w:p>
    <w:p w14:paraId="47D7FAA0">
      <w:pPr>
        <w:spacing w:before="210" w:line="220" w:lineRule="auto"/>
        <w:ind w:left="586"/>
        <w:rPr>
          <w:rFonts w:ascii="宋体" w:hAnsi="宋体" w:eastAsia="宋体" w:cs="宋体"/>
          <w:sz w:val="28"/>
          <w:szCs w:val="28"/>
        </w:rPr>
      </w:pPr>
      <w:r>
        <w:rPr>
          <w:rFonts w:ascii="宋体" w:hAnsi="宋体" w:eastAsia="宋体" w:cs="宋体"/>
          <w:spacing w:val="-2"/>
          <w:sz w:val="28"/>
          <w:szCs w:val="28"/>
        </w:rPr>
        <w:t>液体中闪蒸部分：</w:t>
      </w:r>
    </w:p>
    <w:p w14:paraId="687C1CA7">
      <w:pPr>
        <w:spacing w:before="170" w:line="847" w:lineRule="exact"/>
        <w:ind w:firstLine="3160"/>
      </w:pPr>
      <w:r>
        <w:rPr>
          <w:position w:val="-16"/>
        </w:rPr>
        <w:drawing>
          <wp:inline distT="0" distB="0" distL="0" distR="0">
            <wp:extent cx="1276985" cy="53784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82"/>
                    <a:stretch>
                      <a:fillRect/>
                    </a:stretch>
                  </pic:blipFill>
                  <pic:spPr>
                    <a:xfrm>
                      <a:off x="0" y="0"/>
                      <a:ext cx="1277111" cy="537971"/>
                    </a:xfrm>
                    <a:prstGeom prst="rect">
                      <a:avLst/>
                    </a:prstGeom>
                  </pic:spPr>
                </pic:pic>
              </a:graphicData>
            </a:graphic>
          </wp:inline>
        </w:drawing>
      </w:r>
    </w:p>
    <w:p w14:paraId="6895AB36">
      <w:pPr>
        <w:spacing w:before="39" w:line="219" w:lineRule="auto"/>
        <w:ind w:left="585"/>
        <w:rPr>
          <w:rFonts w:ascii="宋体" w:hAnsi="宋体" w:eastAsia="宋体" w:cs="宋体"/>
          <w:sz w:val="28"/>
          <w:szCs w:val="28"/>
        </w:rPr>
      </w:pPr>
      <w:r>
        <w:rPr>
          <w:rFonts w:ascii="宋体" w:hAnsi="宋体" w:eastAsia="宋体" w:cs="宋体"/>
          <w:spacing w:val="-1"/>
          <w:sz w:val="28"/>
          <w:szCs w:val="28"/>
        </w:rPr>
        <w:t>过热液体闪蒸蒸发速率估算公式如下：</w:t>
      </w:r>
    </w:p>
    <w:p w14:paraId="056324E8">
      <w:pPr>
        <w:pStyle w:val="2"/>
        <w:spacing w:before="173" w:line="210" w:lineRule="auto"/>
        <w:ind w:left="3220"/>
        <w:rPr>
          <w:sz w:val="52"/>
          <w:szCs w:val="52"/>
        </w:rPr>
      </w:pPr>
      <w:r>
        <w:rPr>
          <w:color w:val="787878"/>
          <w:spacing w:val="-21"/>
          <w:sz w:val="52"/>
          <w:szCs w:val="52"/>
        </w:rPr>
        <w:t>g,=Q.XF,</w:t>
      </w:r>
    </w:p>
    <w:p w14:paraId="4A135389">
      <w:pPr>
        <w:spacing w:before="40" w:line="221" w:lineRule="auto"/>
        <w:ind w:left="589"/>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Fv--</w:t>
      </w:r>
      <w:r>
        <w:rPr>
          <w:rFonts w:ascii="宋体" w:hAnsi="宋体" w:eastAsia="宋体" w:cs="宋体"/>
          <w:spacing w:val="-1"/>
          <w:sz w:val="28"/>
          <w:szCs w:val="28"/>
        </w:rPr>
        <w:t>泄漏液体的闪蒸比例；</w:t>
      </w:r>
    </w:p>
    <w:p w14:paraId="49041291">
      <w:pPr>
        <w:spacing w:before="212" w:line="220" w:lineRule="auto"/>
        <w:ind w:left="1143"/>
        <w:rPr>
          <w:rFonts w:ascii="宋体" w:hAnsi="宋体" w:eastAsia="宋体" w:cs="宋体"/>
          <w:sz w:val="28"/>
          <w:szCs w:val="28"/>
        </w:rPr>
      </w:pPr>
      <w:r>
        <w:rPr>
          <w:rFonts w:ascii="Times New Roman" w:hAnsi="Times New Roman" w:eastAsia="Times New Roman" w:cs="Times New Roman"/>
          <w:spacing w:val="-1"/>
          <w:sz w:val="28"/>
          <w:szCs w:val="28"/>
        </w:rPr>
        <w:t>T</w:t>
      </w:r>
      <w:r>
        <w:rPr>
          <w:rFonts w:ascii="Times New Roman" w:hAnsi="Times New Roman" w:eastAsia="Times New Roman" w:cs="Times New Roman"/>
          <w:spacing w:val="-1"/>
          <w:position w:val="-1"/>
          <w:sz w:val="18"/>
          <w:szCs w:val="18"/>
        </w:rPr>
        <w:t>T</w:t>
      </w:r>
      <w:r>
        <w:rPr>
          <w:rFonts w:ascii="Times New Roman" w:hAnsi="Times New Roman" w:eastAsia="Times New Roman" w:cs="Times New Roman"/>
          <w:spacing w:val="-1"/>
          <w:sz w:val="28"/>
          <w:szCs w:val="28"/>
        </w:rPr>
        <w:t>--</w:t>
      </w:r>
      <w:r>
        <w:rPr>
          <w:rFonts w:ascii="宋体" w:hAnsi="宋体" w:eastAsia="宋体" w:cs="宋体"/>
          <w:spacing w:val="-1"/>
          <w:sz w:val="28"/>
          <w:szCs w:val="28"/>
        </w:rPr>
        <w:t>储存温度，</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7E410F2B">
      <w:pPr>
        <w:spacing w:before="211" w:line="221" w:lineRule="auto"/>
        <w:ind w:left="1143"/>
        <w:rPr>
          <w:rFonts w:ascii="宋体" w:hAnsi="宋体" w:eastAsia="宋体" w:cs="宋体"/>
          <w:sz w:val="28"/>
          <w:szCs w:val="28"/>
        </w:rPr>
      </w:pPr>
      <w:r>
        <w:rPr>
          <w:rFonts w:ascii="Times New Roman" w:hAnsi="Times New Roman" w:eastAsia="Times New Roman" w:cs="Times New Roman"/>
          <w:spacing w:val="-1"/>
          <w:sz w:val="28"/>
          <w:szCs w:val="28"/>
        </w:rPr>
        <w:t>Tb--</w:t>
      </w:r>
      <w:r>
        <w:rPr>
          <w:rFonts w:ascii="宋体" w:hAnsi="宋体" w:eastAsia="宋体" w:cs="宋体"/>
          <w:spacing w:val="-1"/>
          <w:sz w:val="28"/>
          <w:szCs w:val="28"/>
        </w:rPr>
        <w:t>泄漏液体的沸点，</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3FC8D59B">
      <w:pPr>
        <w:spacing w:before="207" w:line="213" w:lineRule="auto"/>
        <w:ind w:left="1139"/>
        <w:rPr>
          <w:rFonts w:ascii="宋体" w:hAnsi="宋体" w:eastAsia="宋体" w:cs="宋体"/>
          <w:sz w:val="28"/>
          <w:szCs w:val="28"/>
        </w:rPr>
      </w:pPr>
      <w:r>
        <w:rPr>
          <w:rFonts w:ascii="Times New Roman" w:hAnsi="Times New Roman" w:eastAsia="Times New Roman" w:cs="Times New Roman"/>
          <w:spacing w:val="-1"/>
          <w:sz w:val="28"/>
          <w:szCs w:val="28"/>
        </w:rPr>
        <w:t>Hv--</w:t>
      </w:r>
      <w:r>
        <w:rPr>
          <w:rFonts w:ascii="宋体" w:hAnsi="宋体" w:eastAsia="宋体" w:cs="宋体"/>
          <w:spacing w:val="-1"/>
          <w:sz w:val="28"/>
          <w:szCs w:val="28"/>
        </w:rPr>
        <w:t>泄漏液体的蒸发热，</w:t>
      </w:r>
      <w:r>
        <w:rPr>
          <w:rFonts w:ascii="Times New Roman" w:hAnsi="Times New Roman" w:eastAsia="Times New Roman" w:cs="Times New Roman"/>
          <w:spacing w:val="-1"/>
          <w:sz w:val="28"/>
          <w:szCs w:val="28"/>
        </w:rPr>
        <w:t>J/kg</w:t>
      </w:r>
      <w:r>
        <w:rPr>
          <w:rFonts w:ascii="宋体" w:hAnsi="宋体" w:eastAsia="宋体" w:cs="宋体"/>
          <w:spacing w:val="-1"/>
          <w:sz w:val="28"/>
          <w:szCs w:val="28"/>
        </w:rPr>
        <w:t>；</w:t>
      </w:r>
    </w:p>
    <w:p w14:paraId="22E550BF">
      <w:pPr>
        <w:spacing w:before="222" w:line="213" w:lineRule="auto"/>
        <w:ind w:left="1145"/>
        <w:rPr>
          <w:rFonts w:ascii="宋体" w:hAnsi="宋体" w:eastAsia="宋体" w:cs="宋体"/>
          <w:sz w:val="28"/>
          <w:szCs w:val="28"/>
        </w:rPr>
      </w:pPr>
      <w:r>
        <w:rPr>
          <w:rFonts w:ascii="Times New Roman" w:hAnsi="Times New Roman" w:eastAsia="Times New Roman" w:cs="Times New Roman"/>
          <w:spacing w:val="-5"/>
          <w:sz w:val="28"/>
          <w:szCs w:val="28"/>
        </w:rPr>
        <w:t>Cp--</w:t>
      </w:r>
      <w:r>
        <w:rPr>
          <w:rFonts w:ascii="宋体" w:hAnsi="宋体" w:eastAsia="宋体" w:cs="宋体"/>
          <w:spacing w:val="-5"/>
          <w:sz w:val="28"/>
          <w:szCs w:val="28"/>
        </w:rPr>
        <w:t>泄漏液体的定压比热容，</w:t>
      </w:r>
      <w:r>
        <w:rPr>
          <w:rFonts w:ascii="Times New Roman" w:hAnsi="Times New Roman" w:eastAsia="Times New Roman" w:cs="Times New Roman"/>
          <w:spacing w:val="-5"/>
          <w:sz w:val="28"/>
          <w:szCs w:val="28"/>
        </w:rPr>
        <w:t>J/(kg</w:t>
      </w:r>
      <w:r>
        <w:rPr>
          <w:rFonts w:ascii="Times New Roman" w:hAnsi="Times New Roman" w:eastAsia="Times New Roman" w:cs="Times New Roman"/>
          <w:spacing w:val="38"/>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5"/>
          <w:sz w:val="28"/>
          <w:szCs w:val="28"/>
        </w:rPr>
        <w:t>K)</w:t>
      </w:r>
      <w:r>
        <w:rPr>
          <w:rFonts w:ascii="宋体" w:hAnsi="宋体" w:eastAsia="宋体" w:cs="宋体"/>
          <w:spacing w:val="-5"/>
          <w:sz w:val="28"/>
          <w:szCs w:val="28"/>
        </w:rPr>
        <w:t>；</w:t>
      </w:r>
    </w:p>
    <w:p w14:paraId="3B512CBD">
      <w:pPr>
        <w:spacing w:before="222" w:line="213" w:lineRule="auto"/>
        <w:ind w:left="1144"/>
        <w:rPr>
          <w:rFonts w:ascii="宋体" w:hAnsi="宋体" w:eastAsia="宋体" w:cs="宋体"/>
          <w:sz w:val="28"/>
          <w:szCs w:val="28"/>
        </w:rPr>
      </w:pPr>
      <w:r>
        <w:rPr>
          <w:rFonts w:ascii="Times New Roman" w:hAnsi="Times New Roman" w:eastAsia="Times New Roman" w:cs="Times New Roman"/>
          <w:spacing w:val="-1"/>
          <w:sz w:val="28"/>
          <w:szCs w:val="28"/>
        </w:rPr>
        <w:t>Q</w:t>
      </w:r>
      <w:r>
        <w:rPr>
          <w:rFonts w:ascii="Times New Roman" w:hAnsi="Times New Roman" w:eastAsia="Times New Roman" w:cs="Times New Roman"/>
          <w:spacing w:val="-1"/>
          <w:sz w:val="18"/>
          <w:szCs w:val="18"/>
        </w:rPr>
        <w:t>1</w:t>
      </w:r>
      <w:r>
        <w:rPr>
          <w:rFonts w:ascii="Times New Roman" w:hAnsi="Times New Roman" w:eastAsia="Times New Roman" w:cs="Times New Roman"/>
          <w:spacing w:val="-1"/>
          <w:sz w:val="28"/>
          <w:szCs w:val="28"/>
        </w:rPr>
        <w:t>--</w:t>
      </w:r>
      <w:r>
        <w:rPr>
          <w:rFonts w:ascii="宋体" w:hAnsi="宋体" w:eastAsia="宋体" w:cs="宋体"/>
          <w:spacing w:val="-1"/>
          <w:sz w:val="28"/>
          <w:szCs w:val="28"/>
        </w:rPr>
        <w:t>过热液体闪蒸蒸发速率，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4C57D090">
      <w:pPr>
        <w:spacing w:before="222" w:line="213" w:lineRule="auto"/>
        <w:ind w:left="1144"/>
        <w:rPr>
          <w:rFonts w:ascii="宋体" w:hAnsi="宋体" w:eastAsia="宋体" w:cs="宋体"/>
          <w:sz w:val="28"/>
          <w:szCs w:val="28"/>
        </w:rPr>
      </w:pP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2"/>
          <w:sz w:val="18"/>
          <w:szCs w:val="18"/>
        </w:rPr>
        <w:t>L</w:t>
      </w:r>
      <w:r>
        <w:rPr>
          <w:rFonts w:ascii="Times New Roman" w:hAnsi="Times New Roman" w:eastAsia="Times New Roman" w:cs="Times New Roman"/>
          <w:spacing w:val="-1"/>
          <w:sz w:val="28"/>
          <w:szCs w:val="28"/>
        </w:rPr>
        <w:t>--</w:t>
      </w:r>
      <w:r>
        <w:rPr>
          <w:rFonts w:ascii="宋体" w:hAnsi="宋体" w:eastAsia="宋体" w:cs="宋体"/>
          <w:spacing w:val="-1"/>
          <w:sz w:val="28"/>
          <w:szCs w:val="28"/>
        </w:rPr>
        <w:t>物质泄漏速率，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5A88240D">
      <w:pPr>
        <w:spacing w:before="220" w:line="350" w:lineRule="auto"/>
        <w:ind w:left="50" w:right="52" w:firstLine="536"/>
        <w:rPr>
          <w:rFonts w:ascii="Times New Roman" w:hAnsi="Times New Roman" w:eastAsia="Times New Roman" w:cs="Times New Roman"/>
          <w:sz w:val="28"/>
          <w:szCs w:val="28"/>
        </w:rPr>
      </w:pPr>
      <w:r>
        <w:rPr>
          <w:rFonts w:ascii="宋体" w:hAnsi="宋体" w:eastAsia="宋体" w:cs="宋体"/>
          <w:spacing w:val="-4"/>
          <w:sz w:val="28"/>
          <w:szCs w:val="28"/>
        </w:rPr>
        <w:t>经计算，液氨的闪蒸比例为</w:t>
      </w:r>
      <w:r>
        <w:rPr>
          <w:rFonts w:ascii="宋体" w:hAnsi="宋体" w:eastAsia="宋体" w:cs="宋体"/>
          <w:spacing w:val="-60"/>
          <w:sz w:val="28"/>
          <w:szCs w:val="28"/>
        </w:rPr>
        <w:t xml:space="preserve"> </w:t>
      </w:r>
      <w:r>
        <w:rPr>
          <w:rFonts w:ascii="Times New Roman" w:hAnsi="Times New Roman" w:eastAsia="Times New Roman" w:cs="Times New Roman"/>
          <w:spacing w:val="-4"/>
          <w:sz w:val="28"/>
          <w:szCs w:val="28"/>
        </w:rPr>
        <w:t>22.3%</w:t>
      </w:r>
      <w:r>
        <w:rPr>
          <w:rFonts w:ascii="Times New Roman" w:hAnsi="Times New Roman" w:eastAsia="Times New Roman" w:cs="Times New Roman"/>
          <w:spacing w:val="-37"/>
          <w:sz w:val="28"/>
          <w:szCs w:val="28"/>
        </w:rPr>
        <w:t xml:space="preserve"> </w:t>
      </w:r>
      <w:r>
        <w:rPr>
          <w:rFonts w:ascii="宋体" w:hAnsi="宋体" w:eastAsia="宋体" w:cs="宋体"/>
          <w:spacing w:val="-4"/>
          <w:sz w:val="28"/>
          <w:szCs w:val="28"/>
        </w:rPr>
        <w:t>，蒸发量为</w:t>
      </w:r>
      <w:r>
        <w:rPr>
          <w:rFonts w:ascii="宋体" w:hAnsi="宋体" w:eastAsia="宋体" w:cs="宋体"/>
          <w:spacing w:val="-38"/>
          <w:sz w:val="28"/>
          <w:szCs w:val="28"/>
        </w:rPr>
        <w:t xml:space="preserve"> </w:t>
      </w:r>
      <w:r>
        <w:rPr>
          <w:rFonts w:ascii="Times New Roman" w:hAnsi="Times New Roman" w:eastAsia="Times New Roman" w:cs="Times New Roman"/>
          <w:spacing w:val="-4"/>
          <w:sz w:val="28"/>
          <w:szCs w:val="28"/>
        </w:rPr>
        <w:t>109.98kg</w:t>
      </w:r>
      <w:r>
        <w:rPr>
          <w:rFonts w:ascii="宋体" w:hAnsi="宋体" w:eastAsia="宋体" w:cs="宋体"/>
          <w:spacing w:val="-4"/>
          <w:sz w:val="28"/>
          <w:szCs w:val="28"/>
        </w:rPr>
        <w:t>；液氯的</w:t>
      </w:r>
      <w:r>
        <w:rPr>
          <w:rFonts w:ascii="宋体" w:hAnsi="宋体" w:eastAsia="宋体" w:cs="宋体"/>
          <w:sz w:val="28"/>
          <w:szCs w:val="28"/>
        </w:rPr>
        <w:t xml:space="preserve"> </w:t>
      </w:r>
      <w:r>
        <w:rPr>
          <w:rFonts w:ascii="宋体" w:hAnsi="宋体" w:eastAsia="宋体" w:cs="宋体"/>
          <w:spacing w:val="-6"/>
          <w:sz w:val="28"/>
          <w:szCs w:val="28"/>
        </w:rPr>
        <w:t>闪蒸比例为</w:t>
      </w:r>
      <w:r>
        <w:rPr>
          <w:rFonts w:ascii="宋体" w:hAnsi="宋体" w:eastAsia="宋体" w:cs="宋体"/>
          <w:spacing w:val="-28"/>
          <w:sz w:val="28"/>
          <w:szCs w:val="28"/>
        </w:rPr>
        <w:t xml:space="preserve"> </w:t>
      </w:r>
      <w:r>
        <w:rPr>
          <w:rFonts w:ascii="Times New Roman" w:hAnsi="Times New Roman" w:eastAsia="Times New Roman" w:cs="Times New Roman"/>
          <w:spacing w:val="-6"/>
          <w:sz w:val="28"/>
          <w:szCs w:val="28"/>
        </w:rPr>
        <w:t>18%</w:t>
      </w:r>
      <w:r>
        <w:rPr>
          <w:rFonts w:ascii="Times New Roman" w:hAnsi="Times New Roman" w:eastAsia="Times New Roman" w:cs="Times New Roman"/>
          <w:spacing w:val="-38"/>
          <w:sz w:val="28"/>
          <w:szCs w:val="28"/>
        </w:rPr>
        <w:t xml:space="preserve"> </w:t>
      </w:r>
      <w:r>
        <w:rPr>
          <w:rFonts w:ascii="宋体" w:hAnsi="宋体" w:eastAsia="宋体" w:cs="宋体"/>
          <w:spacing w:val="-6"/>
          <w:sz w:val="28"/>
          <w:szCs w:val="28"/>
        </w:rPr>
        <w:t>，蒸发量为</w:t>
      </w:r>
      <w:r>
        <w:rPr>
          <w:rFonts w:ascii="宋体" w:hAnsi="宋体" w:eastAsia="宋体" w:cs="宋体"/>
          <w:spacing w:val="-58"/>
          <w:sz w:val="28"/>
          <w:szCs w:val="28"/>
        </w:rPr>
        <w:t xml:space="preserve"> </w:t>
      </w:r>
      <w:r>
        <w:rPr>
          <w:rFonts w:ascii="Times New Roman" w:hAnsi="Times New Roman" w:eastAsia="Times New Roman" w:cs="Times New Roman"/>
          <w:spacing w:val="-6"/>
          <w:sz w:val="28"/>
          <w:szCs w:val="28"/>
        </w:rPr>
        <w:t>61.07kg</w:t>
      </w:r>
    </w:p>
    <w:p w14:paraId="775CC23C">
      <w:pPr>
        <w:spacing w:before="29" w:line="221" w:lineRule="auto"/>
        <w:ind w:left="578"/>
        <w:rPr>
          <w:rFonts w:ascii="宋体" w:hAnsi="宋体" w:eastAsia="宋体" w:cs="宋体"/>
          <w:sz w:val="28"/>
          <w:szCs w:val="28"/>
        </w:rPr>
      </w:pPr>
      <w:r>
        <w:rPr>
          <w:rFonts w:ascii="Times New Roman" w:hAnsi="Times New Roman" w:eastAsia="Times New Roman" w:cs="Times New Roman"/>
          <w:spacing w:val="-1"/>
          <w:sz w:val="28"/>
          <w:szCs w:val="28"/>
        </w:rPr>
        <w:t>B.</w:t>
      </w:r>
      <w:r>
        <w:rPr>
          <w:rFonts w:ascii="宋体" w:hAnsi="宋体" w:eastAsia="宋体" w:cs="宋体"/>
          <w:spacing w:val="-1"/>
          <w:sz w:val="28"/>
          <w:szCs w:val="28"/>
        </w:rPr>
        <w:t>热量蒸发</w:t>
      </w:r>
    </w:p>
    <w:p w14:paraId="0AE8F377">
      <w:pPr>
        <w:spacing w:before="210" w:line="346" w:lineRule="auto"/>
        <w:ind w:left="25" w:right="52" w:firstLine="560"/>
        <w:rPr>
          <w:rFonts w:ascii="宋体" w:hAnsi="宋体" w:eastAsia="宋体" w:cs="宋体"/>
          <w:sz w:val="28"/>
          <w:szCs w:val="28"/>
        </w:rPr>
      </w:pPr>
      <w:r>
        <w:rPr>
          <w:rFonts w:ascii="宋体" w:hAnsi="宋体" w:eastAsia="宋体" w:cs="宋体"/>
          <w:spacing w:val="-4"/>
          <w:sz w:val="28"/>
          <w:szCs w:val="28"/>
        </w:rPr>
        <w:t>若物质闪蒸不完全，部分液体在地面形成液池，并吸收地面热量</w:t>
      </w:r>
      <w:r>
        <w:rPr>
          <w:rFonts w:ascii="宋体" w:hAnsi="宋体" w:eastAsia="宋体" w:cs="宋体"/>
          <w:spacing w:val="6"/>
          <w:sz w:val="28"/>
          <w:szCs w:val="28"/>
        </w:rPr>
        <w:t xml:space="preserve"> </w:t>
      </w:r>
      <w:r>
        <w:rPr>
          <w:rFonts w:ascii="宋体" w:hAnsi="宋体" w:eastAsia="宋体" w:cs="宋体"/>
          <w:spacing w:val="-1"/>
          <w:sz w:val="28"/>
          <w:szCs w:val="28"/>
        </w:rPr>
        <w:t>汽化，蒸发速率计算公式如下：</w:t>
      </w:r>
    </w:p>
    <w:p w14:paraId="75310A75">
      <w:pPr>
        <w:spacing w:line="900" w:lineRule="exact"/>
        <w:ind w:firstLine="2980"/>
      </w:pPr>
      <w:r>
        <w:rPr>
          <w:position w:val="-18"/>
        </w:rPr>
        <w:drawing>
          <wp:inline distT="0" distB="0" distL="0" distR="0">
            <wp:extent cx="1505585" cy="5715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83"/>
                    <a:stretch>
                      <a:fillRect/>
                    </a:stretch>
                  </pic:blipFill>
                  <pic:spPr>
                    <a:xfrm>
                      <a:off x="0" y="0"/>
                      <a:ext cx="1505711" cy="571500"/>
                    </a:xfrm>
                    <a:prstGeom prst="rect">
                      <a:avLst/>
                    </a:prstGeom>
                  </pic:spPr>
                </pic:pic>
              </a:graphicData>
            </a:graphic>
          </wp:inline>
        </w:drawing>
      </w:r>
    </w:p>
    <w:p w14:paraId="2720A66B">
      <w:pPr>
        <w:spacing w:before="41" w:line="211" w:lineRule="auto"/>
        <w:ind w:left="589"/>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2"/>
          <w:sz w:val="18"/>
          <w:szCs w:val="18"/>
        </w:rPr>
        <w:t>2</w:t>
      </w:r>
      <w:r>
        <w:rPr>
          <w:rFonts w:ascii="Times New Roman" w:hAnsi="Times New Roman" w:eastAsia="Times New Roman" w:cs="Times New Roman"/>
          <w:spacing w:val="-1"/>
          <w:sz w:val="28"/>
          <w:szCs w:val="28"/>
        </w:rPr>
        <w:t>--</w:t>
      </w:r>
      <w:r>
        <w:rPr>
          <w:rFonts w:ascii="宋体" w:hAnsi="宋体" w:eastAsia="宋体" w:cs="宋体"/>
          <w:spacing w:val="-1"/>
          <w:sz w:val="28"/>
          <w:szCs w:val="28"/>
        </w:rPr>
        <w:t>热量蒸发速率，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235B2BE8">
      <w:pPr>
        <w:spacing w:before="221" w:line="221" w:lineRule="auto"/>
        <w:ind w:left="1421"/>
        <w:rPr>
          <w:rFonts w:ascii="宋体" w:hAnsi="宋体" w:eastAsia="宋体" w:cs="宋体"/>
          <w:sz w:val="28"/>
          <w:szCs w:val="28"/>
        </w:rPr>
      </w:pPr>
      <w:r>
        <w:rPr>
          <w:rFonts w:ascii="Times New Roman" w:hAnsi="Times New Roman" w:eastAsia="Times New Roman" w:cs="Times New Roman"/>
          <w:spacing w:val="-3"/>
          <w:sz w:val="28"/>
          <w:szCs w:val="28"/>
        </w:rPr>
        <w:t>To--</w:t>
      </w:r>
      <w:r>
        <w:rPr>
          <w:rFonts w:ascii="宋体" w:hAnsi="宋体" w:eastAsia="宋体" w:cs="宋体"/>
          <w:spacing w:val="-3"/>
          <w:sz w:val="28"/>
          <w:szCs w:val="28"/>
        </w:rPr>
        <w:t>环境温度，</w:t>
      </w:r>
      <w:r>
        <w:rPr>
          <w:rFonts w:ascii="Times New Roman" w:hAnsi="Times New Roman" w:eastAsia="Times New Roman" w:cs="Times New Roman"/>
          <w:spacing w:val="-3"/>
          <w:sz w:val="28"/>
          <w:szCs w:val="28"/>
        </w:rPr>
        <w:t>K</w:t>
      </w:r>
      <w:r>
        <w:rPr>
          <w:rFonts w:ascii="宋体" w:hAnsi="宋体" w:eastAsia="宋体" w:cs="宋体"/>
          <w:spacing w:val="-3"/>
          <w:sz w:val="28"/>
          <w:szCs w:val="28"/>
        </w:rPr>
        <w:t>；</w:t>
      </w:r>
    </w:p>
    <w:p w14:paraId="55161E54">
      <w:pPr>
        <w:spacing w:line="221" w:lineRule="auto"/>
        <w:rPr>
          <w:rFonts w:ascii="宋体" w:hAnsi="宋体" w:eastAsia="宋体" w:cs="宋体"/>
          <w:sz w:val="28"/>
          <w:szCs w:val="28"/>
        </w:rPr>
        <w:sectPr>
          <w:footerReference r:id="rId116" w:type="default"/>
          <w:pgSz w:w="11906" w:h="16839"/>
          <w:pgMar w:top="400" w:right="1747" w:bottom="1259" w:left="1785" w:header="0" w:footer="1097" w:gutter="0"/>
          <w:cols w:space="720" w:num="1"/>
        </w:sectPr>
      </w:pPr>
    </w:p>
    <w:p w14:paraId="1E92177D">
      <w:pPr>
        <w:pStyle w:val="2"/>
        <w:spacing w:line="245" w:lineRule="auto"/>
      </w:pPr>
    </w:p>
    <w:p w14:paraId="29A73419">
      <w:pPr>
        <w:pStyle w:val="2"/>
        <w:spacing w:line="245" w:lineRule="auto"/>
      </w:pPr>
    </w:p>
    <w:p w14:paraId="12F8ABC8">
      <w:pPr>
        <w:pStyle w:val="2"/>
        <w:spacing w:line="246" w:lineRule="auto"/>
      </w:pPr>
    </w:p>
    <w:p w14:paraId="16C88223">
      <w:pPr>
        <w:pStyle w:val="2"/>
        <w:spacing w:line="246" w:lineRule="auto"/>
      </w:pPr>
    </w:p>
    <w:p w14:paraId="2B8D8BC8">
      <w:pPr>
        <w:spacing w:before="91" w:line="221" w:lineRule="auto"/>
        <w:ind w:left="1520"/>
        <w:rPr>
          <w:rFonts w:ascii="宋体" w:hAnsi="宋体" w:eastAsia="宋体" w:cs="宋体"/>
          <w:sz w:val="28"/>
          <w:szCs w:val="28"/>
        </w:rPr>
      </w:pPr>
      <w:r>
        <w:rPr>
          <w:rFonts w:ascii="Times New Roman" w:hAnsi="Times New Roman" w:eastAsia="Times New Roman" w:cs="Times New Roman"/>
          <w:spacing w:val="-1"/>
          <w:sz w:val="28"/>
          <w:szCs w:val="28"/>
        </w:rPr>
        <w:t>Tb-</w:t>
      </w:r>
      <w:r>
        <w:rPr>
          <w:rFonts w:ascii="宋体" w:hAnsi="宋体" w:eastAsia="宋体" w:cs="宋体"/>
          <w:spacing w:val="-1"/>
          <w:sz w:val="28"/>
          <w:szCs w:val="28"/>
        </w:rPr>
        <w:t>泄漏液体沸点；</w:t>
      </w:r>
      <w:r>
        <w:rPr>
          <w:rFonts w:ascii="Times New Roman" w:hAnsi="Times New Roman" w:eastAsia="Times New Roman" w:cs="Times New Roman"/>
          <w:spacing w:val="-1"/>
          <w:sz w:val="28"/>
          <w:szCs w:val="28"/>
        </w:rPr>
        <w:t>K</w:t>
      </w:r>
      <w:r>
        <w:rPr>
          <w:rFonts w:ascii="宋体" w:hAnsi="宋体" w:eastAsia="宋体" w:cs="宋体"/>
          <w:spacing w:val="-1"/>
          <w:sz w:val="28"/>
          <w:szCs w:val="28"/>
        </w:rPr>
        <w:t>；</w:t>
      </w:r>
    </w:p>
    <w:p w14:paraId="0A12FBC1">
      <w:pPr>
        <w:spacing w:before="209" w:line="213" w:lineRule="auto"/>
        <w:ind w:left="1516"/>
        <w:rPr>
          <w:rFonts w:ascii="宋体" w:hAnsi="宋体" w:eastAsia="宋体" w:cs="宋体"/>
          <w:sz w:val="28"/>
          <w:szCs w:val="28"/>
        </w:rPr>
      </w:pPr>
      <w:r>
        <w:rPr>
          <w:rFonts w:ascii="Times New Roman" w:hAnsi="Times New Roman" w:eastAsia="Times New Roman" w:cs="Times New Roman"/>
          <w:spacing w:val="-1"/>
          <w:sz w:val="28"/>
          <w:szCs w:val="28"/>
        </w:rPr>
        <w:t>H--</w:t>
      </w:r>
      <w:r>
        <w:rPr>
          <w:rFonts w:ascii="宋体" w:hAnsi="宋体" w:eastAsia="宋体" w:cs="宋体"/>
          <w:spacing w:val="-1"/>
          <w:sz w:val="28"/>
          <w:szCs w:val="28"/>
        </w:rPr>
        <w:t>液体汽化热，</w:t>
      </w:r>
      <w:r>
        <w:rPr>
          <w:rFonts w:ascii="Times New Roman" w:hAnsi="Times New Roman" w:eastAsia="Times New Roman" w:cs="Times New Roman"/>
          <w:spacing w:val="-1"/>
          <w:sz w:val="28"/>
          <w:szCs w:val="28"/>
        </w:rPr>
        <w:t>J/kg</w:t>
      </w:r>
      <w:r>
        <w:rPr>
          <w:rFonts w:ascii="宋体" w:hAnsi="宋体" w:eastAsia="宋体" w:cs="宋体"/>
          <w:spacing w:val="-1"/>
          <w:sz w:val="28"/>
          <w:szCs w:val="28"/>
        </w:rPr>
        <w:t>；</w:t>
      </w:r>
    </w:p>
    <w:p w14:paraId="04EBB8CC">
      <w:pPr>
        <w:spacing w:before="221" w:line="219" w:lineRule="auto"/>
        <w:ind w:left="1520"/>
        <w:rPr>
          <w:rFonts w:ascii="宋体" w:hAnsi="宋体" w:eastAsia="宋体" w:cs="宋体"/>
          <w:sz w:val="28"/>
          <w:szCs w:val="28"/>
        </w:rPr>
      </w:pPr>
      <w:r>
        <w:rPr>
          <w:rFonts w:ascii="Times New Roman" w:hAnsi="Times New Roman" w:eastAsia="Times New Roman" w:cs="Times New Roman"/>
          <w:spacing w:val="-4"/>
          <w:sz w:val="28"/>
          <w:szCs w:val="28"/>
        </w:rPr>
        <w:t>T--</w:t>
      </w:r>
      <w:r>
        <w:rPr>
          <w:rFonts w:ascii="宋体" w:hAnsi="宋体" w:eastAsia="宋体" w:cs="宋体"/>
          <w:spacing w:val="-4"/>
          <w:sz w:val="28"/>
          <w:szCs w:val="28"/>
        </w:rPr>
        <w:t>蒸发时间，</w:t>
      </w:r>
      <w:r>
        <w:rPr>
          <w:rFonts w:ascii="Times New Roman" w:hAnsi="Times New Roman" w:eastAsia="Times New Roman" w:cs="Times New Roman"/>
          <w:spacing w:val="-4"/>
          <w:sz w:val="28"/>
          <w:szCs w:val="28"/>
        </w:rPr>
        <w:t>s</w:t>
      </w:r>
      <w:r>
        <w:rPr>
          <w:rFonts w:ascii="宋体" w:hAnsi="宋体" w:eastAsia="宋体" w:cs="宋体"/>
          <w:spacing w:val="-4"/>
          <w:sz w:val="28"/>
          <w:szCs w:val="28"/>
        </w:rPr>
        <w:t>；</w:t>
      </w:r>
    </w:p>
    <w:p w14:paraId="50F96227">
      <w:pPr>
        <w:spacing w:before="213" w:line="213" w:lineRule="auto"/>
        <w:ind w:left="1589"/>
        <w:rPr>
          <w:rFonts w:ascii="宋体" w:hAnsi="宋体" w:eastAsia="宋体" w:cs="宋体"/>
          <w:sz w:val="28"/>
          <w:szCs w:val="28"/>
        </w:rPr>
      </w:pPr>
      <w:r>
        <w:rPr>
          <w:rFonts w:ascii="宋体" w:hAnsi="宋体" w:eastAsia="宋体" w:cs="宋体"/>
          <w:spacing w:val="-5"/>
          <w:sz w:val="28"/>
          <w:szCs w:val="28"/>
        </w:rPr>
        <w:t>λ</w:t>
      </w:r>
      <w:r>
        <w:rPr>
          <w:rFonts w:ascii="Times New Roman" w:hAnsi="Times New Roman" w:eastAsia="Times New Roman" w:cs="Times New Roman"/>
          <w:spacing w:val="-5"/>
          <w:sz w:val="28"/>
          <w:szCs w:val="28"/>
        </w:rPr>
        <w:t>--</w:t>
      </w:r>
      <w:r>
        <w:rPr>
          <w:rFonts w:ascii="宋体" w:hAnsi="宋体" w:eastAsia="宋体" w:cs="宋体"/>
          <w:spacing w:val="-5"/>
          <w:sz w:val="28"/>
          <w:szCs w:val="28"/>
        </w:rPr>
        <w:t>表面热导系数</w:t>
      </w:r>
      <w:r>
        <w:rPr>
          <w:rFonts w:ascii="Times New Roman" w:hAnsi="Times New Roman" w:eastAsia="Times New Roman" w:cs="Times New Roman"/>
          <w:spacing w:val="-5"/>
          <w:sz w:val="28"/>
          <w:szCs w:val="28"/>
        </w:rPr>
        <w:t>(</w:t>
      </w:r>
      <w:r>
        <w:rPr>
          <w:rFonts w:ascii="宋体" w:hAnsi="宋体" w:eastAsia="宋体" w:cs="宋体"/>
          <w:spacing w:val="-5"/>
          <w:sz w:val="28"/>
          <w:szCs w:val="28"/>
        </w:rPr>
        <w:t>取值见表</w:t>
      </w:r>
      <w:r>
        <w:rPr>
          <w:rFonts w:ascii="宋体" w:hAnsi="宋体" w:eastAsia="宋体" w:cs="宋体"/>
          <w:spacing w:val="-66"/>
          <w:sz w:val="28"/>
          <w:szCs w:val="28"/>
        </w:rPr>
        <w:t xml:space="preserve"> </w:t>
      </w:r>
      <w:r>
        <w:rPr>
          <w:rFonts w:ascii="Times New Roman" w:hAnsi="Times New Roman" w:eastAsia="Times New Roman" w:cs="Times New Roman"/>
          <w:spacing w:val="-5"/>
          <w:sz w:val="28"/>
          <w:szCs w:val="28"/>
        </w:rPr>
        <w:t>F.2)</w:t>
      </w:r>
      <w:r>
        <w:rPr>
          <w:rFonts w:ascii="Times New Roman" w:hAnsi="Times New Roman" w:eastAsia="Times New Roman" w:cs="Times New Roman"/>
          <w:spacing w:val="-38"/>
          <w:sz w:val="28"/>
          <w:szCs w:val="28"/>
        </w:rPr>
        <w:t xml:space="preserve"> </w:t>
      </w:r>
      <w:r>
        <w:rPr>
          <w:rFonts w:ascii="宋体" w:hAnsi="宋体" w:eastAsia="宋体" w:cs="宋体"/>
          <w:spacing w:val="-5"/>
          <w:sz w:val="28"/>
          <w:szCs w:val="28"/>
        </w:rPr>
        <w:t>，</w:t>
      </w:r>
      <w:r>
        <w:rPr>
          <w:rFonts w:ascii="Times New Roman" w:hAnsi="Times New Roman" w:eastAsia="Times New Roman" w:cs="Times New Roman"/>
          <w:spacing w:val="-6"/>
          <w:sz w:val="28"/>
          <w:szCs w:val="28"/>
        </w:rPr>
        <w:t>W/(mK)</w:t>
      </w:r>
      <w:r>
        <w:rPr>
          <w:rFonts w:ascii="宋体" w:hAnsi="宋体" w:eastAsia="宋体" w:cs="宋体"/>
          <w:spacing w:val="-6"/>
          <w:sz w:val="28"/>
          <w:szCs w:val="28"/>
        </w:rPr>
        <w:t>；</w:t>
      </w:r>
    </w:p>
    <w:p w14:paraId="20D9578B">
      <w:pPr>
        <w:spacing w:before="221" w:line="221" w:lineRule="auto"/>
        <w:ind w:left="1529"/>
        <w:rPr>
          <w:rFonts w:ascii="宋体" w:hAnsi="宋体" w:eastAsia="宋体" w:cs="宋体"/>
          <w:sz w:val="28"/>
          <w:szCs w:val="28"/>
        </w:rPr>
      </w:pPr>
      <w:r>
        <w:rPr>
          <w:rFonts w:ascii="Times New Roman" w:hAnsi="Times New Roman" w:eastAsia="Times New Roman" w:cs="Times New Roman"/>
          <w:spacing w:val="-2"/>
          <w:sz w:val="28"/>
          <w:szCs w:val="28"/>
        </w:rPr>
        <w:t>S--</w:t>
      </w:r>
      <w:r>
        <w:rPr>
          <w:rFonts w:ascii="宋体" w:hAnsi="宋体" w:eastAsia="宋体" w:cs="宋体"/>
          <w:spacing w:val="-2"/>
          <w:sz w:val="28"/>
          <w:szCs w:val="28"/>
        </w:rPr>
        <w:t>液池面积，</w:t>
      </w:r>
      <w:r>
        <w:rPr>
          <w:rFonts w:ascii="Times New Roman" w:hAnsi="Times New Roman" w:eastAsia="Times New Roman" w:cs="Times New Roman"/>
          <w:spacing w:val="-2"/>
          <w:sz w:val="28"/>
          <w:szCs w:val="28"/>
        </w:rPr>
        <w:t>m</w:t>
      </w:r>
      <w:r>
        <w:rPr>
          <w:rFonts w:ascii="Times New Roman" w:hAnsi="Times New Roman" w:eastAsia="Times New Roman" w:cs="Times New Roman"/>
          <w:spacing w:val="-2"/>
          <w:position w:val="9"/>
          <w:sz w:val="18"/>
          <w:szCs w:val="18"/>
        </w:rPr>
        <w:t>2</w:t>
      </w:r>
      <w:r>
        <w:rPr>
          <w:rFonts w:ascii="宋体" w:hAnsi="宋体" w:eastAsia="宋体" w:cs="宋体"/>
          <w:spacing w:val="-2"/>
          <w:sz w:val="28"/>
          <w:szCs w:val="28"/>
        </w:rPr>
        <w:t>；</w:t>
      </w:r>
    </w:p>
    <w:p w14:paraId="179DCC12">
      <w:pPr>
        <w:spacing w:before="210" w:line="220" w:lineRule="auto"/>
        <w:ind w:left="1522"/>
        <w:rPr>
          <w:rFonts w:ascii="宋体" w:hAnsi="宋体" w:eastAsia="宋体" w:cs="宋体"/>
          <w:sz w:val="28"/>
          <w:szCs w:val="28"/>
        </w:rPr>
      </w:pPr>
      <w:r>
        <w:rPr>
          <w:rFonts w:ascii="Times New Roman" w:hAnsi="Times New Roman" w:eastAsia="Times New Roman" w:cs="Times New Roman"/>
          <w:spacing w:val="-2"/>
          <w:sz w:val="28"/>
          <w:szCs w:val="28"/>
        </w:rPr>
        <w:t>a--</w:t>
      </w:r>
      <w:r>
        <w:rPr>
          <w:rFonts w:ascii="宋体" w:hAnsi="宋体" w:eastAsia="宋体" w:cs="宋体"/>
          <w:spacing w:val="-2"/>
          <w:sz w:val="28"/>
          <w:szCs w:val="28"/>
        </w:rPr>
        <w:t>表面热扩散系数（取值见表</w:t>
      </w:r>
      <w:r>
        <w:rPr>
          <w:rFonts w:ascii="宋体" w:hAnsi="宋体" w:eastAsia="宋体" w:cs="宋体"/>
          <w:spacing w:val="-67"/>
          <w:sz w:val="28"/>
          <w:szCs w:val="28"/>
        </w:rPr>
        <w:t xml:space="preserve"> </w:t>
      </w:r>
      <w:r>
        <w:rPr>
          <w:rFonts w:ascii="Times New Roman" w:hAnsi="Times New Roman" w:eastAsia="Times New Roman" w:cs="Times New Roman"/>
          <w:spacing w:val="-2"/>
          <w:sz w:val="28"/>
          <w:szCs w:val="28"/>
        </w:rPr>
        <w:t>F.2</w:t>
      </w:r>
      <w:r>
        <w:rPr>
          <w:rFonts w:ascii="宋体" w:hAnsi="宋体" w:eastAsia="宋体" w:cs="宋体"/>
          <w:spacing w:val="6"/>
          <w:sz w:val="28"/>
          <w:szCs w:val="28"/>
        </w:rPr>
        <w:t>），</w:t>
      </w:r>
      <w:r>
        <w:rPr>
          <w:rFonts w:ascii="Times New Roman" w:hAnsi="Times New Roman" w:eastAsia="Times New Roman" w:cs="Times New Roman"/>
          <w:spacing w:val="-2"/>
          <w:sz w:val="28"/>
          <w:szCs w:val="28"/>
        </w:rPr>
        <w:t>m</w:t>
      </w:r>
      <w:r>
        <w:rPr>
          <w:rFonts w:ascii="Times New Roman" w:hAnsi="Times New Roman" w:eastAsia="Times New Roman" w:cs="Times New Roman"/>
          <w:spacing w:val="-2"/>
          <w:position w:val="9"/>
          <w:sz w:val="18"/>
          <w:szCs w:val="18"/>
        </w:rPr>
        <w:t>2</w:t>
      </w:r>
      <w:r>
        <w:rPr>
          <w:rFonts w:ascii="Times New Roman" w:hAnsi="Times New Roman" w:eastAsia="Times New Roman" w:cs="Times New Roman"/>
          <w:spacing w:val="-2"/>
          <w:sz w:val="28"/>
          <w:szCs w:val="28"/>
        </w:rPr>
        <w:t>/s</w:t>
      </w:r>
      <w:r>
        <w:rPr>
          <w:rFonts w:ascii="宋体" w:hAnsi="宋体" w:eastAsia="宋体" w:cs="宋体"/>
          <w:spacing w:val="-2"/>
          <w:sz w:val="28"/>
          <w:szCs w:val="28"/>
        </w:rPr>
        <w:t>。</w:t>
      </w:r>
    </w:p>
    <w:p w14:paraId="43E55BDC">
      <w:pPr>
        <w:spacing w:before="210" w:line="356" w:lineRule="auto"/>
        <w:ind w:left="123" w:right="105" w:firstLine="562"/>
        <w:jc w:val="both"/>
        <w:rPr>
          <w:rFonts w:ascii="宋体" w:hAnsi="宋体" w:eastAsia="宋体" w:cs="宋体"/>
          <w:sz w:val="28"/>
          <w:szCs w:val="28"/>
        </w:rPr>
      </w:pPr>
      <w:r>
        <w:rPr>
          <w:rFonts w:ascii="宋体" w:hAnsi="宋体" w:eastAsia="宋体" w:cs="宋体"/>
          <w:spacing w:val="-6"/>
          <w:sz w:val="28"/>
          <w:szCs w:val="28"/>
        </w:rPr>
        <w:t>水泥表面热导系数取值</w:t>
      </w:r>
      <w:r>
        <w:rPr>
          <w:rFonts w:ascii="宋体" w:hAnsi="宋体" w:eastAsia="宋体" w:cs="宋体"/>
          <w:spacing w:val="-22"/>
          <w:sz w:val="28"/>
          <w:szCs w:val="28"/>
        </w:rPr>
        <w:t xml:space="preserve"> </w:t>
      </w:r>
      <w:r>
        <w:rPr>
          <w:rFonts w:ascii="Times New Roman" w:hAnsi="Times New Roman" w:eastAsia="Times New Roman" w:cs="Times New Roman"/>
          <w:spacing w:val="-6"/>
          <w:sz w:val="28"/>
          <w:szCs w:val="28"/>
        </w:rPr>
        <w:t>1.1</w:t>
      </w:r>
      <w:r>
        <w:rPr>
          <w:rFonts w:ascii="宋体" w:hAnsi="宋体" w:eastAsia="宋体" w:cs="宋体"/>
          <w:spacing w:val="-6"/>
          <w:sz w:val="28"/>
          <w:szCs w:val="28"/>
        </w:rPr>
        <w:t>，表面热扩散系数取值</w:t>
      </w:r>
      <w:r>
        <w:rPr>
          <w:rFonts w:ascii="宋体" w:hAnsi="宋体" w:eastAsia="宋体" w:cs="宋体"/>
          <w:spacing w:val="-65"/>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6"/>
          <w:sz w:val="28"/>
          <w:szCs w:val="28"/>
        </w:rPr>
        <w:t>19</w:t>
      </w:r>
      <w:r>
        <w:rPr>
          <w:rFonts w:ascii="宋体" w:hAnsi="宋体" w:eastAsia="宋体" w:cs="宋体"/>
          <w:spacing w:val="-6"/>
          <w:sz w:val="28"/>
          <w:szCs w:val="28"/>
        </w:rPr>
        <w:t>×</w:t>
      </w:r>
      <w:r>
        <w:rPr>
          <w:rFonts w:ascii="Times New Roman" w:hAnsi="Times New Roman" w:eastAsia="Times New Roman" w:cs="Times New Roman"/>
          <w:spacing w:val="-6"/>
          <w:sz w:val="28"/>
          <w:szCs w:val="28"/>
        </w:rPr>
        <w:t>10</w:t>
      </w:r>
      <w:r>
        <w:rPr>
          <w:rFonts w:ascii="Times New Roman" w:hAnsi="Times New Roman" w:eastAsia="Times New Roman" w:cs="Times New Roman"/>
          <w:spacing w:val="-6"/>
          <w:position w:val="9"/>
          <w:sz w:val="18"/>
          <w:szCs w:val="18"/>
        </w:rPr>
        <w:t>-7</w:t>
      </w:r>
      <w:r>
        <w:rPr>
          <w:rFonts w:ascii="宋体" w:hAnsi="宋体" w:eastAsia="宋体" w:cs="宋体"/>
          <w:spacing w:val="-6"/>
          <w:sz w:val="28"/>
          <w:szCs w:val="28"/>
        </w:rPr>
        <w:t>，经</w:t>
      </w:r>
      <w:r>
        <w:rPr>
          <w:rFonts w:ascii="宋体" w:hAnsi="宋体" w:eastAsia="宋体" w:cs="宋体"/>
          <w:sz w:val="28"/>
          <w:szCs w:val="28"/>
        </w:rPr>
        <w:t xml:space="preserve"> </w:t>
      </w:r>
      <w:r>
        <w:rPr>
          <w:rFonts w:ascii="宋体" w:hAnsi="宋体" w:eastAsia="宋体" w:cs="宋体"/>
          <w:spacing w:val="-3"/>
          <w:sz w:val="28"/>
          <w:szCs w:val="28"/>
        </w:rPr>
        <w:t>计算液氨的热量蒸发速率为</w:t>
      </w:r>
      <w:r>
        <w:rPr>
          <w:rFonts w:ascii="宋体" w:hAnsi="宋体" w:eastAsia="宋体" w:cs="宋体"/>
          <w:spacing w:val="-54"/>
          <w:sz w:val="28"/>
          <w:szCs w:val="28"/>
        </w:rPr>
        <w:t xml:space="preserve"> </w:t>
      </w:r>
      <w:r>
        <w:rPr>
          <w:rFonts w:ascii="Times New Roman" w:hAnsi="Times New Roman" w:eastAsia="Times New Roman" w:cs="Times New Roman"/>
          <w:spacing w:val="-3"/>
          <w:sz w:val="28"/>
          <w:szCs w:val="28"/>
        </w:rPr>
        <w:t>0.07kg/s</w:t>
      </w:r>
      <w:r>
        <w:rPr>
          <w:rFonts w:ascii="宋体" w:hAnsi="宋体" w:eastAsia="宋体" w:cs="宋体"/>
          <w:spacing w:val="-3"/>
          <w:sz w:val="28"/>
          <w:szCs w:val="28"/>
        </w:rPr>
        <w:t>，蒸发量为</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63kg</w:t>
      </w:r>
      <w:r>
        <w:rPr>
          <w:rFonts w:ascii="宋体" w:hAnsi="宋体" w:eastAsia="宋体" w:cs="宋体"/>
          <w:spacing w:val="-3"/>
          <w:sz w:val="28"/>
          <w:szCs w:val="28"/>
        </w:rPr>
        <w:t>；液氯的热量蒸</w:t>
      </w:r>
      <w:r>
        <w:rPr>
          <w:rFonts w:ascii="宋体" w:hAnsi="宋体" w:eastAsia="宋体" w:cs="宋体"/>
          <w:sz w:val="28"/>
          <w:szCs w:val="28"/>
        </w:rPr>
        <w:t xml:space="preserve"> </w:t>
      </w:r>
      <w:r>
        <w:rPr>
          <w:rFonts w:ascii="宋体" w:hAnsi="宋体" w:eastAsia="宋体" w:cs="宋体"/>
          <w:spacing w:val="-3"/>
          <w:sz w:val="28"/>
          <w:szCs w:val="28"/>
        </w:rPr>
        <w:t>发速率为</w:t>
      </w:r>
      <w:r>
        <w:rPr>
          <w:rFonts w:ascii="宋体" w:hAnsi="宋体" w:eastAsia="宋体" w:cs="宋体"/>
          <w:spacing w:val="-48"/>
          <w:sz w:val="28"/>
          <w:szCs w:val="28"/>
        </w:rPr>
        <w:t xml:space="preserve"> </w:t>
      </w:r>
      <w:r>
        <w:rPr>
          <w:rFonts w:ascii="Times New Roman" w:hAnsi="Times New Roman" w:eastAsia="Times New Roman" w:cs="Times New Roman"/>
          <w:spacing w:val="-3"/>
          <w:sz w:val="28"/>
          <w:szCs w:val="28"/>
        </w:rPr>
        <w:t>0.072kg/s</w:t>
      </w:r>
      <w:r>
        <w:rPr>
          <w:rFonts w:ascii="Times New Roman" w:hAnsi="Times New Roman" w:eastAsia="Times New Roman" w:cs="Times New Roman"/>
          <w:spacing w:val="-40"/>
          <w:sz w:val="28"/>
          <w:szCs w:val="28"/>
        </w:rPr>
        <w:t xml:space="preserve"> </w:t>
      </w:r>
      <w:r>
        <w:rPr>
          <w:rFonts w:ascii="宋体" w:hAnsi="宋体" w:eastAsia="宋体" w:cs="宋体"/>
          <w:spacing w:val="-3"/>
          <w:sz w:val="28"/>
          <w:szCs w:val="28"/>
        </w:rPr>
        <w:t>，蒸发量为</w:t>
      </w:r>
      <w:r>
        <w:rPr>
          <w:rFonts w:ascii="宋体" w:hAnsi="宋体" w:eastAsia="宋体" w:cs="宋体"/>
          <w:spacing w:val="-59"/>
          <w:sz w:val="28"/>
          <w:szCs w:val="28"/>
        </w:rPr>
        <w:t xml:space="preserve"> </w:t>
      </w:r>
      <w:r>
        <w:rPr>
          <w:rFonts w:ascii="Times New Roman" w:hAnsi="Times New Roman" w:eastAsia="Times New Roman" w:cs="Times New Roman"/>
          <w:spacing w:val="-3"/>
          <w:sz w:val="28"/>
          <w:szCs w:val="28"/>
        </w:rPr>
        <w:t>64.8kg</w:t>
      </w:r>
      <w:r>
        <w:rPr>
          <w:rFonts w:ascii="宋体" w:hAnsi="宋体" w:eastAsia="宋体" w:cs="宋体"/>
          <w:spacing w:val="-3"/>
          <w:sz w:val="28"/>
          <w:szCs w:val="28"/>
        </w:rPr>
        <w:t>。</w:t>
      </w:r>
    </w:p>
    <w:p w14:paraId="6192342D">
      <w:pPr>
        <w:spacing w:before="15" w:line="219" w:lineRule="auto"/>
        <w:ind w:left="682"/>
        <w:rPr>
          <w:rFonts w:ascii="宋体" w:hAnsi="宋体" w:eastAsia="宋体" w:cs="宋体"/>
          <w:sz w:val="28"/>
          <w:szCs w:val="28"/>
        </w:rPr>
      </w:pPr>
      <w:r>
        <w:rPr>
          <w:rFonts w:ascii="Times New Roman" w:hAnsi="Times New Roman" w:eastAsia="Times New Roman" w:cs="Times New Roman"/>
          <w:spacing w:val="-2"/>
          <w:sz w:val="28"/>
          <w:szCs w:val="28"/>
        </w:rPr>
        <w:t>C.</w:t>
      </w:r>
      <w:r>
        <w:rPr>
          <w:rFonts w:ascii="宋体" w:hAnsi="宋体" w:eastAsia="宋体" w:cs="宋体"/>
          <w:spacing w:val="-2"/>
          <w:sz w:val="28"/>
          <w:szCs w:val="28"/>
        </w:rPr>
        <w:t>质量蒸发</w:t>
      </w:r>
    </w:p>
    <w:p w14:paraId="5B01159F">
      <w:pPr>
        <w:spacing w:before="214" w:line="345" w:lineRule="auto"/>
        <w:ind w:left="123" w:right="105" w:firstLine="564"/>
        <w:rPr>
          <w:rFonts w:ascii="宋体" w:hAnsi="宋体" w:eastAsia="宋体" w:cs="宋体"/>
          <w:sz w:val="28"/>
          <w:szCs w:val="28"/>
        </w:rPr>
      </w:pPr>
      <w:r>
        <w:rPr>
          <w:rFonts w:ascii="宋体" w:hAnsi="宋体" w:eastAsia="宋体" w:cs="宋体"/>
          <w:spacing w:val="-4"/>
          <w:sz w:val="28"/>
          <w:szCs w:val="28"/>
        </w:rPr>
        <w:t>热量蒸发结束后，转由液池表面气流运动使液体蒸发，蒸发速率</w:t>
      </w:r>
      <w:r>
        <w:rPr>
          <w:rFonts w:ascii="宋体" w:hAnsi="宋体" w:eastAsia="宋体" w:cs="宋体"/>
          <w:spacing w:val="1"/>
          <w:sz w:val="28"/>
          <w:szCs w:val="28"/>
        </w:rPr>
        <w:t xml:space="preserve"> </w:t>
      </w:r>
      <w:r>
        <w:rPr>
          <w:rFonts w:ascii="宋体" w:hAnsi="宋体" w:eastAsia="宋体" w:cs="宋体"/>
          <w:spacing w:val="-2"/>
          <w:sz w:val="28"/>
          <w:szCs w:val="28"/>
        </w:rPr>
        <w:t>计算公式如下：</w:t>
      </w:r>
    </w:p>
    <w:p w14:paraId="589F0E34">
      <w:pPr>
        <w:spacing w:line="1039" w:lineRule="exact"/>
        <w:ind w:firstLine="2961"/>
      </w:pPr>
      <w:r>
        <w:rPr>
          <w:position w:val="-20"/>
        </w:rPr>
        <w:drawing>
          <wp:inline distT="0" distB="0" distL="0" distR="0">
            <wp:extent cx="1657985" cy="6597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4"/>
                    <a:stretch>
                      <a:fillRect/>
                    </a:stretch>
                  </pic:blipFill>
                  <pic:spPr>
                    <a:xfrm>
                      <a:off x="0" y="0"/>
                      <a:ext cx="1658112" cy="659891"/>
                    </a:xfrm>
                    <a:prstGeom prst="rect">
                      <a:avLst/>
                    </a:prstGeom>
                  </pic:spPr>
                </pic:pic>
              </a:graphicData>
            </a:graphic>
          </wp:inline>
        </w:drawing>
      </w:r>
    </w:p>
    <w:p w14:paraId="44440403">
      <w:pPr>
        <w:spacing w:before="43" w:line="211" w:lineRule="auto"/>
        <w:ind w:left="688"/>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Q</w:t>
      </w:r>
      <w:r>
        <w:rPr>
          <w:rFonts w:ascii="Times New Roman" w:hAnsi="Times New Roman" w:eastAsia="Times New Roman" w:cs="Times New Roman"/>
          <w:spacing w:val="-1"/>
          <w:position w:val="-1"/>
          <w:sz w:val="18"/>
          <w:szCs w:val="18"/>
        </w:rPr>
        <w:t>3</w:t>
      </w:r>
      <w:r>
        <w:rPr>
          <w:rFonts w:ascii="Times New Roman" w:hAnsi="Times New Roman" w:eastAsia="Times New Roman" w:cs="Times New Roman"/>
          <w:spacing w:val="-1"/>
          <w:sz w:val="28"/>
          <w:szCs w:val="28"/>
        </w:rPr>
        <w:t>--</w:t>
      </w:r>
      <w:r>
        <w:rPr>
          <w:rFonts w:ascii="宋体" w:hAnsi="宋体" w:eastAsia="宋体" w:cs="宋体"/>
          <w:spacing w:val="-1"/>
          <w:sz w:val="28"/>
          <w:szCs w:val="28"/>
        </w:rPr>
        <w:t>质量蒸发速率，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1DEDD6AE">
      <w:pPr>
        <w:spacing w:before="222" w:line="213" w:lineRule="auto"/>
        <w:ind w:left="1511"/>
        <w:rPr>
          <w:rFonts w:ascii="宋体" w:hAnsi="宋体" w:eastAsia="宋体" w:cs="宋体"/>
          <w:sz w:val="28"/>
          <w:szCs w:val="28"/>
        </w:rPr>
      </w:pPr>
      <w:r>
        <w:rPr>
          <w:rFonts w:ascii="Times New Roman" w:hAnsi="Times New Roman" w:eastAsia="Times New Roman" w:cs="Times New Roman"/>
          <w:sz w:val="28"/>
          <w:szCs w:val="28"/>
        </w:rPr>
        <w:t>p--</w:t>
      </w:r>
      <w:r>
        <w:rPr>
          <w:rFonts w:ascii="宋体" w:hAnsi="宋体" w:eastAsia="宋体" w:cs="宋体"/>
          <w:sz w:val="28"/>
          <w:szCs w:val="28"/>
        </w:rPr>
        <w:t>液体表面蒸气压，</w:t>
      </w:r>
      <w:r>
        <w:rPr>
          <w:rFonts w:ascii="Times New Roman" w:hAnsi="Times New Roman" w:eastAsia="Times New Roman" w:cs="Times New Roman"/>
          <w:sz w:val="28"/>
          <w:szCs w:val="28"/>
        </w:rPr>
        <w:t>Pa</w:t>
      </w:r>
      <w:r>
        <w:rPr>
          <w:rFonts w:ascii="宋体" w:hAnsi="宋体" w:eastAsia="宋体" w:cs="宋体"/>
          <w:sz w:val="28"/>
          <w:szCs w:val="28"/>
        </w:rPr>
        <w:t>；</w:t>
      </w:r>
    </w:p>
    <w:p w14:paraId="02AA3C5C">
      <w:pPr>
        <w:spacing w:before="222" w:line="213" w:lineRule="auto"/>
        <w:ind w:left="1516"/>
        <w:rPr>
          <w:rFonts w:ascii="宋体" w:hAnsi="宋体" w:eastAsia="宋体" w:cs="宋体"/>
          <w:sz w:val="28"/>
          <w:szCs w:val="28"/>
        </w:rPr>
      </w:pPr>
      <w:r>
        <w:rPr>
          <w:rFonts w:ascii="Times New Roman" w:hAnsi="Times New Roman" w:eastAsia="Times New Roman" w:cs="Times New Roman"/>
          <w:spacing w:val="-7"/>
          <w:sz w:val="28"/>
          <w:szCs w:val="28"/>
        </w:rPr>
        <w:t>R--</w:t>
      </w:r>
      <w:r>
        <w:rPr>
          <w:rFonts w:ascii="宋体" w:hAnsi="宋体" w:eastAsia="宋体" w:cs="宋体"/>
          <w:spacing w:val="-7"/>
          <w:sz w:val="28"/>
          <w:szCs w:val="28"/>
        </w:rPr>
        <w:t>气体常数，</w:t>
      </w:r>
      <w:r>
        <w:rPr>
          <w:rFonts w:ascii="Times New Roman" w:hAnsi="Times New Roman" w:eastAsia="Times New Roman" w:cs="Times New Roman"/>
          <w:spacing w:val="-7"/>
          <w:sz w:val="28"/>
          <w:szCs w:val="28"/>
        </w:rPr>
        <w:t>J/(mol</w:t>
      </w:r>
      <w:r>
        <w:rPr>
          <w:rFonts w:ascii="Times New Roman" w:hAnsi="Times New Roman" w:eastAsia="Times New Roman" w:cs="Times New Roman"/>
          <w:spacing w:val="50"/>
          <w:w w:val="101"/>
          <w:sz w:val="28"/>
          <w:szCs w:val="28"/>
        </w:rPr>
        <w:t xml:space="preserve"> </w:t>
      </w:r>
      <w:r>
        <w:rPr>
          <w:rFonts w:ascii="宋体" w:hAnsi="宋体" w:eastAsia="宋体" w:cs="宋体"/>
          <w:spacing w:val="-7"/>
          <w:sz w:val="28"/>
          <w:szCs w:val="28"/>
        </w:rPr>
        <w:t>·</w:t>
      </w:r>
      <w:r>
        <w:rPr>
          <w:rFonts w:ascii="Times New Roman" w:hAnsi="Times New Roman" w:eastAsia="Times New Roman" w:cs="Times New Roman"/>
          <w:spacing w:val="-7"/>
          <w:sz w:val="28"/>
          <w:szCs w:val="28"/>
        </w:rPr>
        <w:t>K)</w:t>
      </w:r>
      <w:r>
        <w:rPr>
          <w:rFonts w:ascii="宋体" w:hAnsi="宋体" w:eastAsia="宋体" w:cs="宋体"/>
          <w:spacing w:val="-7"/>
          <w:sz w:val="28"/>
          <w:szCs w:val="28"/>
        </w:rPr>
        <w:t>；</w:t>
      </w:r>
    </w:p>
    <w:p w14:paraId="7DF88D72">
      <w:pPr>
        <w:spacing w:before="224" w:line="221" w:lineRule="auto"/>
        <w:ind w:left="1520"/>
        <w:rPr>
          <w:rFonts w:ascii="宋体" w:hAnsi="宋体" w:eastAsia="宋体" w:cs="宋体"/>
          <w:sz w:val="28"/>
          <w:szCs w:val="28"/>
        </w:rPr>
      </w:pPr>
      <w:r>
        <w:rPr>
          <w:rFonts w:ascii="Times New Roman" w:hAnsi="Times New Roman" w:eastAsia="Times New Roman" w:cs="Times New Roman"/>
          <w:spacing w:val="-3"/>
          <w:sz w:val="28"/>
          <w:szCs w:val="28"/>
        </w:rPr>
        <w:t>To--</w:t>
      </w:r>
      <w:r>
        <w:rPr>
          <w:rFonts w:ascii="宋体" w:hAnsi="宋体" w:eastAsia="宋体" w:cs="宋体"/>
          <w:spacing w:val="-3"/>
          <w:sz w:val="28"/>
          <w:szCs w:val="28"/>
        </w:rPr>
        <w:t>环境温度，</w:t>
      </w:r>
      <w:r>
        <w:rPr>
          <w:rFonts w:ascii="Times New Roman" w:hAnsi="Times New Roman" w:eastAsia="Times New Roman" w:cs="Times New Roman"/>
          <w:spacing w:val="-3"/>
          <w:sz w:val="28"/>
          <w:szCs w:val="28"/>
        </w:rPr>
        <w:t>K</w:t>
      </w:r>
      <w:r>
        <w:rPr>
          <w:rFonts w:ascii="宋体" w:hAnsi="宋体" w:eastAsia="宋体" w:cs="宋体"/>
          <w:spacing w:val="-3"/>
          <w:sz w:val="28"/>
          <w:szCs w:val="28"/>
        </w:rPr>
        <w:t>；</w:t>
      </w:r>
    </w:p>
    <w:p w14:paraId="39B5DF59">
      <w:pPr>
        <w:spacing w:before="210" w:line="211" w:lineRule="auto"/>
        <w:ind w:left="1516"/>
        <w:rPr>
          <w:rFonts w:ascii="宋体" w:hAnsi="宋体" w:eastAsia="宋体" w:cs="宋体"/>
          <w:sz w:val="28"/>
          <w:szCs w:val="28"/>
        </w:rPr>
      </w:pPr>
      <w:r>
        <w:rPr>
          <w:rFonts w:ascii="Times New Roman" w:hAnsi="Times New Roman" w:eastAsia="Times New Roman" w:cs="Times New Roman"/>
          <w:spacing w:val="-1"/>
          <w:sz w:val="28"/>
          <w:szCs w:val="28"/>
        </w:rPr>
        <w:t>M--</w:t>
      </w:r>
      <w:r>
        <w:rPr>
          <w:rFonts w:ascii="宋体" w:hAnsi="宋体" w:eastAsia="宋体" w:cs="宋体"/>
          <w:spacing w:val="-1"/>
          <w:sz w:val="28"/>
          <w:szCs w:val="28"/>
        </w:rPr>
        <w:t>物质的摩尔质量，</w:t>
      </w:r>
      <w:r>
        <w:rPr>
          <w:rFonts w:ascii="Times New Roman" w:hAnsi="Times New Roman" w:eastAsia="Times New Roman" w:cs="Times New Roman"/>
          <w:spacing w:val="-1"/>
          <w:sz w:val="28"/>
          <w:szCs w:val="28"/>
        </w:rPr>
        <w:t>kg/mol</w:t>
      </w:r>
      <w:r>
        <w:rPr>
          <w:rFonts w:ascii="宋体" w:hAnsi="宋体" w:eastAsia="宋体" w:cs="宋体"/>
          <w:spacing w:val="-1"/>
          <w:sz w:val="28"/>
          <w:szCs w:val="28"/>
        </w:rPr>
        <w:t>；</w:t>
      </w:r>
    </w:p>
    <w:p w14:paraId="5A6D45A3">
      <w:pPr>
        <w:spacing w:before="222" w:line="221" w:lineRule="auto"/>
        <w:ind w:left="1512"/>
        <w:rPr>
          <w:rFonts w:ascii="宋体" w:hAnsi="宋体" w:eastAsia="宋体" w:cs="宋体"/>
          <w:sz w:val="28"/>
          <w:szCs w:val="28"/>
        </w:rPr>
      </w:pPr>
      <w:r>
        <w:rPr>
          <w:rFonts w:ascii="Times New Roman" w:hAnsi="Times New Roman" w:eastAsia="Times New Roman" w:cs="Times New Roman"/>
          <w:spacing w:val="-1"/>
          <w:sz w:val="28"/>
          <w:szCs w:val="28"/>
        </w:rPr>
        <w:t>u--</w:t>
      </w:r>
      <w:r>
        <w:rPr>
          <w:rFonts w:ascii="宋体" w:hAnsi="宋体" w:eastAsia="宋体" w:cs="宋体"/>
          <w:spacing w:val="-1"/>
          <w:sz w:val="28"/>
          <w:szCs w:val="28"/>
        </w:rPr>
        <w:t>风速，</w:t>
      </w:r>
      <w:r>
        <w:rPr>
          <w:rFonts w:ascii="Times New Roman" w:hAnsi="Times New Roman" w:eastAsia="Times New Roman" w:cs="Times New Roman"/>
          <w:spacing w:val="-1"/>
          <w:sz w:val="28"/>
          <w:szCs w:val="28"/>
        </w:rPr>
        <w:t>m/s</w:t>
      </w:r>
      <w:r>
        <w:rPr>
          <w:rFonts w:ascii="宋体" w:hAnsi="宋体" w:eastAsia="宋体" w:cs="宋体"/>
          <w:spacing w:val="-1"/>
          <w:sz w:val="28"/>
          <w:szCs w:val="28"/>
        </w:rPr>
        <w:t>；</w:t>
      </w:r>
    </w:p>
    <w:p w14:paraId="38557C1E">
      <w:pPr>
        <w:spacing w:before="210" w:line="220" w:lineRule="auto"/>
        <w:ind w:left="1513"/>
        <w:rPr>
          <w:rFonts w:ascii="宋体" w:hAnsi="宋体" w:eastAsia="宋体" w:cs="宋体"/>
          <w:sz w:val="28"/>
          <w:szCs w:val="28"/>
        </w:rPr>
      </w:pPr>
      <w:r>
        <w:rPr>
          <w:rFonts w:ascii="Times New Roman" w:hAnsi="Times New Roman" w:eastAsia="Times New Roman" w:cs="Times New Roman"/>
          <w:spacing w:val="-1"/>
          <w:sz w:val="28"/>
          <w:szCs w:val="28"/>
        </w:rPr>
        <w:t>r--</w:t>
      </w:r>
      <w:r>
        <w:rPr>
          <w:rFonts w:ascii="宋体" w:hAnsi="宋体" w:eastAsia="宋体" w:cs="宋体"/>
          <w:spacing w:val="-1"/>
          <w:sz w:val="28"/>
          <w:szCs w:val="28"/>
        </w:rPr>
        <w:t>液池半径，</w:t>
      </w:r>
      <w:r>
        <w:rPr>
          <w:rFonts w:ascii="Times New Roman" w:hAnsi="Times New Roman" w:eastAsia="Times New Roman" w:cs="Times New Roman"/>
          <w:spacing w:val="-1"/>
          <w:sz w:val="28"/>
          <w:szCs w:val="28"/>
        </w:rPr>
        <w:t>m</w:t>
      </w:r>
      <w:r>
        <w:rPr>
          <w:rFonts w:ascii="宋体" w:hAnsi="宋体" w:eastAsia="宋体" w:cs="宋体"/>
          <w:spacing w:val="-1"/>
          <w:sz w:val="28"/>
          <w:szCs w:val="28"/>
        </w:rPr>
        <w:t>；</w:t>
      </w:r>
    </w:p>
    <w:p w14:paraId="1FFD746D">
      <w:pPr>
        <w:spacing w:before="211" w:line="213" w:lineRule="auto"/>
        <w:ind w:left="1522"/>
        <w:rPr>
          <w:rFonts w:ascii="宋体" w:hAnsi="宋体" w:eastAsia="宋体" w:cs="宋体"/>
          <w:sz w:val="28"/>
          <w:szCs w:val="28"/>
        </w:rPr>
      </w:pPr>
      <w:r>
        <w:rPr>
          <w:rFonts w:ascii="Times New Roman" w:hAnsi="Times New Roman" w:eastAsia="Times New Roman" w:cs="Times New Roman"/>
          <w:spacing w:val="-2"/>
          <w:sz w:val="28"/>
          <w:szCs w:val="28"/>
        </w:rPr>
        <w:t>a,n--</w:t>
      </w:r>
      <w:r>
        <w:rPr>
          <w:rFonts w:ascii="宋体" w:hAnsi="宋体" w:eastAsia="宋体" w:cs="宋体"/>
          <w:spacing w:val="-2"/>
          <w:sz w:val="28"/>
          <w:szCs w:val="28"/>
        </w:rPr>
        <w:t>大气稳定度系数，取值见表</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F.3</w:t>
      </w:r>
      <w:r>
        <w:rPr>
          <w:rFonts w:ascii="宋体" w:hAnsi="宋体" w:eastAsia="宋体" w:cs="宋体"/>
          <w:spacing w:val="-2"/>
          <w:sz w:val="28"/>
          <w:szCs w:val="28"/>
        </w:rPr>
        <w:t>。</w:t>
      </w:r>
    </w:p>
    <w:p w14:paraId="2D9C22A6">
      <w:pPr>
        <w:spacing w:before="221" w:line="219" w:lineRule="auto"/>
        <w:ind w:left="686"/>
        <w:rPr>
          <w:rFonts w:ascii="宋体" w:hAnsi="宋体" w:eastAsia="宋体" w:cs="宋体"/>
          <w:sz w:val="28"/>
          <w:szCs w:val="28"/>
        </w:rPr>
      </w:pPr>
      <w:r>
        <w:rPr>
          <w:rFonts w:ascii="宋体" w:hAnsi="宋体" w:eastAsia="宋体" w:cs="宋体"/>
          <w:spacing w:val="-1"/>
          <w:sz w:val="28"/>
          <w:szCs w:val="28"/>
        </w:rPr>
        <w:t>各物质质量蒸发速率及质量蒸发量如下：</w:t>
      </w:r>
    </w:p>
    <w:p w14:paraId="6728BA9F">
      <w:pPr>
        <w:spacing w:before="208" w:line="219" w:lineRule="auto"/>
        <w:ind w:left="1433"/>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2"/>
          <w:sz w:val="24"/>
          <w:szCs w:val="24"/>
        </w:rPr>
        <w:t xml:space="preserve">6.2-2 </w:t>
      </w:r>
      <w:r>
        <w:rPr>
          <w:rFonts w:ascii="宋体" w:hAnsi="宋体" w:eastAsia="宋体" w:cs="宋体"/>
          <w:b/>
          <w:bCs/>
          <w:spacing w:val="-2"/>
          <w:sz w:val="24"/>
          <w:szCs w:val="24"/>
        </w:rPr>
        <w:t>各危险物质质量蒸发速率及质量蒸发量一</w:t>
      </w:r>
      <w:r>
        <w:rPr>
          <w:rFonts w:ascii="宋体" w:hAnsi="宋体" w:eastAsia="宋体" w:cs="宋体"/>
          <w:b/>
          <w:bCs/>
          <w:spacing w:val="-3"/>
          <w:sz w:val="24"/>
          <w:szCs w:val="24"/>
        </w:rPr>
        <w:t>览表</w:t>
      </w:r>
    </w:p>
    <w:p w14:paraId="6D1AAF36">
      <w:pPr>
        <w:spacing w:line="147" w:lineRule="exact"/>
      </w:pPr>
    </w:p>
    <w:tbl>
      <w:tblPr>
        <w:tblStyle w:val="5"/>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528"/>
        <w:gridCol w:w="900"/>
        <w:gridCol w:w="1070"/>
        <w:gridCol w:w="1385"/>
        <w:gridCol w:w="675"/>
        <w:gridCol w:w="675"/>
        <w:gridCol w:w="930"/>
        <w:gridCol w:w="769"/>
      </w:tblGrid>
      <w:tr w14:paraId="1B2A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87" w:type="dxa"/>
            <w:textDirection w:val="tbRlV"/>
            <w:vAlign w:val="top"/>
          </w:tcPr>
          <w:p w14:paraId="28D1EFAA">
            <w:pPr>
              <w:pStyle w:val="6"/>
              <w:spacing w:before="171" w:line="209" w:lineRule="auto"/>
              <w:ind w:left="41"/>
              <w:rPr>
                <w:sz w:val="24"/>
                <w:szCs w:val="24"/>
              </w:rPr>
            </w:pPr>
            <w:r>
              <w:rPr>
                <w:spacing w:val="47"/>
                <w:sz w:val="24"/>
                <w:szCs w:val="24"/>
              </w:rPr>
              <w:t>风险物</w:t>
            </w:r>
          </w:p>
        </w:tc>
        <w:tc>
          <w:tcPr>
            <w:tcW w:w="1528" w:type="dxa"/>
            <w:vAlign w:val="top"/>
          </w:tcPr>
          <w:p w14:paraId="7612F8C5">
            <w:pPr>
              <w:pStyle w:val="6"/>
              <w:spacing w:before="194" w:line="237" w:lineRule="auto"/>
              <w:ind w:left="387" w:right="163" w:hanging="217"/>
              <w:rPr>
                <w:rFonts w:ascii="Times New Roman" w:hAnsi="Times New Roman" w:eastAsia="Times New Roman" w:cs="Times New Roman"/>
                <w:sz w:val="24"/>
                <w:szCs w:val="24"/>
              </w:rPr>
            </w:pPr>
            <w:r>
              <w:rPr>
                <w:spacing w:val="-3"/>
                <w:sz w:val="24"/>
                <w:szCs w:val="24"/>
              </w:rPr>
              <w:t>液体表面蒸</w:t>
            </w:r>
            <w:r>
              <w:rPr>
                <w:spacing w:val="2"/>
                <w:sz w:val="24"/>
                <w:szCs w:val="24"/>
              </w:rPr>
              <w:t xml:space="preserve"> </w:t>
            </w:r>
            <w:r>
              <w:rPr>
                <w:spacing w:val="-3"/>
                <w:sz w:val="24"/>
                <w:szCs w:val="24"/>
              </w:rPr>
              <w:t>气压</w:t>
            </w:r>
            <w:r>
              <w:rPr>
                <w:spacing w:val="-60"/>
                <w:sz w:val="24"/>
                <w:szCs w:val="24"/>
              </w:rPr>
              <w:t xml:space="preserve"> </w:t>
            </w:r>
            <w:r>
              <w:rPr>
                <w:rFonts w:ascii="Times New Roman" w:hAnsi="Times New Roman" w:eastAsia="Times New Roman" w:cs="Times New Roman"/>
                <w:spacing w:val="-3"/>
                <w:sz w:val="24"/>
                <w:szCs w:val="24"/>
              </w:rPr>
              <w:t>pa</w:t>
            </w:r>
          </w:p>
        </w:tc>
        <w:tc>
          <w:tcPr>
            <w:tcW w:w="900" w:type="dxa"/>
            <w:vAlign w:val="top"/>
          </w:tcPr>
          <w:p w14:paraId="2C6B6B9E">
            <w:pPr>
              <w:pStyle w:val="6"/>
              <w:spacing w:before="195" w:line="242" w:lineRule="auto"/>
              <w:ind w:left="116" w:right="106" w:firstLine="98"/>
              <w:rPr>
                <w:rFonts w:ascii="Times New Roman" w:hAnsi="Times New Roman" w:eastAsia="Times New Roman" w:cs="Times New Roman"/>
                <w:sz w:val="24"/>
                <w:szCs w:val="24"/>
              </w:rPr>
            </w:pPr>
            <w:r>
              <w:rPr>
                <w:spacing w:val="-5"/>
                <w:sz w:val="24"/>
                <w:szCs w:val="24"/>
              </w:rPr>
              <w:t>环境</w:t>
            </w:r>
            <w:r>
              <w:rPr>
                <w:sz w:val="24"/>
                <w:szCs w:val="24"/>
              </w:rPr>
              <w:t xml:space="preserve">  </w:t>
            </w:r>
            <w:r>
              <w:rPr>
                <w:spacing w:val="6"/>
                <w:sz w:val="24"/>
                <w:szCs w:val="24"/>
              </w:rPr>
              <w:t>温度</w:t>
            </w:r>
            <w:r>
              <w:rPr>
                <w:rFonts w:ascii="Times New Roman" w:hAnsi="Times New Roman" w:eastAsia="Times New Roman" w:cs="Times New Roman"/>
                <w:spacing w:val="6"/>
                <w:sz w:val="24"/>
                <w:szCs w:val="24"/>
              </w:rPr>
              <w:t>K</w:t>
            </w:r>
          </w:p>
        </w:tc>
        <w:tc>
          <w:tcPr>
            <w:tcW w:w="1070" w:type="dxa"/>
            <w:vAlign w:val="top"/>
          </w:tcPr>
          <w:p w14:paraId="6D79DAAD">
            <w:pPr>
              <w:pStyle w:val="6"/>
              <w:spacing w:before="41" w:line="220" w:lineRule="auto"/>
              <w:ind w:left="181"/>
              <w:rPr>
                <w:sz w:val="24"/>
                <w:szCs w:val="24"/>
              </w:rPr>
            </w:pPr>
            <w:r>
              <w:rPr>
                <w:spacing w:val="-4"/>
                <w:sz w:val="24"/>
                <w:szCs w:val="24"/>
              </w:rPr>
              <w:t>物质的</w:t>
            </w:r>
          </w:p>
          <w:p w14:paraId="22C7B476">
            <w:pPr>
              <w:pStyle w:val="6"/>
              <w:spacing w:before="24" w:line="223" w:lineRule="auto"/>
              <w:ind w:left="114" w:right="108" w:firstLine="67"/>
              <w:rPr>
                <w:rFonts w:ascii="Times New Roman" w:hAnsi="Times New Roman" w:eastAsia="Times New Roman" w:cs="Times New Roman"/>
                <w:sz w:val="24"/>
                <w:szCs w:val="24"/>
              </w:rPr>
            </w:pPr>
            <w:r>
              <w:rPr>
                <w:spacing w:val="-4"/>
                <w:sz w:val="24"/>
                <w:szCs w:val="24"/>
              </w:rPr>
              <w:t>摩尔质</w:t>
            </w:r>
            <w:r>
              <w:rPr>
                <w:spacing w:val="1"/>
                <w:sz w:val="24"/>
                <w:szCs w:val="24"/>
              </w:rPr>
              <w:t xml:space="preserve"> </w:t>
            </w:r>
            <w:r>
              <w:rPr>
                <w:spacing w:val="-4"/>
                <w:sz w:val="24"/>
                <w:szCs w:val="24"/>
              </w:rPr>
              <w:t>量</w:t>
            </w:r>
            <w:r>
              <w:rPr>
                <w:spacing w:val="-56"/>
                <w:sz w:val="24"/>
                <w:szCs w:val="24"/>
              </w:rPr>
              <w:t xml:space="preserve"> </w:t>
            </w:r>
            <w:r>
              <w:rPr>
                <w:rFonts w:ascii="Times New Roman" w:hAnsi="Times New Roman" w:eastAsia="Times New Roman" w:cs="Times New Roman"/>
                <w:spacing w:val="-4"/>
                <w:sz w:val="24"/>
                <w:szCs w:val="24"/>
              </w:rPr>
              <w:t>g/mol</w:t>
            </w:r>
          </w:p>
        </w:tc>
        <w:tc>
          <w:tcPr>
            <w:tcW w:w="1385" w:type="dxa"/>
            <w:vAlign w:val="top"/>
          </w:tcPr>
          <w:p w14:paraId="1BAB53E3">
            <w:pPr>
              <w:pStyle w:val="6"/>
              <w:spacing w:before="194" w:line="250" w:lineRule="auto"/>
              <w:ind w:left="220" w:right="209"/>
              <w:rPr>
                <w:rFonts w:ascii="Times New Roman" w:hAnsi="Times New Roman" w:eastAsia="Times New Roman" w:cs="Times New Roman"/>
                <w:sz w:val="24"/>
                <w:szCs w:val="24"/>
              </w:rPr>
            </w:pPr>
            <w:r>
              <w:rPr>
                <w:spacing w:val="-3"/>
                <w:sz w:val="24"/>
                <w:szCs w:val="24"/>
              </w:rPr>
              <w:t>气体常数</w:t>
            </w:r>
            <w:r>
              <w:rPr>
                <w:sz w:val="24"/>
                <w:szCs w:val="24"/>
              </w:rPr>
              <w:t xml:space="preserve"> </w:t>
            </w:r>
            <w:r>
              <w:rPr>
                <w:rFonts w:ascii="Times New Roman" w:hAnsi="Times New Roman" w:eastAsia="Times New Roman" w:cs="Times New Roman"/>
                <w:spacing w:val="-14"/>
                <w:sz w:val="24"/>
                <w:szCs w:val="24"/>
              </w:rPr>
              <w:t>J/mol</w:t>
            </w:r>
            <w:r>
              <w:rPr>
                <w:rFonts w:ascii="Times New Roman" w:hAnsi="Times New Roman" w:eastAsia="Times New Roman" w:cs="Times New Roman"/>
                <w:spacing w:val="35"/>
                <w:w w:val="101"/>
                <w:sz w:val="24"/>
                <w:szCs w:val="24"/>
              </w:rPr>
              <w:t xml:space="preserve"> </w:t>
            </w:r>
            <w:r>
              <w:rPr>
                <w:spacing w:val="-14"/>
                <w:sz w:val="24"/>
                <w:szCs w:val="24"/>
              </w:rPr>
              <w:t>·</w:t>
            </w:r>
            <w:r>
              <w:rPr>
                <w:rFonts w:ascii="Times New Roman" w:hAnsi="Times New Roman" w:eastAsia="Times New Roman" w:cs="Times New Roman"/>
                <w:spacing w:val="-14"/>
                <w:sz w:val="24"/>
                <w:szCs w:val="24"/>
              </w:rPr>
              <w:t>K</w:t>
            </w:r>
          </w:p>
        </w:tc>
        <w:tc>
          <w:tcPr>
            <w:tcW w:w="675" w:type="dxa"/>
            <w:vAlign w:val="top"/>
          </w:tcPr>
          <w:p w14:paraId="3442BBF3">
            <w:pPr>
              <w:pStyle w:val="6"/>
              <w:spacing w:before="57" w:line="220" w:lineRule="auto"/>
              <w:ind w:left="225"/>
              <w:rPr>
                <w:sz w:val="24"/>
                <w:szCs w:val="24"/>
              </w:rPr>
            </w:pPr>
            <w:r>
              <w:rPr>
                <w:sz w:val="24"/>
                <w:szCs w:val="24"/>
              </w:rPr>
              <w:t>风</w:t>
            </w:r>
          </w:p>
          <w:p w14:paraId="5FB3BF67">
            <w:pPr>
              <w:pStyle w:val="6"/>
              <w:spacing w:before="26" w:line="229" w:lineRule="auto"/>
              <w:ind w:left="164" w:right="159" w:firstLine="90"/>
              <w:rPr>
                <w:rFonts w:ascii="Times New Roman" w:hAnsi="Times New Roman" w:eastAsia="Times New Roman" w:cs="Times New Roman"/>
                <w:sz w:val="24"/>
                <w:szCs w:val="24"/>
              </w:rPr>
            </w:pPr>
            <w:r>
              <w:rPr>
                <w:spacing w:val="-9"/>
                <w:sz w:val="24"/>
                <w:szCs w:val="24"/>
              </w:rPr>
              <w:t>速</w:t>
            </w:r>
            <w:r>
              <w:rPr>
                <w:sz w:val="24"/>
                <w:szCs w:val="24"/>
              </w:rPr>
              <w:t xml:space="preserve"> </w:t>
            </w:r>
            <w:r>
              <w:rPr>
                <w:rFonts w:ascii="Times New Roman" w:hAnsi="Times New Roman" w:eastAsia="Times New Roman" w:cs="Times New Roman"/>
                <w:spacing w:val="-1"/>
                <w:sz w:val="24"/>
                <w:szCs w:val="24"/>
              </w:rPr>
              <w:t>m/s</w:t>
            </w:r>
          </w:p>
        </w:tc>
        <w:tc>
          <w:tcPr>
            <w:tcW w:w="675" w:type="dxa"/>
            <w:textDirection w:val="tbRlV"/>
            <w:vAlign w:val="top"/>
          </w:tcPr>
          <w:p w14:paraId="0A7F1538">
            <w:pPr>
              <w:pStyle w:val="6"/>
              <w:spacing w:before="214" w:line="209" w:lineRule="auto"/>
              <w:ind w:left="41"/>
              <w:rPr>
                <w:sz w:val="24"/>
                <w:szCs w:val="24"/>
              </w:rPr>
            </w:pPr>
            <w:r>
              <w:rPr>
                <w:spacing w:val="47"/>
                <w:sz w:val="24"/>
                <w:szCs w:val="24"/>
              </w:rPr>
              <w:t>液池半</w:t>
            </w:r>
          </w:p>
        </w:tc>
        <w:tc>
          <w:tcPr>
            <w:tcW w:w="930" w:type="dxa"/>
            <w:vAlign w:val="top"/>
          </w:tcPr>
          <w:p w14:paraId="484D74C8">
            <w:pPr>
              <w:pStyle w:val="6"/>
              <w:spacing w:before="57" w:line="218" w:lineRule="auto"/>
              <w:ind w:left="236"/>
              <w:rPr>
                <w:sz w:val="24"/>
                <w:szCs w:val="24"/>
              </w:rPr>
            </w:pPr>
            <w:r>
              <w:rPr>
                <w:spacing w:val="-7"/>
                <w:sz w:val="24"/>
                <w:szCs w:val="24"/>
              </w:rPr>
              <w:t>蒸发</w:t>
            </w:r>
          </w:p>
          <w:p w14:paraId="708717F4">
            <w:pPr>
              <w:pStyle w:val="6"/>
              <w:spacing w:before="28" w:line="229" w:lineRule="auto"/>
              <w:ind w:left="266" w:right="221" w:hanging="34"/>
              <w:rPr>
                <w:rFonts w:ascii="Times New Roman" w:hAnsi="Times New Roman" w:eastAsia="Times New Roman" w:cs="Times New Roman"/>
                <w:sz w:val="24"/>
                <w:szCs w:val="24"/>
              </w:rPr>
            </w:pPr>
            <w:r>
              <w:rPr>
                <w:spacing w:val="-5"/>
                <w:sz w:val="24"/>
                <w:szCs w:val="24"/>
              </w:rPr>
              <w:t>速率</w:t>
            </w:r>
            <w:r>
              <w:rPr>
                <w:sz w:val="24"/>
                <w:szCs w:val="24"/>
              </w:rPr>
              <w:t xml:space="preserve"> </w:t>
            </w:r>
            <w:r>
              <w:rPr>
                <w:rFonts w:ascii="Times New Roman" w:hAnsi="Times New Roman" w:eastAsia="Times New Roman" w:cs="Times New Roman"/>
                <w:spacing w:val="-1"/>
                <w:sz w:val="24"/>
                <w:szCs w:val="24"/>
              </w:rPr>
              <w:t>kg/s</w:t>
            </w:r>
          </w:p>
        </w:tc>
        <w:tc>
          <w:tcPr>
            <w:tcW w:w="769" w:type="dxa"/>
            <w:vAlign w:val="top"/>
          </w:tcPr>
          <w:p w14:paraId="42D00A27">
            <w:pPr>
              <w:pStyle w:val="6"/>
              <w:spacing w:before="194" w:line="237" w:lineRule="auto"/>
              <w:ind w:left="121" w:right="111" w:firstLine="31"/>
              <w:rPr>
                <w:rFonts w:ascii="Times New Roman" w:hAnsi="Times New Roman" w:eastAsia="Times New Roman" w:cs="Times New Roman"/>
                <w:sz w:val="24"/>
                <w:szCs w:val="24"/>
              </w:rPr>
            </w:pPr>
            <w:r>
              <w:rPr>
                <w:spacing w:val="-7"/>
                <w:sz w:val="24"/>
                <w:szCs w:val="24"/>
              </w:rPr>
              <w:t>蒸发</w:t>
            </w:r>
            <w:r>
              <w:rPr>
                <w:sz w:val="24"/>
                <w:szCs w:val="24"/>
              </w:rPr>
              <w:t xml:space="preserve"> </w:t>
            </w:r>
            <w:r>
              <w:rPr>
                <w:spacing w:val="-4"/>
                <w:sz w:val="24"/>
                <w:szCs w:val="24"/>
              </w:rPr>
              <w:t>量</w:t>
            </w:r>
            <w:r>
              <w:rPr>
                <w:spacing w:val="-59"/>
                <w:sz w:val="24"/>
                <w:szCs w:val="24"/>
              </w:rPr>
              <w:t xml:space="preserve"> </w:t>
            </w:r>
            <w:r>
              <w:rPr>
                <w:rFonts w:ascii="Times New Roman" w:hAnsi="Times New Roman" w:eastAsia="Times New Roman" w:cs="Times New Roman"/>
                <w:spacing w:val="-4"/>
                <w:sz w:val="24"/>
                <w:szCs w:val="24"/>
              </w:rPr>
              <w:t>kg</w:t>
            </w:r>
          </w:p>
        </w:tc>
      </w:tr>
    </w:tbl>
    <w:p w14:paraId="64049B90">
      <w:pPr>
        <w:pStyle w:val="2"/>
        <w:spacing w:line="232" w:lineRule="exact"/>
        <w:rPr>
          <w:sz w:val="20"/>
        </w:rPr>
      </w:pPr>
    </w:p>
    <w:p w14:paraId="59E2C62B">
      <w:pPr>
        <w:spacing w:line="232" w:lineRule="exact"/>
        <w:rPr>
          <w:sz w:val="20"/>
          <w:szCs w:val="20"/>
        </w:rPr>
        <w:sectPr>
          <w:footerReference r:id="rId117" w:type="default"/>
          <w:pgSz w:w="11906" w:h="16839"/>
          <w:pgMar w:top="400" w:right="1694" w:bottom="1259" w:left="1687" w:header="0" w:footer="1097" w:gutter="0"/>
          <w:cols w:space="720" w:num="1"/>
        </w:sectPr>
      </w:pPr>
    </w:p>
    <w:p w14:paraId="043D8AE3">
      <w:pPr>
        <w:spacing w:before="19"/>
      </w:pPr>
    </w:p>
    <w:p w14:paraId="2F9A4979">
      <w:pPr>
        <w:spacing w:before="19"/>
      </w:pPr>
    </w:p>
    <w:p w14:paraId="6350CDF1">
      <w:pPr>
        <w:spacing w:before="18"/>
      </w:pPr>
    </w:p>
    <w:p w14:paraId="1B18E7F0">
      <w:pPr>
        <w:spacing w:before="18"/>
      </w:pPr>
    </w:p>
    <w:tbl>
      <w:tblPr>
        <w:tblStyle w:val="5"/>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1528"/>
        <w:gridCol w:w="900"/>
        <w:gridCol w:w="1070"/>
        <w:gridCol w:w="1385"/>
        <w:gridCol w:w="675"/>
        <w:gridCol w:w="675"/>
        <w:gridCol w:w="930"/>
        <w:gridCol w:w="769"/>
      </w:tblGrid>
      <w:tr w14:paraId="7F2BD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87" w:type="dxa"/>
            <w:vAlign w:val="top"/>
          </w:tcPr>
          <w:p w14:paraId="3BAFC0DD">
            <w:pPr>
              <w:pStyle w:val="6"/>
              <w:spacing w:before="42" w:line="206" w:lineRule="auto"/>
              <w:ind w:left="180"/>
              <w:rPr>
                <w:sz w:val="24"/>
                <w:szCs w:val="24"/>
              </w:rPr>
            </w:pPr>
            <w:r>
              <w:rPr>
                <w:sz w:val="24"/>
                <w:szCs w:val="24"/>
              </w:rPr>
              <w:t>质</w:t>
            </w:r>
          </w:p>
        </w:tc>
        <w:tc>
          <w:tcPr>
            <w:tcW w:w="1528" w:type="dxa"/>
            <w:vAlign w:val="top"/>
          </w:tcPr>
          <w:p w14:paraId="69ED360A">
            <w:pPr>
              <w:rPr>
                <w:rFonts w:ascii="Arial"/>
                <w:sz w:val="21"/>
              </w:rPr>
            </w:pPr>
          </w:p>
        </w:tc>
        <w:tc>
          <w:tcPr>
            <w:tcW w:w="900" w:type="dxa"/>
            <w:vAlign w:val="top"/>
          </w:tcPr>
          <w:p w14:paraId="05E5E857">
            <w:pPr>
              <w:rPr>
                <w:rFonts w:ascii="Arial"/>
                <w:sz w:val="21"/>
              </w:rPr>
            </w:pPr>
          </w:p>
        </w:tc>
        <w:tc>
          <w:tcPr>
            <w:tcW w:w="1070" w:type="dxa"/>
            <w:vAlign w:val="top"/>
          </w:tcPr>
          <w:p w14:paraId="6FF64DCB">
            <w:pPr>
              <w:rPr>
                <w:rFonts w:ascii="Arial"/>
                <w:sz w:val="21"/>
              </w:rPr>
            </w:pPr>
          </w:p>
        </w:tc>
        <w:tc>
          <w:tcPr>
            <w:tcW w:w="1385" w:type="dxa"/>
            <w:vAlign w:val="top"/>
          </w:tcPr>
          <w:p w14:paraId="503FBECC">
            <w:pPr>
              <w:rPr>
                <w:rFonts w:ascii="Arial"/>
                <w:sz w:val="21"/>
              </w:rPr>
            </w:pPr>
          </w:p>
        </w:tc>
        <w:tc>
          <w:tcPr>
            <w:tcW w:w="675" w:type="dxa"/>
            <w:vAlign w:val="top"/>
          </w:tcPr>
          <w:p w14:paraId="4C5DEC09">
            <w:pPr>
              <w:rPr>
                <w:rFonts w:ascii="Arial"/>
                <w:sz w:val="21"/>
              </w:rPr>
            </w:pPr>
          </w:p>
        </w:tc>
        <w:tc>
          <w:tcPr>
            <w:tcW w:w="675" w:type="dxa"/>
            <w:vAlign w:val="top"/>
          </w:tcPr>
          <w:p w14:paraId="36CE986A">
            <w:pPr>
              <w:pStyle w:val="6"/>
              <w:spacing w:before="42" w:line="206" w:lineRule="auto"/>
              <w:ind w:left="116"/>
              <w:rPr>
                <w:rFonts w:ascii="Times New Roman" w:hAnsi="Times New Roman" w:eastAsia="Times New Roman" w:cs="Times New Roman"/>
                <w:sz w:val="24"/>
                <w:szCs w:val="24"/>
              </w:rPr>
            </w:pPr>
            <w:r>
              <w:rPr>
                <w:spacing w:val="11"/>
                <w:sz w:val="24"/>
                <w:szCs w:val="24"/>
              </w:rPr>
              <w:t>径</w:t>
            </w:r>
            <w:r>
              <w:rPr>
                <w:rFonts w:ascii="Times New Roman" w:hAnsi="Times New Roman" w:eastAsia="Times New Roman" w:cs="Times New Roman"/>
                <w:spacing w:val="11"/>
                <w:sz w:val="24"/>
                <w:szCs w:val="24"/>
              </w:rPr>
              <w:t>m</w:t>
            </w:r>
          </w:p>
        </w:tc>
        <w:tc>
          <w:tcPr>
            <w:tcW w:w="930" w:type="dxa"/>
            <w:vAlign w:val="top"/>
          </w:tcPr>
          <w:p w14:paraId="474DEE14">
            <w:pPr>
              <w:rPr>
                <w:rFonts w:ascii="Arial"/>
                <w:sz w:val="21"/>
              </w:rPr>
            </w:pPr>
          </w:p>
        </w:tc>
        <w:tc>
          <w:tcPr>
            <w:tcW w:w="769" w:type="dxa"/>
            <w:vAlign w:val="top"/>
          </w:tcPr>
          <w:p w14:paraId="270216F6">
            <w:pPr>
              <w:rPr>
                <w:rFonts w:ascii="Arial"/>
                <w:sz w:val="21"/>
              </w:rPr>
            </w:pPr>
          </w:p>
        </w:tc>
      </w:tr>
      <w:tr w14:paraId="2C32A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7" w:type="dxa"/>
            <w:textDirection w:val="tbRlV"/>
            <w:vAlign w:val="top"/>
          </w:tcPr>
          <w:p w14:paraId="6EE630F4">
            <w:pPr>
              <w:pStyle w:val="6"/>
              <w:spacing w:before="172" w:line="206" w:lineRule="auto"/>
              <w:ind w:left="36"/>
              <w:rPr>
                <w:sz w:val="24"/>
                <w:szCs w:val="24"/>
              </w:rPr>
            </w:pPr>
            <w:r>
              <w:rPr>
                <w:spacing w:val="35"/>
                <w:sz w:val="24"/>
                <w:szCs w:val="24"/>
              </w:rPr>
              <w:t>甲醇</w:t>
            </w:r>
          </w:p>
        </w:tc>
        <w:tc>
          <w:tcPr>
            <w:tcW w:w="1528" w:type="dxa"/>
            <w:vAlign w:val="top"/>
          </w:tcPr>
          <w:p w14:paraId="36DD360A">
            <w:pPr>
              <w:pStyle w:val="6"/>
              <w:spacing w:before="191" w:line="236" w:lineRule="auto"/>
              <w:ind w:left="274"/>
              <w:rPr>
                <w:rFonts w:ascii="Times New Roman" w:hAnsi="Times New Roman" w:eastAsia="Times New Roman" w:cs="Times New Roman"/>
                <w:sz w:val="15"/>
                <w:szCs w:val="15"/>
              </w:rPr>
            </w:pPr>
            <w:r>
              <w:rPr>
                <w:rFonts w:ascii="Times New Roman" w:hAnsi="Times New Roman" w:eastAsia="Times New Roman" w:cs="Times New Roman"/>
                <w:spacing w:val="-11"/>
                <w:sz w:val="24"/>
                <w:szCs w:val="24"/>
              </w:rPr>
              <w:t>2.63</w:t>
            </w:r>
            <w:r>
              <w:rPr>
                <w:rFonts w:ascii="Times New Roman" w:hAnsi="Times New Roman" w:eastAsia="Times New Roman" w:cs="Times New Roman"/>
                <w:spacing w:val="-17"/>
                <w:sz w:val="24"/>
                <w:szCs w:val="24"/>
              </w:rPr>
              <w:t xml:space="preserve"> </w:t>
            </w:r>
            <w:r>
              <w:rPr>
                <w:spacing w:val="-11"/>
                <w:sz w:val="24"/>
                <w:szCs w:val="24"/>
              </w:rPr>
              <w:t>×</w:t>
            </w:r>
            <w:r>
              <w:rPr>
                <w:spacing w:val="-92"/>
                <w:sz w:val="24"/>
                <w:szCs w:val="24"/>
              </w:rPr>
              <w:t xml:space="preserve">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2"/>
                <w:position w:val="7"/>
                <w:sz w:val="15"/>
                <w:szCs w:val="15"/>
              </w:rPr>
              <w:t>3</w:t>
            </w:r>
          </w:p>
        </w:tc>
        <w:tc>
          <w:tcPr>
            <w:tcW w:w="900" w:type="dxa"/>
            <w:vAlign w:val="top"/>
          </w:tcPr>
          <w:p w14:paraId="7C2719C0">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5FFA39C3">
            <w:pPr>
              <w:spacing w:before="233" w:line="188" w:lineRule="auto"/>
              <w:ind w:left="42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32</w:t>
            </w:r>
          </w:p>
        </w:tc>
        <w:tc>
          <w:tcPr>
            <w:tcW w:w="1385" w:type="dxa"/>
            <w:vAlign w:val="top"/>
          </w:tcPr>
          <w:p w14:paraId="3F9FFF67">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1ADE4E70">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28317FBD">
            <w:pPr>
              <w:spacing w:before="233"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13EFD86B">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769" w:type="dxa"/>
            <w:vAlign w:val="top"/>
          </w:tcPr>
          <w:p w14:paraId="7172A69A">
            <w:pPr>
              <w:spacing w:before="233" w:line="188" w:lineRule="auto"/>
              <w:ind w:left="2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r>
      <w:tr w14:paraId="20BA7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03082399">
            <w:pPr>
              <w:pStyle w:val="6"/>
              <w:spacing w:before="171" w:line="206" w:lineRule="auto"/>
              <w:ind w:left="36"/>
              <w:rPr>
                <w:sz w:val="24"/>
                <w:szCs w:val="24"/>
              </w:rPr>
            </w:pPr>
            <w:r>
              <w:rPr>
                <w:spacing w:val="34"/>
                <w:sz w:val="24"/>
                <w:szCs w:val="24"/>
              </w:rPr>
              <w:t>氨水</w:t>
            </w:r>
          </w:p>
        </w:tc>
        <w:tc>
          <w:tcPr>
            <w:tcW w:w="1528" w:type="dxa"/>
            <w:vAlign w:val="top"/>
          </w:tcPr>
          <w:p w14:paraId="5F0C06C1">
            <w:pPr>
              <w:pStyle w:val="6"/>
              <w:spacing w:before="189"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15"/>
                <w:sz w:val="24"/>
                <w:szCs w:val="24"/>
              </w:rPr>
              <w:t>1.01</w:t>
            </w:r>
            <w:r>
              <w:rPr>
                <w:rFonts w:ascii="Times New Roman" w:hAnsi="Times New Roman" w:eastAsia="Times New Roman" w:cs="Times New Roman"/>
                <w:spacing w:val="-17"/>
                <w:sz w:val="24"/>
                <w:szCs w:val="24"/>
              </w:rPr>
              <w:t xml:space="preserve"> </w:t>
            </w:r>
            <w:r>
              <w:rPr>
                <w:spacing w:val="-15"/>
                <w:sz w:val="24"/>
                <w:szCs w:val="24"/>
              </w:rPr>
              <w:t>×</w:t>
            </w:r>
            <w:r>
              <w:rPr>
                <w:spacing w:val="-92"/>
                <w:sz w:val="24"/>
                <w:szCs w:val="24"/>
              </w:rPr>
              <w:t xml:space="preserve"> </w:t>
            </w:r>
            <w:r>
              <w:rPr>
                <w:rFonts w:ascii="Times New Roman" w:hAnsi="Times New Roman" w:eastAsia="Times New Roman" w:cs="Times New Roman"/>
                <w:spacing w:val="-15"/>
                <w:sz w:val="24"/>
                <w:szCs w:val="24"/>
              </w:rPr>
              <w:t>10</w:t>
            </w:r>
            <w:r>
              <w:rPr>
                <w:rFonts w:ascii="Times New Roman" w:hAnsi="Times New Roman" w:eastAsia="Times New Roman" w:cs="Times New Roman"/>
                <w:spacing w:val="7"/>
                <w:position w:val="7"/>
                <w:sz w:val="15"/>
                <w:szCs w:val="15"/>
              </w:rPr>
              <w:t>4</w:t>
            </w:r>
          </w:p>
        </w:tc>
        <w:tc>
          <w:tcPr>
            <w:tcW w:w="900" w:type="dxa"/>
            <w:vAlign w:val="top"/>
          </w:tcPr>
          <w:p w14:paraId="3A43B8A1">
            <w:pPr>
              <w:spacing w:before="231"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1EEF6783">
            <w:pPr>
              <w:pStyle w:val="6"/>
              <w:spacing w:before="190" w:line="219" w:lineRule="auto"/>
              <w:ind w:left="123"/>
              <w:rPr>
                <w:sz w:val="24"/>
                <w:szCs w:val="24"/>
              </w:rPr>
            </w:pPr>
            <w:r>
              <w:rPr>
                <w:spacing w:val="-10"/>
                <w:sz w:val="24"/>
                <w:szCs w:val="24"/>
              </w:rPr>
              <w:t>按</w:t>
            </w:r>
            <w:r>
              <w:rPr>
                <w:spacing w:val="-32"/>
                <w:sz w:val="24"/>
                <w:szCs w:val="24"/>
              </w:rPr>
              <w:t xml:space="preserve"> </w:t>
            </w:r>
            <w:r>
              <w:rPr>
                <w:rFonts w:ascii="Times New Roman" w:hAnsi="Times New Roman" w:eastAsia="Times New Roman" w:cs="Times New Roman"/>
                <w:spacing w:val="-10"/>
                <w:sz w:val="24"/>
                <w:szCs w:val="24"/>
              </w:rPr>
              <w:t>17</w:t>
            </w:r>
            <w:r>
              <w:rPr>
                <w:rFonts w:ascii="Times New Roman" w:hAnsi="Times New Roman" w:eastAsia="Times New Roman" w:cs="Times New Roman"/>
                <w:spacing w:val="9"/>
                <w:sz w:val="24"/>
                <w:szCs w:val="24"/>
              </w:rPr>
              <w:t xml:space="preserve"> </w:t>
            </w:r>
            <w:r>
              <w:rPr>
                <w:spacing w:val="-10"/>
                <w:sz w:val="24"/>
                <w:szCs w:val="24"/>
              </w:rPr>
              <w:t>计</w:t>
            </w:r>
          </w:p>
        </w:tc>
        <w:tc>
          <w:tcPr>
            <w:tcW w:w="1385" w:type="dxa"/>
            <w:vAlign w:val="top"/>
          </w:tcPr>
          <w:p w14:paraId="7C9B05B3">
            <w:pPr>
              <w:spacing w:before="231"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503EA035">
            <w:pPr>
              <w:spacing w:before="235"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3E36FF41">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46DD155">
            <w:pPr>
              <w:spacing w:before="231"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0.008</w:t>
            </w:r>
          </w:p>
        </w:tc>
        <w:tc>
          <w:tcPr>
            <w:tcW w:w="769" w:type="dxa"/>
            <w:vAlign w:val="top"/>
          </w:tcPr>
          <w:p w14:paraId="2B318685">
            <w:pPr>
              <w:spacing w:before="231" w:line="188" w:lineRule="auto"/>
              <w:ind w:left="2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r>
      <w:tr w14:paraId="7AFC9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521B5FE0">
            <w:pPr>
              <w:pStyle w:val="6"/>
              <w:spacing w:before="171" w:line="206" w:lineRule="auto"/>
              <w:ind w:left="35"/>
              <w:rPr>
                <w:sz w:val="24"/>
                <w:szCs w:val="24"/>
              </w:rPr>
            </w:pPr>
            <w:r>
              <w:rPr>
                <w:spacing w:val="-1"/>
                <w:sz w:val="24"/>
                <w:szCs w:val="24"/>
              </w:rPr>
              <w:t>液</w:t>
            </w:r>
            <w:r>
              <w:rPr>
                <w:spacing w:val="-47"/>
                <w:sz w:val="24"/>
                <w:szCs w:val="24"/>
              </w:rPr>
              <w:t xml:space="preserve"> </w:t>
            </w:r>
            <w:r>
              <w:rPr>
                <w:spacing w:val="-1"/>
                <w:sz w:val="24"/>
                <w:szCs w:val="24"/>
              </w:rPr>
              <w:t>氨</w:t>
            </w:r>
          </w:p>
        </w:tc>
        <w:tc>
          <w:tcPr>
            <w:tcW w:w="1528" w:type="dxa"/>
            <w:vAlign w:val="top"/>
          </w:tcPr>
          <w:p w14:paraId="458D1832">
            <w:pPr>
              <w:pStyle w:val="6"/>
              <w:spacing w:before="191" w:line="236" w:lineRule="auto"/>
              <w:ind w:left="284"/>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8.57</w:t>
            </w:r>
            <w:r>
              <w:rPr>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5"/>
                <w:szCs w:val="15"/>
              </w:rPr>
              <w:t>5</w:t>
            </w:r>
          </w:p>
        </w:tc>
        <w:tc>
          <w:tcPr>
            <w:tcW w:w="900" w:type="dxa"/>
            <w:vAlign w:val="top"/>
          </w:tcPr>
          <w:p w14:paraId="195DC58B">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401C9A55">
            <w:pPr>
              <w:spacing w:before="233"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385" w:type="dxa"/>
            <w:vAlign w:val="top"/>
          </w:tcPr>
          <w:p w14:paraId="7EB1B9E6">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7A21487B">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C8ECD30">
            <w:pPr>
              <w:spacing w:before="233" w:line="188" w:lineRule="auto"/>
              <w:ind w:left="19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930" w:type="dxa"/>
            <w:vAlign w:val="top"/>
          </w:tcPr>
          <w:p w14:paraId="58B33D57">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0.009</w:t>
            </w:r>
          </w:p>
        </w:tc>
        <w:tc>
          <w:tcPr>
            <w:tcW w:w="769" w:type="dxa"/>
            <w:vAlign w:val="top"/>
          </w:tcPr>
          <w:p w14:paraId="614BDC73">
            <w:pPr>
              <w:spacing w:before="233" w:line="188" w:lineRule="auto"/>
              <w:ind w:left="24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8.1</w:t>
            </w:r>
          </w:p>
        </w:tc>
      </w:tr>
      <w:tr w14:paraId="2B0EE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2971CFB0">
            <w:pPr>
              <w:pStyle w:val="6"/>
              <w:spacing w:before="171" w:line="210" w:lineRule="auto"/>
              <w:ind w:left="37"/>
              <w:rPr>
                <w:sz w:val="24"/>
                <w:szCs w:val="24"/>
              </w:rPr>
            </w:pPr>
            <w:r>
              <w:rPr>
                <w:spacing w:val="34"/>
                <w:sz w:val="24"/>
                <w:szCs w:val="24"/>
              </w:rPr>
              <w:t>硫酸</w:t>
            </w:r>
          </w:p>
        </w:tc>
        <w:tc>
          <w:tcPr>
            <w:tcW w:w="1528" w:type="dxa"/>
            <w:vAlign w:val="top"/>
          </w:tcPr>
          <w:p w14:paraId="6835A83A">
            <w:pPr>
              <w:pStyle w:val="6"/>
              <w:spacing w:before="190" w:line="236" w:lineRule="auto"/>
              <w:ind w:left="237"/>
              <w:rPr>
                <w:rFonts w:ascii="Times New Roman" w:hAnsi="Times New Roman" w:eastAsia="Times New Roman" w:cs="Times New Roman"/>
                <w:sz w:val="15"/>
                <w:szCs w:val="15"/>
              </w:rPr>
            </w:pPr>
            <w:r>
              <w:rPr>
                <w:rFonts w:ascii="Times New Roman" w:hAnsi="Times New Roman" w:eastAsia="Times New Roman" w:cs="Times New Roman"/>
                <w:spacing w:val="-3"/>
                <w:sz w:val="24"/>
                <w:szCs w:val="24"/>
              </w:rPr>
              <w:t>1.287</w:t>
            </w:r>
            <w:r>
              <w:rPr>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7"/>
                <w:sz w:val="15"/>
                <w:szCs w:val="15"/>
              </w:rPr>
              <w:t>4</w:t>
            </w:r>
          </w:p>
        </w:tc>
        <w:tc>
          <w:tcPr>
            <w:tcW w:w="900" w:type="dxa"/>
            <w:vAlign w:val="top"/>
          </w:tcPr>
          <w:p w14:paraId="39DB0F7E">
            <w:pPr>
              <w:spacing w:before="232"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7C88C96C">
            <w:pPr>
              <w:spacing w:before="232"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98.09</w:t>
            </w:r>
          </w:p>
        </w:tc>
        <w:tc>
          <w:tcPr>
            <w:tcW w:w="1385" w:type="dxa"/>
            <w:vAlign w:val="top"/>
          </w:tcPr>
          <w:p w14:paraId="3556754B">
            <w:pPr>
              <w:spacing w:before="232"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CE8BD7B">
            <w:pPr>
              <w:spacing w:before="236"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23632E69">
            <w:pPr>
              <w:spacing w:before="232"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D32B2CD">
            <w:pPr>
              <w:spacing w:before="232"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0.022</w:t>
            </w:r>
          </w:p>
        </w:tc>
        <w:tc>
          <w:tcPr>
            <w:tcW w:w="769" w:type="dxa"/>
            <w:vAlign w:val="top"/>
          </w:tcPr>
          <w:p w14:paraId="2AAF1F59">
            <w:pPr>
              <w:spacing w:before="232"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r>
      <w:tr w14:paraId="2C445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87" w:type="dxa"/>
            <w:vAlign w:val="top"/>
          </w:tcPr>
          <w:p w14:paraId="1DF6E541">
            <w:pPr>
              <w:pStyle w:val="6"/>
              <w:spacing w:before="36" w:line="208" w:lineRule="auto"/>
              <w:ind w:left="182"/>
              <w:rPr>
                <w:sz w:val="24"/>
                <w:szCs w:val="24"/>
              </w:rPr>
            </w:pPr>
            <w:r>
              <w:rPr>
                <w:sz w:val="24"/>
                <w:szCs w:val="24"/>
              </w:rPr>
              <w:t>苯</w:t>
            </w:r>
          </w:p>
        </w:tc>
        <w:tc>
          <w:tcPr>
            <w:tcW w:w="1528" w:type="dxa"/>
            <w:vAlign w:val="top"/>
          </w:tcPr>
          <w:p w14:paraId="5A26820F">
            <w:pPr>
              <w:pStyle w:val="6"/>
              <w:spacing w:before="36" w:line="208" w:lineRule="auto"/>
              <w:ind w:left="279"/>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9.95</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19D8BFA0">
            <w:pPr>
              <w:spacing w:before="78"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464E8C61">
            <w:pPr>
              <w:spacing w:before="78" w:line="188" w:lineRule="auto"/>
              <w:ind w:left="42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78</w:t>
            </w:r>
          </w:p>
        </w:tc>
        <w:tc>
          <w:tcPr>
            <w:tcW w:w="1385" w:type="dxa"/>
            <w:vAlign w:val="top"/>
          </w:tcPr>
          <w:p w14:paraId="7DCB67F2">
            <w:pPr>
              <w:spacing w:before="78"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71A25465">
            <w:pPr>
              <w:spacing w:before="81"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16440EA">
            <w:pPr>
              <w:spacing w:before="78"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7878E17">
            <w:pPr>
              <w:spacing w:before="78"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0.017</w:t>
            </w:r>
          </w:p>
        </w:tc>
        <w:tc>
          <w:tcPr>
            <w:tcW w:w="769" w:type="dxa"/>
            <w:vAlign w:val="top"/>
          </w:tcPr>
          <w:p w14:paraId="7344A77F">
            <w:pPr>
              <w:spacing w:before="78"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r>
      <w:tr w14:paraId="463F3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32504380">
            <w:pPr>
              <w:pStyle w:val="6"/>
              <w:spacing w:before="171" w:line="205" w:lineRule="auto"/>
              <w:ind w:left="36"/>
              <w:rPr>
                <w:sz w:val="24"/>
                <w:szCs w:val="24"/>
              </w:rPr>
            </w:pPr>
            <w:r>
              <w:rPr>
                <w:spacing w:val="35"/>
                <w:sz w:val="24"/>
                <w:szCs w:val="24"/>
              </w:rPr>
              <w:t>甲苯</w:t>
            </w:r>
          </w:p>
        </w:tc>
        <w:tc>
          <w:tcPr>
            <w:tcW w:w="1528" w:type="dxa"/>
            <w:vAlign w:val="top"/>
          </w:tcPr>
          <w:p w14:paraId="312711D1">
            <w:pPr>
              <w:pStyle w:val="6"/>
              <w:spacing w:before="191" w:line="236" w:lineRule="auto"/>
              <w:ind w:left="273"/>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4.98</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66C8209E">
            <w:pPr>
              <w:spacing w:before="233"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076300F3">
            <w:pPr>
              <w:spacing w:before="233"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92.14</w:t>
            </w:r>
          </w:p>
        </w:tc>
        <w:tc>
          <w:tcPr>
            <w:tcW w:w="1385" w:type="dxa"/>
            <w:vAlign w:val="top"/>
          </w:tcPr>
          <w:p w14:paraId="0D10D6C8">
            <w:pPr>
              <w:spacing w:before="233"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37B421FC">
            <w:pPr>
              <w:spacing w:before="237"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1F686DDB">
            <w:pPr>
              <w:spacing w:before="234"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4BCB4FDC">
            <w:pPr>
              <w:spacing w:before="233"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0.012</w:t>
            </w:r>
          </w:p>
        </w:tc>
        <w:tc>
          <w:tcPr>
            <w:tcW w:w="769" w:type="dxa"/>
            <w:vAlign w:val="top"/>
          </w:tcPr>
          <w:p w14:paraId="53F9C17D">
            <w:pPr>
              <w:spacing w:before="233" w:line="188" w:lineRule="auto"/>
              <w:ind w:left="1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r>
      <w:tr w14:paraId="42D40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87" w:type="dxa"/>
            <w:textDirection w:val="tbRlV"/>
            <w:vAlign w:val="top"/>
          </w:tcPr>
          <w:p w14:paraId="7C11B0C7">
            <w:pPr>
              <w:pStyle w:val="6"/>
              <w:spacing w:before="171" w:line="205" w:lineRule="auto"/>
              <w:ind w:left="82"/>
              <w:rPr>
                <w:sz w:val="24"/>
                <w:szCs w:val="24"/>
              </w:rPr>
            </w:pPr>
            <w:r>
              <w:rPr>
                <w:spacing w:val="32"/>
                <w:sz w:val="24"/>
                <w:szCs w:val="24"/>
              </w:rPr>
              <w:t>二甲苯</w:t>
            </w:r>
          </w:p>
        </w:tc>
        <w:tc>
          <w:tcPr>
            <w:tcW w:w="1528" w:type="dxa"/>
            <w:vAlign w:val="top"/>
          </w:tcPr>
          <w:p w14:paraId="57DEA884">
            <w:pPr>
              <w:spacing w:line="267" w:lineRule="auto"/>
              <w:rPr>
                <w:rFonts w:ascii="Arial"/>
                <w:sz w:val="21"/>
              </w:rPr>
            </w:pPr>
          </w:p>
          <w:p w14:paraId="2AEB56D1">
            <w:pPr>
              <w:pStyle w:val="6"/>
              <w:spacing w:before="78" w:line="236" w:lineRule="auto"/>
              <w:ind w:left="273"/>
              <w:rPr>
                <w:rFonts w:ascii="Times New Roman" w:hAnsi="Times New Roman" w:eastAsia="Times New Roman" w:cs="Times New Roman"/>
                <w:sz w:val="15"/>
                <w:szCs w:val="15"/>
              </w:rPr>
            </w:pPr>
            <w:r>
              <w:rPr>
                <w:rFonts w:ascii="Times New Roman" w:hAnsi="Times New Roman" w:eastAsia="Times New Roman" w:cs="Times New Roman"/>
                <w:spacing w:val="-1"/>
                <w:sz w:val="24"/>
                <w:szCs w:val="24"/>
              </w:rPr>
              <w:t>4.95</w:t>
            </w:r>
            <w:r>
              <w:rPr>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7"/>
                <w:sz w:val="15"/>
                <w:szCs w:val="15"/>
              </w:rPr>
              <w:t>3</w:t>
            </w:r>
          </w:p>
        </w:tc>
        <w:tc>
          <w:tcPr>
            <w:tcW w:w="900" w:type="dxa"/>
            <w:vAlign w:val="top"/>
          </w:tcPr>
          <w:p w14:paraId="65417BBE">
            <w:pPr>
              <w:spacing w:line="318" w:lineRule="auto"/>
              <w:rPr>
                <w:rFonts w:ascii="Arial"/>
                <w:sz w:val="21"/>
              </w:rPr>
            </w:pPr>
          </w:p>
          <w:p w14:paraId="007824A5">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3301F08">
            <w:pPr>
              <w:spacing w:line="318" w:lineRule="auto"/>
              <w:rPr>
                <w:rFonts w:ascii="Arial"/>
                <w:sz w:val="21"/>
              </w:rPr>
            </w:pPr>
          </w:p>
          <w:p w14:paraId="2D5B9895">
            <w:pPr>
              <w:spacing w:before="69"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106.16</w:t>
            </w:r>
          </w:p>
        </w:tc>
        <w:tc>
          <w:tcPr>
            <w:tcW w:w="1385" w:type="dxa"/>
            <w:vAlign w:val="top"/>
          </w:tcPr>
          <w:p w14:paraId="497A7FC9">
            <w:pPr>
              <w:spacing w:line="318" w:lineRule="auto"/>
              <w:rPr>
                <w:rFonts w:ascii="Arial"/>
                <w:sz w:val="21"/>
              </w:rPr>
            </w:pPr>
          </w:p>
          <w:p w14:paraId="5A4B54E9">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3C0D48DB">
            <w:pPr>
              <w:spacing w:line="321" w:lineRule="auto"/>
              <w:rPr>
                <w:rFonts w:ascii="Arial"/>
                <w:sz w:val="21"/>
              </w:rPr>
            </w:pPr>
          </w:p>
          <w:p w14:paraId="160B6606">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4A5F7203">
            <w:pPr>
              <w:spacing w:line="318" w:lineRule="auto"/>
              <w:rPr>
                <w:rFonts w:ascii="Arial"/>
                <w:sz w:val="21"/>
              </w:rPr>
            </w:pPr>
          </w:p>
          <w:p w14:paraId="169ABE4E">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27B084E8">
            <w:pPr>
              <w:spacing w:line="318" w:lineRule="auto"/>
              <w:rPr>
                <w:rFonts w:ascii="Arial"/>
                <w:sz w:val="21"/>
              </w:rPr>
            </w:pPr>
          </w:p>
          <w:p w14:paraId="1439BD1A">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0.013</w:t>
            </w:r>
          </w:p>
        </w:tc>
        <w:tc>
          <w:tcPr>
            <w:tcW w:w="769" w:type="dxa"/>
            <w:vAlign w:val="top"/>
          </w:tcPr>
          <w:p w14:paraId="31819E8F">
            <w:pPr>
              <w:spacing w:line="318" w:lineRule="auto"/>
              <w:rPr>
                <w:rFonts w:ascii="Arial"/>
                <w:sz w:val="21"/>
              </w:rPr>
            </w:pPr>
          </w:p>
          <w:p w14:paraId="4802DDFA">
            <w:pPr>
              <w:spacing w:before="69" w:line="188" w:lineRule="auto"/>
              <w:ind w:left="14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r>
      <w:tr w14:paraId="197A8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87" w:type="dxa"/>
            <w:textDirection w:val="tbRlV"/>
            <w:vAlign w:val="top"/>
          </w:tcPr>
          <w:p w14:paraId="2FE62D1A">
            <w:pPr>
              <w:pStyle w:val="6"/>
              <w:spacing w:before="171" w:line="209" w:lineRule="auto"/>
              <w:ind w:left="38"/>
              <w:rPr>
                <w:sz w:val="24"/>
                <w:szCs w:val="24"/>
              </w:rPr>
            </w:pPr>
            <w:r>
              <w:rPr>
                <w:spacing w:val="-1"/>
                <w:sz w:val="24"/>
                <w:szCs w:val="24"/>
              </w:rPr>
              <w:t>次</w:t>
            </w:r>
            <w:r>
              <w:rPr>
                <w:spacing w:val="-48"/>
                <w:sz w:val="24"/>
                <w:szCs w:val="24"/>
              </w:rPr>
              <w:t xml:space="preserve"> </w:t>
            </w:r>
            <w:r>
              <w:rPr>
                <w:spacing w:val="-1"/>
                <w:sz w:val="24"/>
                <w:szCs w:val="24"/>
              </w:rPr>
              <w:t>氯</w:t>
            </w:r>
            <w:r>
              <w:rPr>
                <w:spacing w:val="-48"/>
                <w:sz w:val="24"/>
                <w:szCs w:val="24"/>
              </w:rPr>
              <w:t xml:space="preserve"> </w:t>
            </w:r>
            <w:r>
              <w:rPr>
                <w:spacing w:val="-1"/>
                <w:sz w:val="24"/>
                <w:szCs w:val="24"/>
              </w:rPr>
              <w:t>酸</w:t>
            </w:r>
            <w:r>
              <w:rPr>
                <w:spacing w:val="-48"/>
                <w:sz w:val="24"/>
                <w:szCs w:val="24"/>
              </w:rPr>
              <w:t xml:space="preserve"> </w:t>
            </w:r>
            <w:r>
              <w:rPr>
                <w:spacing w:val="-1"/>
                <w:sz w:val="24"/>
                <w:szCs w:val="24"/>
              </w:rPr>
              <w:t>钠</w:t>
            </w:r>
          </w:p>
        </w:tc>
        <w:tc>
          <w:tcPr>
            <w:tcW w:w="1528" w:type="dxa"/>
            <w:vAlign w:val="top"/>
          </w:tcPr>
          <w:p w14:paraId="4FC4C6F6">
            <w:pPr>
              <w:spacing w:line="422" w:lineRule="auto"/>
              <w:rPr>
                <w:rFonts w:ascii="Arial"/>
                <w:sz w:val="21"/>
              </w:rPr>
            </w:pPr>
          </w:p>
          <w:p w14:paraId="14DBC88C">
            <w:pPr>
              <w:pStyle w:val="6"/>
              <w:spacing w:before="78" w:line="236" w:lineRule="auto"/>
              <w:ind w:left="274"/>
              <w:rPr>
                <w:rFonts w:ascii="Times New Roman" w:hAnsi="Times New Roman" w:eastAsia="Times New Roman" w:cs="Times New Roman"/>
                <w:sz w:val="15"/>
                <w:szCs w:val="15"/>
              </w:rPr>
            </w:pPr>
            <w:r>
              <w:rPr>
                <w:rFonts w:ascii="Times New Roman" w:hAnsi="Times New Roman" w:eastAsia="Times New Roman" w:cs="Times New Roman"/>
                <w:spacing w:val="-11"/>
                <w:sz w:val="24"/>
                <w:szCs w:val="24"/>
              </w:rPr>
              <w:t>2.33</w:t>
            </w:r>
            <w:r>
              <w:rPr>
                <w:rFonts w:ascii="Times New Roman" w:hAnsi="Times New Roman" w:eastAsia="Times New Roman" w:cs="Times New Roman"/>
                <w:spacing w:val="-17"/>
                <w:sz w:val="24"/>
                <w:szCs w:val="24"/>
              </w:rPr>
              <w:t xml:space="preserve"> </w:t>
            </w:r>
            <w:r>
              <w:rPr>
                <w:spacing w:val="-11"/>
                <w:sz w:val="24"/>
                <w:szCs w:val="24"/>
              </w:rPr>
              <w:t>×</w:t>
            </w:r>
            <w:r>
              <w:rPr>
                <w:spacing w:val="-92"/>
                <w:sz w:val="24"/>
                <w:szCs w:val="24"/>
              </w:rPr>
              <w:t xml:space="preserve">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2"/>
                <w:position w:val="7"/>
                <w:sz w:val="15"/>
                <w:szCs w:val="15"/>
              </w:rPr>
              <w:t>3</w:t>
            </w:r>
          </w:p>
        </w:tc>
        <w:tc>
          <w:tcPr>
            <w:tcW w:w="900" w:type="dxa"/>
            <w:vAlign w:val="top"/>
          </w:tcPr>
          <w:p w14:paraId="6FF6084A">
            <w:pPr>
              <w:spacing w:line="473" w:lineRule="auto"/>
              <w:rPr>
                <w:rFonts w:ascii="Arial"/>
                <w:sz w:val="21"/>
              </w:rPr>
            </w:pPr>
          </w:p>
          <w:p w14:paraId="290F0442">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1DBDE3A2">
            <w:pPr>
              <w:spacing w:line="473" w:lineRule="auto"/>
              <w:rPr>
                <w:rFonts w:ascii="Arial"/>
                <w:sz w:val="21"/>
              </w:rPr>
            </w:pPr>
          </w:p>
          <w:p w14:paraId="24D27744">
            <w:pPr>
              <w:spacing w:before="69" w:line="188" w:lineRule="auto"/>
              <w:ind w:left="26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74.44</w:t>
            </w:r>
          </w:p>
        </w:tc>
        <w:tc>
          <w:tcPr>
            <w:tcW w:w="1385" w:type="dxa"/>
            <w:vAlign w:val="top"/>
          </w:tcPr>
          <w:p w14:paraId="5740EBD4">
            <w:pPr>
              <w:spacing w:line="473" w:lineRule="auto"/>
              <w:rPr>
                <w:rFonts w:ascii="Arial"/>
                <w:sz w:val="21"/>
              </w:rPr>
            </w:pPr>
          </w:p>
          <w:p w14:paraId="34B9880D">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5E4216B5">
            <w:pPr>
              <w:spacing w:line="476" w:lineRule="auto"/>
              <w:rPr>
                <w:rFonts w:ascii="Arial"/>
                <w:sz w:val="21"/>
              </w:rPr>
            </w:pPr>
          </w:p>
          <w:p w14:paraId="52EB1B86">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52CA303">
            <w:pPr>
              <w:spacing w:line="473" w:lineRule="auto"/>
              <w:rPr>
                <w:rFonts w:ascii="Arial"/>
                <w:sz w:val="21"/>
              </w:rPr>
            </w:pPr>
          </w:p>
          <w:p w14:paraId="5DE4AF79">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67D14650">
            <w:pPr>
              <w:spacing w:line="473" w:lineRule="auto"/>
              <w:rPr>
                <w:rFonts w:ascii="Arial"/>
                <w:sz w:val="21"/>
              </w:rPr>
            </w:pPr>
          </w:p>
          <w:p w14:paraId="44F9D54F">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0.004</w:t>
            </w:r>
          </w:p>
        </w:tc>
        <w:tc>
          <w:tcPr>
            <w:tcW w:w="769" w:type="dxa"/>
            <w:vAlign w:val="top"/>
          </w:tcPr>
          <w:p w14:paraId="137F1076">
            <w:pPr>
              <w:spacing w:line="473" w:lineRule="auto"/>
              <w:rPr>
                <w:rFonts w:ascii="Arial"/>
                <w:sz w:val="21"/>
              </w:rPr>
            </w:pPr>
          </w:p>
          <w:p w14:paraId="05FF872B">
            <w:pPr>
              <w:spacing w:before="69" w:line="188" w:lineRule="auto"/>
              <w:ind w:left="18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r>
      <w:tr w14:paraId="3BD8D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587" w:type="dxa"/>
            <w:textDirection w:val="tbRlV"/>
            <w:vAlign w:val="top"/>
          </w:tcPr>
          <w:p w14:paraId="6CBE50BC">
            <w:pPr>
              <w:pStyle w:val="6"/>
              <w:spacing w:before="171" w:line="207" w:lineRule="auto"/>
              <w:ind w:left="83"/>
              <w:rPr>
                <w:sz w:val="24"/>
                <w:szCs w:val="24"/>
              </w:rPr>
            </w:pPr>
            <w:r>
              <w:rPr>
                <w:spacing w:val="-20"/>
                <w:sz w:val="24"/>
                <w:szCs w:val="24"/>
              </w:rPr>
              <w:t>二 氯</w:t>
            </w:r>
            <w:r>
              <w:rPr>
                <w:spacing w:val="-45"/>
                <w:sz w:val="24"/>
                <w:szCs w:val="24"/>
              </w:rPr>
              <w:t xml:space="preserve"> </w:t>
            </w:r>
            <w:r>
              <w:rPr>
                <w:spacing w:val="-20"/>
                <w:sz w:val="24"/>
                <w:szCs w:val="24"/>
              </w:rPr>
              <w:t>乙</w:t>
            </w:r>
            <w:r>
              <w:rPr>
                <w:spacing w:val="-47"/>
                <w:sz w:val="24"/>
                <w:szCs w:val="24"/>
              </w:rPr>
              <w:t xml:space="preserve"> </w:t>
            </w:r>
            <w:r>
              <w:rPr>
                <w:spacing w:val="-20"/>
                <w:sz w:val="24"/>
                <w:szCs w:val="24"/>
              </w:rPr>
              <w:t>烷</w:t>
            </w:r>
          </w:p>
        </w:tc>
        <w:tc>
          <w:tcPr>
            <w:tcW w:w="1528" w:type="dxa"/>
            <w:vAlign w:val="top"/>
          </w:tcPr>
          <w:p w14:paraId="51B34AE5">
            <w:pPr>
              <w:spacing w:line="423" w:lineRule="auto"/>
              <w:rPr>
                <w:rFonts w:ascii="Arial"/>
                <w:sz w:val="21"/>
              </w:rPr>
            </w:pPr>
          </w:p>
          <w:p w14:paraId="7F90AB5F">
            <w:pPr>
              <w:pStyle w:val="6"/>
              <w:spacing w:before="78"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9"/>
                <w:sz w:val="24"/>
                <w:szCs w:val="24"/>
              </w:rPr>
              <w:t>12</w:t>
            </w:r>
            <w:r>
              <w:rPr>
                <w:spacing w:val="-9"/>
                <w:sz w:val="24"/>
                <w:szCs w:val="24"/>
              </w:rPr>
              <w:t>×</w:t>
            </w:r>
            <w:r>
              <w:rPr>
                <w:rFonts w:ascii="Times New Roman" w:hAnsi="Times New Roman" w:eastAsia="Times New Roman" w:cs="Times New Roman"/>
                <w:spacing w:val="-9"/>
                <w:sz w:val="24"/>
                <w:szCs w:val="24"/>
              </w:rPr>
              <w:t>10</w:t>
            </w:r>
            <w:r>
              <w:rPr>
                <w:rFonts w:ascii="Times New Roman" w:hAnsi="Times New Roman" w:eastAsia="Times New Roman" w:cs="Times New Roman"/>
                <w:spacing w:val="8"/>
                <w:position w:val="7"/>
                <w:sz w:val="15"/>
                <w:szCs w:val="15"/>
              </w:rPr>
              <w:t>4</w:t>
            </w:r>
          </w:p>
        </w:tc>
        <w:tc>
          <w:tcPr>
            <w:tcW w:w="900" w:type="dxa"/>
            <w:vAlign w:val="top"/>
          </w:tcPr>
          <w:p w14:paraId="1DDB4716">
            <w:pPr>
              <w:spacing w:line="474" w:lineRule="auto"/>
              <w:rPr>
                <w:rFonts w:ascii="Arial"/>
                <w:sz w:val="21"/>
              </w:rPr>
            </w:pPr>
          </w:p>
          <w:p w14:paraId="2198DA11">
            <w:pPr>
              <w:spacing w:before="69"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3F3F5F9">
            <w:pPr>
              <w:spacing w:line="474" w:lineRule="auto"/>
              <w:rPr>
                <w:rFonts w:ascii="Arial"/>
                <w:sz w:val="21"/>
              </w:rPr>
            </w:pPr>
          </w:p>
          <w:p w14:paraId="001AD4B4">
            <w:pPr>
              <w:spacing w:before="69"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98.96</w:t>
            </w:r>
          </w:p>
        </w:tc>
        <w:tc>
          <w:tcPr>
            <w:tcW w:w="1385" w:type="dxa"/>
            <w:vAlign w:val="top"/>
          </w:tcPr>
          <w:p w14:paraId="7D460582">
            <w:pPr>
              <w:spacing w:line="474" w:lineRule="auto"/>
              <w:rPr>
                <w:rFonts w:ascii="Arial"/>
                <w:sz w:val="21"/>
              </w:rPr>
            </w:pPr>
          </w:p>
          <w:p w14:paraId="05BBF5AD">
            <w:pPr>
              <w:spacing w:before="69"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A3F8BEC">
            <w:pPr>
              <w:spacing w:line="478" w:lineRule="auto"/>
              <w:rPr>
                <w:rFonts w:ascii="Arial"/>
                <w:sz w:val="21"/>
              </w:rPr>
            </w:pPr>
          </w:p>
          <w:p w14:paraId="29BBE96A">
            <w:pPr>
              <w:spacing w:before="6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6E8DCF33">
            <w:pPr>
              <w:spacing w:line="474" w:lineRule="auto"/>
              <w:rPr>
                <w:rFonts w:ascii="Arial"/>
                <w:sz w:val="21"/>
              </w:rPr>
            </w:pPr>
          </w:p>
          <w:p w14:paraId="06254BBD">
            <w:pPr>
              <w:spacing w:before="69"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578086DE">
            <w:pPr>
              <w:spacing w:line="474" w:lineRule="auto"/>
              <w:rPr>
                <w:rFonts w:ascii="Arial"/>
                <w:sz w:val="21"/>
              </w:rPr>
            </w:pPr>
          </w:p>
          <w:p w14:paraId="7FFF5342">
            <w:pPr>
              <w:spacing w:before="69"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0.025</w:t>
            </w:r>
          </w:p>
        </w:tc>
        <w:tc>
          <w:tcPr>
            <w:tcW w:w="769" w:type="dxa"/>
            <w:vAlign w:val="top"/>
          </w:tcPr>
          <w:p w14:paraId="7CA405FC">
            <w:pPr>
              <w:spacing w:line="474" w:lineRule="auto"/>
              <w:rPr>
                <w:rFonts w:ascii="Arial"/>
                <w:sz w:val="21"/>
              </w:rPr>
            </w:pPr>
          </w:p>
          <w:p w14:paraId="32439E04">
            <w:pPr>
              <w:spacing w:before="69"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r>
      <w:tr w14:paraId="0303F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87" w:type="dxa"/>
            <w:textDirection w:val="tbRlV"/>
            <w:vAlign w:val="top"/>
          </w:tcPr>
          <w:p w14:paraId="2073DF94">
            <w:pPr>
              <w:pStyle w:val="6"/>
              <w:spacing w:before="172" w:line="206" w:lineRule="auto"/>
              <w:ind w:left="40"/>
              <w:rPr>
                <w:sz w:val="24"/>
                <w:szCs w:val="24"/>
              </w:rPr>
            </w:pPr>
            <w:r>
              <w:rPr>
                <w:spacing w:val="34"/>
                <w:sz w:val="24"/>
                <w:szCs w:val="24"/>
              </w:rPr>
              <w:t>液氯</w:t>
            </w:r>
          </w:p>
        </w:tc>
        <w:tc>
          <w:tcPr>
            <w:tcW w:w="1528" w:type="dxa"/>
            <w:vAlign w:val="top"/>
          </w:tcPr>
          <w:p w14:paraId="739A1066">
            <w:pPr>
              <w:pStyle w:val="6"/>
              <w:spacing w:before="193" w:line="236" w:lineRule="auto"/>
              <w:ind w:left="281"/>
              <w:rPr>
                <w:rFonts w:ascii="Times New Roman" w:hAnsi="Times New Roman" w:eastAsia="Times New Roman" w:cs="Times New Roman"/>
                <w:sz w:val="15"/>
                <w:szCs w:val="15"/>
              </w:rPr>
            </w:pPr>
            <w:r>
              <w:rPr>
                <w:rFonts w:ascii="Times New Roman" w:hAnsi="Times New Roman" w:eastAsia="Times New Roman" w:cs="Times New Roman"/>
                <w:spacing w:val="-2"/>
                <w:sz w:val="24"/>
                <w:szCs w:val="24"/>
              </w:rPr>
              <w:t>5.06</w:t>
            </w:r>
            <w:r>
              <w:rPr>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7"/>
                <w:sz w:val="15"/>
                <w:szCs w:val="15"/>
              </w:rPr>
              <w:t>5</w:t>
            </w:r>
          </w:p>
        </w:tc>
        <w:tc>
          <w:tcPr>
            <w:tcW w:w="900" w:type="dxa"/>
            <w:vAlign w:val="top"/>
          </w:tcPr>
          <w:p w14:paraId="614506CD">
            <w:pPr>
              <w:spacing w:before="235"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22C43B2A">
            <w:pPr>
              <w:spacing w:before="235" w:line="188" w:lineRule="auto"/>
              <w:ind w:left="3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35.5</w:t>
            </w:r>
          </w:p>
        </w:tc>
        <w:tc>
          <w:tcPr>
            <w:tcW w:w="1385" w:type="dxa"/>
            <w:vAlign w:val="top"/>
          </w:tcPr>
          <w:p w14:paraId="545F7123">
            <w:pPr>
              <w:spacing w:before="235"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6748D21C">
            <w:pPr>
              <w:spacing w:before="23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29382E4">
            <w:pPr>
              <w:spacing w:before="235" w:line="188" w:lineRule="auto"/>
              <w:ind w:left="19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w:t>
            </w:r>
          </w:p>
        </w:tc>
        <w:tc>
          <w:tcPr>
            <w:tcW w:w="930" w:type="dxa"/>
            <w:vAlign w:val="top"/>
          </w:tcPr>
          <w:p w14:paraId="10EE7485">
            <w:pPr>
              <w:spacing w:before="235"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0.029</w:t>
            </w:r>
          </w:p>
        </w:tc>
        <w:tc>
          <w:tcPr>
            <w:tcW w:w="769" w:type="dxa"/>
            <w:vAlign w:val="top"/>
          </w:tcPr>
          <w:p w14:paraId="63B918B8">
            <w:pPr>
              <w:spacing w:before="235" w:line="188" w:lineRule="auto"/>
              <w:ind w:left="11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25.72</w:t>
            </w:r>
          </w:p>
        </w:tc>
      </w:tr>
      <w:tr w14:paraId="564C1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7" w:type="dxa"/>
            <w:textDirection w:val="tbRlV"/>
            <w:vAlign w:val="top"/>
          </w:tcPr>
          <w:p w14:paraId="44F9D6BD">
            <w:pPr>
              <w:pStyle w:val="6"/>
              <w:spacing w:before="172" w:line="208" w:lineRule="auto"/>
              <w:ind w:left="39"/>
              <w:rPr>
                <w:sz w:val="24"/>
                <w:szCs w:val="24"/>
              </w:rPr>
            </w:pPr>
            <w:r>
              <w:rPr>
                <w:spacing w:val="-1"/>
                <w:sz w:val="24"/>
                <w:szCs w:val="24"/>
              </w:rPr>
              <w:t>硝</w:t>
            </w:r>
            <w:r>
              <w:rPr>
                <w:spacing w:val="-47"/>
                <w:sz w:val="24"/>
                <w:szCs w:val="24"/>
              </w:rPr>
              <w:t xml:space="preserve"> </w:t>
            </w:r>
            <w:r>
              <w:rPr>
                <w:spacing w:val="-1"/>
                <w:sz w:val="24"/>
                <w:szCs w:val="24"/>
              </w:rPr>
              <w:t>酸</w:t>
            </w:r>
          </w:p>
        </w:tc>
        <w:tc>
          <w:tcPr>
            <w:tcW w:w="1528" w:type="dxa"/>
            <w:vAlign w:val="top"/>
          </w:tcPr>
          <w:p w14:paraId="7821BA0F">
            <w:pPr>
              <w:pStyle w:val="6"/>
              <w:spacing w:before="195"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4"/>
                <w:sz w:val="24"/>
                <w:szCs w:val="24"/>
              </w:rPr>
              <w:t>1.06</w:t>
            </w:r>
            <w:r>
              <w:rPr>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4"/>
                <w:position w:val="7"/>
                <w:sz w:val="15"/>
                <w:szCs w:val="15"/>
              </w:rPr>
              <w:t>4</w:t>
            </w:r>
          </w:p>
        </w:tc>
        <w:tc>
          <w:tcPr>
            <w:tcW w:w="900" w:type="dxa"/>
            <w:vAlign w:val="top"/>
          </w:tcPr>
          <w:p w14:paraId="5BAC1473">
            <w:pPr>
              <w:spacing w:before="237"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7D703C44">
            <w:pPr>
              <w:spacing w:before="237" w:line="188" w:lineRule="auto"/>
              <w:ind w:left="42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63</w:t>
            </w:r>
          </w:p>
        </w:tc>
        <w:tc>
          <w:tcPr>
            <w:tcW w:w="1385" w:type="dxa"/>
            <w:vAlign w:val="top"/>
          </w:tcPr>
          <w:p w14:paraId="5806188F">
            <w:pPr>
              <w:spacing w:before="237"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275363E5">
            <w:pPr>
              <w:spacing w:before="240"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70036EAB">
            <w:pPr>
              <w:spacing w:before="237"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4969C28D">
            <w:pPr>
              <w:spacing w:before="237"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0.015</w:t>
            </w:r>
          </w:p>
        </w:tc>
        <w:tc>
          <w:tcPr>
            <w:tcW w:w="769" w:type="dxa"/>
            <w:vAlign w:val="top"/>
          </w:tcPr>
          <w:p w14:paraId="76A13E23">
            <w:pPr>
              <w:spacing w:before="237" w:line="188" w:lineRule="auto"/>
              <w:ind w:left="1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r>
      <w:tr w14:paraId="2895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7" w:type="dxa"/>
            <w:textDirection w:val="tbRlV"/>
            <w:vAlign w:val="top"/>
          </w:tcPr>
          <w:p w14:paraId="183F378B">
            <w:pPr>
              <w:pStyle w:val="6"/>
              <w:spacing w:before="172" w:line="208" w:lineRule="auto"/>
              <w:ind w:left="40"/>
              <w:rPr>
                <w:sz w:val="24"/>
                <w:szCs w:val="24"/>
              </w:rPr>
            </w:pPr>
            <w:r>
              <w:rPr>
                <w:spacing w:val="34"/>
                <w:sz w:val="24"/>
                <w:szCs w:val="24"/>
              </w:rPr>
              <w:t>盐酸</w:t>
            </w:r>
          </w:p>
        </w:tc>
        <w:tc>
          <w:tcPr>
            <w:tcW w:w="1528" w:type="dxa"/>
            <w:vAlign w:val="top"/>
          </w:tcPr>
          <w:p w14:paraId="6B8E2594">
            <w:pPr>
              <w:pStyle w:val="6"/>
              <w:spacing w:before="193" w:line="236" w:lineRule="auto"/>
              <w:ind w:left="297"/>
              <w:rPr>
                <w:rFonts w:ascii="Times New Roman" w:hAnsi="Times New Roman" w:eastAsia="Times New Roman" w:cs="Times New Roman"/>
                <w:sz w:val="15"/>
                <w:szCs w:val="15"/>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9"/>
                <w:sz w:val="24"/>
                <w:szCs w:val="24"/>
              </w:rPr>
              <w:t>19</w:t>
            </w:r>
            <w:r>
              <w:rPr>
                <w:spacing w:val="-9"/>
                <w:sz w:val="24"/>
                <w:szCs w:val="24"/>
              </w:rPr>
              <w:t>×</w:t>
            </w:r>
            <w:r>
              <w:rPr>
                <w:rFonts w:ascii="Times New Roman" w:hAnsi="Times New Roman" w:eastAsia="Times New Roman" w:cs="Times New Roman"/>
                <w:spacing w:val="-9"/>
                <w:sz w:val="24"/>
                <w:szCs w:val="24"/>
              </w:rPr>
              <w:t>10</w:t>
            </w:r>
            <w:r>
              <w:rPr>
                <w:rFonts w:ascii="Times New Roman" w:hAnsi="Times New Roman" w:eastAsia="Times New Roman" w:cs="Times New Roman"/>
                <w:spacing w:val="8"/>
                <w:position w:val="7"/>
                <w:sz w:val="15"/>
                <w:szCs w:val="15"/>
              </w:rPr>
              <w:t>4</w:t>
            </w:r>
          </w:p>
        </w:tc>
        <w:tc>
          <w:tcPr>
            <w:tcW w:w="900" w:type="dxa"/>
            <w:vAlign w:val="top"/>
          </w:tcPr>
          <w:p w14:paraId="5CDFA083">
            <w:pPr>
              <w:spacing w:before="235" w:line="188" w:lineRule="auto"/>
              <w:ind w:left="1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288.9</w:t>
            </w:r>
          </w:p>
        </w:tc>
        <w:tc>
          <w:tcPr>
            <w:tcW w:w="1070" w:type="dxa"/>
            <w:vAlign w:val="top"/>
          </w:tcPr>
          <w:p w14:paraId="53DFA345">
            <w:pPr>
              <w:spacing w:before="235" w:line="188" w:lineRule="auto"/>
              <w:ind w:left="3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36.5</w:t>
            </w:r>
          </w:p>
        </w:tc>
        <w:tc>
          <w:tcPr>
            <w:tcW w:w="1385" w:type="dxa"/>
            <w:vAlign w:val="top"/>
          </w:tcPr>
          <w:p w14:paraId="54BC6ECE">
            <w:pPr>
              <w:spacing w:before="235" w:line="188" w:lineRule="auto"/>
              <w:ind w:left="43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8.314</w:t>
            </w:r>
          </w:p>
        </w:tc>
        <w:tc>
          <w:tcPr>
            <w:tcW w:w="675" w:type="dxa"/>
            <w:vAlign w:val="top"/>
          </w:tcPr>
          <w:p w14:paraId="0E35BC7D">
            <w:pPr>
              <w:spacing w:before="239" w:line="185" w:lineRule="auto"/>
              <w:ind w:left="28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675" w:type="dxa"/>
            <w:vAlign w:val="top"/>
          </w:tcPr>
          <w:p w14:paraId="1886CE31">
            <w:pPr>
              <w:spacing w:before="235" w:line="188" w:lineRule="auto"/>
              <w:ind w:left="27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30" w:type="dxa"/>
            <w:vAlign w:val="top"/>
          </w:tcPr>
          <w:p w14:paraId="02C4E156">
            <w:pPr>
              <w:spacing w:before="235"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0.010</w:t>
            </w:r>
          </w:p>
        </w:tc>
        <w:tc>
          <w:tcPr>
            <w:tcW w:w="769" w:type="dxa"/>
            <w:vAlign w:val="top"/>
          </w:tcPr>
          <w:p w14:paraId="7C3F9C1C">
            <w:pPr>
              <w:spacing w:before="235" w:line="188" w:lineRule="auto"/>
              <w:ind w:left="18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r>
    </w:tbl>
    <w:p w14:paraId="4CF3EA32">
      <w:pPr>
        <w:spacing w:before="198" w:line="219" w:lineRule="auto"/>
        <w:ind w:left="676"/>
        <w:rPr>
          <w:rFonts w:ascii="宋体" w:hAnsi="宋体" w:eastAsia="宋体" w:cs="宋体"/>
          <w:sz w:val="28"/>
          <w:szCs w:val="28"/>
        </w:rPr>
      </w:pPr>
      <w:r>
        <w:rPr>
          <w:rFonts w:ascii="Times New Roman" w:hAnsi="Times New Roman" w:eastAsia="Times New Roman" w:cs="Times New Roman"/>
          <w:spacing w:val="-1"/>
          <w:sz w:val="28"/>
          <w:szCs w:val="28"/>
        </w:rPr>
        <w:t>D.</w:t>
      </w:r>
      <w:r>
        <w:rPr>
          <w:rFonts w:ascii="宋体" w:hAnsi="宋体" w:eastAsia="宋体" w:cs="宋体"/>
          <w:spacing w:val="-1"/>
          <w:sz w:val="28"/>
          <w:szCs w:val="28"/>
        </w:rPr>
        <w:t>液体蒸发总量</w:t>
      </w:r>
    </w:p>
    <w:p w14:paraId="3BA31E16">
      <w:pPr>
        <w:spacing w:before="210" w:line="219" w:lineRule="auto"/>
        <w:ind w:left="685"/>
        <w:rPr>
          <w:rFonts w:ascii="宋体" w:hAnsi="宋体" w:eastAsia="宋体" w:cs="宋体"/>
          <w:sz w:val="28"/>
          <w:szCs w:val="28"/>
        </w:rPr>
      </w:pPr>
      <w:r>
        <w:rPr>
          <w:rFonts w:ascii="宋体" w:hAnsi="宋体" w:eastAsia="宋体" w:cs="宋体"/>
          <w:spacing w:val="-2"/>
          <w:sz w:val="28"/>
          <w:szCs w:val="28"/>
        </w:rPr>
        <w:t>液体蒸发总量计算公式如下：</w:t>
      </w:r>
    </w:p>
    <w:p w14:paraId="2B6A9628">
      <w:pPr>
        <w:spacing w:before="172" w:line="540" w:lineRule="exact"/>
        <w:ind w:firstLine="2503"/>
      </w:pPr>
      <w:r>
        <w:rPr>
          <w:position w:val="-10"/>
        </w:rPr>
        <w:drawing>
          <wp:inline distT="0" distB="0" distL="0" distR="0">
            <wp:extent cx="2238375" cy="3429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5"/>
                    <a:stretch>
                      <a:fillRect/>
                    </a:stretch>
                  </pic:blipFill>
                  <pic:spPr>
                    <a:xfrm>
                      <a:off x="0" y="0"/>
                      <a:ext cx="2238755" cy="342900"/>
                    </a:xfrm>
                    <a:prstGeom prst="rect">
                      <a:avLst/>
                    </a:prstGeom>
                  </pic:spPr>
                </pic:pic>
              </a:graphicData>
            </a:graphic>
          </wp:inline>
        </w:drawing>
      </w:r>
    </w:p>
    <w:p w14:paraId="36238C0F">
      <w:pPr>
        <w:spacing w:before="40" w:line="213" w:lineRule="auto"/>
        <w:ind w:left="688"/>
        <w:rPr>
          <w:rFonts w:ascii="宋体" w:hAnsi="宋体" w:eastAsia="宋体" w:cs="宋体"/>
          <w:sz w:val="28"/>
          <w:szCs w:val="28"/>
        </w:rPr>
      </w:pPr>
      <w:r>
        <w:rPr>
          <w:rFonts w:ascii="宋体" w:hAnsi="宋体" w:eastAsia="宋体" w:cs="宋体"/>
          <w:spacing w:val="-1"/>
          <w:sz w:val="28"/>
          <w:szCs w:val="28"/>
        </w:rPr>
        <w:t>式中：</w:t>
      </w:r>
      <w:r>
        <w:rPr>
          <w:rFonts w:ascii="Times New Roman" w:hAnsi="Times New Roman" w:eastAsia="Times New Roman" w:cs="Times New Roman"/>
          <w:spacing w:val="-1"/>
          <w:sz w:val="28"/>
          <w:szCs w:val="28"/>
        </w:rPr>
        <w:t>Wp--</w:t>
      </w:r>
      <w:r>
        <w:rPr>
          <w:rFonts w:ascii="宋体" w:hAnsi="宋体" w:eastAsia="宋体" w:cs="宋体"/>
          <w:spacing w:val="-1"/>
          <w:sz w:val="28"/>
          <w:szCs w:val="28"/>
        </w:rPr>
        <w:t>液体蒸发总量，</w:t>
      </w:r>
      <w:r>
        <w:rPr>
          <w:rFonts w:ascii="Times New Roman" w:hAnsi="Times New Roman" w:eastAsia="Times New Roman" w:cs="Times New Roman"/>
          <w:spacing w:val="-1"/>
          <w:sz w:val="28"/>
          <w:szCs w:val="28"/>
        </w:rPr>
        <w:t>kg</w:t>
      </w:r>
      <w:r>
        <w:rPr>
          <w:rFonts w:ascii="宋体" w:hAnsi="宋体" w:eastAsia="宋体" w:cs="宋体"/>
          <w:spacing w:val="-1"/>
          <w:sz w:val="28"/>
          <w:szCs w:val="28"/>
        </w:rPr>
        <w:t>；</w:t>
      </w:r>
    </w:p>
    <w:p w14:paraId="0354F883">
      <w:pPr>
        <w:spacing w:before="220" w:line="350" w:lineRule="auto"/>
        <w:ind w:left="1521" w:right="3421"/>
        <w:rPr>
          <w:rFonts w:ascii="宋体" w:hAnsi="宋体" w:eastAsia="宋体" w:cs="宋体"/>
          <w:sz w:val="28"/>
          <w:szCs w:val="28"/>
        </w:rPr>
      </w:pPr>
      <w:r>
        <w:rPr>
          <w:rFonts w:ascii="Times New Roman" w:hAnsi="Times New Roman" w:eastAsia="Times New Roman" w:cs="Times New Roman"/>
          <w:spacing w:val="-5"/>
          <w:sz w:val="28"/>
          <w:szCs w:val="28"/>
        </w:rPr>
        <w:t>Q--</w:t>
      </w:r>
      <w:r>
        <w:rPr>
          <w:rFonts w:ascii="宋体" w:hAnsi="宋体" w:eastAsia="宋体" w:cs="宋体"/>
          <w:spacing w:val="-5"/>
          <w:sz w:val="28"/>
          <w:szCs w:val="28"/>
        </w:rPr>
        <w:t>闪蒸液体蒸发速率，</w:t>
      </w:r>
      <w:r>
        <w:rPr>
          <w:rFonts w:ascii="Times New Roman" w:hAnsi="Times New Roman" w:eastAsia="Times New Roman" w:cs="Times New Roman"/>
          <w:spacing w:val="-5"/>
          <w:sz w:val="28"/>
          <w:szCs w:val="28"/>
        </w:rPr>
        <w:t>kg/s</w:t>
      </w:r>
      <w:r>
        <w:rPr>
          <w:rFonts w:ascii="宋体" w:hAnsi="宋体" w:eastAsia="宋体" w:cs="宋体"/>
          <w:spacing w:val="-5"/>
          <w:sz w:val="28"/>
          <w:szCs w:val="28"/>
        </w:rPr>
        <w:t>；</w:t>
      </w:r>
      <w:r>
        <w:rPr>
          <w:rFonts w:ascii="宋体" w:hAnsi="宋体" w:eastAsia="宋体" w:cs="宋体"/>
          <w:spacing w:val="10"/>
          <w:sz w:val="28"/>
          <w:szCs w:val="28"/>
        </w:rPr>
        <w:t xml:space="preserve"> </w:t>
      </w:r>
      <w:r>
        <w:rPr>
          <w:rFonts w:ascii="Times New Roman" w:hAnsi="Times New Roman" w:eastAsia="Times New Roman" w:cs="Times New Roman"/>
          <w:spacing w:val="-1"/>
          <w:sz w:val="28"/>
          <w:szCs w:val="28"/>
        </w:rPr>
        <w:t>Q2--</w:t>
      </w:r>
      <w:r>
        <w:rPr>
          <w:rFonts w:ascii="宋体" w:hAnsi="宋体" w:eastAsia="宋体" w:cs="宋体"/>
          <w:spacing w:val="-1"/>
          <w:sz w:val="28"/>
          <w:szCs w:val="28"/>
        </w:rPr>
        <w:t>热量蒸发速率，</w:t>
      </w:r>
      <w:r>
        <w:rPr>
          <w:rFonts w:ascii="Times New Roman" w:hAnsi="Times New Roman" w:eastAsia="Times New Roman" w:cs="Times New Roman"/>
          <w:spacing w:val="-1"/>
          <w:sz w:val="28"/>
          <w:szCs w:val="28"/>
        </w:rPr>
        <w:t>kg/s</w:t>
      </w:r>
      <w:r>
        <w:rPr>
          <w:rFonts w:ascii="宋体" w:hAnsi="宋体" w:eastAsia="宋体" w:cs="宋体"/>
          <w:spacing w:val="-1"/>
          <w:sz w:val="28"/>
          <w:szCs w:val="28"/>
        </w:rPr>
        <w:t>；</w:t>
      </w:r>
    </w:p>
    <w:p w14:paraId="13C2441C">
      <w:pPr>
        <w:spacing w:before="30" w:line="351" w:lineRule="auto"/>
        <w:ind w:left="1514" w:right="3841" w:firstLine="7"/>
        <w:rPr>
          <w:rFonts w:ascii="宋体" w:hAnsi="宋体" w:eastAsia="宋体" w:cs="宋体"/>
          <w:sz w:val="28"/>
          <w:szCs w:val="28"/>
        </w:rPr>
      </w:pPr>
      <w:r>
        <w:rPr>
          <w:rFonts w:ascii="Times New Roman" w:hAnsi="Times New Roman" w:eastAsia="Times New Roman" w:cs="Times New Roman"/>
          <w:spacing w:val="-5"/>
          <w:sz w:val="28"/>
          <w:szCs w:val="28"/>
        </w:rPr>
        <w:t>Q3--</w:t>
      </w:r>
      <w:r>
        <w:rPr>
          <w:rFonts w:ascii="宋体" w:hAnsi="宋体" w:eastAsia="宋体" w:cs="宋体"/>
          <w:spacing w:val="-5"/>
          <w:sz w:val="28"/>
          <w:szCs w:val="28"/>
        </w:rPr>
        <w:t>质量蒸发速率，</w:t>
      </w:r>
      <w:r>
        <w:rPr>
          <w:rFonts w:ascii="Times New Roman" w:hAnsi="Times New Roman" w:eastAsia="Times New Roman" w:cs="Times New Roman"/>
          <w:spacing w:val="-5"/>
          <w:sz w:val="28"/>
          <w:szCs w:val="28"/>
        </w:rPr>
        <w:t>kg/s</w:t>
      </w:r>
      <w:r>
        <w:rPr>
          <w:rFonts w:ascii="宋体" w:hAnsi="宋体" w:eastAsia="宋体" w:cs="宋体"/>
          <w:spacing w:val="-5"/>
          <w:sz w:val="28"/>
          <w:szCs w:val="28"/>
        </w:rPr>
        <w:t>；</w:t>
      </w:r>
      <w:r>
        <w:rPr>
          <w:rFonts w:ascii="宋体" w:hAnsi="宋体" w:eastAsia="宋体" w:cs="宋体"/>
          <w:spacing w:val="5"/>
          <w:sz w:val="28"/>
          <w:szCs w:val="28"/>
        </w:rPr>
        <w:t xml:space="preserve"> </w:t>
      </w:r>
      <w:r>
        <w:rPr>
          <w:rFonts w:ascii="Times New Roman" w:hAnsi="Times New Roman" w:eastAsia="Times New Roman" w:cs="Times New Roman"/>
          <w:spacing w:val="-1"/>
          <w:sz w:val="28"/>
          <w:szCs w:val="28"/>
        </w:rPr>
        <w:t>t1--</w:t>
      </w:r>
      <w:r>
        <w:rPr>
          <w:rFonts w:ascii="宋体" w:hAnsi="宋体" w:eastAsia="宋体" w:cs="宋体"/>
          <w:spacing w:val="-1"/>
          <w:sz w:val="28"/>
          <w:szCs w:val="28"/>
        </w:rPr>
        <w:t>闪蒸蒸发时间，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7CB8B0AE">
      <w:pPr>
        <w:spacing w:line="351" w:lineRule="auto"/>
        <w:rPr>
          <w:rFonts w:ascii="宋体" w:hAnsi="宋体" w:eastAsia="宋体" w:cs="宋体"/>
          <w:sz w:val="28"/>
          <w:szCs w:val="28"/>
        </w:rPr>
        <w:sectPr>
          <w:footerReference r:id="rId118" w:type="default"/>
          <w:pgSz w:w="11906" w:h="16839"/>
          <w:pgMar w:top="400" w:right="1694" w:bottom="1259" w:left="1687" w:header="0" w:footer="1097" w:gutter="0"/>
          <w:cols w:space="720" w:num="1"/>
        </w:sectPr>
      </w:pPr>
    </w:p>
    <w:p w14:paraId="65FBF385">
      <w:pPr>
        <w:pStyle w:val="2"/>
        <w:spacing w:line="245" w:lineRule="auto"/>
      </w:pPr>
    </w:p>
    <w:p w14:paraId="3BF079E6">
      <w:pPr>
        <w:pStyle w:val="2"/>
        <w:spacing w:line="245" w:lineRule="auto"/>
      </w:pPr>
    </w:p>
    <w:p w14:paraId="60C1B68B">
      <w:pPr>
        <w:pStyle w:val="2"/>
        <w:spacing w:line="246" w:lineRule="auto"/>
      </w:pPr>
    </w:p>
    <w:p w14:paraId="73DE6F1B">
      <w:pPr>
        <w:pStyle w:val="2"/>
        <w:spacing w:line="246" w:lineRule="auto"/>
      </w:pPr>
    </w:p>
    <w:p w14:paraId="438DDDFC">
      <w:pPr>
        <w:spacing w:before="91" w:line="221" w:lineRule="auto"/>
        <w:ind w:left="1514"/>
        <w:rPr>
          <w:rFonts w:ascii="宋体" w:hAnsi="宋体" w:eastAsia="宋体" w:cs="宋体"/>
          <w:sz w:val="28"/>
          <w:szCs w:val="28"/>
        </w:rPr>
      </w:pPr>
      <w:r>
        <w:rPr>
          <w:rFonts w:ascii="Times New Roman" w:hAnsi="Times New Roman" w:eastAsia="Times New Roman" w:cs="Times New Roman"/>
          <w:spacing w:val="-1"/>
          <w:sz w:val="28"/>
          <w:szCs w:val="28"/>
        </w:rPr>
        <w:t>t2--</w:t>
      </w:r>
      <w:r>
        <w:rPr>
          <w:rFonts w:ascii="宋体" w:hAnsi="宋体" w:eastAsia="宋体" w:cs="宋体"/>
          <w:spacing w:val="-1"/>
          <w:sz w:val="28"/>
          <w:szCs w:val="28"/>
        </w:rPr>
        <w:t>热量蒸发时间，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2250ED22">
      <w:pPr>
        <w:spacing w:before="210" w:line="220" w:lineRule="auto"/>
        <w:ind w:left="1514"/>
        <w:rPr>
          <w:rFonts w:ascii="宋体" w:hAnsi="宋体" w:eastAsia="宋体" w:cs="宋体"/>
          <w:sz w:val="28"/>
          <w:szCs w:val="28"/>
        </w:rPr>
      </w:pPr>
      <w:r>
        <w:rPr>
          <w:rFonts w:ascii="Times New Roman" w:hAnsi="Times New Roman" w:eastAsia="Times New Roman" w:cs="Times New Roman"/>
          <w:spacing w:val="-1"/>
          <w:sz w:val="28"/>
          <w:szCs w:val="28"/>
        </w:rPr>
        <w:t>t3--</w:t>
      </w:r>
      <w:r>
        <w:rPr>
          <w:rFonts w:ascii="宋体" w:hAnsi="宋体" w:eastAsia="宋体" w:cs="宋体"/>
          <w:spacing w:val="-1"/>
          <w:sz w:val="28"/>
          <w:szCs w:val="28"/>
        </w:rPr>
        <w:t>从液体泄漏到全部清理完毕的时间，</w:t>
      </w:r>
      <w:r>
        <w:rPr>
          <w:rFonts w:ascii="Times New Roman" w:hAnsi="Times New Roman" w:eastAsia="Times New Roman" w:cs="Times New Roman"/>
          <w:spacing w:val="-1"/>
          <w:sz w:val="28"/>
          <w:szCs w:val="28"/>
        </w:rPr>
        <w:t>s</w:t>
      </w:r>
      <w:r>
        <w:rPr>
          <w:rFonts w:ascii="宋体" w:hAnsi="宋体" w:eastAsia="宋体" w:cs="宋体"/>
          <w:spacing w:val="-1"/>
          <w:sz w:val="28"/>
          <w:szCs w:val="28"/>
        </w:rPr>
        <w:t>。</w:t>
      </w:r>
    </w:p>
    <w:p w14:paraId="482AD9E9">
      <w:pPr>
        <w:spacing w:before="211" w:line="220" w:lineRule="auto"/>
        <w:ind w:left="685"/>
        <w:rPr>
          <w:rFonts w:ascii="宋体" w:hAnsi="宋体" w:eastAsia="宋体" w:cs="宋体"/>
          <w:sz w:val="28"/>
          <w:szCs w:val="28"/>
        </w:rPr>
      </w:pPr>
      <w:r>
        <w:rPr>
          <w:rFonts w:ascii="宋体" w:hAnsi="宋体" w:eastAsia="宋体" w:cs="宋体"/>
          <w:spacing w:val="-1"/>
          <w:sz w:val="28"/>
          <w:szCs w:val="28"/>
        </w:rPr>
        <w:t>经计算，各风险物质蒸发总量如下：</w:t>
      </w:r>
    </w:p>
    <w:p w14:paraId="5FDFBD5A">
      <w:pPr>
        <w:spacing w:before="205" w:line="220" w:lineRule="auto"/>
        <w:ind w:left="2398"/>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37"/>
          <w:sz w:val="24"/>
          <w:szCs w:val="24"/>
        </w:rPr>
        <w:t xml:space="preserve"> </w:t>
      </w:r>
      <w:r>
        <w:rPr>
          <w:rFonts w:ascii="Times New Roman" w:hAnsi="Times New Roman" w:eastAsia="Times New Roman" w:cs="Times New Roman"/>
          <w:b/>
          <w:bCs/>
          <w:spacing w:val="-3"/>
          <w:sz w:val="24"/>
          <w:szCs w:val="24"/>
        </w:rPr>
        <w:t xml:space="preserve">6.2-3 </w:t>
      </w:r>
      <w:r>
        <w:rPr>
          <w:rFonts w:ascii="宋体" w:hAnsi="宋体" w:eastAsia="宋体" w:cs="宋体"/>
          <w:b/>
          <w:bCs/>
          <w:spacing w:val="-3"/>
          <w:sz w:val="24"/>
          <w:szCs w:val="24"/>
        </w:rPr>
        <w:t>各危险物质蒸发总量一览表</w:t>
      </w:r>
    </w:p>
    <w:p w14:paraId="4C84DF63">
      <w:pPr>
        <w:spacing w:line="14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4"/>
        <w:gridCol w:w="4682"/>
      </w:tblGrid>
      <w:tr w14:paraId="0C8E0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844" w:type="dxa"/>
            <w:vAlign w:val="top"/>
          </w:tcPr>
          <w:p w14:paraId="585E5094">
            <w:pPr>
              <w:pStyle w:val="6"/>
              <w:spacing w:before="40" w:line="207" w:lineRule="auto"/>
              <w:ind w:left="1450"/>
              <w:rPr>
                <w:sz w:val="24"/>
                <w:szCs w:val="24"/>
              </w:rPr>
            </w:pPr>
            <w:r>
              <w:rPr>
                <w:spacing w:val="-3"/>
                <w:sz w:val="24"/>
                <w:szCs w:val="24"/>
              </w:rPr>
              <w:t>风险物质</w:t>
            </w:r>
          </w:p>
        </w:tc>
        <w:tc>
          <w:tcPr>
            <w:tcW w:w="4682" w:type="dxa"/>
            <w:vAlign w:val="top"/>
          </w:tcPr>
          <w:p w14:paraId="6A11DBA7">
            <w:pPr>
              <w:pStyle w:val="6"/>
              <w:spacing w:before="40" w:line="207" w:lineRule="auto"/>
              <w:ind w:left="1719"/>
              <w:rPr>
                <w:rFonts w:ascii="Times New Roman" w:hAnsi="Times New Roman" w:eastAsia="Times New Roman" w:cs="Times New Roman"/>
                <w:sz w:val="24"/>
                <w:szCs w:val="24"/>
              </w:rPr>
            </w:pPr>
            <w:r>
              <w:rPr>
                <w:spacing w:val="-3"/>
                <w:sz w:val="24"/>
                <w:szCs w:val="24"/>
              </w:rPr>
              <w:t>蒸发总量</w:t>
            </w:r>
            <w:r>
              <w:rPr>
                <w:spacing w:val="-54"/>
                <w:sz w:val="24"/>
                <w:szCs w:val="24"/>
              </w:rPr>
              <w:t xml:space="preserve"> </w:t>
            </w:r>
            <w:r>
              <w:rPr>
                <w:rFonts w:ascii="Times New Roman" w:hAnsi="Times New Roman" w:eastAsia="Times New Roman" w:cs="Times New Roman"/>
                <w:spacing w:val="-3"/>
                <w:sz w:val="24"/>
                <w:szCs w:val="24"/>
              </w:rPr>
              <w:t>kg</w:t>
            </w:r>
          </w:p>
        </w:tc>
      </w:tr>
      <w:tr w14:paraId="335D1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5934C337">
            <w:pPr>
              <w:pStyle w:val="6"/>
              <w:spacing w:before="36" w:line="207" w:lineRule="auto"/>
              <w:ind w:left="1720"/>
              <w:rPr>
                <w:sz w:val="24"/>
                <w:szCs w:val="24"/>
              </w:rPr>
            </w:pPr>
            <w:r>
              <w:rPr>
                <w:spacing w:val="-21"/>
                <w:sz w:val="24"/>
                <w:szCs w:val="24"/>
              </w:rPr>
              <w:t>甲醇</w:t>
            </w:r>
          </w:p>
        </w:tc>
        <w:tc>
          <w:tcPr>
            <w:tcW w:w="4682" w:type="dxa"/>
            <w:vAlign w:val="top"/>
          </w:tcPr>
          <w:p w14:paraId="7765037D">
            <w:pPr>
              <w:spacing w:before="76" w:line="188" w:lineRule="auto"/>
              <w:ind w:left="219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r>
      <w:tr w14:paraId="67E54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6C4E8216">
            <w:pPr>
              <w:pStyle w:val="6"/>
              <w:spacing w:before="35" w:line="208" w:lineRule="auto"/>
              <w:ind w:left="1689"/>
              <w:rPr>
                <w:sz w:val="24"/>
                <w:szCs w:val="24"/>
              </w:rPr>
            </w:pPr>
            <w:r>
              <w:rPr>
                <w:spacing w:val="-5"/>
                <w:sz w:val="24"/>
                <w:szCs w:val="24"/>
              </w:rPr>
              <w:t>氨水</w:t>
            </w:r>
          </w:p>
        </w:tc>
        <w:tc>
          <w:tcPr>
            <w:tcW w:w="4682" w:type="dxa"/>
            <w:vAlign w:val="top"/>
          </w:tcPr>
          <w:p w14:paraId="5C4555F6">
            <w:pPr>
              <w:spacing w:before="77" w:line="188" w:lineRule="auto"/>
              <w:ind w:left="21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r>
      <w:tr w14:paraId="4F73E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09729722">
            <w:pPr>
              <w:pStyle w:val="6"/>
              <w:spacing w:before="35" w:line="208" w:lineRule="auto"/>
              <w:ind w:left="1691"/>
              <w:rPr>
                <w:sz w:val="24"/>
                <w:szCs w:val="24"/>
              </w:rPr>
            </w:pPr>
            <w:r>
              <w:rPr>
                <w:spacing w:val="-6"/>
                <w:sz w:val="24"/>
                <w:szCs w:val="24"/>
              </w:rPr>
              <w:t>液氨</w:t>
            </w:r>
          </w:p>
        </w:tc>
        <w:tc>
          <w:tcPr>
            <w:tcW w:w="4682" w:type="dxa"/>
            <w:vAlign w:val="top"/>
          </w:tcPr>
          <w:p w14:paraId="7D531EB4">
            <w:pPr>
              <w:spacing w:before="77" w:line="188" w:lineRule="auto"/>
              <w:ind w:left="20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181.08</w:t>
            </w:r>
          </w:p>
        </w:tc>
      </w:tr>
      <w:tr w14:paraId="438F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844" w:type="dxa"/>
            <w:vAlign w:val="top"/>
          </w:tcPr>
          <w:p w14:paraId="4FE54AC8">
            <w:pPr>
              <w:pStyle w:val="6"/>
              <w:spacing w:before="37" w:line="206" w:lineRule="auto"/>
              <w:ind w:left="1688"/>
              <w:rPr>
                <w:sz w:val="24"/>
                <w:szCs w:val="24"/>
              </w:rPr>
            </w:pPr>
            <w:r>
              <w:rPr>
                <w:spacing w:val="-5"/>
                <w:sz w:val="24"/>
                <w:szCs w:val="24"/>
              </w:rPr>
              <w:t>硫酸</w:t>
            </w:r>
          </w:p>
        </w:tc>
        <w:tc>
          <w:tcPr>
            <w:tcW w:w="4682" w:type="dxa"/>
            <w:vAlign w:val="top"/>
          </w:tcPr>
          <w:p w14:paraId="67207AFA">
            <w:pPr>
              <w:spacing w:before="78" w:line="188" w:lineRule="auto"/>
              <w:ind w:left="21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r>
      <w:tr w14:paraId="631B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7E1F7773">
            <w:pPr>
              <w:pStyle w:val="6"/>
              <w:spacing w:before="38" w:line="206" w:lineRule="auto"/>
              <w:ind w:left="1812"/>
              <w:rPr>
                <w:sz w:val="24"/>
                <w:szCs w:val="24"/>
              </w:rPr>
            </w:pPr>
            <w:r>
              <w:rPr>
                <w:sz w:val="24"/>
                <w:szCs w:val="24"/>
              </w:rPr>
              <w:t>苯</w:t>
            </w:r>
          </w:p>
        </w:tc>
        <w:tc>
          <w:tcPr>
            <w:tcW w:w="4682" w:type="dxa"/>
            <w:vAlign w:val="top"/>
          </w:tcPr>
          <w:p w14:paraId="06DA4000">
            <w:pPr>
              <w:spacing w:before="80" w:line="188" w:lineRule="auto"/>
              <w:ind w:left="2155"/>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r>
      <w:tr w14:paraId="1AE5E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3FD18D5D">
            <w:pPr>
              <w:pStyle w:val="6"/>
              <w:spacing w:before="39" w:line="205" w:lineRule="auto"/>
              <w:ind w:left="1720"/>
              <w:rPr>
                <w:sz w:val="24"/>
                <w:szCs w:val="24"/>
              </w:rPr>
            </w:pPr>
            <w:r>
              <w:rPr>
                <w:spacing w:val="-21"/>
                <w:sz w:val="24"/>
                <w:szCs w:val="24"/>
              </w:rPr>
              <w:t>甲苯</w:t>
            </w:r>
          </w:p>
        </w:tc>
        <w:tc>
          <w:tcPr>
            <w:tcW w:w="4682" w:type="dxa"/>
            <w:vAlign w:val="top"/>
          </w:tcPr>
          <w:p w14:paraId="6E1F81C0">
            <w:pPr>
              <w:spacing w:before="78" w:line="188" w:lineRule="auto"/>
              <w:ind w:left="209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r>
      <w:tr w14:paraId="61EB8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35CB18A5">
            <w:pPr>
              <w:pStyle w:val="6"/>
              <w:spacing w:before="39" w:line="205" w:lineRule="auto"/>
              <w:ind w:left="1573"/>
              <w:rPr>
                <w:sz w:val="24"/>
                <w:szCs w:val="24"/>
              </w:rPr>
            </w:pPr>
            <w:r>
              <w:rPr>
                <w:spacing w:val="-5"/>
                <w:sz w:val="24"/>
                <w:szCs w:val="24"/>
              </w:rPr>
              <w:t>二甲苯</w:t>
            </w:r>
          </w:p>
        </w:tc>
        <w:tc>
          <w:tcPr>
            <w:tcW w:w="4682" w:type="dxa"/>
            <w:vAlign w:val="top"/>
          </w:tcPr>
          <w:p w14:paraId="78083EDE">
            <w:pPr>
              <w:spacing w:before="78" w:line="188" w:lineRule="auto"/>
              <w:ind w:left="2099"/>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r>
      <w:tr w14:paraId="2427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844" w:type="dxa"/>
            <w:vAlign w:val="top"/>
          </w:tcPr>
          <w:p w14:paraId="333E0340">
            <w:pPr>
              <w:pStyle w:val="6"/>
              <w:spacing w:before="37" w:line="206" w:lineRule="auto"/>
              <w:ind w:left="1455"/>
              <w:rPr>
                <w:sz w:val="24"/>
                <w:szCs w:val="24"/>
              </w:rPr>
            </w:pPr>
            <w:r>
              <w:rPr>
                <w:spacing w:val="-4"/>
                <w:sz w:val="24"/>
                <w:szCs w:val="24"/>
              </w:rPr>
              <w:t>次氯酸钠</w:t>
            </w:r>
          </w:p>
        </w:tc>
        <w:tc>
          <w:tcPr>
            <w:tcW w:w="4682" w:type="dxa"/>
            <w:vAlign w:val="top"/>
          </w:tcPr>
          <w:p w14:paraId="2A60B6FA">
            <w:pPr>
              <w:spacing w:before="79" w:line="188" w:lineRule="auto"/>
              <w:ind w:left="213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r>
      <w:tr w14:paraId="27833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1D7D852B">
            <w:pPr>
              <w:pStyle w:val="6"/>
              <w:spacing w:before="42" w:line="203" w:lineRule="auto"/>
              <w:ind w:left="1453"/>
              <w:rPr>
                <w:sz w:val="24"/>
                <w:szCs w:val="24"/>
              </w:rPr>
            </w:pPr>
            <w:r>
              <w:rPr>
                <w:spacing w:val="-4"/>
                <w:sz w:val="24"/>
                <w:szCs w:val="24"/>
              </w:rPr>
              <w:t>二氯乙烷</w:t>
            </w:r>
          </w:p>
        </w:tc>
        <w:tc>
          <w:tcPr>
            <w:tcW w:w="4682" w:type="dxa"/>
            <w:vAlign w:val="top"/>
          </w:tcPr>
          <w:p w14:paraId="09C17153">
            <w:pPr>
              <w:spacing w:before="81" w:line="188" w:lineRule="auto"/>
              <w:ind w:left="20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r>
      <w:tr w14:paraId="7E8F1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844" w:type="dxa"/>
            <w:vAlign w:val="top"/>
          </w:tcPr>
          <w:p w14:paraId="13BD7100">
            <w:pPr>
              <w:pStyle w:val="6"/>
              <w:spacing w:before="40" w:line="205" w:lineRule="auto"/>
              <w:ind w:left="1691"/>
              <w:rPr>
                <w:sz w:val="24"/>
                <w:szCs w:val="24"/>
              </w:rPr>
            </w:pPr>
            <w:r>
              <w:rPr>
                <w:spacing w:val="-6"/>
                <w:sz w:val="24"/>
                <w:szCs w:val="24"/>
              </w:rPr>
              <w:t>液氯</w:t>
            </w:r>
          </w:p>
        </w:tc>
        <w:tc>
          <w:tcPr>
            <w:tcW w:w="4682" w:type="dxa"/>
            <w:vAlign w:val="top"/>
          </w:tcPr>
          <w:p w14:paraId="42E5A7B7">
            <w:pPr>
              <w:spacing w:before="81" w:line="188" w:lineRule="auto"/>
              <w:ind w:left="20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151.59</w:t>
            </w:r>
          </w:p>
        </w:tc>
      </w:tr>
      <w:tr w14:paraId="1CD90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844" w:type="dxa"/>
            <w:vAlign w:val="top"/>
          </w:tcPr>
          <w:p w14:paraId="0DE807A0">
            <w:pPr>
              <w:pStyle w:val="6"/>
              <w:spacing w:before="39" w:line="205" w:lineRule="auto"/>
              <w:ind w:left="1691"/>
              <w:rPr>
                <w:sz w:val="24"/>
                <w:szCs w:val="24"/>
              </w:rPr>
            </w:pPr>
            <w:r>
              <w:rPr>
                <w:spacing w:val="-6"/>
                <w:sz w:val="24"/>
                <w:szCs w:val="24"/>
              </w:rPr>
              <w:t>硝酸</w:t>
            </w:r>
          </w:p>
        </w:tc>
        <w:tc>
          <w:tcPr>
            <w:tcW w:w="4682" w:type="dxa"/>
            <w:vAlign w:val="top"/>
          </w:tcPr>
          <w:p w14:paraId="1B5DFDEB">
            <w:pPr>
              <w:spacing w:before="81" w:line="188" w:lineRule="auto"/>
              <w:ind w:left="209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r>
      <w:tr w14:paraId="326DF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844" w:type="dxa"/>
            <w:vAlign w:val="top"/>
          </w:tcPr>
          <w:p w14:paraId="262FC48F">
            <w:pPr>
              <w:pStyle w:val="6"/>
              <w:spacing w:before="39" w:line="208" w:lineRule="auto"/>
              <w:ind w:left="1691"/>
              <w:rPr>
                <w:sz w:val="24"/>
                <w:szCs w:val="24"/>
              </w:rPr>
            </w:pPr>
            <w:r>
              <w:rPr>
                <w:spacing w:val="-6"/>
                <w:sz w:val="24"/>
                <w:szCs w:val="24"/>
              </w:rPr>
              <w:t>盐酸</w:t>
            </w:r>
          </w:p>
        </w:tc>
        <w:tc>
          <w:tcPr>
            <w:tcW w:w="4682" w:type="dxa"/>
            <w:vAlign w:val="top"/>
          </w:tcPr>
          <w:p w14:paraId="16574A62">
            <w:pPr>
              <w:spacing w:before="79" w:line="188" w:lineRule="auto"/>
              <w:ind w:left="2141"/>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r>
    </w:tbl>
    <w:p w14:paraId="2395A716">
      <w:pPr>
        <w:spacing w:before="197" w:line="218" w:lineRule="auto"/>
        <w:ind w:left="680"/>
        <w:rPr>
          <w:rFonts w:ascii="宋体" w:hAnsi="宋体" w:eastAsia="宋体" w:cs="宋体"/>
          <w:sz w:val="28"/>
          <w:szCs w:val="28"/>
        </w:rPr>
      </w:pPr>
      <w:r>
        <w:rPr>
          <w:rFonts w:ascii="宋体" w:hAnsi="宋体" w:eastAsia="宋体" w:cs="宋体"/>
          <w:spacing w:val="-1"/>
          <w:sz w:val="28"/>
          <w:szCs w:val="28"/>
        </w:rPr>
        <w:t>③火灾伴生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次生污染物产生量估算</w:t>
      </w:r>
    </w:p>
    <w:p w14:paraId="1E47700B">
      <w:pPr>
        <w:spacing w:before="215" w:line="220" w:lineRule="auto"/>
        <w:ind w:left="674"/>
        <w:rPr>
          <w:rFonts w:ascii="宋体" w:hAnsi="宋体" w:eastAsia="宋体" w:cs="宋体"/>
          <w:sz w:val="28"/>
          <w:szCs w:val="28"/>
        </w:rPr>
      </w:pPr>
      <w:r>
        <w:rPr>
          <w:rFonts w:ascii="Times New Roman" w:hAnsi="Times New Roman" w:eastAsia="Times New Roman" w:cs="Times New Roman"/>
          <w:spacing w:val="-1"/>
          <w:sz w:val="28"/>
          <w:szCs w:val="28"/>
        </w:rPr>
        <w:t>A.</w:t>
      </w:r>
      <w:r>
        <w:rPr>
          <w:rFonts w:ascii="宋体" w:hAnsi="宋体" w:eastAsia="宋体" w:cs="宋体"/>
          <w:spacing w:val="-1"/>
          <w:sz w:val="28"/>
          <w:szCs w:val="28"/>
        </w:rPr>
        <w:t>油品火灾伴生</w:t>
      </w:r>
      <w:r>
        <w:rPr>
          <w:rFonts w:ascii="Times New Roman" w:hAnsi="Times New Roman" w:eastAsia="Times New Roman" w:cs="Times New Roman"/>
          <w:spacing w:val="-1"/>
          <w:sz w:val="28"/>
          <w:szCs w:val="28"/>
        </w:rPr>
        <w:t>/</w:t>
      </w:r>
      <w:r>
        <w:rPr>
          <w:rFonts w:ascii="宋体" w:hAnsi="宋体" w:eastAsia="宋体" w:cs="宋体"/>
          <w:spacing w:val="-1"/>
          <w:sz w:val="28"/>
          <w:szCs w:val="28"/>
        </w:rPr>
        <w:t>次生污染物产生量</w:t>
      </w:r>
    </w:p>
    <w:p w14:paraId="0C99F4AD">
      <w:pPr>
        <w:spacing w:before="211" w:line="345" w:lineRule="auto"/>
        <w:ind w:left="126" w:right="112" w:firstLine="561"/>
        <w:rPr>
          <w:rFonts w:ascii="宋体" w:hAnsi="宋体" w:eastAsia="宋体" w:cs="宋体"/>
          <w:sz w:val="28"/>
          <w:szCs w:val="28"/>
        </w:rPr>
      </w:pPr>
      <w:r>
        <w:rPr>
          <w:rFonts w:ascii="宋体" w:hAnsi="宋体" w:eastAsia="宋体" w:cs="宋体"/>
          <w:spacing w:val="3"/>
          <w:sz w:val="28"/>
          <w:szCs w:val="28"/>
        </w:rPr>
        <w:t>发生危险物质泄漏或火灾后会产生伴生</w:t>
      </w:r>
      <w:r>
        <w:rPr>
          <w:rFonts w:ascii="Times New Roman" w:hAnsi="Times New Roman" w:eastAsia="Times New Roman" w:cs="Times New Roman"/>
          <w:spacing w:val="3"/>
          <w:sz w:val="28"/>
          <w:szCs w:val="28"/>
        </w:rPr>
        <w:t>/</w:t>
      </w:r>
      <w:r>
        <w:rPr>
          <w:rFonts w:ascii="宋体" w:hAnsi="宋体" w:eastAsia="宋体" w:cs="宋体"/>
          <w:spacing w:val="3"/>
          <w:sz w:val="28"/>
          <w:szCs w:val="28"/>
        </w:rPr>
        <w:t>次生灾害，由于油品不</w:t>
      </w:r>
      <w:r>
        <w:rPr>
          <w:rFonts w:ascii="宋体" w:hAnsi="宋体" w:eastAsia="宋体" w:cs="宋体"/>
          <w:spacing w:val="9"/>
          <w:sz w:val="28"/>
          <w:szCs w:val="28"/>
        </w:rPr>
        <w:t xml:space="preserve"> </w:t>
      </w:r>
      <w:r>
        <w:rPr>
          <w:rFonts w:ascii="宋体" w:hAnsi="宋体" w:eastAsia="宋体" w:cs="宋体"/>
          <w:spacing w:val="-1"/>
          <w:sz w:val="28"/>
          <w:szCs w:val="28"/>
        </w:rPr>
        <w:t>完全燃烧会产生一氧化碳，采用导则推荐公式计算：</w:t>
      </w:r>
    </w:p>
    <w:p w14:paraId="4BEA83ED">
      <w:pPr>
        <w:spacing w:line="1896" w:lineRule="exact"/>
        <w:ind w:firstLine="278"/>
      </w:pPr>
      <w:r>
        <w:rPr>
          <w:position w:val="-37"/>
        </w:rPr>
        <w:drawing>
          <wp:inline distT="0" distB="0" distL="0" distR="0">
            <wp:extent cx="5062220" cy="120332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86"/>
                    <a:stretch>
                      <a:fillRect/>
                    </a:stretch>
                  </pic:blipFill>
                  <pic:spPr>
                    <a:xfrm>
                      <a:off x="0" y="0"/>
                      <a:ext cx="5062728" cy="1203959"/>
                    </a:xfrm>
                    <a:prstGeom prst="rect">
                      <a:avLst/>
                    </a:prstGeom>
                  </pic:spPr>
                </pic:pic>
              </a:graphicData>
            </a:graphic>
          </wp:inline>
        </w:drawing>
      </w:r>
    </w:p>
    <w:p w14:paraId="77014558">
      <w:pPr>
        <w:spacing w:before="43" w:line="354" w:lineRule="auto"/>
        <w:ind w:left="123" w:right="112" w:firstLine="560"/>
        <w:jc w:val="both"/>
        <w:rPr>
          <w:rFonts w:ascii="宋体" w:hAnsi="宋体" w:eastAsia="宋体" w:cs="宋体"/>
          <w:sz w:val="28"/>
          <w:szCs w:val="28"/>
        </w:rPr>
      </w:pPr>
      <w:r>
        <w:rPr>
          <w:rFonts w:ascii="宋体" w:hAnsi="宋体" w:eastAsia="宋体" w:cs="宋体"/>
          <w:spacing w:val="-1"/>
          <w:sz w:val="28"/>
          <w:szCs w:val="28"/>
        </w:rPr>
        <w:t>本项目运输车辆使用的油品为柴油，最大存在量为</w:t>
      </w:r>
      <w:r>
        <w:rPr>
          <w:rFonts w:ascii="宋体" w:hAnsi="宋体" w:eastAsia="宋体" w:cs="宋体"/>
          <w:spacing w:val="-44"/>
          <w:sz w:val="28"/>
          <w:szCs w:val="28"/>
        </w:rPr>
        <w:t xml:space="preserve"> </w:t>
      </w:r>
      <w:r>
        <w:rPr>
          <w:rFonts w:ascii="Times New Roman" w:hAnsi="Times New Roman" w:eastAsia="Times New Roman" w:cs="Times New Roman"/>
          <w:spacing w:val="-1"/>
          <w:sz w:val="28"/>
          <w:szCs w:val="28"/>
        </w:rPr>
        <w:t>31.28t</w:t>
      </w:r>
      <w:r>
        <w:rPr>
          <w:rFonts w:ascii="Times New Roman" w:hAnsi="Times New Roman" w:eastAsia="Times New Roman" w:cs="Times New Roman"/>
          <w:spacing w:val="-38"/>
          <w:sz w:val="28"/>
          <w:szCs w:val="28"/>
        </w:rPr>
        <w:t xml:space="preserve"> </w:t>
      </w:r>
      <w:r>
        <w:rPr>
          <w:rFonts w:ascii="宋体" w:hAnsi="宋体" w:eastAsia="宋体" w:cs="宋体"/>
          <w:spacing w:val="-1"/>
          <w:sz w:val="28"/>
          <w:szCs w:val="28"/>
        </w:rPr>
        <w:t>，</w:t>
      </w:r>
      <w:r>
        <w:rPr>
          <w:rFonts w:ascii="Times New Roman" w:hAnsi="Times New Roman" w:eastAsia="Times New Roman" w:cs="Times New Roman"/>
          <w:spacing w:val="-1"/>
          <w:sz w:val="28"/>
          <w:szCs w:val="28"/>
        </w:rPr>
        <w:t xml:space="preserve">q </w:t>
      </w:r>
      <w:r>
        <w:rPr>
          <w:rFonts w:ascii="宋体" w:hAnsi="宋体" w:eastAsia="宋体" w:cs="宋体"/>
          <w:spacing w:val="-1"/>
          <w:sz w:val="28"/>
          <w:szCs w:val="28"/>
        </w:rPr>
        <w:t>取</w:t>
      </w:r>
      <w:r>
        <w:rPr>
          <w:rFonts w:ascii="宋体" w:hAnsi="宋体" w:eastAsia="宋体" w:cs="宋体"/>
          <w:sz w:val="28"/>
          <w:szCs w:val="28"/>
        </w:rPr>
        <w:t xml:space="preserve"> </w:t>
      </w:r>
      <w:r>
        <w:rPr>
          <w:rFonts w:ascii="宋体" w:hAnsi="宋体" w:eastAsia="宋体" w:cs="宋体"/>
          <w:spacing w:val="-2"/>
          <w:sz w:val="28"/>
          <w:szCs w:val="28"/>
        </w:rPr>
        <w:t>值</w:t>
      </w:r>
      <w:r>
        <w:rPr>
          <w:rFonts w:ascii="宋体" w:hAnsi="宋体" w:eastAsia="宋体" w:cs="宋体"/>
          <w:spacing w:val="-59"/>
          <w:sz w:val="28"/>
          <w:szCs w:val="28"/>
        </w:rPr>
        <w:t xml:space="preserve"> </w:t>
      </w:r>
      <w:r>
        <w:rPr>
          <w:rFonts w:ascii="Times New Roman" w:hAnsi="Times New Roman" w:eastAsia="Times New Roman" w:cs="Times New Roman"/>
          <w:spacing w:val="-2"/>
          <w:sz w:val="28"/>
          <w:szCs w:val="28"/>
        </w:rPr>
        <w:t>3%</w:t>
      </w:r>
      <w:r>
        <w:rPr>
          <w:rFonts w:ascii="Times New Roman" w:hAnsi="Times New Roman" w:eastAsia="Times New Roman" w:cs="Times New Roman"/>
          <w:spacing w:val="-37"/>
          <w:sz w:val="28"/>
          <w:szCs w:val="28"/>
        </w:rPr>
        <w:t xml:space="preserve"> </w:t>
      </w:r>
      <w:r>
        <w:rPr>
          <w:rFonts w:ascii="宋体" w:hAnsi="宋体" w:eastAsia="宋体" w:cs="宋体"/>
          <w:spacing w:val="-2"/>
          <w:sz w:val="28"/>
          <w:szCs w:val="28"/>
        </w:rPr>
        <w:t>，假设火灾持续时间为</w:t>
      </w:r>
      <w:r>
        <w:rPr>
          <w:rFonts w:ascii="宋体" w:hAnsi="宋体" w:eastAsia="宋体" w:cs="宋体"/>
          <w:spacing w:val="-62"/>
          <w:sz w:val="28"/>
          <w:szCs w:val="28"/>
        </w:rPr>
        <w:t xml:space="preserve"> </w:t>
      </w:r>
      <w:r>
        <w:rPr>
          <w:rFonts w:ascii="Times New Roman" w:hAnsi="Times New Roman" w:eastAsia="Times New Roman" w:cs="Times New Roman"/>
          <w:spacing w:val="-2"/>
          <w:sz w:val="28"/>
          <w:szCs w:val="28"/>
        </w:rPr>
        <w:t>2</w:t>
      </w:r>
      <w:r>
        <w:rPr>
          <w:rFonts w:ascii="Times New Roman" w:hAnsi="Times New Roman" w:eastAsia="Times New Roman" w:cs="Times New Roman"/>
          <w:spacing w:val="21"/>
          <w:w w:val="101"/>
          <w:sz w:val="28"/>
          <w:szCs w:val="28"/>
        </w:rPr>
        <w:t xml:space="preserve"> </w:t>
      </w:r>
      <w:r>
        <w:rPr>
          <w:rFonts w:ascii="宋体" w:hAnsi="宋体" w:eastAsia="宋体" w:cs="宋体"/>
          <w:spacing w:val="-2"/>
          <w:sz w:val="28"/>
          <w:szCs w:val="28"/>
        </w:rPr>
        <w:t>小时，</w:t>
      </w:r>
      <w:r>
        <w:rPr>
          <w:rFonts w:ascii="Times New Roman" w:hAnsi="Times New Roman" w:eastAsia="Times New Roman" w:cs="Times New Roman"/>
          <w:spacing w:val="-2"/>
          <w:sz w:val="28"/>
          <w:szCs w:val="28"/>
        </w:rPr>
        <w:t xml:space="preserve">Q </w:t>
      </w:r>
      <w:r>
        <w:rPr>
          <w:rFonts w:ascii="宋体" w:hAnsi="宋体" w:eastAsia="宋体" w:cs="宋体"/>
          <w:spacing w:val="-2"/>
          <w:sz w:val="28"/>
          <w:szCs w:val="28"/>
        </w:rPr>
        <w:t>为</w:t>
      </w:r>
      <w:r>
        <w:rPr>
          <w:rFonts w:ascii="宋体" w:hAnsi="宋体" w:eastAsia="宋体" w:cs="宋体"/>
          <w:spacing w:val="-61"/>
          <w:sz w:val="28"/>
          <w:szCs w:val="28"/>
        </w:rPr>
        <w:t xml:space="preserve"> </w:t>
      </w:r>
      <w:r>
        <w:rPr>
          <w:rFonts w:ascii="Times New Roman" w:hAnsi="Times New Roman" w:eastAsia="Times New Roman" w:cs="Times New Roman"/>
          <w:spacing w:val="-2"/>
          <w:sz w:val="28"/>
          <w:szCs w:val="28"/>
        </w:rPr>
        <w:t>0.00</w:t>
      </w:r>
      <w:r>
        <w:rPr>
          <w:rFonts w:ascii="Times New Roman" w:hAnsi="Times New Roman" w:eastAsia="Times New Roman" w:cs="Times New Roman"/>
          <w:spacing w:val="-3"/>
          <w:sz w:val="28"/>
          <w:szCs w:val="28"/>
        </w:rPr>
        <w:t>43t/s</w:t>
      </w:r>
      <w:r>
        <w:rPr>
          <w:rFonts w:ascii="Times New Roman" w:hAnsi="Times New Roman" w:eastAsia="Times New Roman" w:cs="Times New Roman"/>
          <w:spacing w:val="-35"/>
          <w:sz w:val="28"/>
          <w:szCs w:val="28"/>
        </w:rPr>
        <w:t xml:space="preserve"> </w:t>
      </w:r>
      <w:r>
        <w:rPr>
          <w:rFonts w:ascii="宋体" w:hAnsi="宋体" w:eastAsia="宋体" w:cs="宋体"/>
          <w:spacing w:val="-3"/>
          <w:sz w:val="28"/>
          <w:szCs w:val="28"/>
        </w:rPr>
        <w:t>，则一氧化碳产</w:t>
      </w:r>
      <w:r>
        <w:rPr>
          <w:rFonts w:ascii="宋体" w:hAnsi="宋体" w:eastAsia="宋体" w:cs="宋体"/>
          <w:sz w:val="28"/>
          <w:szCs w:val="28"/>
        </w:rPr>
        <w:t xml:space="preserve"> </w:t>
      </w:r>
      <w:r>
        <w:rPr>
          <w:rFonts w:ascii="宋体" w:hAnsi="宋体" w:eastAsia="宋体" w:cs="宋体"/>
          <w:spacing w:val="-2"/>
          <w:sz w:val="28"/>
          <w:szCs w:val="28"/>
        </w:rPr>
        <w:t>生量为</w:t>
      </w:r>
      <w:r>
        <w:rPr>
          <w:rFonts w:ascii="宋体" w:hAnsi="宋体" w:eastAsia="宋体" w:cs="宋体"/>
          <w:spacing w:val="-57"/>
          <w:sz w:val="28"/>
          <w:szCs w:val="28"/>
        </w:rPr>
        <w:t xml:space="preserve"> </w:t>
      </w:r>
      <w:r>
        <w:rPr>
          <w:rFonts w:ascii="Times New Roman" w:hAnsi="Times New Roman" w:eastAsia="Times New Roman" w:cs="Times New Roman"/>
          <w:spacing w:val="-2"/>
          <w:sz w:val="28"/>
          <w:szCs w:val="28"/>
        </w:rPr>
        <w:t>0.26kg/s</w:t>
      </w:r>
      <w:r>
        <w:rPr>
          <w:rFonts w:ascii="宋体" w:hAnsi="宋体" w:eastAsia="宋体" w:cs="宋体"/>
          <w:spacing w:val="-2"/>
          <w:sz w:val="28"/>
          <w:szCs w:val="28"/>
        </w:rPr>
        <w:t>。</w:t>
      </w:r>
    </w:p>
    <w:p w14:paraId="004AE5BD">
      <w:pPr>
        <w:spacing w:before="24" w:line="218" w:lineRule="auto"/>
        <w:ind w:left="680"/>
        <w:rPr>
          <w:rFonts w:ascii="宋体" w:hAnsi="宋体" w:eastAsia="宋体" w:cs="宋体"/>
          <w:sz w:val="28"/>
          <w:szCs w:val="28"/>
        </w:rPr>
      </w:pPr>
      <w:r>
        <w:rPr>
          <w:rFonts w:ascii="宋体" w:hAnsi="宋体" w:eastAsia="宋体" w:cs="宋体"/>
          <w:spacing w:val="-2"/>
          <w:sz w:val="28"/>
          <w:szCs w:val="28"/>
        </w:rPr>
        <w:t>④源强汇总</w:t>
      </w:r>
    </w:p>
    <w:p w14:paraId="4313802D">
      <w:pPr>
        <w:spacing w:before="212" w:line="219" w:lineRule="auto"/>
        <w:ind w:left="682"/>
        <w:rPr>
          <w:rFonts w:ascii="宋体" w:hAnsi="宋体" w:eastAsia="宋体" w:cs="宋体"/>
          <w:sz w:val="28"/>
          <w:szCs w:val="28"/>
        </w:rPr>
      </w:pPr>
      <w:r>
        <w:rPr>
          <w:rFonts w:ascii="宋体" w:hAnsi="宋体" w:eastAsia="宋体" w:cs="宋体"/>
          <w:spacing w:val="-1"/>
          <w:sz w:val="28"/>
          <w:szCs w:val="28"/>
        </w:rPr>
        <w:t>根据源项分析计算可知，本项目环境风险源强情况如下：</w:t>
      </w:r>
    </w:p>
    <w:p w14:paraId="53C28667">
      <w:pPr>
        <w:spacing w:before="206" w:line="219" w:lineRule="auto"/>
        <w:ind w:left="206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6.2-4    </w:t>
      </w:r>
      <w:r>
        <w:rPr>
          <w:rFonts w:ascii="宋体" w:hAnsi="宋体" w:eastAsia="宋体" w:cs="宋体"/>
          <w:b/>
          <w:bCs/>
          <w:spacing w:val="-2"/>
          <w:sz w:val="24"/>
          <w:szCs w:val="24"/>
        </w:rPr>
        <w:t>本项目环境风险污染源强汇总表</w:t>
      </w:r>
    </w:p>
    <w:p w14:paraId="5C9729F6">
      <w:pPr>
        <w:spacing w:line="219" w:lineRule="auto"/>
        <w:rPr>
          <w:rFonts w:ascii="宋体" w:hAnsi="宋体" w:eastAsia="宋体" w:cs="宋体"/>
          <w:sz w:val="24"/>
          <w:szCs w:val="24"/>
        </w:rPr>
        <w:sectPr>
          <w:footerReference r:id="rId119" w:type="default"/>
          <w:pgSz w:w="11906" w:h="16839"/>
          <w:pgMar w:top="400" w:right="1687" w:bottom="1259" w:left="1687" w:header="0" w:footer="1097" w:gutter="0"/>
          <w:cols w:space="720" w:num="1"/>
        </w:sectPr>
      </w:pPr>
    </w:p>
    <w:p w14:paraId="35C97802">
      <w:pPr>
        <w:spacing w:before="19"/>
      </w:pPr>
    </w:p>
    <w:p w14:paraId="06D6F5E6">
      <w:pPr>
        <w:spacing w:before="19"/>
      </w:pPr>
    </w:p>
    <w:p w14:paraId="2DF127B3">
      <w:pPr>
        <w:spacing w:before="18"/>
      </w:pPr>
    </w:p>
    <w:p w14:paraId="4020F601">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1338"/>
        <w:gridCol w:w="704"/>
        <w:gridCol w:w="1177"/>
        <w:gridCol w:w="958"/>
        <w:gridCol w:w="971"/>
        <w:gridCol w:w="1046"/>
        <w:gridCol w:w="1064"/>
        <w:gridCol w:w="755"/>
      </w:tblGrid>
      <w:tr w14:paraId="6E05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13" w:type="dxa"/>
            <w:textDirection w:val="tbRlV"/>
            <w:vAlign w:val="top"/>
          </w:tcPr>
          <w:p w14:paraId="575D768F">
            <w:pPr>
              <w:pStyle w:val="6"/>
              <w:spacing w:before="133" w:line="210" w:lineRule="auto"/>
              <w:ind w:left="195"/>
              <w:rPr>
                <w:sz w:val="24"/>
                <w:szCs w:val="24"/>
              </w:rPr>
            </w:pPr>
            <w:r>
              <w:rPr>
                <w:spacing w:val="35"/>
                <w:sz w:val="24"/>
                <w:szCs w:val="24"/>
              </w:rPr>
              <w:t>序号</w:t>
            </w:r>
          </w:p>
        </w:tc>
        <w:tc>
          <w:tcPr>
            <w:tcW w:w="1338" w:type="dxa"/>
            <w:vAlign w:val="top"/>
          </w:tcPr>
          <w:p w14:paraId="5DBAF52A">
            <w:pPr>
              <w:pStyle w:val="6"/>
              <w:spacing w:before="195" w:line="220" w:lineRule="auto"/>
              <w:ind w:left="193"/>
              <w:rPr>
                <w:sz w:val="24"/>
                <w:szCs w:val="24"/>
              </w:rPr>
            </w:pPr>
            <w:r>
              <w:rPr>
                <w:spacing w:val="-3"/>
                <w:sz w:val="24"/>
                <w:szCs w:val="24"/>
              </w:rPr>
              <w:t>风险事故</w:t>
            </w:r>
          </w:p>
          <w:p w14:paraId="6835D534">
            <w:pPr>
              <w:pStyle w:val="6"/>
              <w:spacing w:before="25" w:line="220" w:lineRule="auto"/>
              <w:ind w:left="433"/>
              <w:rPr>
                <w:sz w:val="24"/>
                <w:szCs w:val="24"/>
              </w:rPr>
            </w:pPr>
            <w:r>
              <w:rPr>
                <w:spacing w:val="-6"/>
                <w:sz w:val="24"/>
                <w:szCs w:val="24"/>
              </w:rPr>
              <w:t>情形</w:t>
            </w:r>
          </w:p>
        </w:tc>
        <w:tc>
          <w:tcPr>
            <w:tcW w:w="704" w:type="dxa"/>
            <w:vAlign w:val="top"/>
          </w:tcPr>
          <w:p w14:paraId="05DD3B7C">
            <w:pPr>
              <w:pStyle w:val="6"/>
              <w:spacing w:before="195" w:line="220" w:lineRule="auto"/>
              <w:ind w:left="119"/>
              <w:rPr>
                <w:sz w:val="24"/>
                <w:szCs w:val="24"/>
              </w:rPr>
            </w:pPr>
            <w:r>
              <w:rPr>
                <w:spacing w:val="-7"/>
                <w:sz w:val="24"/>
                <w:szCs w:val="24"/>
              </w:rPr>
              <w:t>危险</w:t>
            </w:r>
          </w:p>
          <w:p w14:paraId="2A984728">
            <w:pPr>
              <w:pStyle w:val="6"/>
              <w:spacing w:before="25" w:line="220" w:lineRule="auto"/>
              <w:ind w:left="118"/>
              <w:rPr>
                <w:sz w:val="24"/>
                <w:szCs w:val="24"/>
              </w:rPr>
            </w:pPr>
            <w:r>
              <w:rPr>
                <w:spacing w:val="-6"/>
                <w:sz w:val="24"/>
                <w:szCs w:val="24"/>
              </w:rPr>
              <w:t>单元</w:t>
            </w:r>
          </w:p>
        </w:tc>
        <w:tc>
          <w:tcPr>
            <w:tcW w:w="1177" w:type="dxa"/>
            <w:vAlign w:val="top"/>
          </w:tcPr>
          <w:p w14:paraId="0C5B8F69">
            <w:pPr>
              <w:spacing w:line="271" w:lineRule="auto"/>
              <w:rPr>
                <w:rFonts w:ascii="Arial"/>
                <w:sz w:val="21"/>
              </w:rPr>
            </w:pPr>
          </w:p>
          <w:p w14:paraId="7B39E9C0">
            <w:pPr>
              <w:pStyle w:val="6"/>
              <w:spacing w:before="78" w:line="220" w:lineRule="auto"/>
              <w:ind w:left="116"/>
              <w:rPr>
                <w:sz w:val="24"/>
                <w:szCs w:val="24"/>
              </w:rPr>
            </w:pPr>
            <w:r>
              <w:rPr>
                <w:spacing w:val="-4"/>
                <w:sz w:val="24"/>
                <w:szCs w:val="24"/>
              </w:rPr>
              <w:t>危险物质</w:t>
            </w:r>
          </w:p>
        </w:tc>
        <w:tc>
          <w:tcPr>
            <w:tcW w:w="958" w:type="dxa"/>
            <w:vAlign w:val="top"/>
          </w:tcPr>
          <w:p w14:paraId="61A0C491">
            <w:pPr>
              <w:pStyle w:val="6"/>
              <w:spacing w:before="42" w:line="219" w:lineRule="auto"/>
              <w:ind w:left="123"/>
              <w:rPr>
                <w:sz w:val="24"/>
                <w:szCs w:val="24"/>
              </w:rPr>
            </w:pPr>
            <w:r>
              <w:rPr>
                <w:spacing w:val="-3"/>
                <w:sz w:val="24"/>
                <w:szCs w:val="24"/>
              </w:rPr>
              <w:t>释放或</w:t>
            </w:r>
          </w:p>
          <w:p w14:paraId="018ADA8E">
            <w:pPr>
              <w:pStyle w:val="6"/>
              <w:spacing w:before="23" w:line="224" w:lineRule="auto"/>
              <w:ind w:left="135" w:right="118" w:hanging="7"/>
              <w:rPr>
                <w:rFonts w:ascii="Times New Roman" w:hAnsi="Times New Roman" w:eastAsia="Times New Roman" w:cs="Times New Roman"/>
                <w:sz w:val="24"/>
                <w:szCs w:val="24"/>
              </w:rPr>
            </w:pPr>
            <w:r>
              <w:rPr>
                <w:spacing w:val="-5"/>
                <w:sz w:val="24"/>
                <w:szCs w:val="24"/>
              </w:rPr>
              <w:t>泄露速</w:t>
            </w:r>
            <w:r>
              <w:rPr>
                <w:sz w:val="24"/>
                <w:szCs w:val="24"/>
              </w:rPr>
              <w:t xml:space="preserve"> </w:t>
            </w:r>
            <w:r>
              <w:rPr>
                <w:spacing w:val="-4"/>
                <w:sz w:val="24"/>
                <w:szCs w:val="24"/>
              </w:rPr>
              <w:t>率</w:t>
            </w:r>
            <w:r>
              <w:rPr>
                <w:spacing w:val="-55"/>
                <w:sz w:val="24"/>
                <w:szCs w:val="24"/>
              </w:rPr>
              <w:t xml:space="preserve"> </w:t>
            </w:r>
            <w:r>
              <w:rPr>
                <w:rFonts w:ascii="Times New Roman" w:hAnsi="Times New Roman" w:eastAsia="Times New Roman" w:cs="Times New Roman"/>
                <w:spacing w:val="-4"/>
                <w:sz w:val="24"/>
                <w:szCs w:val="24"/>
              </w:rPr>
              <w:t>kg/s</w:t>
            </w:r>
          </w:p>
        </w:tc>
        <w:tc>
          <w:tcPr>
            <w:tcW w:w="971" w:type="dxa"/>
            <w:vAlign w:val="top"/>
          </w:tcPr>
          <w:p w14:paraId="5DBA6172">
            <w:pPr>
              <w:pStyle w:val="6"/>
              <w:spacing w:before="42" w:line="219" w:lineRule="auto"/>
              <w:ind w:left="130"/>
              <w:rPr>
                <w:sz w:val="24"/>
                <w:szCs w:val="24"/>
              </w:rPr>
            </w:pPr>
            <w:r>
              <w:rPr>
                <w:spacing w:val="-3"/>
                <w:sz w:val="24"/>
                <w:szCs w:val="24"/>
              </w:rPr>
              <w:t>释放或</w:t>
            </w:r>
          </w:p>
          <w:p w14:paraId="1D4DBF70">
            <w:pPr>
              <w:pStyle w:val="6"/>
              <w:spacing w:before="23" w:line="224" w:lineRule="auto"/>
              <w:ind w:left="173" w:right="124" w:hanging="38"/>
              <w:rPr>
                <w:rFonts w:ascii="Times New Roman" w:hAnsi="Times New Roman" w:eastAsia="Times New Roman" w:cs="Times New Roman"/>
                <w:sz w:val="24"/>
                <w:szCs w:val="24"/>
              </w:rPr>
            </w:pPr>
            <w:r>
              <w:rPr>
                <w:spacing w:val="-5"/>
                <w:sz w:val="24"/>
                <w:szCs w:val="24"/>
              </w:rPr>
              <w:t>泄露时</w:t>
            </w:r>
            <w:r>
              <w:rPr>
                <w:sz w:val="24"/>
                <w:szCs w:val="24"/>
              </w:rPr>
              <w:t xml:space="preserve"> </w:t>
            </w:r>
            <w:r>
              <w:rPr>
                <w:spacing w:val="-8"/>
                <w:sz w:val="24"/>
                <w:szCs w:val="24"/>
              </w:rPr>
              <w:t>间</w:t>
            </w:r>
            <w:r>
              <w:rPr>
                <w:spacing w:val="-57"/>
                <w:sz w:val="24"/>
                <w:szCs w:val="24"/>
              </w:rPr>
              <w:t xml:space="preserve"> </w:t>
            </w:r>
            <w:r>
              <w:rPr>
                <w:rFonts w:ascii="Times New Roman" w:hAnsi="Times New Roman" w:eastAsia="Times New Roman" w:cs="Times New Roman"/>
                <w:spacing w:val="-8"/>
                <w:sz w:val="24"/>
                <w:szCs w:val="24"/>
              </w:rPr>
              <w:t>min</w:t>
            </w:r>
          </w:p>
        </w:tc>
        <w:tc>
          <w:tcPr>
            <w:tcW w:w="1046" w:type="dxa"/>
            <w:vAlign w:val="top"/>
          </w:tcPr>
          <w:p w14:paraId="7E282A71">
            <w:pPr>
              <w:pStyle w:val="6"/>
              <w:spacing w:before="42" w:line="219" w:lineRule="auto"/>
              <w:ind w:left="173"/>
              <w:rPr>
                <w:sz w:val="24"/>
                <w:szCs w:val="24"/>
              </w:rPr>
            </w:pPr>
            <w:r>
              <w:rPr>
                <w:spacing w:val="-5"/>
                <w:sz w:val="24"/>
                <w:szCs w:val="24"/>
              </w:rPr>
              <w:t>最大释</w:t>
            </w:r>
          </w:p>
          <w:p w14:paraId="73ED2EE4">
            <w:pPr>
              <w:pStyle w:val="6"/>
              <w:spacing w:before="23" w:line="224" w:lineRule="auto"/>
              <w:ind w:left="139" w:right="131" w:firstLine="31"/>
              <w:rPr>
                <w:rFonts w:ascii="Times New Roman" w:hAnsi="Times New Roman" w:eastAsia="Times New Roman" w:cs="Times New Roman"/>
                <w:sz w:val="24"/>
                <w:szCs w:val="24"/>
              </w:rPr>
            </w:pPr>
            <w:r>
              <w:rPr>
                <w:spacing w:val="-4"/>
                <w:sz w:val="24"/>
                <w:szCs w:val="24"/>
              </w:rPr>
              <w:t>放或泄</w:t>
            </w:r>
            <w:r>
              <w:rPr>
                <w:spacing w:val="1"/>
                <w:sz w:val="24"/>
                <w:szCs w:val="24"/>
              </w:rPr>
              <w:t xml:space="preserve"> </w:t>
            </w:r>
            <w:r>
              <w:rPr>
                <w:spacing w:val="-3"/>
                <w:sz w:val="24"/>
                <w:szCs w:val="24"/>
              </w:rPr>
              <w:t>漏量</w:t>
            </w:r>
            <w:r>
              <w:rPr>
                <w:spacing w:val="-59"/>
                <w:sz w:val="24"/>
                <w:szCs w:val="24"/>
              </w:rPr>
              <w:t xml:space="preserve"> </w:t>
            </w:r>
            <w:r>
              <w:rPr>
                <w:rFonts w:ascii="Times New Roman" w:hAnsi="Times New Roman" w:eastAsia="Times New Roman" w:cs="Times New Roman"/>
                <w:spacing w:val="-3"/>
                <w:sz w:val="24"/>
                <w:szCs w:val="24"/>
              </w:rPr>
              <w:t>kg</w:t>
            </w:r>
          </w:p>
        </w:tc>
        <w:tc>
          <w:tcPr>
            <w:tcW w:w="1064" w:type="dxa"/>
            <w:vAlign w:val="top"/>
          </w:tcPr>
          <w:p w14:paraId="5AFC50CC">
            <w:pPr>
              <w:pStyle w:val="6"/>
              <w:spacing w:before="41" w:line="220" w:lineRule="auto"/>
              <w:ind w:left="184"/>
              <w:rPr>
                <w:sz w:val="24"/>
                <w:szCs w:val="24"/>
              </w:rPr>
            </w:pPr>
            <w:r>
              <w:rPr>
                <w:spacing w:val="-5"/>
                <w:sz w:val="24"/>
                <w:szCs w:val="24"/>
              </w:rPr>
              <w:t>泄露液</w:t>
            </w:r>
          </w:p>
          <w:p w14:paraId="4DC8BA90">
            <w:pPr>
              <w:pStyle w:val="6"/>
              <w:spacing w:before="23" w:line="218" w:lineRule="auto"/>
              <w:ind w:left="180"/>
              <w:rPr>
                <w:sz w:val="24"/>
                <w:szCs w:val="24"/>
              </w:rPr>
            </w:pPr>
            <w:r>
              <w:rPr>
                <w:spacing w:val="-4"/>
                <w:sz w:val="24"/>
                <w:szCs w:val="24"/>
              </w:rPr>
              <w:t>体蒸发</w:t>
            </w:r>
          </w:p>
          <w:p w14:paraId="0EDAC8C3">
            <w:pPr>
              <w:pStyle w:val="6"/>
              <w:spacing w:before="29" w:line="207" w:lineRule="auto"/>
              <w:ind w:left="269"/>
              <w:rPr>
                <w:rFonts w:ascii="Times New Roman" w:hAnsi="Times New Roman" w:eastAsia="Times New Roman" w:cs="Times New Roman"/>
                <w:sz w:val="24"/>
                <w:szCs w:val="24"/>
              </w:rPr>
            </w:pPr>
            <w:r>
              <w:rPr>
                <w:spacing w:val="-4"/>
                <w:sz w:val="24"/>
                <w:szCs w:val="24"/>
              </w:rPr>
              <w:t>量</w:t>
            </w:r>
            <w:r>
              <w:rPr>
                <w:spacing w:val="-57"/>
                <w:sz w:val="24"/>
                <w:szCs w:val="24"/>
              </w:rPr>
              <w:t xml:space="preserve"> </w:t>
            </w:r>
            <w:r>
              <w:rPr>
                <w:rFonts w:ascii="Times New Roman" w:hAnsi="Times New Roman" w:eastAsia="Times New Roman" w:cs="Times New Roman"/>
                <w:spacing w:val="-4"/>
                <w:sz w:val="24"/>
                <w:szCs w:val="24"/>
              </w:rPr>
              <w:t>kg</w:t>
            </w:r>
          </w:p>
        </w:tc>
        <w:tc>
          <w:tcPr>
            <w:tcW w:w="755" w:type="dxa"/>
            <w:vAlign w:val="top"/>
          </w:tcPr>
          <w:p w14:paraId="67E2ACFD">
            <w:pPr>
              <w:pStyle w:val="6"/>
              <w:spacing w:before="196" w:line="221" w:lineRule="auto"/>
              <w:ind w:left="143"/>
              <w:rPr>
                <w:sz w:val="24"/>
                <w:szCs w:val="24"/>
              </w:rPr>
            </w:pPr>
            <w:r>
              <w:rPr>
                <w:spacing w:val="-5"/>
                <w:sz w:val="24"/>
                <w:szCs w:val="24"/>
              </w:rPr>
              <w:t>影响</w:t>
            </w:r>
          </w:p>
          <w:p w14:paraId="5C007493">
            <w:pPr>
              <w:pStyle w:val="6"/>
              <w:spacing w:before="24" w:line="219" w:lineRule="auto"/>
              <w:ind w:left="143"/>
              <w:rPr>
                <w:sz w:val="24"/>
                <w:szCs w:val="24"/>
              </w:rPr>
            </w:pPr>
            <w:r>
              <w:rPr>
                <w:spacing w:val="-5"/>
                <w:sz w:val="24"/>
                <w:szCs w:val="24"/>
              </w:rPr>
              <w:t>途径</w:t>
            </w:r>
          </w:p>
        </w:tc>
      </w:tr>
      <w:tr w14:paraId="2D364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25A7E5FE">
            <w:pPr>
              <w:spacing w:before="76"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38" w:type="dxa"/>
            <w:vAlign w:val="top"/>
          </w:tcPr>
          <w:p w14:paraId="08A099CC">
            <w:pPr>
              <w:pStyle w:val="6"/>
              <w:spacing w:before="34" w:line="209" w:lineRule="auto"/>
              <w:ind w:left="194"/>
              <w:rPr>
                <w:sz w:val="24"/>
                <w:szCs w:val="24"/>
              </w:rPr>
            </w:pPr>
            <w:r>
              <w:rPr>
                <w:spacing w:val="-3"/>
                <w:sz w:val="24"/>
                <w:szCs w:val="24"/>
              </w:rPr>
              <w:t>罐车泄露</w:t>
            </w:r>
          </w:p>
        </w:tc>
        <w:tc>
          <w:tcPr>
            <w:tcW w:w="704" w:type="dxa"/>
            <w:vMerge w:val="restart"/>
            <w:tcBorders>
              <w:bottom w:val="nil"/>
            </w:tcBorders>
            <w:vAlign w:val="top"/>
          </w:tcPr>
          <w:p w14:paraId="6642AE03">
            <w:pPr>
              <w:spacing w:line="281" w:lineRule="auto"/>
              <w:rPr>
                <w:rFonts w:ascii="Arial"/>
                <w:sz w:val="21"/>
              </w:rPr>
            </w:pPr>
          </w:p>
          <w:p w14:paraId="536CBC0E">
            <w:pPr>
              <w:spacing w:line="282" w:lineRule="auto"/>
              <w:rPr>
                <w:rFonts w:ascii="Arial"/>
                <w:sz w:val="21"/>
              </w:rPr>
            </w:pPr>
          </w:p>
          <w:p w14:paraId="32A9FFDF">
            <w:pPr>
              <w:spacing w:line="282" w:lineRule="auto"/>
              <w:rPr>
                <w:rFonts w:ascii="Arial"/>
                <w:sz w:val="21"/>
              </w:rPr>
            </w:pPr>
          </w:p>
          <w:p w14:paraId="1A6F4B7D">
            <w:pPr>
              <w:spacing w:line="282" w:lineRule="auto"/>
              <w:rPr>
                <w:rFonts w:ascii="Arial"/>
                <w:sz w:val="21"/>
              </w:rPr>
            </w:pPr>
          </w:p>
          <w:p w14:paraId="78719CF8">
            <w:pPr>
              <w:spacing w:line="282" w:lineRule="auto"/>
              <w:rPr>
                <w:rFonts w:ascii="Arial"/>
                <w:sz w:val="21"/>
              </w:rPr>
            </w:pPr>
          </w:p>
          <w:p w14:paraId="5AFB06A9">
            <w:pPr>
              <w:pStyle w:val="6"/>
              <w:spacing w:before="78" w:line="220" w:lineRule="auto"/>
              <w:ind w:left="119"/>
              <w:rPr>
                <w:sz w:val="24"/>
                <w:szCs w:val="24"/>
              </w:rPr>
            </w:pPr>
            <w:r>
              <w:rPr>
                <w:spacing w:val="-7"/>
                <w:sz w:val="24"/>
                <w:szCs w:val="24"/>
              </w:rPr>
              <w:t>危险</w:t>
            </w:r>
          </w:p>
          <w:p w14:paraId="2CED2110">
            <w:pPr>
              <w:pStyle w:val="6"/>
              <w:spacing w:before="23" w:line="221" w:lineRule="auto"/>
              <w:ind w:left="117"/>
              <w:rPr>
                <w:sz w:val="24"/>
                <w:szCs w:val="24"/>
              </w:rPr>
            </w:pPr>
            <w:r>
              <w:rPr>
                <w:spacing w:val="-6"/>
                <w:sz w:val="24"/>
                <w:szCs w:val="24"/>
              </w:rPr>
              <w:t>化学</w:t>
            </w:r>
          </w:p>
          <w:p w14:paraId="06067993">
            <w:pPr>
              <w:pStyle w:val="6"/>
              <w:spacing w:before="25" w:line="220" w:lineRule="auto"/>
              <w:ind w:left="136"/>
              <w:rPr>
                <w:sz w:val="24"/>
                <w:szCs w:val="24"/>
              </w:rPr>
            </w:pPr>
            <w:r>
              <w:rPr>
                <w:spacing w:val="-15"/>
                <w:sz w:val="24"/>
                <w:szCs w:val="24"/>
              </w:rPr>
              <w:t>品停</w:t>
            </w:r>
          </w:p>
          <w:p w14:paraId="793FD805">
            <w:pPr>
              <w:pStyle w:val="6"/>
              <w:spacing w:before="26" w:line="219" w:lineRule="auto"/>
              <w:ind w:left="118"/>
              <w:rPr>
                <w:sz w:val="24"/>
                <w:szCs w:val="24"/>
              </w:rPr>
            </w:pPr>
            <w:r>
              <w:rPr>
                <w:spacing w:val="-6"/>
                <w:sz w:val="24"/>
                <w:szCs w:val="24"/>
              </w:rPr>
              <w:t>车区</w:t>
            </w:r>
          </w:p>
        </w:tc>
        <w:tc>
          <w:tcPr>
            <w:tcW w:w="1177" w:type="dxa"/>
            <w:vAlign w:val="top"/>
          </w:tcPr>
          <w:p w14:paraId="5549A903">
            <w:pPr>
              <w:pStyle w:val="6"/>
              <w:spacing w:before="34" w:line="209" w:lineRule="auto"/>
              <w:ind w:left="384"/>
              <w:rPr>
                <w:sz w:val="24"/>
                <w:szCs w:val="24"/>
              </w:rPr>
            </w:pPr>
            <w:r>
              <w:rPr>
                <w:spacing w:val="-21"/>
                <w:sz w:val="24"/>
                <w:szCs w:val="24"/>
              </w:rPr>
              <w:t>甲醇</w:t>
            </w:r>
          </w:p>
        </w:tc>
        <w:tc>
          <w:tcPr>
            <w:tcW w:w="958" w:type="dxa"/>
            <w:vAlign w:val="top"/>
          </w:tcPr>
          <w:p w14:paraId="0FBBB688">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0.60</w:t>
            </w:r>
          </w:p>
        </w:tc>
        <w:tc>
          <w:tcPr>
            <w:tcW w:w="971" w:type="dxa"/>
            <w:vAlign w:val="top"/>
          </w:tcPr>
          <w:p w14:paraId="0DFA80AF">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0CEE8402">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539.55</w:t>
            </w:r>
          </w:p>
        </w:tc>
        <w:tc>
          <w:tcPr>
            <w:tcW w:w="1064" w:type="dxa"/>
            <w:vAlign w:val="top"/>
          </w:tcPr>
          <w:p w14:paraId="7E5BCFA2">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3.6</w:t>
            </w:r>
          </w:p>
        </w:tc>
        <w:tc>
          <w:tcPr>
            <w:tcW w:w="755" w:type="dxa"/>
            <w:vMerge w:val="restart"/>
            <w:tcBorders>
              <w:bottom w:val="nil"/>
            </w:tcBorders>
            <w:vAlign w:val="top"/>
          </w:tcPr>
          <w:p w14:paraId="363F4C0D">
            <w:pPr>
              <w:spacing w:line="250" w:lineRule="auto"/>
              <w:rPr>
                <w:rFonts w:ascii="Arial"/>
                <w:sz w:val="21"/>
              </w:rPr>
            </w:pPr>
          </w:p>
          <w:p w14:paraId="382FF2EB">
            <w:pPr>
              <w:spacing w:line="251" w:lineRule="auto"/>
              <w:rPr>
                <w:rFonts w:ascii="Arial"/>
                <w:sz w:val="21"/>
              </w:rPr>
            </w:pPr>
          </w:p>
          <w:p w14:paraId="6E3F1CEB">
            <w:pPr>
              <w:spacing w:line="251" w:lineRule="auto"/>
              <w:rPr>
                <w:rFonts w:ascii="Arial"/>
                <w:sz w:val="21"/>
              </w:rPr>
            </w:pPr>
          </w:p>
          <w:p w14:paraId="7DBE7E50">
            <w:pPr>
              <w:spacing w:line="251" w:lineRule="auto"/>
              <w:rPr>
                <w:rFonts w:ascii="Arial"/>
                <w:sz w:val="21"/>
              </w:rPr>
            </w:pPr>
          </w:p>
          <w:p w14:paraId="2F8807C2">
            <w:pPr>
              <w:spacing w:line="251" w:lineRule="auto"/>
              <w:rPr>
                <w:rFonts w:ascii="Arial"/>
                <w:sz w:val="21"/>
              </w:rPr>
            </w:pPr>
          </w:p>
          <w:p w14:paraId="3E7A4F24">
            <w:pPr>
              <w:pStyle w:val="6"/>
              <w:spacing w:before="78" w:line="220" w:lineRule="auto"/>
              <w:ind w:left="143"/>
              <w:rPr>
                <w:sz w:val="24"/>
                <w:szCs w:val="24"/>
              </w:rPr>
            </w:pPr>
            <w:r>
              <w:rPr>
                <w:spacing w:val="-5"/>
                <w:sz w:val="24"/>
                <w:szCs w:val="24"/>
              </w:rPr>
              <w:t>环境</w:t>
            </w:r>
          </w:p>
          <w:p w14:paraId="19C6B82B">
            <w:pPr>
              <w:pStyle w:val="6"/>
              <w:spacing w:before="23"/>
              <w:ind w:left="144" w:right="175" w:firstLine="126"/>
              <w:rPr>
                <w:sz w:val="24"/>
                <w:szCs w:val="24"/>
              </w:rPr>
            </w:pPr>
            <w:r>
              <w:rPr>
                <w:spacing w:val="-17"/>
                <w:sz w:val="24"/>
                <w:szCs w:val="24"/>
              </w:rPr>
              <w:t>空</w:t>
            </w:r>
            <w:r>
              <w:rPr>
                <w:sz w:val="24"/>
                <w:szCs w:val="24"/>
              </w:rPr>
              <w:t xml:space="preserve"> </w:t>
            </w:r>
            <w:r>
              <w:rPr>
                <w:spacing w:val="-26"/>
                <w:sz w:val="24"/>
                <w:szCs w:val="24"/>
              </w:rPr>
              <w:t>气、</w:t>
            </w:r>
          </w:p>
          <w:p w14:paraId="537BAF72">
            <w:pPr>
              <w:pStyle w:val="6"/>
              <w:spacing w:line="242" w:lineRule="auto"/>
              <w:ind w:left="265" w:right="135" w:hanging="122"/>
              <w:rPr>
                <w:sz w:val="24"/>
                <w:szCs w:val="24"/>
              </w:rPr>
            </w:pPr>
            <w:r>
              <w:rPr>
                <w:spacing w:val="-5"/>
                <w:sz w:val="24"/>
                <w:szCs w:val="24"/>
              </w:rPr>
              <w:t>地下</w:t>
            </w:r>
            <w:r>
              <w:rPr>
                <w:sz w:val="24"/>
                <w:szCs w:val="24"/>
              </w:rPr>
              <w:t xml:space="preserve"> 水</w:t>
            </w:r>
          </w:p>
        </w:tc>
      </w:tr>
      <w:tr w14:paraId="48C4D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F5AF319">
            <w:pPr>
              <w:spacing w:before="77" w:line="188" w:lineRule="auto"/>
              <w:ind w:left="19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38" w:type="dxa"/>
            <w:vAlign w:val="top"/>
          </w:tcPr>
          <w:p w14:paraId="06296CFB">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5F97525">
            <w:pPr>
              <w:rPr>
                <w:rFonts w:ascii="Arial"/>
                <w:sz w:val="21"/>
              </w:rPr>
            </w:pPr>
          </w:p>
        </w:tc>
        <w:tc>
          <w:tcPr>
            <w:tcW w:w="1177" w:type="dxa"/>
            <w:vAlign w:val="top"/>
          </w:tcPr>
          <w:p w14:paraId="4D808931">
            <w:pPr>
              <w:pStyle w:val="6"/>
              <w:spacing w:before="38" w:line="206" w:lineRule="auto"/>
              <w:ind w:left="353"/>
              <w:rPr>
                <w:sz w:val="24"/>
                <w:szCs w:val="24"/>
              </w:rPr>
            </w:pPr>
            <w:r>
              <w:rPr>
                <w:spacing w:val="-5"/>
                <w:sz w:val="24"/>
                <w:szCs w:val="24"/>
              </w:rPr>
              <w:t>氨水</w:t>
            </w:r>
          </w:p>
        </w:tc>
        <w:tc>
          <w:tcPr>
            <w:tcW w:w="958" w:type="dxa"/>
            <w:vAlign w:val="top"/>
          </w:tcPr>
          <w:p w14:paraId="4F8FA6F1">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0.64</w:t>
            </w:r>
          </w:p>
        </w:tc>
        <w:tc>
          <w:tcPr>
            <w:tcW w:w="971" w:type="dxa"/>
            <w:vAlign w:val="top"/>
          </w:tcPr>
          <w:p w14:paraId="387080AB">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723C7CEF">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579.00</w:t>
            </w:r>
          </w:p>
        </w:tc>
        <w:tc>
          <w:tcPr>
            <w:tcW w:w="1064" w:type="dxa"/>
            <w:vAlign w:val="top"/>
          </w:tcPr>
          <w:p w14:paraId="1AB23507">
            <w:pPr>
              <w:spacing w:before="76" w:line="188" w:lineRule="auto"/>
              <w:ind w:left="38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7.2</w:t>
            </w:r>
          </w:p>
        </w:tc>
        <w:tc>
          <w:tcPr>
            <w:tcW w:w="755" w:type="dxa"/>
            <w:vMerge w:val="continue"/>
            <w:tcBorders>
              <w:top w:val="nil"/>
              <w:bottom w:val="nil"/>
            </w:tcBorders>
            <w:vAlign w:val="top"/>
          </w:tcPr>
          <w:p w14:paraId="7E381B68">
            <w:pPr>
              <w:rPr>
                <w:rFonts w:ascii="Arial"/>
                <w:sz w:val="21"/>
              </w:rPr>
            </w:pPr>
          </w:p>
        </w:tc>
      </w:tr>
      <w:tr w14:paraId="725A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7B476CFB">
            <w:pPr>
              <w:spacing w:before="77" w:line="188" w:lineRule="auto"/>
              <w:ind w:left="20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38" w:type="dxa"/>
            <w:vAlign w:val="top"/>
          </w:tcPr>
          <w:p w14:paraId="7375E4B9">
            <w:pPr>
              <w:pStyle w:val="6"/>
              <w:spacing w:before="35" w:line="208"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516051E">
            <w:pPr>
              <w:rPr>
                <w:rFonts w:ascii="Arial"/>
                <w:sz w:val="21"/>
              </w:rPr>
            </w:pPr>
          </w:p>
        </w:tc>
        <w:tc>
          <w:tcPr>
            <w:tcW w:w="1177" w:type="dxa"/>
            <w:vAlign w:val="top"/>
          </w:tcPr>
          <w:p w14:paraId="1DCDCD6A">
            <w:pPr>
              <w:pStyle w:val="6"/>
              <w:spacing w:before="35" w:line="208" w:lineRule="auto"/>
              <w:ind w:left="355"/>
              <w:rPr>
                <w:sz w:val="24"/>
                <w:szCs w:val="24"/>
              </w:rPr>
            </w:pPr>
            <w:r>
              <w:rPr>
                <w:spacing w:val="-6"/>
                <w:sz w:val="24"/>
                <w:szCs w:val="24"/>
              </w:rPr>
              <w:t>液氨</w:t>
            </w:r>
          </w:p>
        </w:tc>
        <w:tc>
          <w:tcPr>
            <w:tcW w:w="958" w:type="dxa"/>
            <w:vAlign w:val="top"/>
          </w:tcPr>
          <w:p w14:paraId="3C826765">
            <w:pPr>
              <w:spacing w:before="77"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0.55</w:t>
            </w:r>
          </w:p>
        </w:tc>
        <w:tc>
          <w:tcPr>
            <w:tcW w:w="971" w:type="dxa"/>
            <w:vAlign w:val="top"/>
          </w:tcPr>
          <w:p w14:paraId="6DFCE5B1">
            <w:pPr>
              <w:spacing w:before="77"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2A327500">
            <w:pPr>
              <w:spacing w:before="77" w:line="188" w:lineRule="auto"/>
              <w:ind w:left="19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493.20</w:t>
            </w:r>
          </w:p>
        </w:tc>
        <w:tc>
          <w:tcPr>
            <w:tcW w:w="1064" w:type="dxa"/>
            <w:vAlign w:val="top"/>
          </w:tcPr>
          <w:p w14:paraId="0AB40615">
            <w:pPr>
              <w:spacing w:before="77"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181.08</w:t>
            </w:r>
          </w:p>
        </w:tc>
        <w:tc>
          <w:tcPr>
            <w:tcW w:w="755" w:type="dxa"/>
            <w:vMerge w:val="continue"/>
            <w:tcBorders>
              <w:top w:val="nil"/>
              <w:bottom w:val="nil"/>
            </w:tcBorders>
            <w:vAlign w:val="top"/>
          </w:tcPr>
          <w:p w14:paraId="235F6A61">
            <w:pPr>
              <w:rPr>
                <w:rFonts w:ascii="Arial"/>
                <w:sz w:val="21"/>
              </w:rPr>
            </w:pPr>
          </w:p>
        </w:tc>
      </w:tr>
      <w:tr w14:paraId="75979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3E821224">
            <w:pPr>
              <w:spacing w:before="78" w:line="188" w:lineRule="auto"/>
              <w:ind w:left="19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38" w:type="dxa"/>
            <w:vAlign w:val="top"/>
          </w:tcPr>
          <w:p w14:paraId="616E9360">
            <w:pPr>
              <w:pStyle w:val="6"/>
              <w:spacing w:before="36" w:line="207"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5D35C51">
            <w:pPr>
              <w:rPr>
                <w:rFonts w:ascii="Arial"/>
                <w:sz w:val="21"/>
              </w:rPr>
            </w:pPr>
          </w:p>
        </w:tc>
        <w:tc>
          <w:tcPr>
            <w:tcW w:w="1177" w:type="dxa"/>
            <w:vAlign w:val="top"/>
          </w:tcPr>
          <w:p w14:paraId="4F77C1F6">
            <w:pPr>
              <w:pStyle w:val="6"/>
              <w:spacing w:before="36" w:line="207" w:lineRule="auto"/>
              <w:ind w:left="352"/>
              <w:rPr>
                <w:sz w:val="24"/>
                <w:szCs w:val="24"/>
              </w:rPr>
            </w:pPr>
            <w:r>
              <w:rPr>
                <w:spacing w:val="-5"/>
                <w:sz w:val="24"/>
                <w:szCs w:val="24"/>
              </w:rPr>
              <w:t>硫酸</w:t>
            </w:r>
          </w:p>
        </w:tc>
        <w:tc>
          <w:tcPr>
            <w:tcW w:w="958" w:type="dxa"/>
            <w:vAlign w:val="top"/>
          </w:tcPr>
          <w:p w14:paraId="2C8B3619">
            <w:pPr>
              <w:spacing w:before="78" w:line="188" w:lineRule="auto"/>
              <w:ind w:left="29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1.01</w:t>
            </w:r>
          </w:p>
        </w:tc>
        <w:tc>
          <w:tcPr>
            <w:tcW w:w="971" w:type="dxa"/>
            <w:vAlign w:val="top"/>
          </w:tcPr>
          <w:p w14:paraId="25620614">
            <w:pPr>
              <w:spacing w:before="78"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147BD016">
            <w:pPr>
              <w:spacing w:before="78"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908.52</w:t>
            </w:r>
          </w:p>
        </w:tc>
        <w:tc>
          <w:tcPr>
            <w:tcW w:w="1064" w:type="dxa"/>
            <w:vAlign w:val="top"/>
          </w:tcPr>
          <w:p w14:paraId="431A8879">
            <w:pPr>
              <w:spacing w:before="78" w:line="188" w:lineRule="auto"/>
              <w:ind w:left="34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19.8</w:t>
            </w:r>
          </w:p>
        </w:tc>
        <w:tc>
          <w:tcPr>
            <w:tcW w:w="755" w:type="dxa"/>
            <w:vMerge w:val="continue"/>
            <w:tcBorders>
              <w:top w:val="nil"/>
              <w:bottom w:val="nil"/>
            </w:tcBorders>
            <w:vAlign w:val="top"/>
          </w:tcPr>
          <w:p w14:paraId="7BC0429D">
            <w:pPr>
              <w:rPr>
                <w:rFonts w:ascii="Arial"/>
                <w:sz w:val="21"/>
              </w:rPr>
            </w:pPr>
          </w:p>
        </w:tc>
      </w:tr>
      <w:tr w14:paraId="40BB9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632C6E0C">
            <w:pPr>
              <w:spacing w:before="79" w:line="185" w:lineRule="auto"/>
              <w:ind w:left="20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338" w:type="dxa"/>
            <w:vAlign w:val="top"/>
          </w:tcPr>
          <w:p w14:paraId="397A7212">
            <w:pPr>
              <w:pStyle w:val="6"/>
              <w:spacing w:before="36" w:line="207"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69DC877">
            <w:pPr>
              <w:rPr>
                <w:rFonts w:ascii="Arial"/>
                <w:sz w:val="21"/>
              </w:rPr>
            </w:pPr>
          </w:p>
        </w:tc>
        <w:tc>
          <w:tcPr>
            <w:tcW w:w="1177" w:type="dxa"/>
            <w:vAlign w:val="top"/>
          </w:tcPr>
          <w:p w14:paraId="318FFD38">
            <w:pPr>
              <w:pStyle w:val="6"/>
              <w:spacing w:before="36" w:line="207" w:lineRule="auto"/>
              <w:ind w:left="476"/>
              <w:rPr>
                <w:sz w:val="24"/>
                <w:szCs w:val="24"/>
              </w:rPr>
            </w:pPr>
            <w:r>
              <w:rPr>
                <w:sz w:val="24"/>
                <w:szCs w:val="24"/>
              </w:rPr>
              <w:t>苯</w:t>
            </w:r>
          </w:p>
        </w:tc>
        <w:tc>
          <w:tcPr>
            <w:tcW w:w="958" w:type="dxa"/>
            <w:vAlign w:val="top"/>
          </w:tcPr>
          <w:p w14:paraId="5DE5758D">
            <w:pPr>
              <w:spacing w:before="76"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0.63</w:t>
            </w:r>
          </w:p>
        </w:tc>
        <w:tc>
          <w:tcPr>
            <w:tcW w:w="971" w:type="dxa"/>
            <w:vAlign w:val="top"/>
          </w:tcPr>
          <w:p w14:paraId="669A76A7">
            <w:pPr>
              <w:spacing w:before="76"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F82BEEC">
            <w:pPr>
              <w:spacing w:before="76" w:line="188" w:lineRule="auto"/>
              <w:ind w:left="20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565.48</w:t>
            </w:r>
          </w:p>
        </w:tc>
        <w:tc>
          <w:tcPr>
            <w:tcW w:w="1064" w:type="dxa"/>
            <w:vAlign w:val="top"/>
          </w:tcPr>
          <w:p w14:paraId="3536519D">
            <w:pPr>
              <w:spacing w:before="76" w:line="188" w:lineRule="auto"/>
              <w:ind w:left="348"/>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15.3</w:t>
            </w:r>
          </w:p>
        </w:tc>
        <w:tc>
          <w:tcPr>
            <w:tcW w:w="755" w:type="dxa"/>
            <w:vMerge w:val="continue"/>
            <w:tcBorders>
              <w:top w:val="nil"/>
              <w:bottom w:val="nil"/>
            </w:tcBorders>
            <w:vAlign w:val="top"/>
          </w:tcPr>
          <w:p w14:paraId="5E978930">
            <w:pPr>
              <w:rPr>
                <w:rFonts w:ascii="Arial"/>
                <w:sz w:val="21"/>
              </w:rPr>
            </w:pPr>
          </w:p>
        </w:tc>
      </w:tr>
      <w:tr w14:paraId="49C7C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4ABE2C40">
            <w:pPr>
              <w:spacing w:before="79" w:line="188" w:lineRule="auto"/>
              <w:ind w:left="20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338" w:type="dxa"/>
            <w:vAlign w:val="top"/>
          </w:tcPr>
          <w:p w14:paraId="0A4F9F8D">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2862498D">
            <w:pPr>
              <w:rPr>
                <w:rFonts w:ascii="Arial"/>
                <w:sz w:val="21"/>
              </w:rPr>
            </w:pPr>
          </w:p>
        </w:tc>
        <w:tc>
          <w:tcPr>
            <w:tcW w:w="1177" w:type="dxa"/>
            <w:vAlign w:val="top"/>
          </w:tcPr>
          <w:p w14:paraId="4B4CF51C">
            <w:pPr>
              <w:pStyle w:val="6"/>
              <w:spacing w:before="38" w:line="206" w:lineRule="auto"/>
              <w:ind w:left="384"/>
              <w:rPr>
                <w:sz w:val="24"/>
                <w:szCs w:val="24"/>
              </w:rPr>
            </w:pPr>
            <w:r>
              <w:rPr>
                <w:spacing w:val="-21"/>
                <w:sz w:val="24"/>
                <w:szCs w:val="24"/>
              </w:rPr>
              <w:t>甲苯</w:t>
            </w:r>
          </w:p>
        </w:tc>
        <w:tc>
          <w:tcPr>
            <w:tcW w:w="958" w:type="dxa"/>
            <w:vAlign w:val="top"/>
          </w:tcPr>
          <w:p w14:paraId="6D386287">
            <w:pPr>
              <w:spacing w:before="79"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0.36</w:t>
            </w:r>
          </w:p>
        </w:tc>
        <w:tc>
          <w:tcPr>
            <w:tcW w:w="971" w:type="dxa"/>
            <w:vAlign w:val="top"/>
          </w:tcPr>
          <w:p w14:paraId="131D6025">
            <w:pPr>
              <w:spacing w:before="79"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4CF4D7C">
            <w:pPr>
              <w:spacing w:before="79"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323.73</w:t>
            </w:r>
          </w:p>
        </w:tc>
        <w:tc>
          <w:tcPr>
            <w:tcW w:w="1064" w:type="dxa"/>
            <w:vAlign w:val="top"/>
          </w:tcPr>
          <w:p w14:paraId="0DF30AD9">
            <w:pPr>
              <w:spacing w:before="79" w:line="188" w:lineRule="auto"/>
              <w:ind w:left="28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10.43</w:t>
            </w:r>
          </w:p>
        </w:tc>
        <w:tc>
          <w:tcPr>
            <w:tcW w:w="755" w:type="dxa"/>
            <w:vMerge w:val="continue"/>
            <w:tcBorders>
              <w:top w:val="nil"/>
              <w:bottom w:val="nil"/>
            </w:tcBorders>
            <w:vAlign w:val="top"/>
          </w:tcPr>
          <w:p w14:paraId="4A5118CA">
            <w:pPr>
              <w:rPr>
                <w:rFonts w:ascii="Arial"/>
                <w:sz w:val="21"/>
              </w:rPr>
            </w:pPr>
          </w:p>
        </w:tc>
      </w:tr>
      <w:tr w14:paraId="004A0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3DC2020">
            <w:pPr>
              <w:spacing w:before="81" w:line="185" w:lineRule="auto"/>
              <w:ind w:left="203"/>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38" w:type="dxa"/>
            <w:vAlign w:val="top"/>
          </w:tcPr>
          <w:p w14:paraId="75570A2F">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7573A87C">
            <w:pPr>
              <w:rPr>
                <w:rFonts w:ascii="Arial"/>
                <w:sz w:val="21"/>
              </w:rPr>
            </w:pPr>
          </w:p>
        </w:tc>
        <w:tc>
          <w:tcPr>
            <w:tcW w:w="1177" w:type="dxa"/>
            <w:vAlign w:val="top"/>
          </w:tcPr>
          <w:p w14:paraId="1A6EAC44">
            <w:pPr>
              <w:pStyle w:val="6"/>
              <w:spacing w:before="38" w:line="206" w:lineRule="auto"/>
              <w:ind w:left="237"/>
              <w:rPr>
                <w:sz w:val="24"/>
                <w:szCs w:val="24"/>
              </w:rPr>
            </w:pPr>
            <w:r>
              <w:rPr>
                <w:spacing w:val="-5"/>
                <w:sz w:val="24"/>
                <w:szCs w:val="24"/>
              </w:rPr>
              <w:t>二甲苯</w:t>
            </w:r>
          </w:p>
        </w:tc>
        <w:tc>
          <w:tcPr>
            <w:tcW w:w="958" w:type="dxa"/>
            <w:vAlign w:val="top"/>
          </w:tcPr>
          <w:p w14:paraId="4DF295CB">
            <w:pPr>
              <w:spacing w:before="77"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0.39</w:t>
            </w:r>
          </w:p>
        </w:tc>
        <w:tc>
          <w:tcPr>
            <w:tcW w:w="971" w:type="dxa"/>
            <w:vAlign w:val="top"/>
          </w:tcPr>
          <w:p w14:paraId="6853A714">
            <w:pPr>
              <w:spacing w:before="77"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8FE197C">
            <w:pPr>
              <w:spacing w:before="77"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347.40</w:t>
            </w:r>
          </w:p>
        </w:tc>
        <w:tc>
          <w:tcPr>
            <w:tcW w:w="1064" w:type="dxa"/>
            <w:vAlign w:val="top"/>
          </w:tcPr>
          <w:p w14:paraId="0B55E91C">
            <w:pPr>
              <w:spacing w:before="77" w:line="188" w:lineRule="auto"/>
              <w:ind w:left="29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11.95</w:t>
            </w:r>
          </w:p>
        </w:tc>
        <w:tc>
          <w:tcPr>
            <w:tcW w:w="755" w:type="dxa"/>
            <w:vMerge w:val="continue"/>
            <w:tcBorders>
              <w:top w:val="nil"/>
              <w:bottom w:val="nil"/>
            </w:tcBorders>
            <w:vAlign w:val="top"/>
          </w:tcPr>
          <w:p w14:paraId="36FB83CB">
            <w:pPr>
              <w:rPr>
                <w:rFonts w:ascii="Arial"/>
                <w:sz w:val="21"/>
              </w:rPr>
            </w:pPr>
          </w:p>
        </w:tc>
      </w:tr>
      <w:tr w14:paraId="2AAF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513" w:type="dxa"/>
            <w:vAlign w:val="top"/>
          </w:tcPr>
          <w:p w14:paraId="0A35FC21">
            <w:pPr>
              <w:spacing w:before="78" w:line="188" w:lineRule="auto"/>
              <w:ind w:left="20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338" w:type="dxa"/>
            <w:vAlign w:val="top"/>
          </w:tcPr>
          <w:p w14:paraId="0BFA7413">
            <w:pPr>
              <w:pStyle w:val="6"/>
              <w:spacing w:before="38"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351DAE40">
            <w:pPr>
              <w:rPr>
                <w:rFonts w:ascii="Arial"/>
                <w:sz w:val="21"/>
              </w:rPr>
            </w:pPr>
          </w:p>
        </w:tc>
        <w:tc>
          <w:tcPr>
            <w:tcW w:w="1177" w:type="dxa"/>
            <w:vAlign w:val="top"/>
          </w:tcPr>
          <w:p w14:paraId="40D91C51">
            <w:pPr>
              <w:pStyle w:val="6"/>
              <w:spacing w:before="38" w:line="205" w:lineRule="auto"/>
              <w:ind w:left="119"/>
              <w:rPr>
                <w:sz w:val="24"/>
                <w:szCs w:val="24"/>
              </w:rPr>
            </w:pPr>
            <w:r>
              <w:rPr>
                <w:spacing w:val="-4"/>
                <w:sz w:val="24"/>
                <w:szCs w:val="24"/>
              </w:rPr>
              <w:t>次氯酸钠</w:t>
            </w:r>
          </w:p>
        </w:tc>
        <w:tc>
          <w:tcPr>
            <w:tcW w:w="958" w:type="dxa"/>
            <w:vAlign w:val="top"/>
          </w:tcPr>
          <w:p w14:paraId="5DAC413F">
            <w:pPr>
              <w:spacing w:before="78"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0.33</w:t>
            </w:r>
          </w:p>
        </w:tc>
        <w:tc>
          <w:tcPr>
            <w:tcW w:w="971" w:type="dxa"/>
            <w:vAlign w:val="top"/>
          </w:tcPr>
          <w:p w14:paraId="58F1F2BC">
            <w:pPr>
              <w:spacing w:before="78"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7FA94A5">
            <w:pPr>
              <w:spacing w:before="78" w:line="188" w:lineRule="auto"/>
              <w:ind w:left="1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295.92</w:t>
            </w:r>
          </w:p>
        </w:tc>
        <w:tc>
          <w:tcPr>
            <w:tcW w:w="1064" w:type="dxa"/>
            <w:vAlign w:val="top"/>
          </w:tcPr>
          <w:p w14:paraId="02635B9D">
            <w:pPr>
              <w:spacing w:before="78" w:line="188" w:lineRule="auto"/>
              <w:ind w:left="3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3.77</w:t>
            </w:r>
          </w:p>
        </w:tc>
        <w:tc>
          <w:tcPr>
            <w:tcW w:w="755" w:type="dxa"/>
            <w:vMerge w:val="continue"/>
            <w:tcBorders>
              <w:top w:val="nil"/>
              <w:bottom w:val="nil"/>
            </w:tcBorders>
            <w:vAlign w:val="top"/>
          </w:tcPr>
          <w:p w14:paraId="1C3397C0">
            <w:pPr>
              <w:rPr>
                <w:rFonts w:ascii="Arial"/>
                <w:sz w:val="21"/>
              </w:rPr>
            </w:pPr>
          </w:p>
        </w:tc>
      </w:tr>
      <w:tr w14:paraId="64092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0E59503C">
            <w:pPr>
              <w:spacing w:before="79" w:line="188" w:lineRule="auto"/>
              <w:ind w:left="203"/>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338" w:type="dxa"/>
            <w:vAlign w:val="top"/>
          </w:tcPr>
          <w:p w14:paraId="104A5439">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56C3A50">
            <w:pPr>
              <w:rPr>
                <w:rFonts w:ascii="Arial"/>
                <w:sz w:val="21"/>
              </w:rPr>
            </w:pPr>
          </w:p>
        </w:tc>
        <w:tc>
          <w:tcPr>
            <w:tcW w:w="1177" w:type="dxa"/>
            <w:vAlign w:val="top"/>
          </w:tcPr>
          <w:p w14:paraId="58EDA7F6">
            <w:pPr>
              <w:pStyle w:val="6"/>
              <w:spacing w:before="38" w:line="206" w:lineRule="auto"/>
              <w:ind w:left="117"/>
              <w:rPr>
                <w:sz w:val="24"/>
                <w:szCs w:val="24"/>
              </w:rPr>
            </w:pPr>
            <w:r>
              <w:rPr>
                <w:spacing w:val="-4"/>
                <w:sz w:val="24"/>
                <w:szCs w:val="24"/>
              </w:rPr>
              <w:t>二氯乙烷</w:t>
            </w:r>
          </w:p>
        </w:tc>
        <w:tc>
          <w:tcPr>
            <w:tcW w:w="958" w:type="dxa"/>
            <w:vAlign w:val="top"/>
          </w:tcPr>
          <w:p w14:paraId="7E12F590">
            <w:pPr>
              <w:spacing w:before="79"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0.61</w:t>
            </w:r>
          </w:p>
        </w:tc>
        <w:tc>
          <w:tcPr>
            <w:tcW w:w="971" w:type="dxa"/>
            <w:vAlign w:val="top"/>
          </w:tcPr>
          <w:p w14:paraId="5001C847">
            <w:pPr>
              <w:spacing w:before="79"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3EF63766">
            <w:pPr>
              <w:spacing w:before="79" w:line="188" w:lineRule="auto"/>
              <w:ind w:left="20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545.11</w:t>
            </w:r>
          </w:p>
        </w:tc>
        <w:tc>
          <w:tcPr>
            <w:tcW w:w="1064" w:type="dxa"/>
            <w:vAlign w:val="top"/>
          </w:tcPr>
          <w:p w14:paraId="34A8EEE8">
            <w:pPr>
              <w:spacing w:before="79" w:line="188" w:lineRule="auto"/>
              <w:ind w:left="2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22.38</w:t>
            </w:r>
          </w:p>
        </w:tc>
        <w:tc>
          <w:tcPr>
            <w:tcW w:w="755" w:type="dxa"/>
            <w:vMerge w:val="continue"/>
            <w:tcBorders>
              <w:top w:val="nil"/>
              <w:bottom w:val="nil"/>
            </w:tcBorders>
            <w:vAlign w:val="top"/>
          </w:tcPr>
          <w:p w14:paraId="1B8AC3AD">
            <w:pPr>
              <w:rPr>
                <w:rFonts w:ascii="Arial"/>
                <w:sz w:val="21"/>
              </w:rPr>
            </w:pPr>
          </w:p>
        </w:tc>
      </w:tr>
      <w:tr w14:paraId="4EAE9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5001D3AE">
            <w:pPr>
              <w:spacing w:before="80"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338" w:type="dxa"/>
            <w:vAlign w:val="top"/>
          </w:tcPr>
          <w:p w14:paraId="5CB73FD9">
            <w:pPr>
              <w:pStyle w:val="6"/>
              <w:spacing w:before="38" w:line="206"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D558DFA">
            <w:pPr>
              <w:rPr>
                <w:rFonts w:ascii="Arial"/>
                <w:sz w:val="21"/>
              </w:rPr>
            </w:pPr>
          </w:p>
        </w:tc>
        <w:tc>
          <w:tcPr>
            <w:tcW w:w="1177" w:type="dxa"/>
            <w:vAlign w:val="top"/>
          </w:tcPr>
          <w:p w14:paraId="3A1BC2E5">
            <w:pPr>
              <w:pStyle w:val="6"/>
              <w:spacing w:before="38" w:line="206" w:lineRule="auto"/>
              <w:ind w:left="355"/>
              <w:rPr>
                <w:sz w:val="24"/>
                <w:szCs w:val="24"/>
              </w:rPr>
            </w:pPr>
            <w:r>
              <w:rPr>
                <w:spacing w:val="-6"/>
                <w:sz w:val="24"/>
                <w:szCs w:val="24"/>
              </w:rPr>
              <w:t>液氯</w:t>
            </w:r>
          </w:p>
        </w:tc>
        <w:tc>
          <w:tcPr>
            <w:tcW w:w="958" w:type="dxa"/>
            <w:vAlign w:val="top"/>
          </w:tcPr>
          <w:p w14:paraId="7523D1EE">
            <w:pPr>
              <w:spacing w:before="80"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15871D46">
            <w:pPr>
              <w:spacing w:before="80"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2B2E36BD">
            <w:pPr>
              <w:spacing w:before="80"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339.29</w:t>
            </w:r>
          </w:p>
        </w:tc>
        <w:tc>
          <w:tcPr>
            <w:tcW w:w="1064" w:type="dxa"/>
            <w:vAlign w:val="top"/>
          </w:tcPr>
          <w:p w14:paraId="14EA16C2">
            <w:pPr>
              <w:spacing w:before="80" w:line="188" w:lineRule="auto"/>
              <w:ind w:left="22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151.59</w:t>
            </w:r>
          </w:p>
        </w:tc>
        <w:tc>
          <w:tcPr>
            <w:tcW w:w="755" w:type="dxa"/>
            <w:vMerge w:val="continue"/>
            <w:tcBorders>
              <w:top w:val="nil"/>
              <w:bottom w:val="nil"/>
            </w:tcBorders>
            <w:vAlign w:val="top"/>
          </w:tcPr>
          <w:p w14:paraId="2445F157">
            <w:pPr>
              <w:rPr>
                <w:rFonts w:ascii="Arial"/>
                <w:sz w:val="21"/>
              </w:rPr>
            </w:pPr>
          </w:p>
        </w:tc>
      </w:tr>
      <w:tr w14:paraId="4425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2A1BEC38">
            <w:pPr>
              <w:spacing w:before="81" w:line="188" w:lineRule="auto"/>
              <w:ind w:left="16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338" w:type="dxa"/>
            <w:vAlign w:val="top"/>
          </w:tcPr>
          <w:p w14:paraId="5A6C5AFA">
            <w:pPr>
              <w:pStyle w:val="6"/>
              <w:spacing w:before="39"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55E255BC">
            <w:pPr>
              <w:rPr>
                <w:rFonts w:ascii="Arial"/>
                <w:sz w:val="21"/>
              </w:rPr>
            </w:pPr>
          </w:p>
        </w:tc>
        <w:tc>
          <w:tcPr>
            <w:tcW w:w="1177" w:type="dxa"/>
            <w:vAlign w:val="top"/>
          </w:tcPr>
          <w:p w14:paraId="60E2A4C6">
            <w:pPr>
              <w:pStyle w:val="6"/>
              <w:spacing w:before="39" w:line="205" w:lineRule="auto"/>
              <w:ind w:left="355"/>
              <w:rPr>
                <w:sz w:val="24"/>
                <w:szCs w:val="24"/>
              </w:rPr>
            </w:pPr>
            <w:r>
              <w:rPr>
                <w:spacing w:val="-6"/>
                <w:sz w:val="24"/>
                <w:szCs w:val="24"/>
              </w:rPr>
              <w:t>硝酸</w:t>
            </w:r>
          </w:p>
        </w:tc>
        <w:tc>
          <w:tcPr>
            <w:tcW w:w="958" w:type="dxa"/>
            <w:vAlign w:val="top"/>
          </w:tcPr>
          <w:p w14:paraId="665CBB4E">
            <w:pPr>
              <w:spacing w:before="80"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6D6461F7">
            <w:pPr>
              <w:spacing w:before="80"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63A4F6F2">
            <w:pPr>
              <w:spacing w:before="80"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343.47</w:t>
            </w:r>
          </w:p>
        </w:tc>
        <w:tc>
          <w:tcPr>
            <w:tcW w:w="1064" w:type="dxa"/>
            <w:vAlign w:val="top"/>
          </w:tcPr>
          <w:p w14:paraId="02BE6CC3">
            <w:pPr>
              <w:spacing w:before="80" w:line="188" w:lineRule="auto"/>
              <w:ind w:left="28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13.49</w:t>
            </w:r>
          </w:p>
        </w:tc>
        <w:tc>
          <w:tcPr>
            <w:tcW w:w="755" w:type="dxa"/>
            <w:vMerge w:val="continue"/>
            <w:tcBorders>
              <w:top w:val="nil"/>
              <w:bottom w:val="nil"/>
            </w:tcBorders>
            <w:vAlign w:val="top"/>
          </w:tcPr>
          <w:p w14:paraId="10D23D29">
            <w:pPr>
              <w:rPr>
                <w:rFonts w:ascii="Arial"/>
                <w:sz w:val="21"/>
              </w:rPr>
            </w:pPr>
          </w:p>
        </w:tc>
      </w:tr>
      <w:tr w14:paraId="78F2E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3" w:type="dxa"/>
            <w:vAlign w:val="top"/>
          </w:tcPr>
          <w:p w14:paraId="4E7CA6E0">
            <w:pPr>
              <w:spacing w:before="81"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338" w:type="dxa"/>
            <w:vAlign w:val="top"/>
          </w:tcPr>
          <w:p w14:paraId="7FB92EEA">
            <w:pPr>
              <w:pStyle w:val="6"/>
              <w:spacing w:before="39" w:line="205" w:lineRule="auto"/>
              <w:ind w:left="194"/>
              <w:rPr>
                <w:sz w:val="24"/>
                <w:szCs w:val="24"/>
              </w:rPr>
            </w:pPr>
            <w:r>
              <w:rPr>
                <w:spacing w:val="-3"/>
                <w:sz w:val="24"/>
                <w:szCs w:val="24"/>
              </w:rPr>
              <w:t>罐车泄露</w:t>
            </w:r>
          </w:p>
        </w:tc>
        <w:tc>
          <w:tcPr>
            <w:tcW w:w="704" w:type="dxa"/>
            <w:vMerge w:val="continue"/>
            <w:tcBorders>
              <w:top w:val="nil"/>
              <w:bottom w:val="nil"/>
            </w:tcBorders>
            <w:vAlign w:val="top"/>
          </w:tcPr>
          <w:p w14:paraId="6262C129">
            <w:pPr>
              <w:rPr>
                <w:rFonts w:ascii="Arial"/>
                <w:sz w:val="21"/>
              </w:rPr>
            </w:pPr>
          </w:p>
        </w:tc>
        <w:tc>
          <w:tcPr>
            <w:tcW w:w="1177" w:type="dxa"/>
            <w:vAlign w:val="top"/>
          </w:tcPr>
          <w:p w14:paraId="5CFE9B24">
            <w:pPr>
              <w:pStyle w:val="6"/>
              <w:spacing w:before="39" w:line="205" w:lineRule="auto"/>
              <w:ind w:left="355"/>
              <w:rPr>
                <w:sz w:val="24"/>
                <w:szCs w:val="24"/>
              </w:rPr>
            </w:pPr>
            <w:r>
              <w:rPr>
                <w:spacing w:val="-6"/>
                <w:sz w:val="24"/>
                <w:szCs w:val="24"/>
              </w:rPr>
              <w:t>盐酸</w:t>
            </w:r>
          </w:p>
        </w:tc>
        <w:tc>
          <w:tcPr>
            <w:tcW w:w="958" w:type="dxa"/>
            <w:vAlign w:val="top"/>
          </w:tcPr>
          <w:p w14:paraId="6B1DB4D4">
            <w:pPr>
              <w:spacing w:before="81" w:line="188" w:lineRule="auto"/>
              <w:ind w:left="27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0.38</w:t>
            </w:r>
          </w:p>
        </w:tc>
        <w:tc>
          <w:tcPr>
            <w:tcW w:w="971" w:type="dxa"/>
            <w:vAlign w:val="top"/>
          </w:tcPr>
          <w:p w14:paraId="4B97B73C">
            <w:pPr>
              <w:spacing w:before="81" w:line="188" w:lineRule="auto"/>
              <w:ind w:left="38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1046" w:type="dxa"/>
            <w:vAlign w:val="top"/>
          </w:tcPr>
          <w:p w14:paraId="50C22581">
            <w:pPr>
              <w:spacing w:before="81" w:line="188" w:lineRule="auto"/>
              <w:ind w:left="19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338.82</w:t>
            </w:r>
          </w:p>
        </w:tc>
        <w:tc>
          <w:tcPr>
            <w:tcW w:w="1064" w:type="dxa"/>
            <w:vAlign w:val="top"/>
          </w:tcPr>
          <w:p w14:paraId="79B766F2">
            <w:pPr>
              <w:spacing w:before="81" w:line="188" w:lineRule="auto"/>
              <w:ind w:left="33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8.77</w:t>
            </w:r>
          </w:p>
        </w:tc>
        <w:tc>
          <w:tcPr>
            <w:tcW w:w="755" w:type="dxa"/>
            <w:vMerge w:val="continue"/>
            <w:tcBorders>
              <w:top w:val="nil"/>
              <w:bottom w:val="nil"/>
            </w:tcBorders>
            <w:vAlign w:val="top"/>
          </w:tcPr>
          <w:p w14:paraId="131E75B0">
            <w:pPr>
              <w:rPr>
                <w:rFonts w:ascii="Arial"/>
                <w:sz w:val="21"/>
              </w:rPr>
            </w:pPr>
          </w:p>
        </w:tc>
      </w:tr>
      <w:tr w14:paraId="4D647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513" w:type="dxa"/>
            <w:vAlign w:val="top"/>
          </w:tcPr>
          <w:p w14:paraId="7AEBCF0A">
            <w:pPr>
              <w:spacing w:before="79" w:line="188" w:lineRule="auto"/>
              <w:ind w:left="162"/>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338" w:type="dxa"/>
            <w:vAlign w:val="top"/>
          </w:tcPr>
          <w:p w14:paraId="1E9AD7D6">
            <w:pPr>
              <w:pStyle w:val="6"/>
              <w:spacing w:before="40" w:line="207" w:lineRule="auto"/>
              <w:ind w:left="162"/>
              <w:rPr>
                <w:sz w:val="24"/>
                <w:szCs w:val="24"/>
              </w:rPr>
            </w:pPr>
            <w:r>
              <w:rPr>
                <w:spacing w:val="-3"/>
                <w:sz w:val="24"/>
                <w:szCs w:val="24"/>
              </w:rPr>
              <w:t>火灾</w:t>
            </w:r>
            <w:r>
              <w:rPr>
                <w:rFonts w:ascii="Times New Roman" w:hAnsi="Times New Roman" w:eastAsia="Times New Roman" w:cs="Times New Roman"/>
                <w:spacing w:val="-3"/>
                <w:sz w:val="24"/>
                <w:szCs w:val="24"/>
              </w:rPr>
              <w:t>/</w:t>
            </w:r>
            <w:r>
              <w:rPr>
                <w:spacing w:val="-3"/>
                <w:sz w:val="24"/>
                <w:szCs w:val="24"/>
              </w:rPr>
              <w:t>爆炸</w:t>
            </w:r>
          </w:p>
        </w:tc>
        <w:tc>
          <w:tcPr>
            <w:tcW w:w="704" w:type="dxa"/>
            <w:vMerge w:val="continue"/>
            <w:tcBorders>
              <w:top w:val="nil"/>
            </w:tcBorders>
            <w:vAlign w:val="top"/>
          </w:tcPr>
          <w:p w14:paraId="4DE2FCD6">
            <w:pPr>
              <w:rPr>
                <w:rFonts w:ascii="Arial"/>
                <w:sz w:val="21"/>
              </w:rPr>
            </w:pPr>
          </w:p>
        </w:tc>
        <w:tc>
          <w:tcPr>
            <w:tcW w:w="1177" w:type="dxa"/>
            <w:vAlign w:val="top"/>
          </w:tcPr>
          <w:p w14:paraId="4123B4B4">
            <w:pPr>
              <w:pStyle w:val="6"/>
              <w:spacing w:before="40" w:line="207" w:lineRule="auto"/>
              <w:ind w:left="117"/>
              <w:rPr>
                <w:sz w:val="24"/>
                <w:szCs w:val="24"/>
              </w:rPr>
            </w:pPr>
            <w:r>
              <w:rPr>
                <w:spacing w:val="-4"/>
                <w:sz w:val="24"/>
                <w:szCs w:val="24"/>
              </w:rPr>
              <w:t>油品燃烧</w:t>
            </w:r>
          </w:p>
        </w:tc>
        <w:tc>
          <w:tcPr>
            <w:tcW w:w="4039" w:type="dxa"/>
            <w:gridSpan w:val="4"/>
            <w:vAlign w:val="top"/>
          </w:tcPr>
          <w:p w14:paraId="6EB52DA7">
            <w:pPr>
              <w:pStyle w:val="6"/>
              <w:spacing w:before="40" w:line="207" w:lineRule="auto"/>
              <w:ind w:left="749"/>
              <w:rPr>
                <w:rFonts w:ascii="Times New Roman" w:hAnsi="Times New Roman" w:eastAsia="Times New Roman" w:cs="Times New Roman"/>
                <w:sz w:val="24"/>
                <w:szCs w:val="24"/>
              </w:rPr>
            </w:pPr>
            <w:r>
              <w:rPr>
                <w:spacing w:val="-2"/>
                <w:sz w:val="24"/>
                <w:szCs w:val="24"/>
              </w:rPr>
              <w:t>一氧化碳产生量</w:t>
            </w:r>
            <w:r>
              <w:rPr>
                <w:spacing w:val="-47"/>
                <w:sz w:val="24"/>
                <w:szCs w:val="24"/>
              </w:rPr>
              <w:t xml:space="preserve"> </w:t>
            </w:r>
            <w:r>
              <w:rPr>
                <w:rFonts w:ascii="Times New Roman" w:hAnsi="Times New Roman" w:eastAsia="Times New Roman" w:cs="Times New Roman"/>
                <w:spacing w:val="-2"/>
                <w:sz w:val="24"/>
                <w:szCs w:val="24"/>
              </w:rPr>
              <w:t>0.26kg/s</w:t>
            </w:r>
          </w:p>
        </w:tc>
        <w:tc>
          <w:tcPr>
            <w:tcW w:w="755" w:type="dxa"/>
            <w:vMerge w:val="continue"/>
            <w:tcBorders>
              <w:top w:val="nil"/>
            </w:tcBorders>
            <w:vAlign w:val="top"/>
          </w:tcPr>
          <w:p w14:paraId="3C158B3B">
            <w:pPr>
              <w:rPr>
                <w:rFonts w:ascii="Arial"/>
                <w:sz w:val="21"/>
              </w:rPr>
            </w:pPr>
          </w:p>
        </w:tc>
      </w:tr>
    </w:tbl>
    <w:p w14:paraId="01833D01">
      <w:pPr>
        <w:spacing w:before="206" w:line="227" w:lineRule="auto"/>
        <w:ind w:left="124"/>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7 </w:t>
      </w:r>
      <w:r>
        <w:rPr>
          <w:rFonts w:ascii="黑体" w:hAnsi="黑体" w:eastAsia="黑体" w:cs="黑体"/>
          <w:spacing w:val="7"/>
          <w:sz w:val="31"/>
          <w:szCs w:val="31"/>
        </w:rPr>
        <w:t>风险预测与评价</w:t>
      </w:r>
    </w:p>
    <w:p w14:paraId="5137CB84">
      <w:pPr>
        <w:spacing w:before="231" w:line="221" w:lineRule="auto"/>
        <w:ind w:left="122"/>
        <w:outlineLvl w:val="1"/>
        <w:rPr>
          <w:rFonts w:ascii="宋体" w:hAnsi="宋体" w:eastAsia="宋体" w:cs="宋体"/>
          <w:sz w:val="28"/>
          <w:szCs w:val="28"/>
        </w:rPr>
      </w:pPr>
      <w:bookmarkStart w:id="20" w:name="bookmark21"/>
      <w:bookmarkEnd w:id="20"/>
      <w:bookmarkStart w:id="21" w:name="bookmark22"/>
      <w:bookmarkEnd w:id="21"/>
      <w:r>
        <w:rPr>
          <w:rFonts w:ascii="Times New Roman" w:hAnsi="Times New Roman" w:eastAsia="Times New Roman" w:cs="Times New Roman"/>
          <w:b/>
          <w:bCs/>
          <w:spacing w:val="-3"/>
          <w:sz w:val="28"/>
          <w:szCs w:val="28"/>
        </w:rPr>
        <w:t xml:space="preserve">7.1 </w:t>
      </w:r>
      <w:r>
        <w:rPr>
          <w:rFonts w:ascii="宋体" w:hAnsi="宋体" w:eastAsia="宋体" w:cs="宋体"/>
          <w:b/>
          <w:bCs/>
          <w:spacing w:val="-3"/>
          <w:sz w:val="28"/>
          <w:szCs w:val="28"/>
        </w:rPr>
        <w:t>风险预测</w:t>
      </w:r>
    </w:p>
    <w:p w14:paraId="500B352D">
      <w:pPr>
        <w:spacing w:before="210"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）选择预测模型</w:t>
      </w:r>
    </w:p>
    <w:p w14:paraId="35D93FB7">
      <w:pPr>
        <w:spacing w:before="207" w:line="359" w:lineRule="auto"/>
        <w:ind w:left="122" w:right="112" w:firstLine="560"/>
        <w:rPr>
          <w:rFonts w:ascii="宋体" w:hAnsi="宋体" w:eastAsia="宋体" w:cs="宋体"/>
          <w:sz w:val="28"/>
          <w:szCs w:val="28"/>
        </w:rPr>
      </w:pPr>
      <w:r>
        <w:rPr>
          <w:rFonts w:ascii="宋体" w:hAnsi="宋体" w:eastAsia="宋体" w:cs="宋体"/>
          <w:spacing w:val="-2"/>
          <w:sz w:val="28"/>
          <w:szCs w:val="28"/>
        </w:rPr>
        <w:t>根据《建设项目环境风险评价技术导则》（</w:t>
      </w:r>
      <w:r>
        <w:rPr>
          <w:rFonts w:ascii="Times New Roman" w:hAnsi="Times New Roman" w:eastAsia="Times New Roman" w:cs="Times New Roman"/>
          <w:spacing w:val="-2"/>
          <w:sz w:val="28"/>
          <w:szCs w:val="28"/>
        </w:rPr>
        <w:t>HJ169-20</w:t>
      </w:r>
      <w:r>
        <w:rPr>
          <w:rFonts w:ascii="Times New Roman" w:hAnsi="Times New Roman" w:eastAsia="Times New Roman" w:cs="Times New Roman"/>
          <w:spacing w:val="-3"/>
          <w:sz w:val="28"/>
          <w:szCs w:val="28"/>
        </w:rPr>
        <w:t>18</w:t>
      </w:r>
      <w:r>
        <w:rPr>
          <w:rFonts w:ascii="宋体" w:hAnsi="宋体" w:eastAsia="宋体" w:cs="宋体"/>
          <w:spacing w:val="-12"/>
          <w:sz w:val="28"/>
          <w:szCs w:val="28"/>
        </w:rPr>
        <w:t>），</w:t>
      </w:r>
      <w:r>
        <w:rPr>
          <w:rFonts w:ascii="宋体" w:hAnsi="宋体" w:eastAsia="宋体" w:cs="宋体"/>
          <w:spacing w:val="-3"/>
          <w:sz w:val="28"/>
          <w:szCs w:val="28"/>
        </w:rPr>
        <w:t>评价</w:t>
      </w:r>
      <w:r>
        <w:rPr>
          <w:rFonts w:ascii="宋体" w:hAnsi="宋体" w:eastAsia="宋体" w:cs="宋体"/>
          <w:spacing w:val="1"/>
          <w:sz w:val="28"/>
          <w:szCs w:val="28"/>
        </w:rPr>
        <w:t xml:space="preserve"> </w:t>
      </w:r>
      <w:r>
        <w:rPr>
          <w:rFonts w:ascii="宋体" w:hAnsi="宋体" w:eastAsia="宋体" w:cs="宋体"/>
          <w:spacing w:val="2"/>
          <w:sz w:val="28"/>
          <w:szCs w:val="28"/>
        </w:rPr>
        <w:t>采用大气环评导则推荐的软件</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EIAProA</w:t>
      </w:r>
      <w:r>
        <w:rPr>
          <w:rFonts w:ascii="Times New Roman" w:hAnsi="Times New Roman" w:eastAsia="Times New Roman" w:cs="Times New Roman"/>
          <w:spacing w:val="2"/>
          <w:sz w:val="28"/>
          <w:szCs w:val="28"/>
        </w:rPr>
        <w:t>2018</w:t>
      </w:r>
      <w:r>
        <w:rPr>
          <w:rFonts w:ascii="Times New Roman" w:hAnsi="Times New Roman" w:eastAsia="Times New Roman" w:cs="Times New Roman"/>
          <w:spacing w:val="41"/>
          <w:sz w:val="28"/>
          <w:szCs w:val="28"/>
        </w:rPr>
        <w:t xml:space="preserve"> </w:t>
      </w:r>
      <w:r>
        <w:rPr>
          <w:rFonts w:ascii="宋体" w:hAnsi="宋体" w:eastAsia="宋体" w:cs="宋体"/>
          <w:spacing w:val="2"/>
          <w:sz w:val="28"/>
          <w:szCs w:val="28"/>
        </w:rPr>
        <w:t>中风险</w:t>
      </w:r>
      <w:r>
        <w:rPr>
          <w:rFonts w:ascii="宋体" w:hAnsi="宋体" w:eastAsia="宋体" w:cs="宋体"/>
          <w:spacing w:val="1"/>
          <w:sz w:val="28"/>
          <w:szCs w:val="28"/>
        </w:rPr>
        <w:t>预测模块进行事</w:t>
      </w:r>
      <w:r>
        <w:rPr>
          <w:rFonts w:ascii="宋体" w:hAnsi="宋体" w:eastAsia="宋体" w:cs="宋体"/>
          <w:sz w:val="28"/>
          <w:szCs w:val="28"/>
        </w:rPr>
        <w:t xml:space="preserve"> </w:t>
      </w:r>
      <w:r>
        <w:rPr>
          <w:rFonts w:ascii="宋体" w:hAnsi="宋体" w:eastAsia="宋体" w:cs="宋体"/>
          <w:spacing w:val="-4"/>
          <w:sz w:val="28"/>
          <w:szCs w:val="28"/>
        </w:rPr>
        <w:t>故风险预测。预测计算时，应区分重质气体与轻质气体排放选择合适</w:t>
      </w:r>
      <w:r>
        <w:rPr>
          <w:rFonts w:ascii="宋体" w:hAnsi="宋体" w:eastAsia="宋体" w:cs="宋体"/>
          <w:spacing w:val="15"/>
          <w:sz w:val="28"/>
          <w:szCs w:val="28"/>
        </w:rPr>
        <w:t xml:space="preserve"> </w:t>
      </w:r>
      <w:r>
        <w:rPr>
          <w:rFonts w:ascii="宋体" w:hAnsi="宋体" w:eastAsia="宋体" w:cs="宋体"/>
          <w:spacing w:val="-4"/>
          <w:sz w:val="28"/>
          <w:szCs w:val="28"/>
        </w:rPr>
        <w:t>的大气风险预测模型。其中重质气体和轻质气体的判断依据可采用附</w:t>
      </w:r>
      <w:r>
        <w:rPr>
          <w:rFonts w:ascii="宋体" w:hAnsi="宋体" w:eastAsia="宋体" w:cs="宋体"/>
          <w:spacing w:val="15"/>
          <w:sz w:val="28"/>
          <w:szCs w:val="28"/>
        </w:rPr>
        <w:t xml:space="preserve"> </w:t>
      </w:r>
      <w:r>
        <w:rPr>
          <w:rFonts w:ascii="宋体" w:hAnsi="宋体" w:eastAsia="宋体" w:cs="宋体"/>
          <w:spacing w:val="-5"/>
          <w:sz w:val="28"/>
          <w:szCs w:val="28"/>
        </w:rPr>
        <w:t>录</w:t>
      </w:r>
      <w:r>
        <w:rPr>
          <w:rFonts w:ascii="宋体" w:hAnsi="宋体" w:eastAsia="宋体" w:cs="宋体"/>
          <w:spacing w:val="-49"/>
          <w:sz w:val="28"/>
          <w:szCs w:val="28"/>
        </w:rPr>
        <w:t xml:space="preserve"> </w:t>
      </w:r>
      <w:r>
        <w:rPr>
          <w:rFonts w:ascii="Times New Roman" w:hAnsi="Times New Roman" w:eastAsia="Times New Roman" w:cs="Times New Roman"/>
          <w:spacing w:val="-5"/>
          <w:sz w:val="28"/>
          <w:szCs w:val="28"/>
        </w:rPr>
        <w:t>G</w:t>
      </w:r>
      <w:r>
        <w:rPr>
          <w:rFonts w:ascii="Times New Roman" w:hAnsi="Times New Roman" w:eastAsia="Times New Roman" w:cs="Times New Roman"/>
          <w:spacing w:val="36"/>
          <w:sz w:val="28"/>
          <w:szCs w:val="28"/>
        </w:rPr>
        <w:t xml:space="preserve"> </w:t>
      </w:r>
      <w:r>
        <w:rPr>
          <w:rFonts w:ascii="宋体" w:hAnsi="宋体" w:eastAsia="宋体" w:cs="宋体"/>
          <w:spacing w:val="-5"/>
          <w:sz w:val="28"/>
          <w:szCs w:val="28"/>
        </w:rPr>
        <w:t>中</w:t>
      </w:r>
      <w:r>
        <w:rPr>
          <w:rFonts w:ascii="宋体" w:hAnsi="宋体" w:eastAsia="宋体" w:cs="宋体"/>
          <w:spacing w:val="-61"/>
          <w:sz w:val="28"/>
          <w:szCs w:val="28"/>
        </w:rPr>
        <w:t xml:space="preserve"> </w:t>
      </w:r>
      <w:r>
        <w:rPr>
          <w:rFonts w:ascii="Times New Roman" w:hAnsi="Times New Roman" w:eastAsia="Times New Roman" w:cs="Times New Roman"/>
          <w:spacing w:val="-5"/>
          <w:sz w:val="28"/>
          <w:szCs w:val="28"/>
        </w:rPr>
        <w:t xml:space="preserve">G2 </w:t>
      </w:r>
      <w:r>
        <w:rPr>
          <w:rFonts w:ascii="宋体" w:hAnsi="宋体" w:eastAsia="宋体" w:cs="宋体"/>
          <w:spacing w:val="-5"/>
          <w:sz w:val="28"/>
          <w:szCs w:val="28"/>
        </w:rPr>
        <w:t>推荐的理查德森数进行判定。本项目风险预测模型筛选结</w:t>
      </w:r>
      <w:r>
        <w:rPr>
          <w:rFonts w:ascii="宋体" w:hAnsi="宋体" w:eastAsia="宋体" w:cs="宋体"/>
          <w:sz w:val="28"/>
          <w:szCs w:val="28"/>
        </w:rPr>
        <w:t xml:space="preserve"> </w:t>
      </w:r>
      <w:r>
        <w:rPr>
          <w:rFonts w:ascii="宋体" w:hAnsi="宋体" w:eastAsia="宋体" w:cs="宋体"/>
          <w:spacing w:val="-2"/>
          <w:sz w:val="28"/>
          <w:szCs w:val="28"/>
        </w:rPr>
        <w:t>果见下表：</w:t>
      </w:r>
    </w:p>
    <w:p w14:paraId="320930CC">
      <w:pPr>
        <w:spacing w:line="219" w:lineRule="auto"/>
        <w:ind w:left="218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8"/>
          <w:sz w:val="24"/>
          <w:szCs w:val="24"/>
        </w:rPr>
        <w:t xml:space="preserve"> </w:t>
      </w:r>
      <w:r>
        <w:rPr>
          <w:rFonts w:ascii="Times New Roman" w:hAnsi="Times New Roman" w:eastAsia="Times New Roman" w:cs="Times New Roman"/>
          <w:b/>
          <w:bCs/>
          <w:spacing w:val="-2"/>
          <w:sz w:val="24"/>
          <w:szCs w:val="24"/>
        </w:rPr>
        <w:t xml:space="preserve">7.1-1    </w:t>
      </w:r>
      <w:r>
        <w:rPr>
          <w:rFonts w:ascii="宋体" w:hAnsi="宋体" w:eastAsia="宋体" w:cs="宋体"/>
          <w:b/>
          <w:bCs/>
          <w:spacing w:val="-2"/>
          <w:sz w:val="24"/>
          <w:szCs w:val="24"/>
        </w:rPr>
        <w:t>风险预测模型筛选结果汇总表</w:t>
      </w:r>
    </w:p>
    <w:p w14:paraId="32FCD0A8">
      <w:pPr>
        <w:spacing w:line="145" w:lineRule="exact"/>
      </w:pPr>
    </w:p>
    <w:tbl>
      <w:tblPr>
        <w:tblStyle w:val="5"/>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702"/>
        <w:gridCol w:w="1703"/>
        <w:gridCol w:w="1703"/>
        <w:gridCol w:w="1708"/>
      </w:tblGrid>
      <w:tr w14:paraId="2019B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706" w:type="dxa"/>
            <w:vAlign w:val="top"/>
          </w:tcPr>
          <w:p w14:paraId="43CCC20B">
            <w:pPr>
              <w:pStyle w:val="6"/>
              <w:spacing w:before="39" w:line="208" w:lineRule="auto"/>
              <w:ind w:left="142"/>
              <w:rPr>
                <w:sz w:val="24"/>
                <w:szCs w:val="24"/>
              </w:rPr>
            </w:pPr>
            <w:r>
              <w:rPr>
                <w:spacing w:val="-2"/>
                <w:sz w:val="24"/>
                <w:szCs w:val="24"/>
              </w:rPr>
              <w:t>风险事故情形</w:t>
            </w:r>
          </w:p>
        </w:tc>
        <w:tc>
          <w:tcPr>
            <w:tcW w:w="1702" w:type="dxa"/>
            <w:vAlign w:val="top"/>
          </w:tcPr>
          <w:p w14:paraId="124C9C1A">
            <w:pPr>
              <w:pStyle w:val="6"/>
              <w:spacing w:before="39" w:line="208" w:lineRule="auto"/>
              <w:ind w:left="380"/>
              <w:rPr>
                <w:sz w:val="24"/>
                <w:szCs w:val="24"/>
              </w:rPr>
            </w:pPr>
            <w:r>
              <w:rPr>
                <w:spacing w:val="-4"/>
                <w:sz w:val="24"/>
                <w:szCs w:val="24"/>
              </w:rPr>
              <w:t>泄露物质</w:t>
            </w:r>
          </w:p>
        </w:tc>
        <w:tc>
          <w:tcPr>
            <w:tcW w:w="1703" w:type="dxa"/>
            <w:vAlign w:val="top"/>
          </w:tcPr>
          <w:p w14:paraId="4BCB3845">
            <w:pPr>
              <w:pStyle w:val="6"/>
              <w:spacing w:before="39" w:line="208" w:lineRule="auto"/>
              <w:ind w:left="379"/>
              <w:rPr>
                <w:sz w:val="24"/>
                <w:szCs w:val="24"/>
              </w:rPr>
            </w:pPr>
            <w:r>
              <w:rPr>
                <w:spacing w:val="-3"/>
                <w:sz w:val="24"/>
                <w:szCs w:val="24"/>
              </w:rPr>
              <w:t>气体形式</w:t>
            </w:r>
          </w:p>
        </w:tc>
        <w:tc>
          <w:tcPr>
            <w:tcW w:w="1703" w:type="dxa"/>
            <w:vAlign w:val="top"/>
          </w:tcPr>
          <w:p w14:paraId="0BA22A10">
            <w:pPr>
              <w:pStyle w:val="6"/>
              <w:spacing w:before="39" w:line="208" w:lineRule="auto"/>
              <w:ind w:left="379"/>
              <w:rPr>
                <w:sz w:val="24"/>
                <w:szCs w:val="24"/>
              </w:rPr>
            </w:pPr>
            <w:r>
              <w:rPr>
                <w:spacing w:val="-3"/>
                <w:sz w:val="24"/>
                <w:szCs w:val="24"/>
              </w:rPr>
              <w:t>排放形式</w:t>
            </w:r>
          </w:p>
        </w:tc>
        <w:tc>
          <w:tcPr>
            <w:tcW w:w="1708" w:type="dxa"/>
            <w:vAlign w:val="top"/>
          </w:tcPr>
          <w:p w14:paraId="0586BD95">
            <w:pPr>
              <w:pStyle w:val="6"/>
              <w:spacing w:before="39" w:line="208" w:lineRule="auto"/>
              <w:ind w:left="380"/>
              <w:rPr>
                <w:sz w:val="24"/>
                <w:szCs w:val="24"/>
              </w:rPr>
            </w:pPr>
            <w:r>
              <w:rPr>
                <w:spacing w:val="-3"/>
                <w:sz w:val="24"/>
                <w:szCs w:val="24"/>
              </w:rPr>
              <w:t>适用模型</w:t>
            </w:r>
          </w:p>
        </w:tc>
      </w:tr>
      <w:tr w14:paraId="47170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52E61981">
            <w:pPr>
              <w:pStyle w:val="6"/>
              <w:spacing w:before="35" w:line="208" w:lineRule="auto"/>
              <w:ind w:left="383"/>
              <w:rPr>
                <w:sz w:val="24"/>
                <w:szCs w:val="24"/>
              </w:rPr>
            </w:pPr>
            <w:r>
              <w:rPr>
                <w:spacing w:val="-3"/>
                <w:sz w:val="24"/>
                <w:szCs w:val="24"/>
              </w:rPr>
              <w:t>罐车泄露</w:t>
            </w:r>
          </w:p>
        </w:tc>
        <w:tc>
          <w:tcPr>
            <w:tcW w:w="1702" w:type="dxa"/>
            <w:vAlign w:val="top"/>
          </w:tcPr>
          <w:p w14:paraId="4210929C">
            <w:pPr>
              <w:pStyle w:val="6"/>
              <w:spacing w:before="35" w:line="208" w:lineRule="auto"/>
              <w:ind w:left="647"/>
              <w:rPr>
                <w:sz w:val="24"/>
                <w:szCs w:val="24"/>
              </w:rPr>
            </w:pPr>
            <w:r>
              <w:rPr>
                <w:spacing w:val="-21"/>
                <w:sz w:val="24"/>
                <w:szCs w:val="24"/>
              </w:rPr>
              <w:t>甲醇</w:t>
            </w:r>
          </w:p>
        </w:tc>
        <w:tc>
          <w:tcPr>
            <w:tcW w:w="1703" w:type="dxa"/>
            <w:vAlign w:val="top"/>
          </w:tcPr>
          <w:p w14:paraId="7EE39896">
            <w:pPr>
              <w:pStyle w:val="6"/>
              <w:spacing w:before="35" w:line="208" w:lineRule="auto"/>
              <w:ind w:left="379"/>
              <w:rPr>
                <w:sz w:val="24"/>
                <w:szCs w:val="24"/>
              </w:rPr>
            </w:pPr>
            <w:r>
              <w:rPr>
                <w:spacing w:val="-3"/>
                <w:sz w:val="24"/>
                <w:szCs w:val="24"/>
              </w:rPr>
              <w:t>轻质气体</w:t>
            </w:r>
          </w:p>
        </w:tc>
        <w:tc>
          <w:tcPr>
            <w:tcW w:w="1703" w:type="dxa"/>
            <w:vAlign w:val="top"/>
          </w:tcPr>
          <w:p w14:paraId="7074703E">
            <w:pPr>
              <w:pStyle w:val="6"/>
              <w:spacing w:before="35" w:line="208" w:lineRule="auto"/>
              <w:ind w:left="380"/>
              <w:rPr>
                <w:sz w:val="24"/>
                <w:szCs w:val="24"/>
              </w:rPr>
            </w:pPr>
            <w:r>
              <w:rPr>
                <w:spacing w:val="-3"/>
                <w:sz w:val="24"/>
                <w:szCs w:val="24"/>
              </w:rPr>
              <w:t>连续排放</w:t>
            </w:r>
          </w:p>
        </w:tc>
        <w:tc>
          <w:tcPr>
            <w:tcW w:w="1708" w:type="dxa"/>
            <w:vAlign w:val="top"/>
          </w:tcPr>
          <w:p w14:paraId="796878E5">
            <w:pPr>
              <w:spacing w:before="60"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38988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288B453C">
            <w:pPr>
              <w:pStyle w:val="6"/>
              <w:spacing w:before="36" w:line="207" w:lineRule="auto"/>
              <w:ind w:left="383"/>
              <w:rPr>
                <w:sz w:val="24"/>
                <w:szCs w:val="24"/>
              </w:rPr>
            </w:pPr>
            <w:r>
              <w:rPr>
                <w:spacing w:val="-3"/>
                <w:sz w:val="24"/>
                <w:szCs w:val="24"/>
              </w:rPr>
              <w:t>罐车泄露</w:t>
            </w:r>
          </w:p>
        </w:tc>
        <w:tc>
          <w:tcPr>
            <w:tcW w:w="1702" w:type="dxa"/>
            <w:vAlign w:val="top"/>
          </w:tcPr>
          <w:p w14:paraId="5A21DCFD">
            <w:pPr>
              <w:pStyle w:val="6"/>
              <w:spacing w:before="36" w:line="207" w:lineRule="auto"/>
              <w:ind w:left="616"/>
              <w:rPr>
                <w:sz w:val="24"/>
                <w:szCs w:val="24"/>
              </w:rPr>
            </w:pPr>
            <w:r>
              <w:rPr>
                <w:spacing w:val="-5"/>
                <w:sz w:val="24"/>
                <w:szCs w:val="24"/>
              </w:rPr>
              <w:t>氨气</w:t>
            </w:r>
          </w:p>
        </w:tc>
        <w:tc>
          <w:tcPr>
            <w:tcW w:w="1703" w:type="dxa"/>
            <w:vAlign w:val="top"/>
          </w:tcPr>
          <w:p w14:paraId="28FDDC37">
            <w:pPr>
              <w:pStyle w:val="6"/>
              <w:spacing w:before="36" w:line="207" w:lineRule="auto"/>
              <w:ind w:left="379"/>
              <w:rPr>
                <w:sz w:val="24"/>
                <w:szCs w:val="24"/>
              </w:rPr>
            </w:pPr>
            <w:r>
              <w:rPr>
                <w:spacing w:val="-3"/>
                <w:sz w:val="24"/>
                <w:szCs w:val="24"/>
              </w:rPr>
              <w:t>轻质气体</w:t>
            </w:r>
          </w:p>
        </w:tc>
        <w:tc>
          <w:tcPr>
            <w:tcW w:w="1703" w:type="dxa"/>
            <w:vAlign w:val="top"/>
          </w:tcPr>
          <w:p w14:paraId="56322F4A">
            <w:pPr>
              <w:pStyle w:val="6"/>
              <w:spacing w:before="36" w:line="207" w:lineRule="auto"/>
              <w:ind w:left="380"/>
              <w:rPr>
                <w:sz w:val="24"/>
                <w:szCs w:val="24"/>
              </w:rPr>
            </w:pPr>
            <w:r>
              <w:rPr>
                <w:spacing w:val="-3"/>
                <w:sz w:val="24"/>
                <w:szCs w:val="24"/>
              </w:rPr>
              <w:t>连续排放</w:t>
            </w:r>
          </w:p>
        </w:tc>
        <w:tc>
          <w:tcPr>
            <w:tcW w:w="1708" w:type="dxa"/>
            <w:vAlign w:val="top"/>
          </w:tcPr>
          <w:p w14:paraId="34B030DC">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0B115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6208EDA4">
            <w:pPr>
              <w:pStyle w:val="6"/>
              <w:spacing w:before="37" w:line="206" w:lineRule="auto"/>
              <w:ind w:left="383"/>
              <w:rPr>
                <w:sz w:val="24"/>
                <w:szCs w:val="24"/>
              </w:rPr>
            </w:pPr>
            <w:r>
              <w:rPr>
                <w:spacing w:val="-3"/>
                <w:sz w:val="24"/>
                <w:szCs w:val="24"/>
              </w:rPr>
              <w:t>罐车泄露</w:t>
            </w:r>
          </w:p>
        </w:tc>
        <w:tc>
          <w:tcPr>
            <w:tcW w:w="1702" w:type="dxa"/>
            <w:vAlign w:val="top"/>
          </w:tcPr>
          <w:p w14:paraId="2EEB4B6E">
            <w:pPr>
              <w:pStyle w:val="6"/>
              <w:spacing w:before="37" w:line="206" w:lineRule="auto"/>
              <w:ind w:left="615"/>
              <w:rPr>
                <w:sz w:val="24"/>
                <w:szCs w:val="24"/>
              </w:rPr>
            </w:pPr>
            <w:r>
              <w:rPr>
                <w:spacing w:val="-5"/>
                <w:sz w:val="24"/>
                <w:szCs w:val="24"/>
              </w:rPr>
              <w:t>硫酸</w:t>
            </w:r>
          </w:p>
        </w:tc>
        <w:tc>
          <w:tcPr>
            <w:tcW w:w="1703" w:type="dxa"/>
            <w:vAlign w:val="top"/>
          </w:tcPr>
          <w:p w14:paraId="5D3FFCB4">
            <w:pPr>
              <w:pStyle w:val="6"/>
              <w:spacing w:before="37" w:line="206" w:lineRule="auto"/>
              <w:ind w:left="379"/>
              <w:rPr>
                <w:sz w:val="24"/>
                <w:szCs w:val="24"/>
              </w:rPr>
            </w:pPr>
            <w:r>
              <w:rPr>
                <w:spacing w:val="-3"/>
                <w:sz w:val="24"/>
                <w:szCs w:val="24"/>
              </w:rPr>
              <w:t>重质气体</w:t>
            </w:r>
          </w:p>
        </w:tc>
        <w:tc>
          <w:tcPr>
            <w:tcW w:w="1703" w:type="dxa"/>
            <w:vAlign w:val="top"/>
          </w:tcPr>
          <w:p w14:paraId="78BBA59E">
            <w:pPr>
              <w:pStyle w:val="6"/>
              <w:spacing w:before="37" w:line="206" w:lineRule="auto"/>
              <w:ind w:left="380"/>
              <w:rPr>
                <w:sz w:val="24"/>
                <w:szCs w:val="24"/>
              </w:rPr>
            </w:pPr>
            <w:r>
              <w:rPr>
                <w:spacing w:val="-3"/>
                <w:sz w:val="24"/>
                <w:szCs w:val="24"/>
              </w:rPr>
              <w:t>连续排放</w:t>
            </w:r>
          </w:p>
        </w:tc>
        <w:tc>
          <w:tcPr>
            <w:tcW w:w="1708" w:type="dxa"/>
            <w:vAlign w:val="top"/>
          </w:tcPr>
          <w:p w14:paraId="75E2B9C2">
            <w:pPr>
              <w:spacing w:before="59"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026B2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355DEDFE">
            <w:pPr>
              <w:pStyle w:val="6"/>
              <w:spacing w:before="38" w:line="206" w:lineRule="auto"/>
              <w:ind w:left="383"/>
              <w:rPr>
                <w:sz w:val="24"/>
                <w:szCs w:val="24"/>
              </w:rPr>
            </w:pPr>
            <w:r>
              <w:rPr>
                <w:spacing w:val="-3"/>
                <w:sz w:val="24"/>
                <w:szCs w:val="24"/>
              </w:rPr>
              <w:t>罐车泄露</w:t>
            </w:r>
          </w:p>
        </w:tc>
        <w:tc>
          <w:tcPr>
            <w:tcW w:w="1702" w:type="dxa"/>
            <w:vAlign w:val="top"/>
          </w:tcPr>
          <w:p w14:paraId="3F34E167">
            <w:pPr>
              <w:pStyle w:val="6"/>
              <w:spacing w:before="38" w:line="206" w:lineRule="auto"/>
              <w:ind w:left="739"/>
              <w:rPr>
                <w:sz w:val="24"/>
                <w:szCs w:val="24"/>
              </w:rPr>
            </w:pPr>
            <w:r>
              <w:rPr>
                <w:sz w:val="24"/>
                <w:szCs w:val="24"/>
              </w:rPr>
              <w:t>苯</w:t>
            </w:r>
          </w:p>
        </w:tc>
        <w:tc>
          <w:tcPr>
            <w:tcW w:w="1703" w:type="dxa"/>
            <w:vAlign w:val="top"/>
          </w:tcPr>
          <w:p w14:paraId="25B0BD3E">
            <w:pPr>
              <w:pStyle w:val="6"/>
              <w:spacing w:before="38" w:line="206" w:lineRule="auto"/>
              <w:ind w:left="379"/>
              <w:rPr>
                <w:sz w:val="24"/>
                <w:szCs w:val="24"/>
              </w:rPr>
            </w:pPr>
            <w:r>
              <w:rPr>
                <w:spacing w:val="-3"/>
                <w:sz w:val="24"/>
                <w:szCs w:val="24"/>
              </w:rPr>
              <w:t>轻质气体</w:t>
            </w:r>
          </w:p>
        </w:tc>
        <w:tc>
          <w:tcPr>
            <w:tcW w:w="1703" w:type="dxa"/>
            <w:vAlign w:val="top"/>
          </w:tcPr>
          <w:p w14:paraId="5E3A3204">
            <w:pPr>
              <w:pStyle w:val="6"/>
              <w:spacing w:before="38" w:line="206" w:lineRule="auto"/>
              <w:ind w:left="380"/>
              <w:rPr>
                <w:sz w:val="24"/>
                <w:szCs w:val="24"/>
              </w:rPr>
            </w:pPr>
            <w:r>
              <w:rPr>
                <w:spacing w:val="-3"/>
                <w:sz w:val="24"/>
                <w:szCs w:val="24"/>
              </w:rPr>
              <w:t>连续排放</w:t>
            </w:r>
          </w:p>
        </w:tc>
        <w:tc>
          <w:tcPr>
            <w:tcW w:w="1708" w:type="dxa"/>
            <w:vAlign w:val="top"/>
          </w:tcPr>
          <w:p w14:paraId="23F9B70E">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5345A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58A73B37">
            <w:pPr>
              <w:pStyle w:val="6"/>
              <w:spacing w:before="39" w:line="204" w:lineRule="auto"/>
              <w:ind w:left="383"/>
              <w:rPr>
                <w:sz w:val="24"/>
                <w:szCs w:val="24"/>
              </w:rPr>
            </w:pPr>
            <w:r>
              <w:rPr>
                <w:spacing w:val="-3"/>
                <w:sz w:val="24"/>
                <w:szCs w:val="24"/>
              </w:rPr>
              <w:t>罐车泄露</w:t>
            </w:r>
          </w:p>
        </w:tc>
        <w:tc>
          <w:tcPr>
            <w:tcW w:w="1702" w:type="dxa"/>
            <w:vAlign w:val="top"/>
          </w:tcPr>
          <w:p w14:paraId="6FFD19C2">
            <w:pPr>
              <w:pStyle w:val="6"/>
              <w:spacing w:before="39" w:line="204" w:lineRule="auto"/>
              <w:ind w:left="647"/>
              <w:rPr>
                <w:sz w:val="24"/>
                <w:szCs w:val="24"/>
              </w:rPr>
            </w:pPr>
            <w:r>
              <w:rPr>
                <w:spacing w:val="-21"/>
                <w:sz w:val="24"/>
                <w:szCs w:val="24"/>
              </w:rPr>
              <w:t>甲苯</w:t>
            </w:r>
          </w:p>
        </w:tc>
        <w:tc>
          <w:tcPr>
            <w:tcW w:w="1703" w:type="dxa"/>
            <w:vAlign w:val="top"/>
          </w:tcPr>
          <w:p w14:paraId="3DEE2327">
            <w:pPr>
              <w:pStyle w:val="6"/>
              <w:spacing w:before="39" w:line="204" w:lineRule="auto"/>
              <w:ind w:left="379"/>
              <w:rPr>
                <w:sz w:val="24"/>
                <w:szCs w:val="24"/>
              </w:rPr>
            </w:pPr>
            <w:r>
              <w:rPr>
                <w:spacing w:val="-3"/>
                <w:sz w:val="24"/>
                <w:szCs w:val="24"/>
              </w:rPr>
              <w:t>轻质气体</w:t>
            </w:r>
          </w:p>
        </w:tc>
        <w:tc>
          <w:tcPr>
            <w:tcW w:w="1703" w:type="dxa"/>
            <w:vAlign w:val="top"/>
          </w:tcPr>
          <w:p w14:paraId="571BDCF3">
            <w:pPr>
              <w:pStyle w:val="6"/>
              <w:spacing w:before="39" w:line="204" w:lineRule="auto"/>
              <w:ind w:left="380"/>
              <w:rPr>
                <w:sz w:val="24"/>
                <w:szCs w:val="24"/>
              </w:rPr>
            </w:pPr>
            <w:r>
              <w:rPr>
                <w:spacing w:val="-3"/>
                <w:sz w:val="24"/>
                <w:szCs w:val="24"/>
              </w:rPr>
              <w:t>连续排放</w:t>
            </w:r>
          </w:p>
        </w:tc>
        <w:tc>
          <w:tcPr>
            <w:tcW w:w="1708" w:type="dxa"/>
            <w:vAlign w:val="top"/>
          </w:tcPr>
          <w:p w14:paraId="4DDF0398">
            <w:pPr>
              <w:spacing w:before="61"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43D9F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353F93C0">
            <w:pPr>
              <w:pStyle w:val="6"/>
              <w:spacing w:before="40" w:line="204" w:lineRule="auto"/>
              <w:ind w:left="383"/>
              <w:rPr>
                <w:sz w:val="24"/>
                <w:szCs w:val="24"/>
              </w:rPr>
            </w:pPr>
            <w:r>
              <w:rPr>
                <w:spacing w:val="-3"/>
                <w:sz w:val="24"/>
                <w:szCs w:val="24"/>
              </w:rPr>
              <w:t>罐车泄露</w:t>
            </w:r>
          </w:p>
        </w:tc>
        <w:tc>
          <w:tcPr>
            <w:tcW w:w="1702" w:type="dxa"/>
            <w:vAlign w:val="top"/>
          </w:tcPr>
          <w:p w14:paraId="579DE8CE">
            <w:pPr>
              <w:pStyle w:val="6"/>
              <w:spacing w:before="40" w:line="204" w:lineRule="auto"/>
              <w:ind w:left="500"/>
              <w:rPr>
                <w:sz w:val="24"/>
                <w:szCs w:val="24"/>
              </w:rPr>
            </w:pPr>
            <w:r>
              <w:rPr>
                <w:spacing w:val="-5"/>
                <w:sz w:val="24"/>
                <w:szCs w:val="24"/>
              </w:rPr>
              <w:t>二甲苯</w:t>
            </w:r>
          </w:p>
        </w:tc>
        <w:tc>
          <w:tcPr>
            <w:tcW w:w="1703" w:type="dxa"/>
            <w:vAlign w:val="top"/>
          </w:tcPr>
          <w:p w14:paraId="4651E615">
            <w:pPr>
              <w:pStyle w:val="6"/>
              <w:spacing w:before="40" w:line="204" w:lineRule="auto"/>
              <w:ind w:left="379"/>
              <w:rPr>
                <w:sz w:val="24"/>
                <w:szCs w:val="24"/>
              </w:rPr>
            </w:pPr>
            <w:r>
              <w:rPr>
                <w:spacing w:val="-3"/>
                <w:sz w:val="24"/>
                <w:szCs w:val="24"/>
              </w:rPr>
              <w:t>轻质气体</w:t>
            </w:r>
          </w:p>
        </w:tc>
        <w:tc>
          <w:tcPr>
            <w:tcW w:w="1703" w:type="dxa"/>
            <w:vAlign w:val="top"/>
          </w:tcPr>
          <w:p w14:paraId="37E4FFAE">
            <w:pPr>
              <w:pStyle w:val="6"/>
              <w:spacing w:before="40" w:line="204" w:lineRule="auto"/>
              <w:ind w:left="380"/>
              <w:rPr>
                <w:sz w:val="24"/>
                <w:szCs w:val="24"/>
              </w:rPr>
            </w:pPr>
            <w:r>
              <w:rPr>
                <w:spacing w:val="-3"/>
                <w:sz w:val="24"/>
                <w:szCs w:val="24"/>
              </w:rPr>
              <w:t>连续排放</w:t>
            </w:r>
          </w:p>
        </w:tc>
        <w:tc>
          <w:tcPr>
            <w:tcW w:w="1708" w:type="dxa"/>
            <w:vAlign w:val="top"/>
          </w:tcPr>
          <w:p w14:paraId="706B2D23">
            <w:pPr>
              <w:spacing w:before="63"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2FAD2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41EAC986">
            <w:pPr>
              <w:pStyle w:val="6"/>
              <w:spacing w:before="39" w:line="205" w:lineRule="auto"/>
              <w:ind w:left="383"/>
              <w:rPr>
                <w:sz w:val="24"/>
                <w:szCs w:val="24"/>
              </w:rPr>
            </w:pPr>
            <w:r>
              <w:rPr>
                <w:spacing w:val="-3"/>
                <w:sz w:val="24"/>
                <w:szCs w:val="24"/>
              </w:rPr>
              <w:t>罐车泄露</w:t>
            </w:r>
          </w:p>
        </w:tc>
        <w:tc>
          <w:tcPr>
            <w:tcW w:w="1702" w:type="dxa"/>
            <w:vAlign w:val="top"/>
          </w:tcPr>
          <w:p w14:paraId="2B7705F8">
            <w:pPr>
              <w:pStyle w:val="6"/>
              <w:spacing w:before="39" w:line="205" w:lineRule="auto"/>
              <w:ind w:left="383"/>
              <w:rPr>
                <w:sz w:val="24"/>
                <w:szCs w:val="24"/>
              </w:rPr>
            </w:pPr>
            <w:r>
              <w:rPr>
                <w:spacing w:val="-4"/>
                <w:sz w:val="24"/>
                <w:szCs w:val="24"/>
              </w:rPr>
              <w:t>次氯酸钠</w:t>
            </w:r>
          </w:p>
        </w:tc>
        <w:tc>
          <w:tcPr>
            <w:tcW w:w="1703" w:type="dxa"/>
            <w:vAlign w:val="top"/>
          </w:tcPr>
          <w:p w14:paraId="0484B67E">
            <w:pPr>
              <w:pStyle w:val="6"/>
              <w:spacing w:before="39" w:line="205" w:lineRule="auto"/>
              <w:ind w:left="379"/>
              <w:rPr>
                <w:sz w:val="24"/>
                <w:szCs w:val="24"/>
              </w:rPr>
            </w:pPr>
            <w:r>
              <w:rPr>
                <w:spacing w:val="-3"/>
                <w:sz w:val="24"/>
                <w:szCs w:val="24"/>
              </w:rPr>
              <w:t>重质气体</w:t>
            </w:r>
          </w:p>
        </w:tc>
        <w:tc>
          <w:tcPr>
            <w:tcW w:w="1703" w:type="dxa"/>
            <w:vAlign w:val="top"/>
          </w:tcPr>
          <w:p w14:paraId="5ECF8234">
            <w:pPr>
              <w:pStyle w:val="6"/>
              <w:spacing w:before="39" w:line="205" w:lineRule="auto"/>
              <w:ind w:left="380"/>
              <w:rPr>
                <w:sz w:val="24"/>
                <w:szCs w:val="24"/>
              </w:rPr>
            </w:pPr>
            <w:r>
              <w:rPr>
                <w:spacing w:val="-3"/>
                <w:sz w:val="24"/>
                <w:szCs w:val="24"/>
              </w:rPr>
              <w:t>连续排放</w:t>
            </w:r>
          </w:p>
        </w:tc>
        <w:tc>
          <w:tcPr>
            <w:tcW w:w="1708" w:type="dxa"/>
            <w:vAlign w:val="top"/>
          </w:tcPr>
          <w:p w14:paraId="11846DFB">
            <w:pPr>
              <w:spacing w:before="63"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36D3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6" w:type="dxa"/>
            <w:vAlign w:val="top"/>
          </w:tcPr>
          <w:p w14:paraId="5BF24007">
            <w:pPr>
              <w:pStyle w:val="6"/>
              <w:spacing w:before="39" w:line="205" w:lineRule="auto"/>
              <w:ind w:left="383"/>
              <w:rPr>
                <w:sz w:val="24"/>
                <w:szCs w:val="24"/>
              </w:rPr>
            </w:pPr>
            <w:r>
              <w:rPr>
                <w:spacing w:val="-3"/>
                <w:sz w:val="24"/>
                <w:szCs w:val="24"/>
              </w:rPr>
              <w:t>罐车泄露</w:t>
            </w:r>
          </w:p>
        </w:tc>
        <w:tc>
          <w:tcPr>
            <w:tcW w:w="1702" w:type="dxa"/>
            <w:vAlign w:val="top"/>
          </w:tcPr>
          <w:p w14:paraId="75F59C45">
            <w:pPr>
              <w:pStyle w:val="6"/>
              <w:spacing w:before="39" w:line="205" w:lineRule="auto"/>
              <w:ind w:left="380"/>
              <w:rPr>
                <w:sz w:val="24"/>
                <w:szCs w:val="24"/>
              </w:rPr>
            </w:pPr>
            <w:r>
              <w:rPr>
                <w:spacing w:val="-4"/>
                <w:sz w:val="24"/>
                <w:szCs w:val="24"/>
              </w:rPr>
              <w:t>二氯乙烷</w:t>
            </w:r>
          </w:p>
        </w:tc>
        <w:tc>
          <w:tcPr>
            <w:tcW w:w="1703" w:type="dxa"/>
            <w:vAlign w:val="top"/>
          </w:tcPr>
          <w:p w14:paraId="7152F2CB">
            <w:pPr>
              <w:pStyle w:val="6"/>
              <w:spacing w:before="39" w:line="205" w:lineRule="auto"/>
              <w:ind w:left="379"/>
              <w:rPr>
                <w:sz w:val="24"/>
                <w:szCs w:val="24"/>
              </w:rPr>
            </w:pPr>
            <w:r>
              <w:rPr>
                <w:spacing w:val="-3"/>
                <w:sz w:val="24"/>
                <w:szCs w:val="24"/>
              </w:rPr>
              <w:t>轻质气体</w:t>
            </w:r>
          </w:p>
        </w:tc>
        <w:tc>
          <w:tcPr>
            <w:tcW w:w="1703" w:type="dxa"/>
            <w:vAlign w:val="top"/>
          </w:tcPr>
          <w:p w14:paraId="413F69DD">
            <w:pPr>
              <w:pStyle w:val="6"/>
              <w:spacing w:before="39" w:line="205" w:lineRule="auto"/>
              <w:ind w:left="380"/>
              <w:rPr>
                <w:sz w:val="24"/>
                <w:szCs w:val="24"/>
              </w:rPr>
            </w:pPr>
            <w:r>
              <w:rPr>
                <w:spacing w:val="-3"/>
                <w:sz w:val="24"/>
                <w:szCs w:val="24"/>
              </w:rPr>
              <w:t>连续排放</w:t>
            </w:r>
          </w:p>
        </w:tc>
        <w:tc>
          <w:tcPr>
            <w:tcW w:w="1708" w:type="dxa"/>
            <w:vAlign w:val="top"/>
          </w:tcPr>
          <w:p w14:paraId="42E52E94">
            <w:pPr>
              <w:spacing w:before="64"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r w14:paraId="1E73E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06" w:type="dxa"/>
            <w:vAlign w:val="top"/>
          </w:tcPr>
          <w:p w14:paraId="05190931">
            <w:pPr>
              <w:pStyle w:val="6"/>
              <w:spacing w:before="40" w:line="206" w:lineRule="auto"/>
              <w:ind w:left="383"/>
              <w:rPr>
                <w:sz w:val="24"/>
                <w:szCs w:val="24"/>
              </w:rPr>
            </w:pPr>
            <w:r>
              <w:rPr>
                <w:spacing w:val="-3"/>
                <w:sz w:val="24"/>
                <w:szCs w:val="24"/>
              </w:rPr>
              <w:t>罐车泄露</w:t>
            </w:r>
          </w:p>
        </w:tc>
        <w:tc>
          <w:tcPr>
            <w:tcW w:w="1702" w:type="dxa"/>
            <w:vAlign w:val="top"/>
          </w:tcPr>
          <w:p w14:paraId="6803925D">
            <w:pPr>
              <w:pStyle w:val="6"/>
              <w:spacing w:before="40" w:line="206" w:lineRule="auto"/>
              <w:ind w:left="618"/>
              <w:rPr>
                <w:sz w:val="24"/>
                <w:szCs w:val="24"/>
              </w:rPr>
            </w:pPr>
            <w:r>
              <w:rPr>
                <w:spacing w:val="-6"/>
                <w:sz w:val="24"/>
                <w:szCs w:val="24"/>
              </w:rPr>
              <w:t>液氯</w:t>
            </w:r>
          </w:p>
        </w:tc>
        <w:tc>
          <w:tcPr>
            <w:tcW w:w="1703" w:type="dxa"/>
            <w:vAlign w:val="top"/>
          </w:tcPr>
          <w:p w14:paraId="4588F536">
            <w:pPr>
              <w:pStyle w:val="6"/>
              <w:spacing w:before="40" w:line="206" w:lineRule="auto"/>
              <w:ind w:left="379"/>
              <w:rPr>
                <w:sz w:val="24"/>
                <w:szCs w:val="24"/>
              </w:rPr>
            </w:pPr>
            <w:r>
              <w:rPr>
                <w:spacing w:val="-3"/>
                <w:sz w:val="24"/>
                <w:szCs w:val="24"/>
              </w:rPr>
              <w:t>重质气体</w:t>
            </w:r>
          </w:p>
        </w:tc>
        <w:tc>
          <w:tcPr>
            <w:tcW w:w="1703" w:type="dxa"/>
            <w:vAlign w:val="top"/>
          </w:tcPr>
          <w:p w14:paraId="6C5D5646">
            <w:pPr>
              <w:pStyle w:val="6"/>
              <w:spacing w:before="40" w:line="206" w:lineRule="auto"/>
              <w:ind w:left="380"/>
              <w:rPr>
                <w:sz w:val="24"/>
                <w:szCs w:val="24"/>
              </w:rPr>
            </w:pPr>
            <w:r>
              <w:rPr>
                <w:spacing w:val="-3"/>
                <w:sz w:val="24"/>
                <w:szCs w:val="24"/>
              </w:rPr>
              <w:t>连续排放</w:t>
            </w:r>
          </w:p>
        </w:tc>
        <w:tc>
          <w:tcPr>
            <w:tcW w:w="1708" w:type="dxa"/>
            <w:vAlign w:val="top"/>
          </w:tcPr>
          <w:p w14:paraId="5EA13D12">
            <w:pPr>
              <w:spacing w:before="65"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bl>
    <w:p w14:paraId="5F3D9550">
      <w:pPr>
        <w:pStyle w:val="2"/>
        <w:spacing w:line="176" w:lineRule="exact"/>
        <w:rPr>
          <w:sz w:val="15"/>
        </w:rPr>
      </w:pPr>
    </w:p>
    <w:p w14:paraId="4BBBCCB3">
      <w:pPr>
        <w:spacing w:line="176" w:lineRule="exact"/>
        <w:rPr>
          <w:sz w:val="15"/>
          <w:szCs w:val="15"/>
        </w:rPr>
        <w:sectPr>
          <w:footerReference r:id="rId120" w:type="default"/>
          <w:pgSz w:w="11906" w:h="16839"/>
          <w:pgMar w:top="400" w:right="1687" w:bottom="1259" w:left="1687" w:header="0" w:footer="1097" w:gutter="0"/>
          <w:cols w:space="720" w:num="1"/>
        </w:sectPr>
      </w:pPr>
    </w:p>
    <w:p w14:paraId="7DCEB4FC">
      <w:pPr>
        <w:spacing w:before="19"/>
      </w:pPr>
    </w:p>
    <w:p w14:paraId="672EEFFC">
      <w:pPr>
        <w:spacing w:before="19"/>
      </w:pPr>
    </w:p>
    <w:p w14:paraId="5B476130">
      <w:pPr>
        <w:spacing w:before="18"/>
      </w:pPr>
    </w:p>
    <w:p w14:paraId="1D074AEC">
      <w:pPr>
        <w:spacing w:before="18"/>
      </w:pPr>
    </w:p>
    <w:tbl>
      <w:tblPr>
        <w:tblStyle w:val="5"/>
        <w:tblW w:w="85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6"/>
        <w:gridCol w:w="1702"/>
        <w:gridCol w:w="1703"/>
        <w:gridCol w:w="1703"/>
        <w:gridCol w:w="1708"/>
      </w:tblGrid>
      <w:tr w14:paraId="477FA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6" w:type="dxa"/>
            <w:vAlign w:val="top"/>
          </w:tcPr>
          <w:p w14:paraId="707E61FC">
            <w:pPr>
              <w:pStyle w:val="6"/>
              <w:spacing w:before="41" w:line="206" w:lineRule="auto"/>
              <w:ind w:left="383"/>
              <w:rPr>
                <w:sz w:val="24"/>
                <w:szCs w:val="24"/>
              </w:rPr>
            </w:pPr>
            <w:r>
              <w:rPr>
                <w:spacing w:val="-3"/>
                <w:sz w:val="24"/>
                <w:szCs w:val="24"/>
              </w:rPr>
              <w:t>罐车泄露</w:t>
            </w:r>
          </w:p>
        </w:tc>
        <w:tc>
          <w:tcPr>
            <w:tcW w:w="1702" w:type="dxa"/>
            <w:vAlign w:val="top"/>
          </w:tcPr>
          <w:p w14:paraId="00A7338B">
            <w:pPr>
              <w:pStyle w:val="6"/>
              <w:spacing w:before="41" w:line="206" w:lineRule="auto"/>
              <w:ind w:left="618"/>
              <w:rPr>
                <w:sz w:val="24"/>
                <w:szCs w:val="24"/>
              </w:rPr>
            </w:pPr>
            <w:r>
              <w:rPr>
                <w:spacing w:val="-6"/>
                <w:sz w:val="24"/>
                <w:szCs w:val="24"/>
              </w:rPr>
              <w:t>硝酸</w:t>
            </w:r>
          </w:p>
        </w:tc>
        <w:tc>
          <w:tcPr>
            <w:tcW w:w="1703" w:type="dxa"/>
            <w:vAlign w:val="top"/>
          </w:tcPr>
          <w:p w14:paraId="2690C77E">
            <w:pPr>
              <w:pStyle w:val="6"/>
              <w:spacing w:before="41" w:line="206" w:lineRule="auto"/>
              <w:ind w:left="379"/>
              <w:rPr>
                <w:sz w:val="24"/>
                <w:szCs w:val="24"/>
              </w:rPr>
            </w:pPr>
            <w:r>
              <w:rPr>
                <w:spacing w:val="-3"/>
                <w:sz w:val="24"/>
                <w:szCs w:val="24"/>
              </w:rPr>
              <w:t>重质气体</w:t>
            </w:r>
          </w:p>
        </w:tc>
        <w:tc>
          <w:tcPr>
            <w:tcW w:w="1703" w:type="dxa"/>
            <w:vAlign w:val="top"/>
          </w:tcPr>
          <w:p w14:paraId="1C52EDBD">
            <w:pPr>
              <w:pStyle w:val="6"/>
              <w:spacing w:before="41" w:line="206" w:lineRule="auto"/>
              <w:ind w:left="380"/>
              <w:rPr>
                <w:sz w:val="24"/>
                <w:szCs w:val="24"/>
              </w:rPr>
            </w:pPr>
            <w:r>
              <w:rPr>
                <w:spacing w:val="-3"/>
                <w:sz w:val="24"/>
                <w:szCs w:val="24"/>
              </w:rPr>
              <w:t>连续排放</w:t>
            </w:r>
          </w:p>
        </w:tc>
        <w:tc>
          <w:tcPr>
            <w:tcW w:w="1708" w:type="dxa"/>
            <w:vAlign w:val="top"/>
          </w:tcPr>
          <w:p w14:paraId="14DC7AD4">
            <w:pPr>
              <w:spacing w:before="64"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6495C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6" w:type="dxa"/>
            <w:vAlign w:val="top"/>
          </w:tcPr>
          <w:p w14:paraId="7E655E33">
            <w:pPr>
              <w:pStyle w:val="6"/>
              <w:spacing w:before="37" w:line="206" w:lineRule="auto"/>
              <w:ind w:left="383"/>
              <w:rPr>
                <w:sz w:val="24"/>
                <w:szCs w:val="24"/>
              </w:rPr>
            </w:pPr>
            <w:r>
              <w:rPr>
                <w:spacing w:val="-3"/>
                <w:sz w:val="24"/>
                <w:szCs w:val="24"/>
              </w:rPr>
              <w:t>罐车泄露</w:t>
            </w:r>
          </w:p>
        </w:tc>
        <w:tc>
          <w:tcPr>
            <w:tcW w:w="1702" w:type="dxa"/>
            <w:vAlign w:val="top"/>
          </w:tcPr>
          <w:p w14:paraId="1243C21C">
            <w:pPr>
              <w:pStyle w:val="6"/>
              <w:spacing w:before="37" w:line="206" w:lineRule="auto"/>
              <w:ind w:left="618"/>
              <w:rPr>
                <w:sz w:val="24"/>
                <w:szCs w:val="24"/>
              </w:rPr>
            </w:pPr>
            <w:r>
              <w:rPr>
                <w:spacing w:val="-6"/>
                <w:sz w:val="24"/>
                <w:szCs w:val="24"/>
              </w:rPr>
              <w:t>盐酸</w:t>
            </w:r>
          </w:p>
        </w:tc>
        <w:tc>
          <w:tcPr>
            <w:tcW w:w="1703" w:type="dxa"/>
            <w:vAlign w:val="top"/>
          </w:tcPr>
          <w:p w14:paraId="5578A9E3">
            <w:pPr>
              <w:pStyle w:val="6"/>
              <w:spacing w:before="37" w:line="206" w:lineRule="auto"/>
              <w:ind w:left="379"/>
              <w:rPr>
                <w:sz w:val="24"/>
                <w:szCs w:val="24"/>
              </w:rPr>
            </w:pPr>
            <w:r>
              <w:rPr>
                <w:spacing w:val="-3"/>
                <w:sz w:val="24"/>
                <w:szCs w:val="24"/>
              </w:rPr>
              <w:t>重质气体</w:t>
            </w:r>
          </w:p>
        </w:tc>
        <w:tc>
          <w:tcPr>
            <w:tcW w:w="1703" w:type="dxa"/>
            <w:vAlign w:val="top"/>
          </w:tcPr>
          <w:p w14:paraId="39035D96">
            <w:pPr>
              <w:pStyle w:val="6"/>
              <w:spacing w:before="37" w:line="206" w:lineRule="auto"/>
              <w:ind w:left="380"/>
              <w:rPr>
                <w:sz w:val="24"/>
                <w:szCs w:val="24"/>
              </w:rPr>
            </w:pPr>
            <w:r>
              <w:rPr>
                <w:spacing w:val="-3"/>
                <w:sz w:val="24"/>
                <w:szCs w:val="24"/>
              </w:rPr>
              <w:t>连续排放</w:t>
            </w:r>
          </w:p>
        </w:tc>
        <w:tc>
          <w:tcPr>
            <w:tcW w:w="1708" w:type="dxa"/>
            <w:vAlign w:val="top"/>
          </w:tcPr>
          <w:p w14:paraId="38B4767A">
            <w:pPr>
              <w:spacing w:before="61" w:line="188" w:lineRule="auto"/>
              <w:ind w:left="5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SLAB</w:t>
            </w:r>
          </w:p>
        </w:tc>
      </w:tr>
      <w:tr w14:paraId="41FEA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706" w:type="dxa"/>
            <w:vAlign w:val="top"/>
          </w:tcPr>
          <w:p w14:paraId="0416E803">
            <w:pPr>
              <w:pStyle w:val="6"/>
              <w:spacing w:before="38" w:line="208" w:lineRule="auto"/>
              <w:ind w:left="385"/>
              <w:rPr>
                <w:sz w:val="24"/>
                <w:szCs w:val="24"/>
              </w:rPr>
            </w:pPr>
            <w:r>
              <w:rPr>
                <w:spacing w:val="-4"/>
                <w:sz w:val="24"/>
                <w:szCs w:val="24"/>
              </w:rPr>
              <w:t>油品燃烧</w:t>
            </w:r>
          </w:p>
        </w:tc>
        <w:tc>
          <w:tcPr>
            <w:tcW w:w="1702" w:type="dxa"/>
            <w:vAlign w:val="top"/>
          </w:tcPr>
          <w:p w14:paraId="35BAAF3E">
            <w:pPr>
              <w:spacing w:before="80" w:line="188" w:lineRule="auto"/>
              <w:ind w:left="69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703" w:type="dxa"/>
            <w:vAlign w:val="top"/>
          </w:tcPr>
          <w:p w14:paraId="6EFAF640">
            <w:pPr>
              <w:pStyle w:val="6"/>
              <w:spacing w:before="38" w:line="208" w:lineRule="auto"/>
              <w:ind w:left="379"/>
              <w:rPr>
                <w:sz w:val="24"/>
                <w:szCs w:val="24"/>
              </w:rPr>
            </w:pPr>
            <w:r>
              <w:rPr>
                <w:spacing w:val="-3"/>
                <w:sz w:val="24"/>
                <w:szCs w:val="24"/>
              </w:rPr>
              <w:t>轻质气体</w:t>
            </w:r>
          </w:p>
        </w:tc>
        <w:tc>
          <w:tcPr>
            <w:tcW w:w="1703" w:type="dxa"/>
            <w:vAlign w:val="top"/>
          </w:tcPr>
          <w:p w14:paraId="23040279">
            <w:pPr>
              <w:pStyle w:val="6"/>
              <w:spacing w:before="38" w:line="208" w:lineRule="auto"/>
              <w:ind w:left="380"/>
              <w:rPr>
                <w:sz w:val="24"/>
                <w:szCs w:val="24"/>
              </w:rPr>
            </w:pPr>
            <w:r>
              <w:rPr>
                <w:spacing w:val="-3"/>
                <w:sz w:val="24"/>
                <w:szCs w:val="24"/>
              </w:rPr>
              <w:t>连续排放</w:t>
            </w:r>
          </w:p>
        </w:tc>
        <w:tc>
          <w:tcPr>
            <w:tcW w:w="1708" w:type="dxa"/>
            <w:vAlign w:val="top"/>
          </w:tcPr>
          <w:p w14:paraId="4BB2F1D8">
            <w:pPr>
              <w:spacing w:before="63" w:line="188" w:lineRule="auto"/>
              <w:ind w:left="45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AFTOX</w:t>
            </w:r>
          </w:p>
        </w:tc>
      </w:tr>
    </w:tbl>
    <w:p w14:paraId="4CCCC986">
      <w:pPr>
        <w:spacing w:before="197"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）预测时段</w:t>
      </w:r>
    </w:p>
    <w:p w14:paraId="423D64E1">
      <w:pPr>
        <w:spacing w:before="211" w:line="219" w:lineRule="auto"/>
        <w:ind w:left="685"/>
        <w:rPr>
          <w:rFonts w:ascii="宋体" w:hAnsi="宋体" w:eastAsia="宋体" w:cs="宋体"/>
          <w:sz w:val="28"/>
          <w:szCs w:val="28"/>
        </w:rPr>
      </w:pPr>
      <w:r>
        <w:rPr>
          <w:rFonts w:ascii="宋体" w:hAnsi="宋体" w:eastAsia="宋体" w:cs="宋体"/>
          <w:spacing w:val="-1"/>
          <w:sz w:val="28"/>
          <w:szCs w:val="28"/>
        </w:rPr>
        <w:t>预测按火灾事故发生持续</w:t>
      </w:r>
      <w:r>
        <w:rPr>
          <w:rFonts w:ascii="宋体" w:hAnsi="宋体" w:eastAsia="宋体" w:cs="宋体"/>
          <w:spacing w:val="-61"/>
          <w:sz w:val="28"/>
          <w:szCs w:val="28"/>
        </w:rPr>
        <w:t xml:space="preserve"> </w:t>
      </w:r>
      <w:r>
        <w:rPr>
          <w:rFonts w:ascii="Times New Roman" w:hAnsi="Times New Roman" w:eastAsia="Times New Roman" w:cs="Times New Roman"/>
          <w:spacing w:val="-1"/>
          <w:sz w:val="28"/>
          <w:szCs w:val="28"/>
        </w:rPr>
        <w:t>2h</w:t>
      </w:r>
      <w:r>
        <w:rPr>
          <w:rFonts w:ascii="宋体" w:hAnsi="宋体" w:eastAsia="宋体" w:cs="宋体"/>
          <w:spacing w:val="-1"/>
          <w:sz w:val="28"/>
          <w:szCs w:val="28"/>
        </w:rPr>
        <w:t>（</w:t>
      </w:r>
      <w:r>
        <w:rPr>
          <w:rFonts w:ascii="Times New Roman" w:hAnsi="Times New Roman" w:eastAsia="Times New Roman" w:cs="Times New Roman"/>
          <w:spacing w:val="-1"/>
          <w:sz w:val="28"/>
          <w:szCs w:val="28"/>
        </w:rPr>
        <w:t>120min</w:t>
      </w:r>
      <w:r>
        <w:rPr>
          <w:rFonts w:ascii="宋体" w:hAnsi="宋体" w:eastAsia="宋体" w:cs="宋体"/>
          <w:spacing w:val="-1"/>
          <w:sz w:val="28"/>
          <w:szCs w:val="28"/>
        </w:rPr>
        <w:t>）计。</w:t>
      </w:r>
    </w:p>
    <w:p w14:paraId="0DAE4914">
      <w:pPr>
        <w:spacing w:before="212" w:line="220"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）毒性终点浓度选取</w:t>
      </w:r>
    </w:p>
    <w:p w14:paraId="334870EC">
      <w:pPr>
        <w:spacing w:before="212" w:line="357" w:lineRule="auto"/>
        <w:ind w:left="127" w:right="36" w:firstLine="555"/>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）附录</w:t>
      </w:r>
      <w:r>
        <w:rPr>
          <w:rFonts w:ascii="宋体" w:hAnsi="宋体" w:eastAsia="宋体" w:cs="宋体"/>
          <w:spacing w:val="-50"/>
          <w:sz w:val="28"/>
          <w:szCs w:val="28"/>
        </w:rPr>
        <w:t xml:space="preserve"> </w:t>
      </w:r>
      <w:r>
        <w:rPr>
          <w:rFonts w:ascii="Times New Roman" w:hAnsi="Times New Roman" w:eastAsia="Times New Roman" w:cs="Times New Roman"/>
          <w:spacing w:val="-9"/>
          <w:sz w:val="28"/>
          <w:szCs w:val="28"/>
        </w:rPr>
        <w:t>H</w:t>
      </w:r>
      <w:r>
        <w:rPr>
          <w:rFonts w:ascii="宋体" w:hAnsi="宋体" w:eastAsia="宋体" w:cs="宋体"/>
          <w:spacing w:val="-9"/>
          <w:sz w:val="28"/>
          <w:szCs w:val="28"/>
        </w:rPr>
        <w:t>，</w:t>
      </w:r>
      <w:r>
        <w:rPr>
          <w:rFonts w:ascii="宋体" w:hAnsi="宋体" w:eastAsia="宋体" w:cs="宋体"/>
          <w:sz w:val="28"/>
          <w:szCs w:val="28"/>
        </w:rPr>
        <w:t xml:space="preserve"> </w:t>
      </w:r>
      <w:r>
        <w:rPr>
          <w:rFonts w:ascii="宋体" w:hAnsi="宋体" w:eastAsia="宋体" w:cs="宋体"/>
          <w:spacing w:val="-1"/>
          <w:sz w:val="28"/>
          <w:szCs w:val="28"/>
        </w:rPr>
        <w:t>各风险物质大气毒性终点浓度值详见下表：</w:t>
      </w:r>
    </w:p>
    <w:p w14:paraId="05AFCC7F">
      <w:pPr>
        <w:spacing w:line="219"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7.1-2    </w:t>
      </w:r>
      <w:r>
        <w:rPr>
          <w:rFonts w:ascii="宋体" w:hAnsi="宋体" w:eastAsia="宋体" w:cs="宋体"/>
          <w:b/>
          <w:bCs/>
          <w:spacing w:val="-2"/>
          <w:sz w:val="24"/>
          <w:szCs w:val="24"/>
        </w:rPr>
        <w:t>风险物质毒性终点浓度表</w:t>
      </w:r>
    </w:p>
    <w:p w14:paraId="5DA793B6">
      <w:pPr>
        <w:spacing w:line="145"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654D8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08" w:type="dxa"/>
            <w:vAlign w:val="top"/>
          </w:tcPr>
          <w:p w14:paraId="6B0EB8CC">
            <w:pPr>
              <w:pStyle w:val="6"/>
              <w:spacing w:before="195" w:line="221" w:lineRule="auto"/>
              <w:ind w:left="620"/>
              <w:rPr>
                <w:sz w:val="24"/>
                <w:szCs w:val="24"/>
              </w:rPr>
            </w:pPr>
            <w:r>
              <w:rPr>
                <w:spacing w:val="-5"/>
                <w:sz w:val="24"/>
                <w:szCs w:val="24"/>
              </w:rPr>
              <w:t>序号</w:t>
            </w:r>
          </w:p>
        </w:tc>
        <w:tc>
          <w:tcPr>
            <w:tcW w:w="1703" w:type="dxa"/>
            <w:vAlign w:val="top"/>
          </w:tcPr>
          <w:p w14:paraId="3B056227">
            <w:pPr>
              <w:pStyle w:val="6"/>
              <w:spacing w:before="195" w:line="220" w:lineRule="auto"/>
              <w:ind w:left="377"/>
              <w:rPr>
                <w:sz w:val="24"/>
                <w:szCs w:val="24"/>
              </w:rPr>
            </w:pPr>
            <w:r>
              <w:rPr>
                <w:spacing w:val="-3"/>
                <w:sz w:val="24"/>
                <w:szCs w:val="24"/>
              </w:rPr>
              <w:t>物质名称</w:t>
            </w:r>
          </w:p>
        </w:tc>
        <w:tc>
          <w:tcPr>
            <w:tcW w:w="1703" w:type="dxa"/>
            <w:vAlign w:val="top"/>
          </w:tcPr>
          <w:p w14:paraId="2D1858DD">
            <w:pPr>
              <w:pStyle w:val="6"/>
              <w:spacing w:before="195" w:line="221" w:lineRule="auto"/>
              <w:ind w:left="473"/>
              <w:rPr>
                <w:sz w:val="24"/>
                <w:szCs w:val="24"/>
              </w:rPr>
            </w:pPr>
            <w:r>
              <w:rPr>
                <w:rFonts w:ascii="Times New Roman" w:hAnsi="Times New Roman" w:eastAsia="Times New Roman" w:cs="Times New Roman"/>
                <w:spacing w:val="-3"/>
                <w:sz w:val="24"/>
                <w:szCs w:val="24"/>
              </w:rPr>
              <w:t>CAS</w:t>
            </w:r>
            <w:r>
              <w:rPr>
                <w:rFonts w:ascii="Times New Roman" w:hAnsi="Times New Roman" w:eastAsia="Times New Roman" w:cs="Times New Roman"/>
                <w:spacing w:val="16"/>
                <w:sz w:val="24"/>
                <w:szCs w:val="24"/>
              </w:rPr>
              <w:t xml:space="preserve"> </w:t>
            </w:r>
            <w:r>
              <w:rPr>
                <w:spacing w:val="-3"/>
                <w:sz w:val="24"/>
                <w:szCs w:val="24"/>
              </w:rPr>
              <w:t>号</w:t>
            </w:r>
          </w:p>
        </w:tc>
        <w:tc>
          <w:tcPr>
            <w:tcW w:w="1704" w:type="dxa"/>
            <w:vAlign w:val="top"/>
          </w:tcPr>
          <w:p w14:paraId="619504E3">
            <w:pPr>
              <w:pStyle w:val="6"/>
              <w:spacing w:before="42" w:line="219" w:lineRule="auto"/>
              <w:ind w:left="141"/>
              <w:rPr>
                <w:sz w:val="24"/>
                <w:szCs w:val="24"/>
              </w:rPr>
            </w:pPr>
            <w:r>
              <w:rPr>
                <w:spacing w:val="-2"/>
                <w:sz w:val="24"/>
                <w:szCs w:val="24"/>
              </w:rPr>
              <w:t>毒性终点浓度</w:t>
            </w:r>
          </w:p>
          <w:p w14:paraId="411AD125">
            <w:pPr>
              <w:pStyle w:val="6"/>
              <w:spacing w:before="24" w:line="208" w:lineRule="auto"/>
              <w:ind w:left="180"/>
              <w:rPr>
                <w:sz w:val="24"/>
                <w:szCs w:val="24"/>
              </w:rPr>
            </w:pPr>
            <w:r>
              <w:rPr>
                <w:rFonts w:ascii="Times New Roman" w:hAnsi="Times New Roman" w:eastAsia="Times New Roman" w:cs="Times New Roman"/>
                <w:spacing w:val="-2"/>
                <w:sz w:val="24"/>
                <w:szCs w:val="24"/>
              </w:rPr>
              <w:t>-1</w:t>
            </w:r>
            <w:r>
              <w:rPr>
                <w:spacing w:val="-2"/>
                <w:sz w:val="24"/>
                <w:szCs w:val="24"/>
              </w:rPr>
              <w:t>（</w:t>
            </w:r>
            <w:r>
              <w:rPr>
                <w:rFonts w:ascii="Times New Roman" w:hAnsi="Times New Roman" w:eastAsia="Times New Roman" w:cs="Times New Roman"/>
                <w:spacing w:val="-2"/>
                <w:sz w:val="24"/>
                <w:szCs w:val="24"/>
              </w:rPr>
              <w:t>mg/m</w:t>
            </w:r>
            <w:r>
              <w:rPr>
                <w:spacing w:val="-2"/>
                <w:sz w:val="24"/>
                <w:szCs w:val="24"/>
              </w:rPr>
              <w:t>³</w:t>
            </w:r>
            <w:r>
              <w:rPr>
                <w:spacing w:val="-80"/>
                <w:sz w:val="24"/>
                <w:szCs w:val="24"/>
              </w:rPr>
              <w:t xml:space="preserve"> </w:t>
            </w:r>
            <w:r>
              <w:rPr>
                <w:spacing w:val="-2"/>
                <w:sz w:val="24"/>
                <w:szCs w:val="24"/>
              </w:rPr>
              <w:t>)</w:t>
            </w:r>
          </w:p>
        </w:tc>
        <w:tc>
          <w:tcPr>
            <w:tcW w:w="1708" w:type="dxa"/>
            <w:vAlign w:val="top"/>
          </w:tcPr>
          <w:p w14:paraId="483F31E5">
            <w:pPr>
              <w:pStyle w:val="6"/>
              <w:spacing w:before="42" w:line="219" w:lineRule="auto"/>
              <w:ind w:left="141"/>
              <w:rPr>
                <w:sz w:val="24"/>
                <w:szCs w:val="24"/>
              </w:rPr>
            </w:pPr>
            <w:r>
              <w:rPr>
                <w:spacing w:val="-2"/>
                <w:sz w:val="24"/>
                <w:szCs w:val="24"/>
              </w:rPr>
              <w:t>毒性终点浓度</w:t>
            </w:r>
          </w:p>
          <w:p w14:paraId="70C262AE">
            <w:pPr>
              <w:pStyle w:val="6"/>
              <w:spacing w:before="24" w:line="208" w:lineRule="auto"/>
              <w:ind w:left="180"/>
              <w:rPr>
                <w:sz w:val="24"/>
                <w:szCs w:val="24"/>
              </w:rPr>
            </w:pPr>
            <w:r>
              <w:rPr>
                <w:rFonts w:ascii="Times New Roman" w:hAnsi="Times New Roman" w:eastAsia="Times New Roman" w:cs="Times New Roman"/>
                <w:spacing w:val="-2"/>
                <w:sz w:val="24"/>
                <w:szCs w:val="24"/>
              </w:rPr>
              <w:t>-2</w:t>
            </w:r>
            <w:r>
              <w:rPr>
                <w:spacing w:val="-2"/>
                <w:sz w:val="24"/>
                <w:szCs w:val="24"/>
              </w:rPr>
              <w:t>（</w:t>
            </w:r>
            <w:r>
              <w:rPr>
                <w:rFonts w:ascii="Times New Roman" w:hAnsi="Times New Roman" w:eastAsia="Times New Roman" w:cs="Times New Roman"/>
                <w:spacing w:val="-2"/>
                <w:sz w:val="24"/>
                <w:szCs w:val="24"/>
              </w:rPr>
              <w:t>mg/m</w:t>
            </w:r>
            <w:r>
              <w:rPr>
                <w:spacing w:val="-2"/>
                <w:sz w:val="24"/>
                <w:szCs w:val="24"/>
              </w:rPr>
              <w:t>³</w:t>
            </w:r>
            <w:r>
              <w:rPr>
                <w:spacing w:val="-80"/>
                <w:sz w:val="24"/>
                <w:szCs w:val="24"/>
              </w:rPr>
              <w:t xml:space="preserve"> </w:t>
            </w:r>
            <w:r>
              <w:rPr>
                <w:spacing w:val="-2"/>
                <w:sz w:val="24"/>
                <w:szCs w:val="24"/>
              </w:rPr>
              <w:t>)</w:t>
            </w:r>
          </w:p>
        </w:tc>
      </w:tr>
      <w:tr w14:paraId="28FD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8" w:type="dxa"/>
            <w:vAlign w:val="top"/>
          </w:tcPr>
          <w:p w14:paraId="180D3834">
            <w:pPr>
              <w:spacing w:before="75" w:line="188" w:lineRule="auto"/>
              <w:ind w:left="81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03" w:type="dxa"/>
            <w:vAlign w:val="top"/>
          </w:tcPr>
          <w:p w14:paraId="367261F6">
            <w:pPr>
              <w:pStyle w:val="6"/>
              <w:spacing w:before="35" w:line="207" w:lineRule="auto"/>
              <w:ind w:left="648"/>
              <w:rPr>
                <w:sz w:val="24"/>
                <w:szCs w:val="24"/>
              </w:rPr>
            </w:pPr>
            <w:r>
              <w:rPr>
                <w:spacing w:val="-21"/>
                <w:sz w:val="24"/>
                <w:szCs w:val="24"/>
              </w:rPr>
              <w:t>甲醇</w:t>
            </w:r>
          </w:p>
        </w:tc>
        <w:tc>
          <w:tcPr>
            <w:tcW w:w="1703" w:type="dxa"/>
            <w:vAlign w:val="top"/>
          </w:tcPr>
          <w:p w14:paraId="43DC4664">
            <w:pPr>
              <w:spacing w:before="75" w:line="188" w:lineRule="auto"/>
              <w:ind w:left="47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67-56-1</w:t>
            </w:r>
          </w:p>
        </w:tc>
        <w:tc>
          <w:tcPr>
            <w:tcW w:w="1704" w:type="dxa"/>
            <w:vAlign w:val="top"/>
          </w:tcPr>
          <w:p w14:paraId="71EBB491">
            <w:pPr>
              <w:spacing w:before="75" w:line="188" w:lineRule="auto"/>
              <w:ind w:left="61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9400</w:t>
            </w:r>
          </w:p>
        </w:tc>
        <w:tc>
          <w:tcPr>
            <w:tcW w:w="1708" w:type="dxa"/>
            <w:vAlign w:val="top"/>
          </w:tcPr>
          <w:p w14:paraId="63C26D9C">
            <w:pPr>
              <w:spacing w:before="75"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2700</w:t>
            </w:r>
          </w:p>
        </w:tc>
      </w:tr>
      <w:tr w14:paraId="742EC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708" w:type="dxa"/>
            <w:vAlign w:val="top"/>
          </w:tcPr>
          <w:p w14:paraId="18A83296">
            <w:pPr>
              <w:spacing w:before="77" w:line="188" w:lineRule="auto"/>
              <w:ind w:left="79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03" w:type="dxa"/>
            <w:vAlign w:val="top"/>
          </w:tcPr>
          <w:p w14:paraId="31219B5C">
            <w:pPr>
              <w:pStyle w:val="6"/>
              <w:spacing w:before="37" w:line="206" w:lineRule="auto"/>
              <w:ind w:left="617"/>
              <w:rPr>
                <w:sz w:val="24"/>
                <w:szCs w:val="24"/>
              </w:rPr>
            </w:pPr>
            <w:r>
              <w:rPr>
                <w:spacing w:val="-5"/>
                <w:sz w:val="24"/>
                <w:szCs w:val="24"/>
              </w:rPr>
              <w:t>氨气</w:t>
            </w:r>
          </w:p>
        </w:tc>
        <w:tc>
          <w:tcPr>
            <w:tcW w:w="1703" w:type="dxa"/>
            <w:vAlign w:val="top"/>
          </w:tcPr>
          <w:p w14:paraId="3CBEFC7A">
            <w:pPr>
              <w:spacing w:before="76"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7664-41-7</w:t>
            </w:r>
          </w:p>
        </w:tc>
        <w:tc>
          <w:tcPr>
            <w:tcW w:w="1704" w:type="dxa"/>
            <w:vAlign w:val="top"/>
          </w:tcPr>
          <w:p w14:paraId="308D50DB">
            <w:pPr>
              <w:spacing w:before="76" w:line="188" w:lineRule="auto"/>
              <w:ind w:left="67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770</w:t>
            </w:r>
          </w:p>
        </w:tc>
        <w:tc>
          <w:tcPr>
            <w:tcW w:w="1708" w:type="dxa"/>
            <w:vAlign w:val="top"/>
          </w:tcPr>
          <w:p w14:paraId="384CBA06">
            <w:pPr>
              <w:spacing w:before="76" w:line="188" w:lineRule="auto"/>
              <w:ind w:left="702"/>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110</w:t>
            </w:r>
          </w:p>
        </w:tc>
      </w:tr>
      <w:tr w14:paraId="0752E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3C7ED58C">
            <w:pPr>
              <w:spacing w:before="78" w:line="188" w:lineRule="auto"/>
              <w:ind w:left="801"/>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03" w:type="dxa"/>
            <w:vAlign w:val="top"/>
          </w:tcPr>
          <w:p w14:paraId="06D68FE3">
            <w:pPr>
              <w:pStyle w:val="6"/>
              <w:spacing w:before="39" w:line="205" w:lineRule="auto"/>
              <w:ind w:left="616"/>
              <w:rPr>
                <w:sz w:val="24"/>
                <w:szCs w:val="24"/>
              </w:rPr>
            </w:pPr>
            <w:r>
              <w:rPr>
                <w:spacing w:val="-5"/>
                <w:sz w:val="24"/>
                <w:szCs w:val="24"/>
              </w:rPr>
              <w:t>硫酸</w:t>
            </w:r>
          </w:p>
        </w:tc>
        <w:tc>
          <w:tcPr>
            <w:tcW w:w="1703" w:type="dxa"/>
            <w:vAlign w:val="top"/>
          </w:tcPr>
          <w:p w14:paraId="39D38DB4">
            <w:pPr>
              <w:spacing w:before="78"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7664-93-9</w:t>
            </w:r>
          </w:p>
        </w:tc>
        <w:tc>
          <w:tcPr>
            <w:tcW w:w="1704" w:type="dxa"/>
            <w:vAlign w:val="top"/>
          </w:tcPr>
          <w:p w14:paraId="055D67A5">
            <w:pPr>
              <w:spacing w:before="78" w:line="188" w:lineRule="auto"/>
              <w:ind w:left="69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160</w:t>
            </w:r>
          </w:p>
        </w:tc>
        <w:tc>
          <w:tcPr>
            <w:tcW w:w="1708" w:type="dxa"/>
            <w:vAlign w:val="top"/>
          </w:tcPr>
          <w:p w14:paraId="4A296870">
            <w:pPr>
              <w:spacing w:before="78" w:line="188" w:lineRule="auto"/>
              <w:ind w:left="71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8.7</w:t>
            </w:r>
          </w:p>
        </w:tc>
      </w:tr>
      <w:tr w14:paraId="374FC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0E6B60C2">
            <w:pPr>
              <w:spacing w:before="79" w:line="188" w:lineRule="auto"/>
              <w:ind w:left="79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03" w:type="dxa"/>
            <w:vAlign w:val="top"/>
          </w:tcPr>
          <w:p w14:paraId="07787FA0">
            <w:pPr>
              <w:pStyle w:val="6"/>
              <w:spacing w:before="39" w:line="205" w:lineRule="auto"/>
              <w:ind w:left="740"/>
              <w:rPr>
                <w:sz w:val="24"/>
                <w:szCs w:val="24"/>
              </w:rPr>
            </w:pPr>
            <w:r>
              <w:rPr>
                <w:sz w:val="24"/>
                <w:szCs w:val="24"/>
              </w:rPr>
              <w:t>苯</w:t>
            </w:r>
          </w:p>
        </w:tc>
        <w:tc>
          <w:tcPr>
            <w:tcW w:w="1703" w:type="dxa"/>
            <w:vAlign w:val="top"/>
          </w:tcPr>
          <w:p w14:paraId="58790BD8">
            <w:pPr>
              <w:spacing w:before="79" w:line="188" w:lineRule="auto"/>
              <w:ind w:left="47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71-43-2</w:t>
            </w:r>
          </w:p>
        </w:tc>
        <w:tc>
          <w:tcPr>
            <w:tcW w:w="1704" w:type="dxa"/>
            <w:vAlign w:val="top"/>
          </w:tcPr>
          <w:p w14:paraId="4FBF1FAF">
            <w:pPr>
              <w:spacing w:before="79"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13000</w:t>
            </w:r>
          </w:p>
        </w:tc>
        <w:tc>
          <w:tcPr>
            <w:tcW w:w="1708" w:type="dxa"/>
            <w:vAlign w:val="top"/>
          </w:tcPr>
          <w:p w14:paraId="2F297FA2">
            <w:pPr>
              <w:spacing w:before="79"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2600</w:t>
            </w:r>
          </w:p>
        </w:tc>
      </w:tr>
      <w:tr w14:paraId="3F11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533CE0C7">
            <w:pPr>
              <w:spacing w:before="83" w:line="185" w:lineRule="auto"/>
              <w:ind w:left="8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03" w:type="dxa"/>
            <w:vAlign w:val="top"/>
          </w:tcPr>
          <w:p w14:paraId="5E856EB4">
            <w:pPr>
              <w:pStyle w:val="6"/>
              <w:spacing w:before="38" w:line="206" w:lineRule="auto"/>
              <w:ind w:left="648"/>
              <w:rPr>
                <w:sz w:val="24"/>
                <w:szCs w:val="24"/>
              </w:rPr>
            </w:pPr>
            <w:r>
              <w:rPr>
                <w:spacing w:val="-21"/>
                <w:sz w:val="24"/>
                <w:szCs w:val="24"/>
              </w:rPr>
              <w:t>甲苯</w:t>
            </w:r>
          </w:p>
        </w:tc>
        <w:tc>
          <w:tcPr>
            <w:tcW w:w="1703" w:type="dxa"/>
            <w:vAlign w:val="top"/>
          </w:tcPr>
          <w:p w14:paraId="38E48D46">
            <w:pPr>
              <w:spacing w:before="79" w:line="188" w:lineRule="auto"/>
              <w:ind w:left="43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108-88-3</w:t>
            </w:r>
          </w:p>
        </w:tc>
        <w:tc>
          <w:tcPr>
            <w:tcW w:w="1704" w:type="dxa"/>
            <w:vAlign w:val="top"/>
          </w:tcPr>
          <w:p w14:paraId="70B4A633">
            <w:pPr>
              <w:spacing w:before="79" w:line="188" w:lineRule="auto"/>
              <w:ind w:left="57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14000</w:t>
            </w:r>
          </w:p>
        </w:tc>
        <w:tc>
          <w:tcPr>
            <w:tcW w:w="1708" w:type="dxa"/>
            <w:vAlign w:val="top"/>
          </w:tcPr>
          <w:p w14:paraId="2B1997B1">
            <w:pPr>
              <w:spacing w:before="79" w:line="188" w:lineRule="auto"/>
              <w:ind w:left="6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2100</w:t>
            </w:r>
          </w:p>
        </w:tc>
      </w:tr>
      <w:tr w14:paraId="0A01E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E0ADA31">
            <w:pPr>
              <w:spacing w:before="80" w:line="188" w:lineRule="auto"/>
              <w:ind w:left="80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03" w:type="dxa"/>
            <w:vAlign w:val="top"/>
          </w:tcPr>
          <w:p w14:paraId="7AC80F27">
            <w:pPr>
              <w:pStyle w:val="6"/>
              <w:spacing w:before="38" w:line="206" w:lineRule="auto"/>
              <w:ind w:left="500"/>
              <w:rPr>
                <w:sz w:val="24"/>
                <w:szCs w:val="24"/>
              </w:rPr>
            </w:pPr>
            <w:r>
              <w:rPr>
                <w:spacing w:val="-5"/>
                <w:sz w:val="24"/>
                <w:szCs w:val="24"/>
              </w:rPr>
              <w:t>二甲苯</w:t>
            </w:r>
          </w:p>
        </w:tc>
        <w:tc>
          <w:tcPr>
            <w:tcW w:w="1703" w:type="dxa"/>
            <w:vAlign w:val="top"/>
          </w:tcPr>
          <w:p w14:paraId="61D90C57">
            <w:pPr>
              <w:spacing w:before="80" w:line="188" w:lineRule="auto"/>
              <w:ind w:left="37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1330-20-7</w:t>
            </w:r>
          </w:p>
        </w:tc>
        <w:tc>
          <w:tcPr>
            <w:tcW w:w="1704" w:type="dxa"/>
            <w:vAlign w:val="top"/>
          </w:tcPr>
          <w:p w14:paraId="16ADAD89">
            <w:pPr>
              <w:spacing w:before="80" w:line="188" w:lineRule="auto"/>
              <w:ind w:left="58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11000</w:t>
            </w:r>
          </w:p>
        </w:tc>
        <w:tc>
          <w:tcPr>
            <w:tcW w:w="1708" w:type="dxa"/>
            <w:vAlign w:val="top"/>
          </w:tcPr>
          <w:p w14:paraId="3E1DB98E">
            <w:pPr>
              <w:spacing w:before="80" w:line="188" w:lineRule="auto"/>
              <w:ind w:left="61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w:t>
            </w:r>
          </w:p>
        </w:tc>
      </w:tr>
      <w:tr w14:paraId="5D258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B2066AF">
            <w:pPr>
              <w:spacing w:before="84" w:line="185" w:lineRule="auto"/>
              <w:ind w:left="80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03" w:type="dxa"/>
            <w:vAlign w:val="top"/>
          </w:tcPr>
          <w:p w14:paraId="1643D143">
            <w:pPr>
              <w:pStyle w:val="6"/>
              <w:spacing w:before="39" w:line="205" w:lineRule="auto"/>
              <w:ind w:left="383"/>
              <w:rPr>
                <w:sz w:val="24"/>
                <w:szCs w:val="24"/>
              </w:rPr>
            </w:pPr>
            <w:r>
              <w:rPr>
                <w:spacing w:val="-4"/>
                <w:sz w:val="24"/>
                <w:szCs w:val="24"/>
              </w:rPr>
              <w:t>次氯酸钠</w:t>
            </w:r>
          </w:p>
        </w:tc>
        <w:tc>
          <w:tcPr>
            <w:tcW w:w="1703" w:type="dxa"/>
            <w:vAlign w:val="top"/>
          </w:tcPr>
          <w:p w14:paraId="01D7519D">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7681-52-9</w:t>
            </w:r>
          </w:p>
        </w:tc>
        <w:tc>
          <w:tcPr>
            <w:tcW w:w="1704" w:type="dxa"/>
            <w:vAlign w:val="top"/>
          </w:tcPr>
          <w:p w14:paraId="509C7376">
            <w:pPr>
              <w:spacing w:before="80"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1800</w:t>
            </w:r>
          </w:p>
        </w:tc>
        <w:tc>
          <w:tcPr>
            <w:tcW w:w="1708" w:type="dxa"/>
            <w:vAlign w:val="top"/>
          </w:tcPr>
          <w:p w14:paraId="3908A37D">
            <w:pPr>
              <w:spacing w:before="80" w:line="188" w:lineRule="auto"/>
              <w:ind w:left="6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290</w:t>
            </w:r>
          </w:p>
        </w:tc>
      </w:tr>
      <w:tr w14:paraId="6E324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4293DAF6">
            <w:pPr>
              <w:spacing w:before="81" w:line="188" w:lineRule="auto"/>
              <w:ind w:left="80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03" w:type="dxa"/>
            <w:vAlign w:val="top"/>
          </w:tcPr>
          <w:p w14:paraId="1D019098">
            <w:pPr>
              <w:pStyle w:val="6"/>
              <w:spacing w:before="39" w:line="205" w:lineRule="auto"/>
              <w:ind w:left="380"/>
              <w:rPr>
                <w:sz w:val="24"/>
                <w:szCs w:val="24"/>
              </w:rPr>
            </w:pPr>
            <w:r>
              <w:rPr>
                <w:spacing w:val="-4"/>
                <w:sz w:val="24"/>
                <w:szCs w:val="24"/>
              </w:rPr>
              <w:t>二氯乙烷</w:t>
            </w:r>
          </w:p>
        </w:tc>
        <w:tc>
          <w:tcPr>
            <w:tcW w:w="1703" w:type="dxa"/>
            <w:vAlign w:val="top"/>
          </w:tcPr>
          <w:p w14:paraId="34CB4463">
            <w:pPr>
              <w:spacing w:before="81" w:line="188" w:lineRule="auto"/>
              <w:ind w:left="437"/>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107-06-2</w:t>
            </w:r>
          </w:p>
        </w:tc>
        <w:tc>
          <w:tcPr>
            <w:tcW w:w="1704" w:type="dxa"/>
            <w:vAlign w:val="top"/>
          </w:tcPr>
          <w:p w14:paraId="64AE9A80">
            <w:pPr>
              <w:spacing w:before="81" w:line="188" w:lineRule="auto"/>
              <w:ind w:left="63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1200</w:t>
            </w:r>
          </w:p>
        </w:tc>
        <w:tc>
          <w:tcPr>
            <w:tcW w:w="1708" w:type="dxa"/>
            <w:vAlign w:val="top"/>
          </w:tcPr>
          <w:p w14:paraId="66B8639E">
            <w:pPr>
              <w:spacing w:before="81" w:line="188" w:lineRule="auto"/>
              <w:ind w:left="68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810</w:t>
            </w:r>
          </w:p>
        </w:tc>
      </w:tr>
      <w:tr w14:paraId="331D7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6BB2536A">
            <w:pPr>
              <w:spacing w:before="79" w:line="188" w:lineRule="auto"/>
              <w:ind w:left="801"/>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03" w:type="dxa"/>
            <w:vAlign w:val="top"/>
          </w:tcPr>
          <w:p w14:paraId="04F43FFC">
            <w:pPr>
              <w:pStyle w:val="6"/>
              <w:spacing w:before="40" w:line="204" w:lineRule="auto"/>
              <w:ind w:left="620"/>
              <w:rPr>
                <w:sz w:val="24"/>
                <w:szCs w:val="24"/>
              </w:rPr>
            </w:pPr>
            <w:r>
              <w:rPr>
                <w:spacing w:val="-7"/>
                <w:sz w:val="24"/>
                <w:szCs w:val="24"/>
              </w:rPr>
              <w:t>氯气</w:t>
            </w:r>
          </w:p>
        </w:tc>
        <w:tc>
          <w:tcPr>
            <w:tcW w:w="1703" w:type="dxa"/>
            <w:vAlign w:val="top"/>
          </w:tcPr>
          <w:p w14:paraId="213DFF63">
            <w:pPr>
              <w:spacing w:before="79"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7782-50-5</w:t>
            </w:r>
          </w:p>
        </w:tc>
        <w:tc>
          <w:tcPr>
            <w:tcW w:w="1704" w:type="dxa"/>
            <w:vAlign w:val="top"/>
          </w:tcPr>
          <w:p w14:paraId="08EA57AB">
            <w:pPr>
              <w:spacing w:before="79" w:line="188" w:lineRule="auto"/>
              <w:ind w:left="74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58</w:t>
            </w:r>
          </w:p>
        </w:tc>
        <w:tc>
          <w:tcPr>
            <w:tcW w:w="1708" w:type="dxa"/>
            <w:vAlign w:val="top"/>
          </w:tcPr>
          <w:p w14:paraId="315C8E58">
            <w:pPr>
              <w:spacing w:before="79" w:line="188" w:lineRule="auto"/>
              <w:ind w:left="71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5.8</w:t>
            </w:r>
          </w:p>
        </w:tc>
      </w:tr>
      <w:tr w14:paraId="09F1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2A904ADF">
            <w:pPr>
              <w:spacing w:before="80" w:line="188" w:lineRule="auto"/>
              <w:ind w:left="7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703" w:type="dxa"/>
            <w:vAlign w:val="top"/>
          </w:tcPr>
          <w:p w14:paraId="70E45000">
            <w:pPr>
              <w:pStyle w:val="6"/>
              <w:spacing w:before="38" w:line="206" w:lineRule="auto"/>
              <w:ind w:left="619"/>
              <w:rPr>
                <w:sz w:val="24"/>
                <w:szCs w:val="24"/>
              </w:rPr>
            </w:pPr>
            <w:r>
              <w:rPr>
                <w:spacing w:val="-6"/>
                <w:sz w:val="24"/>
                <w:szCs w:val="24"/>
              </w:rPr>
              <w:t>硝酸</w:t>
            </w:r>
          </w:p>
        </w:tc>
        <w:tc>
          <w:tcPr>
            <w:tcW w:w="1703" w:type="dxa"/>
            <w:vAlign w:val="top"/>
          </w:tcPr>
          <w:p w14:paraId="7FA7BED1">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7697-37-2</w:t>
            </w:r>
          </w:p>
        </w:tc>
        <w:tc>
          <w:tcPr>
            <w:tcW w:w="1704" w:type="dxa"/>
            <w:vAlign w:val="top"/>
          </w:tcPr>
          <w:p w14:paraId="3F5A2E36">
            <w:pPr>
              <w:spacing w:before="80" w:line="188" w:lineRule="auto"/>
              <w:ind w:left="6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240</w:t>
            </w:r>
          </w:p>
        </w:tc>
        <w:tc>
          <w:tcPr>
            <w:tcW w:w="1708" w:type="dxa"/>
            <w:vAlign w:val="top"/>
          </w:tcPr>
          <w:p w14:paraId="0A6452D9">
            <w:pPr>
              <w:spacing w:before="80" w:line="188" w:lineRule="auto"/>
              <w:ind w:left="74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62</w:t>
            </w:r>
          </w:p>
        </w:tc>
      </w:tr>
      <w:tr w14:paraId="0AB80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708" w:type="dxa"/>
            <w:vAlign w:val="top"/>
          </w:tcPr>
          <w:p w14:paraId="7812C252">
            <w:pPr>
              <w:spacing w:before="81" w:line="188" w:lineRule="auto"/>
              <w:ind w:left="76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703" w:type="dxa"/>
            <w:vAlign w:val="top"/>
          </w:tcPr>
          <w:p w14:paraId="76A76018">
            <w:pPr>
              <w:pStyle w:val="6"/>
              <w:spacing w:before="42" w:line="203" w:lineRule="auto"/>
              <w:ind w:left="500"/>
              <w:rPr>
                <w:sz w:val="24"/>
                <w:szCs w:val="24"/>
              </w:rPr>
            </w:pPr>
            <w:r>
              <w:rPr>
                <w:spacing w:val="-5"/>
                <w:sz w:val="24"/>
                <w:szCs w:val="24"/>
              </w:rPr>
              <w:t>氯化氢</w:t>
            </w:r>
          </w:p>
        </w:tc>
        <w:tc>
          <w:tcPr>
            <w:tcW w:w="1703" w:type="dxa"/>
            <w:vAlign w:val="top"/>
          </w:tcPr>
          <w:p w14:paraId="6EF1559D">
            <w:pPr>
              <w:spacing w:before="80" w:line="188" w:lineRule="auto"/>
              <w:ind w:left="3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7647-01-0</w:t>
            </w:r>
          </w:p>
        </w:tc>
        <w:tc>
          <w:tcPr>
            <w:tcW w:w="1704" w:type="dxa"/>
            <w:vAlign w:val="top"/>
          </w:tcPr>
          <w:p w14:paraId="2754115B">
            <w:pPr>
              <w:spacing w:before="80" w:line="188" w:lineRule="auto"/>
              <w:ind w:left="69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150</w:t>
            </w:r>
          </w:p>
        </w:tc>
        <w:tc>
          <w:tcPr>
            <w:tcW w:w="1708" w:type="dxa"/>
            <w:vAlign w:val="top"/>
          </w:tcPr>
          <w:p w14:paraId="2FDAC075">
            <w:pPr>
              <w:spacing w:before="80" w:line="188" w:lineRule="auto"/>
              <w:ind w:left="73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r>
      <w:tr w14:paraId="039EF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708" w:type="dxa"/>
            <w:vAlign w:val="top"/>
          </w:tcPr>
          <w:p w14:paraId="02BBA3B9">
            <w:pPr>
              <w:spacing w:before="64" w:line="183" w:lineRule="auto"/>
              <w:ind w:left="7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703" w:type="dxa"/>
            <w:vAlign w:val="top"/>
          </w:tcPr>
          <w:p w14:paraId="035465AE">
            <w:pPr>
              <w:spacing w:before="64" w:line="183" w:lineRule="auto"/>
              <w:ind w:left="68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703" w:type="dxa"/>
            <w:vAlign w:val="top"/>
          </w:tcPr>
          <w:p w14:paraId="1915C5B1">
            <w:pPr>
              <w:spacing w:before="64" w:line="183" w:lineRule="auto"/>
              <w:ind w:left="41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630-08-0</w:t>
            </w:r>
          </w:p>
        </w:tc>
        <w:tc>
          <w:tcPr>
            <w:tcW w:w="1704" w:type="dxa"/>
            <w:vAlign w:val="top"/>
          </w:tcPr>
          <w:p w14:paraId="69314AC3">
            <w:pPr>
              <w:spacing w:before="64" w:line="183" w:lineRule="auto"/>
              <w:ind w:left="67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380</w:t>
            </w:r>
          </w:p>
        </w:tc>
        <w:tc>
          <w:tcPr>
            <w:tcW w:w="1708" w:type="dxa"/>
            <w:vAlign w:val="top"/>
          </w:tcPr>
          <w:p w14:paraId="16B32FDC">
            <w:pPr>
              <w:spacing w:before="64" w:line="183" w:lineRule="auto"/>
              <w:ind w:left="73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95</w:t>
            </w:r>
          </w:p>
        </w:tc>
      </w:tr>
    </w:tbl>
    <w:p w14:paraId="395A6AEC">
      <w:pPr>
        <w:spacing w:before="199" w:line="220"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4</w:t>
      </w:r>
      <w:r>
        <w:rPr>
          <w:rFonts w:ascii="宋体" w:hAnsi="宋体" w:eastAsia="宋体" w:cs="宋体"/>
          <w:spacing w:val="-3"/>
          <w:sz w:val="28"/>
          <w:szCs w:val="28"/>
        </w:rPr>
        <w:t>）预测结果分析</w:t>
      </w:r>
    </w:p>
    <w:p w14:paraId="338D45EA">
      <w:pPr>
        <w:spacing w:before="210" w:line="357" w:lineRule="auto"/>
        <w:ind w:left="122" w:right="112" w:firstLine="563"/>
        <w:rPr>
          <w:rFonts w:ascii="宋体" w:hAnsi="宋体" w:eastAsia="宋体" w:cs="宋体"/>
          <w:sz w:val="28"/>
          <w:szCs w:val="28"/>
        </w:rPr>
      </w:pPr>
      <w:r>
        <w:rPr>
          <w:rFonts w:ascii="宋体" w:hAnsi="宋体" w:eastAsia="宋体" w:cs="宋体"/>
          <w:spacing w:val="-4"/>
          <w:sz w:val="28"/>
          <w:szCs w:val="28"/>
        </w:rPr>
        <w:t>各风险物质泄漏事故情形下，不同毒性终点浓度时最大最远影响</w:t>
      </w:r>
      <w:r>
        <w:rPr>
          <w:rFonts w:ascii="宋体" w:hAnsi="宋体" w:eastAsia="宋体" w:cs="宋体"/>
          <w:spacing w:val="4"/>
          <w:sz w:val="28"/>
          <w:szCs w:val="28"/>
        </w:rPr>
        <w:t xml:space="preserve"> </w:t>
      </w:r>
      <w:r>
        <w:rPr>
          <w:rFonts w:ascii="宋体" w:hAnsi="宋体" w:eastAsia="宋体" w:cs="宋体"/>
          <w:spacing w:val="-1"/>
          <w:sz w:val="28"/>
          <w:szCs w:val="28"/>
        </w:rPr>
        <w:t>距离和到达时间见下表：</w:t>
      </w:r>
    </w:p>
    <w:p w14:paraId="1F04AF87">
      <w:pPr>
        <w:spacing w:line="220" w:lineRule="auto"/>
        <w:ind w:left="2427"/>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7.1-3    </w:t>
      </w:r>
      <w:r>
        <w:rPr>
          <w:rFonts w:ascii="宋体" w:hAnsi="宋体" w:eastAsia="宋体" w:cs="宋体"/>
          <w:b/>
          <w:bCs/>
          <w:spacing w:val="-2"/>
          <w:sz w:val="24"/>
          <w:szCs w:val="24"/>
        </w:rPr>
        <w:t>泄漏事故预测结果统计表</w:t>
      </w:r>
    </w:p>
    <w:p w14:paraId="0062E291">
      <w:pPr>
        <w:spacing w:line="146"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056"/>
        <w:gridCol w:w="1928"/>
        <w:gridCol w:w="2083"/>
        <w:gridCol w:w="1403"/>
        <w:gridCol w:w="1413"/>
      </w:tblGrid>
      <w:tr w14:paraId="27C3F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3" w:type="dxa"/>
            <w:textDirection w:val="tbRlV"/>
            <w:vAlign w:val="top"/>
          </w:tcPr>
          <w:p w14:paraId="4082F5A1">
            <w:pPr>
              <w:pStyle w:val="6"/>
              <w:spacing w:before="198" w:line="210" w:lineRule="auto"/>
              <w:ind w:left="40"/>
              <w:rPr>
                <w:sz w:val="24"/>
                <w:szCs w:val="24"/>
              </w:rPr>
            </w:pPr>
            <w:r>
              <w:rPr>
                <w:spacing w:val="35"/>
                <w:sz w:val="24"/>
                <w:szCs w:val="24"/>
              </w:rPr>
              <w:t>序号</w:t>
            </w:r>
          </w:p>
        </w:tc>
        <w:tc>
          <w:tcPr>
            <w:tcW w:w="1056" w:type="dxa"/>
            <w:vAlign w:val="top"/>
          </w:tcPr>
          <w:p w14:paraId="04D5CD7B">
            <w:pPr>
              <w:pStyle w:val="6"/>
              <w:spacing w:before="39" w:line="224" w:lineRule="auto"/>
              <w:ind w:left="411" w:right="167" w:hanging="239"/>
              <w:rPr>
                <w:sz w:val="24"/>
                <w:szCs w:val="24"/>
              </w:rPr>
            </w:pPr>
            <w:r>
              <w:rPr>
                <w:spacing w:val="-4"/>
                <w:sz w:val="24"/>
                <w:szCs w:val="24"/>
              </w:rPr>
              <w:t>物质名</w:t>
            </w:r>
            <w:r>
              <w:rPr>
                <w:spacing w:val="1"/>
                <w:sz w:val="24"/>
                <w:szCs w:val="24"/>
              </w:rPr>
              <w:t xml:space="preserve"> </w:t>
            </w:r>
            <w:r>
              <w:rPr>
                <w:sz w:val="24"/>
                <w:szCs w:val="24"/>
              </w:rPr>
              <w:t>称</w:t>
            </w:r>
          </w:p>
        </w:tc>
        <w:tc>
          <w:tcPr>
            <w:tcW w:w="1928" w:type="dxa"/>
            <w:vAlign w:val="top"/>
          </w:tcPr>
          <w:p w14:paraId="190ABC29">
            <w:pPr>
              <w:pStyle w:val="6"/>
              <w:spacing w:before="195" w:line="219" w:lineRule="auto"/>
              <w:ind w:left="490"/>
              <w:rPr>
                <w:sz w:val="24"/>
                <w:szCs w:val="24"/>
              </w:rPr>
            </w:pPr>
            <w:r>
              <w:rPr>
                <w:spacing w:val="-3"/>
                <w:sz w:val="24"/>
                <w:szCs w:val="24"/>
              </w:rPr>
              <w:t>气象条件</w:t>
            </w:r>
          </w:p>
        </w:tc>
        <w:tc>
          <w:tcPr>
            <w:tcW w:w="2083" w:type="dxa"/>
            <w:vAlign w:val="top"/>
          </w:tcPr>
          <w:p w14:paraId="1BBDD2A1">
            <w:pPr>
              <w:pStyle w:val="6"/>
              <w:spacing w:before="196" w:line="219" w:lineRule="auto"/>
              <w:ind w:left="332"/>
              <w:rPr>
                <w:sz w:val="24"/>
                <w:szCs w:val="24"/>
              </w:rPr>
            </w:pPr>
            <w:r>
              <w:rPr>
                <w:spacing w:val="-2"/>
                <w:sz w:val="24"/>
                <w:szCs w:val="24"/>
              </w:rPr>
              <w:t>毒性终点浓度</w:t>
            </w:r>
          </w:p>
        </w:tc>
        <w:tc>
          <w:tcPr>
            <w:tcW w:w="1403" w:type="dxa"/>
            <w:vAlign w:val="top"/>
          </w:tcPr>
          <w:p w14:paraId="71E2088D">
            <w:pPr>
              <w:pStyle w:val="6"/>
              <w:spacing w:before="39" w:line="224" w:lineRule="auto"/>
              <w:ind w:left="345" w:right="217" w:hanging="113"/>
              <w:rPr>
                <w:rFonts w:ascii="Times New Roman" w:hAnsi="Times New Roman" w:eastAsia="Times New Roman" w:cs="Times New Roman"/>
                <w:sz w:val="24"/>
                <w:szCs w:val="24"/>
              </w:rPr>
            </w:pPr>
            <w:r>
              <w:rPr>
                <w:spacing w:val="-4"/>
                <w:sz w:val="24"/>
                <w:szCs w:val="24"/>
              </w:rPr>
              <w:t>最远影响</w:t>
            </w:r>
            <w:r>
              <w:rPr>
                <w:spacing w:val="2"/>
                <w:sz w:val="24"/>
                <w:szCs w:val="24"/>
              </w:rPr>
              <w:t xml:space="preserve"> </w:t>
            </w:r>
            <w:r>
              <w:rPr>
                <w:spacing w:val="-3"/>
                <w:sz w:val="24"/>
                <w:szCs w:val="24"/>
              </w:rPr>
              <w:t>距离</w:t>
            </w:r>
            <w:r>
              <w:rPr>
                <w:spacing w:val="-59"/>
                <w:sz w:val="24"/>
                <w:szCs w:val="24"/>
              </w:rPr>
              <w:t xml:space="preserve"> </w:t>
            </w:r>
            <w:r>
              <w:rPr>
                <w:rFonts w:ascii="Times New Roman" w:hAnsi="Times New Roman" w:eastAsia="Times New Roman" w:cs="Times New Roman"/>
                <w:spacing w:val="-3"/>
                <w:sz w:val="24"/>
                <w:szCs w:val="24"/>
              </w:rPr>
              <w:t>m</w:t>
            </w:r>
          </w:p>
        </w:tc>
        <w:tc>
          <w:tcPr>
            <w:tcW w:w="1413" w:type="dxa"/>
            <w:vAlign w:val="top"/>
          </w:tcPr>
          <w:p w14:paraId="23FDAB6A">
            <w:pPr>
              <w:pStyle w:val="6"/>
              <w:spacing w:before="196" w:line="220" w:lineRule="auto"/>
              <w:ind w:left="162"/>
              <w:rPr>
                <w:rFonts w:ascii="Times New Roman" w:hAnsi="Times New Roman" w:eastAsia="Times New Roman" w:cs="Times New Roman"/>
                <w:sz w:val="24"/>
                <w:szCs w:val="24"/>
              </w:rPr>
            </w:pPr>
            <w:r>
              <w:rPr>
                <w:spacing w:val="-4"/>
                <w:sz w:val="24"/>
                <w:szCs w:val="24"/>
              </w:rPr>
              <w:t>到达时间</w:t>
            </w:r>
            <w:r>
              <w:rPr>
                <w:spacing w:val="-46"/>
                <w:sz w:val="24"/>
                <w:szCs w:val="24"/>
              </w:rPr>
              <w:t xml:space="preserve"> </w:t>
            </w:r>
            <w:r>
              <w:rPr>
                <w:rFonts w:ascii="Times New Roman" w:hAnsi="Times New Roman" w:eastAsia="Times New Roman" w:cs="Times New Roman"/>
                <w:spacing w:val="-4"/>
                <w:sz w:val="24"/>
                <w:szCs w:val="24"/>
              </w:rPr>
              <w:t>s</w:t>
            </w:r>
          </w:p>
        </w:tc>
      </w:tr>
      <w:tr w14:paraId="025D2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restart"/>
            <w:tcBorders>
              <w:bottom w:val="nil"/>
            </w:tcBorders>
            <w:vAlign w:val="top"/>
          </w:tcPr>
          <w:p w14:paraId="67951378">
            <w:pPr>
              <w:spacing w:before="237"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56" w:type="dxa"/>
            <w:vMerge w:val="restart"/>
            <w:tcBorders>
              <w:bottom w:val="nil"/>
            </w:tcBorders>
            <w:vAlign w:val="top"/>
          </w:tcPr>
          <w:p w14:paraId="2E62A301">
            <w:pPr>
              <w:pStyle w:val="6"/>
              <w:spacing w:before="195" w:line="220" w:lineRule="auto"/>
              <w:ind w:left="323"/>
              <w:rPr>
                <w:sz w:val="24"/>
                <w:szCs w:val="24"/>
              </w:rPr>
            </w:pPr>
            <w:r>
              <w:rPr>
                <w:spacing w:val="-21"/>
                <w:sz w:val="24"/>
                <w:szCs w:val="24"/>
              </w:rPr>
              <w:t>甲醇</w:t>
            </w:r>
          </w:p>
        </w:tc>
        <w:tc>
          <w:tcPr>
            <w:tcW w:w="1928" w:type="dxa"/>
            <w:vMerge w:val="restart"/>
            <w:tcBorders>
              <w:bottom w:val="nil"/>
            </w:tcBorders>
            <w:vAlign w:val="top"/>
          </w:tcPr>
          <w:p w14:paraId="46341A45">
            <w:pPr>
              <w:pStyle w:val="6"/>
              <w:spacing w:before="194" w:line="219" w:lineRule="auto"/>
              <w:ind w:left="132"/>
              <w:rPr>
                <w:sz w:val="24"/>
                <w:szCs w:val="24"/>
              </w:rPr>
            </w:pPr>
            <w:r>
              <w:rPr>
                <w:spacing w:val="-2"/>
                <w:sz w:val="24"/>
                <w:szCs w:val="24"/>
              </w:rPr>
              <w:t>最不利气象条件</w:t>
            </w:r>
          </w:p>
        </w:tc>
        <w:tc>
          <w:tcPr>
            <w:tcW w:w="2083" w:type="dxa"/>
            <w:vAlign w:val="top"/>
          </w:tcPr>
          <w:p w14:paraId="4153D089">
            <w:pPr>
              <w:pStyle w:val="6"/>
              <w:spacing w:before="34"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0CEC4154">
            <w:pPr>
              <w:spacing w:before="76" w:line="188" w:lineRule="auto"/>
              <w:ind w:left="45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13.34</w:t>
            </w:r>
          </w:p>
        </w:tc>
        <w:tc>
          <w:tcPr>
            <w:tcW w:w="1413" w:type="dxa"/>
            <w:vAlign w:val="top"/>
          </w:tcPr>
          <w:p w14:paraId="0DBCA527">
            <w:pPr>
              <w:spacing w:before="76" w:line="188" w:lineRule="auto"/>
              <w:ind w:left="50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3.81</w:t>
            </w:r>
          </w:p>
        </w:tc>
      </w:tr>
      <w:tr w14:paraId="19D6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continue"/>
            <w:tcBorders>
              <w:top w:val="nil"/>
            </w:tcBorders>
            <w:vAlign w:val="top"/>
          </w:tcPr>
          <w:p w14:paraId="33784B93">
            <w:pPr>
              <w:rPr>
                <w:rFonts w:ascii="Arial"/>
                <w:sz w:val="21"/>
              </w:rPr>
            </w:pPr>
          </w:p>
        </w:tc>
        <w:tc>
          <w:tcPr>
            <w:tcW w:w="1056" w:type="dxa"/>
            <w:vMerge w:val="continue"/>
            <w:tcBorders>
              <w:top w:val="nil"/>
            </w:tcBorders>
            <w:vAlign w:val="top"/>
          </w:tcPr>
          <w:p w14:paraId="7CBA8744">
            <w:pPr>
              <w:rPr>
                <w:rFonts w:ascii="Arial"/>
                <w:sz w:val="21"/>
              </w:rPr>
            </w:pPr>
          </w:p>
        </w:tc>
        <w:tc>
          <w:tcPr>
            <w:tcW w:w="1928" w:type="dxa"/>
            <w:vMerge w:val="continue"/>
            <w:tcBorders>
              <w:top w:val="nil"/>
            </w:tcBorders>
            <w:vAlign w:val="top"/>
          </w:tcPr>
          <w:p w14:paraId="7513073F">
            <w:pPr>
              <w:rPr>
                <w:rFonts w:ascii="Arial"/>
                <w:sz w:val="21"/>
              </w:rPr>
            </w:pPr>
          </w:p>
        </w:tc>
        <w:tc>
          <w:tcPr>
            <w:tcW w:w="2083" w:type="dxa"/>
            <w:vAlign w:val="top"/>
          </w:tcPr>
          <w:p w14:paraId="16495456">
            <w:pPr>
              <w:pStyle w:val="6"/>
              <w:spacing w:before="35"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39E924E0">
            <w:pPr>
              <w:spacing w:before="77"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26.27</w:t>
            </w:r>
          </w:p>
        </w:tc>
        <w:tc>
          <w:tcPr>
            <w:tcW w:w="1413" w:type="dxa"/>
            <w:vAlign w:val="top"/>
          </w:tcPr>
          <w:p w14:paraId="1B24255F">
            <w:pPr>
              <w:spacing w:before="77" w:line="188" w:lineRule="auto"/>
              <w:ind w:left="50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7.51</w:t>
            </w:r>
          </w:p>
        </w:tc>
      </w:tr>
      <w:tr w14:paraId="7B249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9652D2D">
            <w:pPr>
              <w:spacing w:before="240" w:line="188" w:lineRule="auto"/>
              <w:ind w:left="26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56" w:type="dxa"/>
            <w:vMerge w:val="restart"/>
            <w:tcBorders>
              <w:bottom w:val="nil"/>
            </w:tcBorders>
            <w:vAlign w:val="top"/>
          </w:tcPr>
          <w:p w14:paraId="10471E83">
            <w:pPr>
              <w:pStyle w:val="6"/>
              <w:spacing w:before="198" w:line="217" w:lineRule="auto"/>
              <w:ind w:left="292"/>
              <w:rPr>
                <w:sz w:val="24"/>
                <w:szCs w:val="24"/>
              </w:rPr>
            </w:pPr>
            <w:r>
              <w:rPr>
                <w:spacing w:val="-5"/>
                <w:sz w:val="24"/>
                <w:szCs w:val="24"/>
              </w:rPr>
              <w:t>氨气</w:t>
            </w:r>
          </w:p>
        </w:tc>
        <w:tc>
          <w:tcPr>
            <w:tcW w:w="1928" w:type="dxa"/>
            <w:vMerge w:val="restart"/>
            <w:tcBorders>
              <w:bottom w:val="nil"/>
            </w:tcBorders>
            <w:vAlign w:val="top"/>
          </w:tcPr>
          <w:p w14:paraId="40DDA382">
            <w:pPr>
              <w:pStyle w:val="6"/>
              <w:spacing w:before="198" w:line="219" w:lineRule="auto"/>
              <w:ind w:left="132"/>
              <w:rPr>
                <w:sz w:val="24"/>
                <w:szCs w:val="24"/>
              </w:rPr>
            </w:pPr>
            <w:r>
              <w:rPr>
                <w:spacing w:val="-2"/>
                <w:sz w:val="24"/>
                <w:szCs w:val="24"/>
              </w:rPr>
              <w:t>最不利气象条件</w:t>
            </w:r>
          </w:p>
        </w:tc>
        <w:tc>
          <w:tcPr>
            <w:tcW w:w="2083" w:type="dxa"/>
            <w:vAlign w:val="top"/>
          </w:tcPr>
          <w:p w14:paraId="751FFEA5">
            <w:pPr>
              <w:pStyle w:val="6"/>
              <w:spacing w:before="38"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E2F742F">
            <w:pPr>
              <w:spacing w:before="79"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75.72</w:t>
            </w:r>
          </w:p>
        </w:tc>
        <w:tc>
          <w:tcPr>
            <w:tcW w:w="1413" w:type="dxa"/>
            <w:vAlign w:val="top"/>
          </w:tcPr>
          <w:p w14:paraId="2F70473D">
            <w:pPr>
              <w:spacing w:before="79" w:line="188" w:lineRule="auto"/>
              <w:ind w:left="4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21.63</w:t>
            </w:r>
          </w:p>
        </w:tc>
      </w:tr>
      <w:tr w14:paraId="51BE7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3C79867C">
            <w:pPr>
              <w:rPr>
                <w:rFonts w:ascii="Arial"/>
                <w:sz w:val="21"/>
              </w:rPr>
            </w:pPr>
          </w:p>
        </w:tc>
        <w:tc>
          <w:tcPr>
            <w:tcW w:w="1056" w:type="dxa"/>
            <w:vMerge w:val="continue"/>
            <w:tcBorders>
              <w:top w:val="nil"/>
            </w:tcBorders>
            <w:vAlign w:val="top"/>
          </w:tcPr>
          <w:p w14:paraId="34BB8766">
            <w:pPr>
              <w:rPr>
                <w:rFonts w:ascii="Arial"/>
                <w:sz w:val="21"/>
              </w:rPr>
            </w:pPr>
          </w:p>
        </w:tc>
        <w:tc>
          <w:tcPr>
            <w:tcW w:w="1928" w:type="dxa"/>
            <w:vMerge w:val="continue"/>
            <w:tcBorders>
              <w:top w:val="nil"/>
            </w:tcBorders>
            <w:vAlign w:val="top"/>
          </w:tcPr>
          <w:p w14:paraId="22FE3931">
            <w:pPr>
              <w:rPr>
                <w:rFonts w:ascii="Arial"/>
                <w:sz w:val="21"/>
              </w:rPr>
            </w:pPr>
          </w:p>
        </w:tc>
        <w:tc>
          <w:tcPr>
            <w:tcW w:w="2083" w:type="dxa"/>
            <w:vAlign w:val="top"/>
          </w:tcPr>
          <w:p w14:paraId="1D8DAEB3">
            <w:pPr>
              <w:pStyle w:val="6"/>
              <w:spacing w:before="38"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7AADBF10">
            <w:pPr>
              <w:spacing w:before="80"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218.02</w:t>
            </w:r>
          </w:p>
        </w:tc>
        <w:tc>
          <w:tcPr>
            <w:tcW w:w="1413" w:type="dxa"/>
            <w:vAlign w:val="top"/>
          </w:tcPr>
          <w:p w14:paraId="2B4C587A">
            <w:pPr>
              <w:spacing w:before="80"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62.29</w:t>
            </w:r>
          </w:p>
        </w:tc>
      </w:tr>
      <w:tr w14:paraId="3300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restart"/>
            <w:tcBorders>
              <w:bottom w:val="nil"/>
            </w:tcBorders>
            <w:vAlign w:val="top"/>
          </w:tcPr>
          <w:p w14:paraId="11025DBC">
            <w:pPr>
              <w:spacing w:before="241" w:line="188" w:lineRule="auto"/>
              <w:ind w:left="268"/>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56" w:type="dxa"/>
            <w:vMerge w:val="restart"/>
            <w:tcBorders>
              <w:bottom w:val="nil"/>
            </w:tcBorders>
            <w:vAlign w:val="top"/>
          </w:tcPr>
          <w:p w14:paraId="3E5B8742">
            <w:pPr>
              <w:pStyle w:val="6"/>
              <w:spacing w:before="199" w:line="221" w:lineRule="auto"/>
              <w:ind w:left="291"/>
              <w:rPr>
                <w:sz w:val="24"/>
                <w:szCs w:val="24"/>
              </w:rPr>
            </w:pPr>
            <w:r>
              <w:rPr>
                <w:spacing w:val="-5"/>
                <w:sz w:val="24"/>
                <w:szCs w:val="24"/>
              </w:rPr>
              <w:t>硫酸</w:t>
            </w:r>
          </w:p>
        </w:tc>
        <w:tc>
          <w:tcPr>
            <w:tcW w:w="1928" w:type="dxa"/>
            <w:vMerge w:val="restart"/>
            <w:tcBorders>
              <w:bottom w:val="nil"/>
            </w:tcBorders>
            <w:vAlign w:val="top"/>
          </w:tcPr>
          <w:p w14:paraId="6E569D1B">
            <w:pPr>
              <w:pStyle w:val="6"/>
              <w:spacing w:before="199" w:line="219" w:lineRule="auto"/>
              <w:ind w:left="132"/>
              <w:rPr>
                <w:sz w:val="24"/>
                <w:szCs w:val="24"/>
              </w:rPr>
            </w:pPr>
            <w:r>
              <w:rPr>
                <w:spacing w:val="-2"/>
                <w:sz w:val="24"/>
                <w:szCs w:val="24"/>
              </w:rPr>
              <w:t>最不利气象条件</w:t>
            </w:r>
          </w:p>
        </w:tc>
        <w:tc>
          <w:tcPr>
            <w:tcW w:w="2083" w:type="dxa"/>
            <w:vAlign w:val="top"/>
          </w:tcPr>
          <w:p w14:paraId="2518491E">
            <w:pPr>
              <w:pStyle w:val="6"/>
              <w:spacing w:before="38"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770D3505">
            <w:pPr>
              <w:spacing w:before="78"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226.18</w:t>
            </w:r>
          </w:p>
        </w:tc>
        <w:tc>
          <w:tcPr>
            <w:tcW w:w="1413" w:type="dxa"/>
            <w:vAlign w:val="top"/>
          </w:tcPr>
          <w:p w14:paraId="729B5B04">
            <w:pPr>
              <w:spacing w:before="78" w:line="188" w:lineRule="auto"/>
              <w:ind w:left="44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64.62</w:t>
            </w:r>
          </w:p>
        </w:tc>
      </w:tr>
      <w:tr w14:paraId="1E67E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693AAC12">
            <w:pPr>
              <w:rPr>
                <w:rFonts w:ascii="Arial"/>
                <w:sz w:val="21"/>
              </w:rPr>
            </w:pPr>
          </w:p>
        </w:tc>
        <w:tc>
          <w:tcPr>
            <w:tcW w:w="1056" w:type="dxa"/>
            <w:vMerge w:val="continue"/>
            <w:tcBorders>
              <w:top w:val="nil"/>
            </w:tcBorders>
            <w:vAlign w:val="top"/>
          </w:tcPr>
          <w:p w14:paraId="53DCEE27">
            <w:pPr>
              <w:rPr>
                <w:rFonts w:ascii="Arial"/>
                <w:sz w:val="21"/>
              </w:rPr>
            </w:pPr>
          </w:p>
        </w:tc>
        <w:tc>
          <w:tcPr>
            <w:tcW w:w="1928" w:type="dxa"/>
            <w:vMerge w:val="continue"/>
            <w:tcBorders>
              <w:top w:val="nil"/>
            </w:tcBorders>
            <w:vAlign w:val="top"/>
          </w:tcPr>
          <w:p w14:paraId="75A12CFC">
            <w:pPr>
              <w:rPr>
                <w:rFonts w:ascii="Arial"/>
                <w:sz w:val="21"/>
              </w:rPr>
            </w:pPr>
          </w:p>
        </w:tc>
        <w:tc>
          <w:tcPr>
            <w:tcW w:w="2083" w:type="dxa"/>
            <w:vAlign w:val="top"/>
          </w:tcPr>
          <w:p w14:paraId="600B2019">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F32C205">
            <w:pPr>
              <w:spacing w:before="79"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594.69</w:t>
            </w:r>
          </w:p>
        </w:tc>
        <w:tc>
          <w:tcPr>
            <w:tcW w:w="1413" w:type="dxa"/>
            <w:vAlign w:val="top"/>
          </w:tcPr>
          <w:p w14:paraId="03069A92">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169.91</w:t>
            </w:r>
          </w:p>
        </w:tc>
      </w:tr>
      <w:tr w14:paraId="64DA2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3" w:type="dxa"/>
            <w:vAlign w:val="top"/>
          </w:tcPr>
          <w:p w14:paraId="0EF61098">
            <w:pPr>
              <w:spacing w:before="80" w:line="188" w:lineRule="auto"/>
              <w:ind w:left="262"/>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56" w:type="dxa"/>
            <w:vAlign w:val="top"/>
          </w:tcPr>
          <w:p w14:paraId="0534BA5D">
            <w:pPr>
              <w:pStyle w:val="6"/>
              <w:spacing w:before="41" w:line="205" w:lineRule="auto"/>
              <w:ind w:left="415"/>
              <w:rPr>
                <w:sz w:val="24"/>
                <w:szCs w:val="24"/>
              </w:rPr>
            </w:pPr>
            <w:r>
              <w:rPr>
                <w:sz w:val="24"/>
                <w:szCs w:val="24"/>
              </w:rPr>
              <w:t>苯</w:t>
            </w:r>
          </w:p>
        </w:tc>
        <w:tc>
          <w:tcPr>
            <w:tcW w:w="1928" w:type="dxa"/>
            <w:vAlign w:val="top"/>
          </w:tcPr>
          <w:p w14:paraId="16BA9EBC">
            <w:pPr>
              <w:pStyle w:val="6"/>
              <w:spacing w:before="41" w:line="205" w:lineRule="auto"/>
              <w:ind w:left="132"/>
              <w:rPr>
                <w:sz w:val="24"/>
                <w:szCs w:val="24"/>
              </w:rPr>
            </w:pPr>
            <w:r>
              <w:rPr>
                <w:spacing w:val="-2"/>
                <w:sz w:val="24"/>
                <w:szCs w:val="24"/>
              </w:rPr>
              <w:t>最不利气象条件</w:t>
            </w:r>
          </w:p>
        </w:tc>
        <w:tc>
          <w:tcPr>
            <w:tcW w:w="2083" w:type="dxa"/>
            <w:vAlign w:val="top"/>
          </w:tcPr>
          <w:p w14:paraId="27ED4457">
            <w:pPr>
              <w:pStyle w:val="6"/>
              <w:spacing w:before="41"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60A59B6">
            <w:pPr>
              <w:spacing w:before="80"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28.24</w:t>
            </w:r>
          </w:p>
        </w:tc>
        <w:tc>
          <w:tcPr>
            <w:tcW w:w="1413" w:type="dxa"/>
            <w:vAlign w:val="top"/>
          </w:tcPr>
          <w:p w14:paraId="13ABCD90">
            <w:pPr>
              <w:spacing w:before="80" w:line="188"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8.07</w:t>
            </w:r>
          </w:p>
        </w:tc>
      </w:tr>
    </w:tbl>
    <w:p w14:paraId="2F155475">
      <w:pPr>
        <w:pStyle w:val="2"/>
        <w:spacing w:line="200" w:lineRule="exact"/>
        <w:rPr>
          <w:sz w:val="17"/>
        </w:rPr>
      </w:pPr>
    </w:p>
    <w:p w14:paraId="29CB64B4">
      <w:pPr>
        <w:spacing w:line="200" w:lineRule="exact"/>
        <w:rPr>
          <w:sz w:val="17"/>
          <w:szCs w:val="17"/>
        </w:rPr>
        <w:sectPr>
          <w:footerReference r:id="rId121" w:type="default"/>
          <w:pgSz w:w="11906" w:h="16839"/>
          <w:pgMar w:top="400" w:right="1687" w:bottom="1259" w:left="1687" w:header="0" w:footer="1097" w:gutter="0"/>
          <w:cols w:space="720" w:num="1"/>
        </w:sectPr>
      </w:pPr>
    </w:p>
    <w:p w14:paraId="1B80B764">
      <w:pPr>
        <w:spacing w:before="19"/>
      </w:pPr>
    </w:p>
    <w:p w14:paraId="53C39C47">
      <w:pPr>
        <w:spacing w:before="19"/>
      </w:pPr>
    </w:p>
    <w:p w14:paraId="17B8E533">
      <w:pPr>
        <w:spacing w:before="18"/>
      </w:pPr>
    </w:p>
    <w:p w14:paraId="153364DF">
      <w:pPr>
        <w:spacing w:before="18"/>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1056"/>
        <w:gridCol w:w="1928"/>
        <w:gridCol w:w="2083"/>
        <w:gridCol w:w="1403"/>
        <w:gridCol w:w="1413"/>
      </w:tblGrid>
      <w:tr w14:paraId="5C21F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3" w:type="dxa"/>
            <w:vAlign w:val="top"/>
          </w:tcPr>
          <w:p w14:paraId="78347F1A">
            <w:pPr>
              <w:rPr>
                <w:rFonts w:ascii="Arial"/>
                <w:sz w:val="21"/>
              </w:rPr>
            </w:pPr>
          </w:p>
        </w:tc>
        <w:tc>
          <w:tcPr>
            <w:tcW w:w="1056" w:type="dxa"/>
            <w:vAlign w:val="top"/>
          </w:tcPr>
          <w:p w14:paraId="55284B1A">
            <w:pPr>
              <w:rPr>
                <w:rFonts w:ascii="Arial"/>
                <w:sz w:val="21"/>
              </w:rPr>
            </w:pPr>
          </w:p>
        </w:tc>
        <w:tc>
          <w:tcPr>
            <w:tcW w:w="1928" w:type="dxa"/>
            <w:vAlign w:val="top"/>
          </w:tcPr>
          <w:p w14:paraId="7886A5EF">
            <w:pPr>
              <w:rPr>
                <w:rFonts w:ascii="Arial"/>
                <w:sz w:val="21"/>
              </w:rPr>
            </w:pPr>
          </w:p>
        </w:tc>
        <w:tc>
          <w:tcPr>
            <w:tcW w:w="2083" w:type="dxa"/>
            <w:vAlign w:val="top"/>
          </w:tcPr>
          <w:p w14:paraId="6203B047">
            <w:pPr>
              <w:pStyle w:val="6"/>
              <w:spacing w:before="42" w:line="206"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5AD62FC">
            <w:pPr>
              <w:spacing w:before="81"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67.73</w:t>
            </w:r>
          </w:p>
        </w:tc>
        <w:tc>
          <w:tcPr>
            <w:tcW w:w="1413" w:type="dxa"/>
            <w:vAlign w:val="top"/>
          </w:tcPr>
          <w:p w14:paraId="3E8AEC2B">
            <w:pPr>
              <w:spacing w:before="81"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19.35</w:t>
            </w:r>
          </w:p>
        </w:tc>
      </w:tr>
      <w:tr w14:paraId="52335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43" w:type="dxa"/>
            <w:vMerge w:val="restart"/>
            <w:tcBorders>
              <w:bottom w:val="nil"/>
            </w:tcBorders>
            <w:vAlign w:val="top"/>
          </w:tcPr>
          <w:p w14:paraId="7011DB54">
            <w:pPr>
              <w:spacing w:before="242" w:line="185" w:lineRule="auto"/>
              <w:ind w:left="270"/>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056" w:type="dxa"/>
            <w:vMerge w:val="restart"/>
            <w:tcBorders>
              <w:bottom w:val="nil"/>
            </w:tcBorders>
            <w:vAlign w:val="top"/>
          </w:tcPr>
          <w:p w14:paraId="055ABAF3">
            <w:pPr>
              <w:pStyle w:val="6"/>
              <w:spacing w:before="196" w:line="219" w:lineRule="auto"/>
              <w:ind w:left="323"/>
              <w:rPr>
                <w:sz w:val="24"/>
                <w:szCs w:val="24"/>
              </w:rPr>
            </w:pPr>
            <w:r>
              <w:rPr>
                <w:spacing w:val="-21"/>
                <w:sz w:val="24"/>
                <w:szCs w:val="24"/>
              </w:rPr>
              <w:t>甲苯</w:t>
            </w:r>
          </w:p>
        </w:tc>
        <w:tc>
          <w:tcPr>
            <w:tcW w:w="1928" w:type="dxa"/>
            <w:vMerge w:val="restart"/>
            <w:tcBorders>
              <w:bottom w:val="nil"/>
            </w:tcBorders>
            <w:vAlign w:val="top"/>
          </w:tcPr>
          <w:p w14:paraId="231F6529">
            <w:pPr>
              <w:pStyle w:val="6"/>
              <w:spacing w:before="197" w:line="219" w:lineRule="auto"/>
              <w:ind w:left="132"/>
              <w:rPr>
                <w:sz w:val="24"/>
                <w:szCs w:val="24"/>
              </w:rPr>
            </w:pPr>
            <w:r>
              <w:rPr>
                <w:spacing w:val="-2"/>
                <w:sz w:val="24"/>
                <w:szCs w:val="24"/>
              </w:rPr>
              <w:t>最不利气象条件</w:t>
            </w:r>
          </w:p>
        </w:tc>
        <w:tc>
          <w:tcPr>
            <w:tcW w:w="2083" w:type="dxa"/>
            <w:vAlign w:val="top"/>
          </w:tcPr>
          <w:p w14:paraId="1D146B8B">
            <w:pPr>
              <w:pStyle w:val="6"/>
              <w:spacing w:before="36"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0A0B741">
            <w:pPr>
              <w:spacing w:before="77"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23.58</w:t>
            </w:r>
          </w:p>
        </w:tc>
        <w:tc>
          <w:tcPr>
            <w:tcW w:w="1413" w:type="dxa"/>
            <w:vAlign w:val="top"/>
          </w:tcPr>
          <w:p w14:paraId="6C19B2A2">
            <w:pPr>
              <w:spacing w:before="77" w:line="188" w:lineRule="auto"/>
              <w:ind w:left="5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6.74</w:t>
            </w:r>
          </w:p>
        </w:tc>
      </w:tr>
      <w:tr w14:paraId="0AD12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23A4D0D6">
            <w:pPr>
              <w:rPr>
                <w:rFonts w:ascii="Arial"/>
                <w:sz w:val="21"/>
              </w:rPr>
            </w:pPr>
          </w:p>
        </w:tc>
        <w:tc>
          <w:tcPr>
            <w:tcW w:w="1056" w:type="dxa"/>
            <w:vMerge w:val="continue"/>
            <w:tcBorders>
              <w:top w:val="nil"/>
            </w:tcBorders>
            <w:vAlign w:val="top"/>
          </w:tcPr>
          <w:p w14:paraId="4DEFFB69">
            <w:pPr>
              <w:rPr>
                <w:rFonts w:ascii="Arial"/>
                <w:sz w:val="21"/>
              </w:rPr>
            </w:pPr>
          </w:p>
        </w:tc>
        <w:tc>
          <w:tcPr>
            <w:tcW w:w="1928" w:type="dxa"/>
            <w:vMerge w:val="continue"/>
            <w:tcBorders>
              <w:top w:val="nil"/>
            </w:tcBorders>
            <w:vAlign w:val="top"/>
          </w:tcPr>
          <w:p w14:paraId="2C63B45E">
            <w:pPr>
              <w:rPr>
                <w:rFonts w:ascii="Arial"/>
                <w:sz w:val="21"/>
              </w:rPr>
            </w:pPr>
          </w:p>
        </w:tc>
        <w:tc>
          <w:tcPr>
            <w:tcW w:w="2083" w:type="dxa"/>
            <w:vAlign w:val="top"/>
          </w:tcPr>
          <w:p w14:paraId="5B1A1AF4">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8076B37">
            <w:pPr>
              <w:spacing w:before="77"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66.12</w:t>
            </w:r>
          </w:p>
        </w:tc>
        <w:tc>
          <w:tcPr>
            <w:tcW w:w="1413" w:type="dxa"/>
            <w:vAlign w:val="top"/>
          </w:tcPr>
          <w:p w14:paraId="3FF9FD12">
            <w:pPr>
              <w:spacing w:before="77"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18.89</w:t>
            </w:r>
          </w:p>
        </w:tc>
      </w:tr>
      <w:tr w14:paraId="6EF7E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29F05EA1">
            <w:pPr>
              <w:spacing w:before="236" w:line="188" w:lineRule="auto"/>
              <w:ind w:left="269"/>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056" w:type="dxa"/>
            <w:vMerge w:val="restart"/>
            <w:tcBorders>
              <w:bottom w:val="nil"/>
            </w:tcBorders>
            <w:vAlign w:val="top"/>
          </w:tcPr>
          <w:p w14:paraId="0092621B">
            <w:pPr>
              <w:pStyle w:val="6"/>
              <w:spacing w:before="194" w:line="219" w:lineRule="auto"/>
              <w:ind w:left="176"/>
              <w:rPr>
                <w:sz w:val="24"/>
                <w:szCs w:val="24"/>
              </w:rPr>
            </w:pPr>
            <w:r>
              <w:rPr>
                <w:spacing w:val="-5"/>
                <w:sz w:val="24"/>
                <w:szCs w:val="24"/>
              </w:rPr>
              <w:t>二甲苯</w:t>
            </w:r>
          </w:p>
        </w:tc>
        <w:tc>
          <w:tcPr>
            <w:tcW w:w="1928" w:type="dxa"/>
            <w:vMerge w:val="restart"/>
            <w:tcBorders>
              <w:bottom w:val="nil"/>
            </w:tcBorders>
            <w:vAlign w:val="top"/>
          </w:tcPr>
          <w:p w14:paraId="4F6AC5FA">
            <w:pPr>
              <w:pStyle w:val="6"/>
              <w:spacing w:before="195" w:line="219" w:lineRule="auto"/>
              <w:ind w:left="132"/>
              <w:rPr>
                <w:sz w:val="24"/>
                <w:szCs w:val="24"/>
              </w:rPr>
            </w:pPr>
            <w:r>
              <w:rPr>
                <w:spacing w:val="-2"/>
                <w:sz w:val="24"/>
                <w:szCs w:val="24"/>
              </w:rPr>
              <w:t>最不利气象条件</w:t>
            </w:r>
          </w:p>
        </w:tc>
        <w:tc>
          <w:tcPr>
            <w:tcW w:w="2083" w:type="dxa"/>
            <w:vAlign w:val="top"/>
          </w:tcPr>
          <w:p w14:paraId="1FE8FEFB">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13DF7346">
            <w:pPr>
              <w:spacing w:before="75" w:line="188" w:lineRule="auto"/>
              <w:ind w:left="4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21.83</w:t>
            </w:r>
          </w:p>
        </w:tc>
        <w:tc>
          <w:tcPr>
            <w:tcW w:w="1413" w:type="dxa"/>
            <w:vAlign w:val="top"/>
          </w:tcPr>
          <w:p w14:paraId="1D8F8C65">
            <w:pPr>
              <w:spacing w:before="75" w:line="188" w:lineRule="auto"/>
              <w:ind w:left="50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6.24</w:t>
            </w:r>
          </w:p>
        </w:tc>
      </w:tr>
      <w:tr w14:paraId="140F6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56CA8A06">
            <w:pPr>
              <w:rPr>
                <w:rFonts w:ascii="Arial"/>
                <w:sz w:val="21"/>
              </w:rPr>
            </w:pPr>
          </w:p>
        </w:tc>
        <w:tc>
          <w:tcPr>
            <w:tcW w:w="1056" w:type="dxa"/>
            <w:vMerge w:val="continue"/>
            <w:tcBorders>
              <w:top w:val="nil"/>
            </w:tcBorders>
            <w:vAlign w:val="top"/>
          </w:tcPr>
          <w:p w14:paraId="5374644D">
            <w:pPr>
              <w:rPr>
                <w:rFonts w:ascii="Arial"/>
                <w:sz w:val="21"/>
              </w:rPr>
            </w:pPr>
          </w:p>
        </w:tc>
        <w:tc>
          <w:tcPr>
            <w:tcW w:w="1928" w:type="dxa"/>
            <w:vMerge w:val="continue"/>
            <w:tcBorders>
              <w:top w:val="nil"/>
            </w:tcBorders>
            <w:vAlign w:val="top"/>
          </w:tcPr>
          <w:p w14:paraId="2CC85B47">
            <w:pPr>
              <w:rPr>
                <w:rFonts w:ascii="Arial"/>
                <w:sz w:val="21"/>
              </w:rPr>
            </w:pPr>
          </w:p>
        </w:tc>
        <w:tc>
          <w:tcPr>
            <w:tcW w:w="2083" w:type="dxa"/>
            <w:vAlign w:val="top"/>
          </w:tcPr>
          <w:p w14:paraId="151CEC65">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24E8F7E5">
            <w:pPr>
              <w:spacing w:before="78"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37.83</w:t>
            </w:r>
          </w:p>
        </w:tc>
        <w:tc>
          <w:tcPr>
            <w:tcW w:w="1413" w:type="dxa"/>
            <w:vAlign w:val="top"/>
          </w:tcPr>
          <w:p w14:paraId="40203991">
            <w:pPr>
              <w:spacing w:before="78"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10.81</w:t>
            </w:r>
          </w:p>
        </w:tc>
      </w:tr>
      <w:tr w14:paraId="2CC3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01ED18C">
            <w:pPr>
              <w:spacing w:before="241" w:line="185" w:lineRule="auto"/>
              <w:ind w:left="267"/>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056" w:type="dxa"/>
            <w:vMerge w:val="restart"/>
            <w:tcBorders>
              <w:bottom w:val="nil"/>
            </w:tcBorders>
            <w:vAlign w:val="top"/>
          </w:tcPr>
          <w:p w14:paraId="4ECF2F23">
            <w:pPr>
              <w:pStyle w:val="6"/>
              <w:spacing w:before="39" w:line="226" w:lineRule="auto"/>
              <w:ind w:left="411" w:right="167" w:hanging="232"/>
              <w:rPr>
                <w:sz w:val="24"/>
                <w:szCs w:val="24"/>
              </w:rPr>
            </w:pPr>
            <w:r>
              <w:rPr>
                <w:spacing w:val="-6"/>
                <w:sz w:val="24"/>
                <w:szCs w:val="24"/>
              </w:rPr>
              <w:t>次氯酸</w:t>
            </w:r>
            <w:r>
              <w:rPr>
                <w:spacing w:val="1"/>
                <w:sz w:val="24"/>
                <w:szCs w:val="24"/>
              </w:rPr>
              <w:t xml:space="preserve"> </w:t>
            </w:r>
            <w:r>
              <w:rPr>
                <w:sz w:val="24"/>
                <w:szCs w:val="24"/>
              </w:rPr>
              <w:t>钠</w:t>
            </w:r>
          </w:p>
        </w:tc>
        <w:tc>
          <w:tcPr>
            <w:tcW w:w="1928" w:type="dxa"/>
            <w:vMerge w:val="restart"/>
            <w:tcBorders>
              <w:bottom w:val="nil"/>
            </w:tcBorders>
            <w:vAlign w:val="top"/>
          </w:tcPr>
          <w:p w14:paraId="1E101F7B">
            <w:pPr>
              <w:pStyle w:val="6"/>
              <w:spacing w:before="196" w:line="219" w:lineRule="auto"/>
              <w:ind w:left="132"/>
              <w:rPr>
                <w:sz w:val="24"/>
                <w:szCs w:val="24"/>
              </w:rPr>
            </w:pPr>
            <w:r>
              <w:rPr>
                <w:spacing w:val="-2"/>
                <w:sz w:val="24"/>
                <w:szCs w:val="24"/>
              </w:rPr>
              <w:t>最不利气象条件</w:t>
            </w:r>
          </w:p>
        </w:tc>
        <w:tc>
          <w:tcPr>
            <w:tcW w:w="2083" w:type="dxa"/>
            <w:vAlign w:val="top"/>
          </w:tcPr>
          <w:p w14:paraId="65E2EBC6">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CE04B51">
            <w:pPr>
              <w:spacing w:before="76" w:line="188" w:lineRule="auto"/>
              <w:ind w:left="44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62.86</w:t>
            </w:r>
          </w:p>
        </w:tc>
        <w:tc>
          <w:tcPr>
            <w:tcW w:w="1413" w:type="dxa"/>
            <w:vAlign w:val="top"/>
          </w:tcPr>
          <w:p w14:paraId="00297D36">
            <w:pPr>
              <w:spacing w:before="76"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17.96</w:t>
            </w:r>
          </w:p>
        </w:tc>
      </w:tr>
      <w:tr w14:paraId="2AB8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5A92D484">
            <w:pPr>
              <w:rPr>
                <w:rFonts w:ascii="Arial"/>
                <w:sz w:val="21"/>
              </w:rPr>
            </w:pPr>
          </w:p>
        </w:tc>
        <w:tc>
          <w:tcPr>
            <w:tcW w:w="1056" w:type="dxa"/>
            <w:vMerge w:val="continue"/>
            <w:tcBorders>
              <w:top w:val="nil"/>
            </w:tcBorders>
            <w:vAlign w:val="top"/>
          </w:tcPr>
          <w:p w14:paraId="69F0FF6F">
            <w:pPr>
              <w:rPr>
                <w:rFonts w:ascii="Arial"/>
                <w:sz w:val="21"/>
              </w:rPr>
            </w:pPr>
          </w:p>
        </w:tc>
        <w:tc>
          <w:tcPr>
            <w:tcW w:w="1928" w:type="dxa"/>
            <w:vMerge w:val="continue"/>
            <w:tcBorders>
              <w:top w:val="nil"/>
            </w:tcBorders>
            <w:vAlign w:val="top"/>
          </w:tcPr>
          <w:p w14:paraId="5EE6C376">
            <w:pPr>
              <w:rPr>
                <w:rFonts w:ascii="Arial"/>
                <w:sz w:val="21"/>
              </w:rPr>
            </w:pPr>
          </w:p>
        </w:tc>
        <w:tc>
          <w:tcPr>
            <w:tcW w:w="2083" w:type="dxa"/>
            <w:vAlign w:val="top"/>
          </w:tcPr>
          <w:p w14:paraId="780A2957">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AA237AC">
            <w:pPr>
              <w:spacing w:before="77"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169.54</w:t>
            </w:r>
          </w:p>
        </w:tc>
        <w:tc>
          <w:tcPr>
            <w:tcW w:w="1413" w:type="dxa"/>
            <w:vAlign w:val="top"/>
          </w:tcPr>
          <w:p w14:paraId="6F2A5FA1">
            <w:pPr>
              <w:spacing w:before="77" w:line="188" w:lineRule="auto"/>
              <w:ind w:left="43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48.44</w:t>
            </w:r>
          </w:p>
        </w:tc>
      </w:tr>
      <w:tr w14:paraId="668D2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7BB506AB">
            <w:pPr>
              <w:spacing w:before="238" w:line="188" w:lineRule="auto"/>
              <w:ind w:left="273"/>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056" w:type="dxa"/>
            <w:vMerge w:val="restart"/>
            <w:tcBorders>
              <w:bottom w:val="nil"/>
            </w:tcBorders>
            <w:vAlign w:val="top"/>
          </w:tcPr>
          <w:p w14:paraId="68FFD8F0">
            <w:pPr>
              <w:pStyle w:val="6"/>
              <w:spacing w:before="41" w:line="225" w:lineRule="auto"/>
              <w:ind w:left="413" w:right="167" w:hanging="237"/>
              <w:rPr>
                <w:sz w:val="24"/>
                <w:szCs w:val="24"/>
              </w:rPr>
            </w:pPr>
            <w:r>
              <w:rPr>
                <w:spacing w:val="-5"/>
                <w:sz w:val="24"/>
                <w:szCs w:val="24"/>
              </w:rPr>
              <w:t>二氯乙</w:t>
            </w:r>
            <w:r>
              <w:rPr>
                <w:sz w:val="24"/>
                <w:szCs w:val="24"/>
              </w:rPr>
              <w:t xml:space="preserve"> 烷</w:t>
            </w:r>
          </w:p>
        </w:tc>
        <w:tc>
          <w:tcPr>
            <w:tcW w:w="1928" w:type="dxa"/>
            <w:vMerge w:val="restart"/>
            <w:tcBorders>
              <w:bottom w:val="nil"/>
            </w:tcBorders>
            <w:vAlign w:val="top"/>
          </w:tcPr>
          <w:p w14:paraId="6FDE8D44">
            <w:pPr>
              <w:pStyle w:val="6"/>
              <w:spacing w:before="197" w:line="219" w:lineRule="auto"/>
              <w:ind w:left="132"/>
              <w:rPr>
                <w:sz w:val="24"/>
                <w:szCs w:val="24"/>
              </w:rPr>
            </w:pPr>
            <w:r>
              <w:rPr>
                <w:spacing w:val="-2"/>
                <w:sz w:val="24"/>
                <w:szCs w:val="24"/>
              </w:rPr>
              <w:t>最不利气象条件</w:t>
            </w:r>
          </w:p>
        </w:tc>
        <w:tc>
          <w:tcPr>
            <w:tcW w:w="2083" w:type="dxa"/>
            <w:vAlign w:val="top"/>
          </w:tcPr>
          <w:p w14:paraId="113906E4">
            <w:pPr>
              <w:pStyle w:val="6"/>
              <w:spacing w:before="35"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4B671FF6">
            <w:pPr>
              <w:spacing w:before="77" w:line="188" w:lineRule="auto"/>
              <w:ind w:left="4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41.86</w:t>
            </w:r>
          </w:p>
        </w:tc>
        <w:tc>
          <w:tcPr>
            <w:tcW w:w="1413" w:type="dxa"/>
            <w:vAlign w:val="top"/>
          </w:tcPr>
          <w:p w14:paraId="5707BD1A">
            <w:pPr>
              <w:spacing w:before="77" w:line="188" w:lineRule="auto"/>
              <w:ind w:left="467"/>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11.96</w:t>
            </w:r>
          </w:p>
        </w:tc>
      </w:tr>
      <w:tr w14:paraId="237DF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43367C46">
            <w:pPr>
              <w:rPr>
                <w:rFonts w:ascii="Arial"/>
                <w:sz w:val="21"/>
              </w:rPr>
            </w:pPr>
          </w:p>
        </w:tc>
        <w:tc>
          <w:tcPr>
            <w:tcW w:w="1056" w:type="dxa"/>
            <w:vMerge w:val="continue"/>
            <w:tcBorders>
              <w:top w:val="nil"/>
            </w:tcBorders>
            <w:vAlign w:val="top"/>
          </w:tcPr>
          <w:p w14:paraId="0C29C7F2">
            <w:pPr>
              <w:rPr>
                <w:rFonts w:ascii="Arial"/>
                <w:sz w:val="21"/>
              </w:rPr>
            </w:pPr>
          </w:p>
        </w:tc>
        <w:tc>
          <w:tcPr>
            <w:tcW w:w="1928" w:type="dxa"/>
            <w:vMerge w:val="continue"/>
            <w:tcBorders>
              <w:top w:val="nil"/>
            </w:tcBorders>
            <w:vAlign w:val="top"/>
          </w:tcPr>
          <w:p w14:paraId="2E0AE2E0">
            <w:pPr>
              <w:rPr>
                <w:rFonts w:ascii="Arial"/>
                <w:sz w:val="21"/>
              </w:rPr>
            </w:pPr>
          </w:p>
        </w:tc>
        <w:tc>
          <w:tcPr>
            <w:tcW w:w="2083" w:type="dxa"/>
            <w:vAlign w:val="top"/>
          </w:tcPr>
          <w:p w14:paraId="7DA394C5">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39BE9455">
            <w:pPr>
              <w:spacing w:before="78"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51.83</w:t>
            </w:r>
          </w:p>
        </w:tc>
        <w:tc>
          <w:tcPr>
            <w:tcW w:w="1413" w:type="dxa"/>
            <w:vAlign w:val="top"/>
          </w:tcPr>
          <w:p w14:paraId="3F23E4E1">
            <w:pPr>
              <w:spacing w:before="78"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14.81</w:t>
            </w:r>
          </w:p>
        </w:tc>
      </w:tr>
      <w:tr w14:paraId="54434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6EBC21F6">
            <w:pPr>
              <w:spacing w:before="239" w:line="188" w:lineRule="auto"/>
              <w:ind w:left="268"/>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056" w:type="dxa"/>
            <w:vMerge w:val="restart"/>
            <w:tcBorders>
              <w:bottom w:val="nil"/>
            </w:tcBorders>
            <w:vAlign w:val="top"/>
          </w:tcPr>
          <w:p w14:paraId="1320B80B">
            <w:pPr>
              <w:pStyle w:val="6"/>
              <w:spacing w:before="197" w:line="221" w:lineRule="auto"/>
              <w:ind w:left="296"/>
              <w:rPr>
                <w:sz w:val="24"/>
                <w:szCs w:val="24"/>
              </w:rPr>
            </w:pPr>
            <w:r>
              <w:rPr>
                <w:spacing w:val="-7"/>
                <w:sz w:val="24"/>
                <w:szCs w:val="24"/>
              </w:rPr>
              <w:t>氯气</w:t>
            </w:r>
          </w:p>
        </w:tc>
        <w:tc>
          <w:tcPr>
            <w:tcW w:w="1928" w:type="dxa"/>
            <w:vMerge w:val="restart"/>
            <w:tcBorders>
              <w:bottom w:val="nil"/>
            </w:tcBorders>
            <w:vAlign w:val="top"/>
          </w:tcPr>
          <w:p w14:paraId="758CC000">
            <w:pPr>
              <w:pStyle w:val="6"/>
              <w:spacing w:before="198" w:line="219" w:lineRule="auto"/>
              <w:ind w:left="132"/>
              <w:rPr>
                <w:sz w:val="24"/>
                <w:szCs w:val="24"/>
              </w:rPr>
            </w:pPr>
            <w:r>
              <w:rPr>
                <w:spacing w:val="-2"/>
                <w:sz w:val="24"/>
                <w:szCs w:val="24"/>
              </w:rPr>
              <w:t>最不利气象条件</w:t>
            </w:r>
          </w:p>
        </w:tc>
        <w:tc>
          <w:tcPr>
            <w:tcW w:w="2083" w:type="dxa"/>
            <w:vAlign w:val="top"/>
          </w:tcPr>
          <w:p w14:paraId="3926A8DF">
            <w:pPr>
              <w:pStyle w:val="6"/>
              <w:spacing w:before="36" w:line="207"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650D3081">
            <w:pPr>
              <w:spacing w:before="79"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371.80</w:t>
            </w:r>
          </w:p>
        </w:tc>
        <w:tc>
          <w:tcPr>
            <w:tcW w:w="1413" w:type="dxa"/>
            <w:vAlign w:val="top"/>
          </w:tcPr>
          <w:p w14:paraId="69BDA87D">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106.23</w:t>
            </w:r>
          </w:p>
        </w:tc>
      </w:tr>
      <w:tr w14:paraId="06DE3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43" w:type="dxa"/>
            <w:vMerge w:val="continue"/>
            <w:tcBorders>
              <w:top w:val="nil"/>
            </w:tcBorders>
            <w:vAlign w:val="top"/>
          </w:tcPr>
          <w:p w14:paraId="72763CDF">
            <w:pPr>
              <w:rPr>
                <w:rFonts w:ascii="Arial"/>
                <w:sz w:val="21"/>
              </w:rPr>
            </w:pPr>
          </w:p>
        </w:tc>
        <w:tc>
          <w:tcPr>
            <w:tcW w:w="1056" w:type="dxa"/>
            <w:vMerge w:val="continue"/>
            <w:tcBorders>
              <w:top w:val="nil"/>
            </w:tcBorders>
            <w:vAlign w:val="top"/>
          </w:tcPr>
          <w:p w14:paraId="213EDA55">
            <w:pPr>
              <w:rPr>
                <w:rFonts w:ascii="Arial"/>
                <w:sz w:val="21"/>
              </w:rPr>
            </w:pPr>
          </w:p>
        </w:tc>
        <w:tc>
          <w:tcPr>
            <w:tcW w:w="1928" w:type="dxa"/>
            <w:vMerge w:val="continue"/>
            <w:tcBorders>
              <w:top w:val="nil"/>
            </w:tcBorders>
            <w:vAlign w:val="top"/>
          </w:tcPr>
          <w:p w14:paraId="656AFEBE">
            <w:pPr>
              <w:rPr>
                <w:rFonts w:ascii="Arial"/>
                <w:sz w:val="21"/>
              </w:rPr>
            </w:pPr>
          </w:p>
        </w:tc>
        <w:tc>
          <w:tcPr>
            <w:tcW w:w="2083" w:type="dxa"/>
            <w:vAlign w:val="top"/>
          </w:tcPr>
          <w:p w14:paraId="7EE1998B">
            <w:pPr>
              <w:pStyle w:val="6"/>
              <w:spacing w:before="38"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6742AC24">
            <w:pPr>
              <w:spacing w:before="77" w:line="188" w:lineRule="auto"/>
              <w:ind w:left="38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698.60</w:t>
            </w:r>
          </w:p>
        </w:tc>
        <w:tc>
          <w:tcPr>
            <w:tcW w:w="1413" w:type="dxa"/>
            <w:vAlign w:val="top"/>
          </w:tcPr>
          <w:p w14:paraId="6F0B6E49">
            <w:pPr>
              <w:spacing w:before="77"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199.60</w:t>
            </w:r>
          </w:p>
        </w:tc>
      </w:tr>
      <w:tr w14:paraId="363A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306D278B">
            <w:pPr>
              <w:spacing w:before="239" w:line="188" w:lineRule="auto"/>
              <w:ind w:left="22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056" w:type="dxa"/>
            <w:vMerge w:val="restart"/>
            <w:tcBorders>
              <w:bottom w:val="nil"/>
            </w:tcBorders>
            <w:vAlign w:val="top"/>
          </w:tcPr>
          <w:p w14:paraId="3061CE61">
            <w:pPr>
              <w:pStyle w:val="6"/>
              <w:spacing w:before="197" w:line="221" w:lineRule="auto"/>
              <w:ind w:left="294"/>
              <w:rPr>
                <w:sz w:val="24"/>
                <w:szCs w:val="24"/>
              </w:rPr>
            </w:pPr>
            <w:r>
              <w:rPr>
                <w:spacing w:val="-6"/>
                <w:sz w:val="24"/>
                <w:szCs w:val="24"/>
              </w:rPr>
              <w:t>硝酸</w:t>
            </w:r>
          </w:p>
        </w:tc>
        <w:tc>
          <w:tcPr>
            <w:tcW w:w="1928" w:type="dxa"/>
            <w:vMerge w:val="restart"/>
            <w:tcBorders>
              <w:bottom w:val="nil"/>
            </w:tcBorders>
            <w:vAlign w:val="top"/>
          </w:tcPr>
          <w:p w14:paraId="3C7F8127">
            <w:pPr>
              <w:pStyle w:val="6"/>
              <w:spacing w:before="198" w:line="219" w:lineRule="auto"/>
              <w:ind w:left="132"/>
              <w:rPr>
                <w:sz w:val="24"/>
                <w:szCs w:val="24"/>
              </w:rPr>
            </w:pPr>
            <w:r>
              <w:rPr>
                <w:spacing w:val="-2"/>
                <w:sz w:val="24"/>
                <w:szCs w:val="24"/>
              </w:rPr>
              <w:t>最不利气象条件</w:t>
            </w:r>
          </w:p>
        </w:tc>
        <w:tc>
          <w:tcPr>
            <w:tcW w:w="2083" w:type="dxa"/>
            <w:vAlign w:val="top"/>
          </w:tcPr>
          <w:p w14:paraId="2D620E04">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657F3C61">
            <w:pPr>
              <w:spacing w:before="78"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247.42</w:t>
            </w:r>
          </w:p>
        </w:tc>
        <w:tc>
          <w:tcPr>
            <w:tcW w:w="1413" w:type="dxa"/>
            <w:vAlign w:val="top"/>
          </w:tcPr>
          <w:p w14:paraId="72381331">
            <w:pPr>
              <w:spacing w:before="78"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70.69</w:t>
            </w:r>
          </w:p>
        </w:tc>
      </w:tr>
      <w:tr w14:paraId="03AEA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1BBECC09">
            <w:pPr>
              <w:rPr>
                <w:rFonts w:ascii="Arial"/>
                <w:sz w:val="21"/>
              </w:rPr>
            </w:pPr>
          </w:p>
        </w:tc>
        <w:tc>
          <w:tcPr>
            <w:tcW w:w="1056" w:type="dxa"/>
            <w:vMerge w:val="continue"/>
            <w:tcBorders>
              <w:top w:val="nil"/>
            </w:tcBorders>
            <w:vAlign w:val="top"/>
          </w:tcPr>
          <w:p w14:paraId="732F67D1">
            <w:pPr>
              <w:rPr>
                <w:rFonts w:ascii="Arial"/>
                <w:sz w:val="21"/>
              </w:rPr>
            </w:pPr>
          </w:p>
        </w:tc>
        <w:tc>
          <w:tcPr>
            <w:tcW w:w="1928" w:type="dxa"/>
            <w:vMerge w:val="continue"/>
            <w:tcBorders>
              <w:top w:val="nil"/>
            </w:tcBorders>
            <w:vAlign w:val="top"/>
          </w:tcPr>
          <w:p w14:paraId="5124966E">
            <w:pPr>
              <w:rPr>
                <w:rFonts w:ascii="Arial"/>
                <w:sz w:val="21"/>
              </w:rPr>
            </w:pPr>
          </w:p>
        </w:tc>
        <w:tc>
          <w:tcPr>
            <w:tcW w:w="2083" w:type="dxa"/>
            <w:vAlign w:val="top"/>
          </w:tcPr>
          <w:p w14:paraId="5314A5B2">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45ACD204">
            <w:pPr>
              <w:spacing w:before="79"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559.68</w:t>
            </w:r>
          </w:p>
        </w:tc>
        <w:tc>
          <w:tcPr>
            <w:tcW w:w="1413" w:type="dxa"/>
            <w:vAlign w:val="top"/>
          </w:tcPr>
          <w:p w14:paraId="31255059">
            <w:pPr>
              <w:spacing w:before="7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159.91</w:t>
            </w:r>
          </w:p>
        </w:tc>
      </w:tr>
      <w:tr w14:paraId="630F9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40BFE8A5">
            <w:pPr>
              <w:spacing w:before="241" w:line="188" w:lineRule="auto"/>
              <w:ind w:left="231"/>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056" w:type="dxa"/>
            <w:vMerge w:val="restart"/>
            <w:tcBorders>
              <w:bottom w:val="nil"/>
            </w:tcBorders>
            <w:vAlign w:val="top"/>
          </w:tcPr>
          <w:p w14:paraId="415C9DB0">
            <w:pPr>
              <w:pStyle w:val="6"/>
              <w:spacing w:before="198" w:line="221" w:lineRule="auto"/>
              <w:ind w:left="176"/>
              <w:rPr>
                <w:sz w:val="24"/>
                <w:szCs w:val="24"/>
              </w:rPr>
            </w:pPr>
            <w:r>
              <w:rPr>
                <w:spacing w:val="-5"/>
                <w:sz w:val="24"/>
                <w:szCs w:val="24"/>
              </w:rPr>
              <w:t>氯化氢</w:t>
            </w:r>
          </w:p>
        </w:tc>
        <w:tc>
          <w:tcPr>
            <w:tcW w:w="1928" w:type="dxa"/>
            <w:vMerge w:val="restart"/>
            <w:tcBorders>
              <w:bottom w:val="nil"/>
            </w:tcBorders>
            <w:vAlign w:val="top"/>
          </w:tcPr>
          <w:p w14:paraId="26559EEB">
            <w:pPr>
              <w:pStyle w:val="6"/>
              <w:spacing w:before="199" w:line="219" w:lineRule="auto"/>
              <w:ind w:left="132"/>
              <w:rPr>
                <w:sz w:val="24"/>
                <w:szCs w:val="24"/>
              </w:rPr>
            </w:pPr>
            <w:r>
              <w:rPr>
                <w:spacing w:val="-2"/>
                <w:sz w:val="24"/>
                <w:szCs w:val="24"/>
              </w:rPr>
              <w:t>最不利气象条件</w:t>
            </w:r>
          </w:p>
        </w:tc>
        <w:tc>
          <w:tcPr>
            <w:tcW w:w="2083" w:type="dxa"/>
            <w:vAlign w:val="top"/>
          </w:tcPr>
          <w:p w14:paraId="174C652E">
            <w:pPr>
              <w:pStyle w:val="6"/>
              <w:spacing w:before="40" w:line="204"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23A31585">
            <w:pPr>
              <w:spacing w:before="80" w:line="188"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259.11</w:t>
            </w:r>
          </w:p>
        </w:tc>
        <w:tc>
          <w:tcPr>
            <w:tcW w:w="1413" w:type="dxa"/>
            <w:vAlign w:val="top"/>
          </w:tcPr>
          <w:p w14:paraId="12433B9E">
            <w:pPr>
              <w:spacing w:before="80"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74.03</w:t>
            </w:r>
          </w:p>
        </w:tc>
      </w:tr>
      <w:tr w14:paraId="1B90F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continue"/>
            <w:tcBorders>
              <w:top w:val="nil"/>
            </w:tcBorders>
            <w:vAlign w:val="top"/>
          </w:tcPr>
          <w:p w14:paraId="3C0DE1BF">
            <w:pPr>
              <w:rPr>
                <w:rFonts w:ascii="Arial"/>
                <w:sz w:val="21"/>
              </w:rPr>
            </w:pPr>
          </w:p>
        </w:tc>
        <w:tc>
          <w:tcPr>
            <w:tcW w:w="1056" w:type="dxa"/>
            <w:vMerge w:val="continue"/>
            <w:tcBorders>
              <w:top w:val="nil"/>
            </w:tcBorders>
            <w:vAlign w:val="top"/>
          </w:tcPr>
          <w:p w14:paraId="32A03005">
            <w:pPr>
              <w:rPr>
                <w:rFonts w:ascii="Arial"/>
                <w:sz w:val="21"/>
              </w:rPr>
            </w:pPr>
          </w:p>
        </w:tc>
        <w:tc>
          <w:tcPr>
            <w:tcW w:w="1928" w:type="dxa"/>
            <w:vMerge w:val="continue"/>
            <w:tcBorders>
              <w:top w:val="nil"/>
            </w:tcBorders>
            <w:vAlign w:val="top"/>
          </w:tcPr>
          <w:p w14:paraId="6B370280">
            <w:pPr>
              <w:rPr>
                <w:rFonts w:ascii="Arial"/>
                <w:sz w:val="21"/>
              </w:rPr>
            </w:pPr>
          </w:p>
        </w:tc>
        <w:tc>
          <w:tcPr>
            <w:tcW w:w="2083" w:type="dxa"/>
            <w:vAlign w:val="top"/>
          </w:tcPr>
          <w:p w14:paraId="5B1A61B0">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75352EE9">
            <w:pPr>
              <w:spacing w:before="80"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590.03</w:t>
            </w:r>
          </w:p>
        </w:tc>
        <w:tc>
          <w:tcPr>
            <w:tcW w:w="1413" w:type="dxa"/>
            <w:vAlign w:val="top"/>
          </w:tcPr>
          <w:p w14:paraId="7D8A9C1C">
            <w:pPr>
              <w:spacing w:before="80" w:line="188" w:lineRule="auto"/>
              <w:ind w:left="402"/>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168.58</w:t>
            </w:r>
          </w:p>
        </w:tc>
      </w:tr>
      <w:tr w14:paraId="3AAE0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43" w:type="dxa"/>
            <w:vMerge w:val="restart"/>
            <w:tcBorders>
              <w:bottom w:val="nil"/>
            </w:tcBorders>
            <w:vAlign w:val="top"/>
          </w:tcPr>
          <w:p w14:paraId="08043C1A">
            <w:pPr>
              <w:spacing w:before="242" w:line="188" w:lineRule="auto"/>
              <w:ind w:left="22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056" w:type="dxa"/>
            <w:vMerge w:val="restart"/>
            <w:tcBorders>
              <w:bottom w:val="nil"/>
            </w:tcBorders>
            <w:vAlign w:val="top"/>
          </w:tcPr>
          <w:p w14:paraId="715BCF75">
            <w:pPr>
              <w:spacing w:before="242" w:line="188" w:lineRule="auto"/>
              <w:ind w:left="36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CO</w:t>
            </w:r>
          </w:p>
        </w:tc>
        <w:tc>
          <w:tcPr>
            <w:tcW w:w="1928" w:type="dxa"/>
            <w:vMerge w:val="restart"/>
            <w:tcBorders>
              <w:bottom w:val="nil"/>
            </w:tcBorders>
            <w:vAlign w:val="top"/>
          </w:tcPr>
          <w:p w14:paraId="76F3E1C0">
            <w:pPr>
              <w:pStyle w:val="6"/>
              <w:spacing w:before="200" w:line="219" w:lineRule="auto"/>
              <w:ind w:left="132"/>
              <w:rPr>
                <w:sz w:val="24"/>
                <w:szCs w:val="24"/>
              </w:rPr>
            </w:pPr>
            <w:r>
              <w:rPr>
                <w:spacing w:val="-2"/>
                <w:sz w:val="24"/>
                <w:szCs w:val="24"/>
              </w:rPr>
              <w:t>最不利气象条件</w:t>
            </w:r>
          </w:p>
        </w:tc>
        <w:tc>
          <w:tcPr>
            <w:tcW w:w="2083" w:type="dxa"/>
            <w:vAlign w:val="top"/>
          </w:tcPr>
          <w:p w14:paraId="52922373">
            <w:pPr>
              <w:pStyle w:val="6"/>
              <w:spacing w:before="39" w:line="205"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-1</w:t>
            </w:r>
          </w:p>
        </w:tc>
        <w:tc>
          <w:tcPr>
            <w:tcW w:w="1403" w:type="dxa"/>
            <w:vAlign w:val="top"/>
          </w:tcPr>
          <w:p w14:paraId="31AD0994">
            <w:pPr>
              <w:spacing w:before="81" w:line="188" w:lineRule="auto"/>
              <w:ind w:left="39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123.72</w:t>
            </w:r>
          </w:p>
        </w:tc>
        <w:tc>
          <w:tcPr>
            <w:tcW w:w="1413" w:type="dxa"/>
            <w:vAlign w:val="top"/>
          </w:tcPr>
          <w:p w14:paraId="2D9A3F9C">
            <w:pPr>
              <w:spacing w:before="81" w:line="188" w:lineRule="auto"/>
              <w:ind w:left="44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35.35</w:t>
            </w:r>
          </w:p>
        </w:tc>
      </w:tr>
      <w:tr w14:paraId="17EF4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3" w:type="dxa"/>
            <w:vMerge w:val="continue"/>
            <w:tcBorders>
              <w:top w:val="nil"/>
            </w:tcBorders>
            <w:vAlign w:val="top"/>
          </w:tcPr>
          <w:p w14:paraId="47774ECF">
            <w:pPr>
              <w:rPr>
                <w:rFonts w:ascii="Arial"/>
                <w:sz w:val="21"/>
              </w:rPr>
            </w:pPr>
          </w:p>
        </w:tc>
        <w:tc>
          <w:tcPr>
            <w:tcW w:w="1056" w:type="dxa"/>
            <w:vMerge w:val="continue"/>
            <w:tcBorders>
              <w:top w:val="nil"/>
            </w:tcBorders>
            <w:vAlign w:val="top"/>
          </w:tcPr>
          <w:p w14:paraId="28109C7E">
            <w:pPr>
              <w:rPr>
                <w:rFonts w:ascii="Arial"/>
                <w:sz w:val="21"/>
              </w:rPr>
            </w:pPr>
          </w:p>
        </w:tc>
        <w:tc>
          <w:tcPr>
            <w:tcW w:w="1928" w:type="dxa"/>
            <w:vMerge w:val="continue"/>
            <w:tcBorders>
              <w:top w:val="nil"/>
            </w:tcBorders>
            <w:vAlign w:val="top"/>
          </w:tcPr>
          <w:p w14:paraId="2119308F">
            <w:pPr>
              <w:rPr>
                <w:rFonts w:ascii="Arial"/>
                <w:sz w:val="21"/>
              </w:rPr>
            </w:pPr>
          </w:p>
        </w:tc>
        <w:tc>
          <w:tcPr>
            <w:tcW w:w="2083" w:type="dxa"/>
            <w:vAlign w:val="top"/>
          </w:tcPr>
          <w:p w14:paraId="23ED67E5">
            <w:pPr>
              <w:pStyle w:val="6"/>
              <w:spacing w:before="39" w:line="208" w:lineRule="auto"/>
              <w:ind w:left="231"/>
              <w:rPr>
                <w:rFonts w:ascii="Times New Roman" w:hAnsi="Times New Roman" w:eastAsia="Times New Roman" w:cs="Times New Roman"/>
                <w:sz w:val="24"/>
                <w:szCs w:val="24"/>
              </w:rPr>
            </w:pPr>
            <w:r>
              <w:rPr>
                <w:spacing w:val="-2"/>
                <w:sz w:val="24"/>
                <w:szCs w:val="24"/>
              </w:rPr>
              <w:t>毒性终点浓度</w:t>
            </w:r>
            <w:r>
              <w:rPr>
                <w:rFonts w:ascii="Times New Roman" w:hAnsi="Times New Roman" w:eastAsia="Times New Roman" w:cs="Times New Roman"/>
                <w:spacing w:val="-2"/>
                <w:sz w:val="24"/>
                <w:szCs w:val="24"/>
              </w:rPr>
              <w:t>-2</w:t>
            </w:r>
          </w:p>
        </w:tc>
        <w:tc>
          <w:tcPr>
            <w:tcW w:w="1403" w:type="dxa"/>
            <w:vAlign w:val="top"/>
          </w:tcPr>
          <w:p w14:paraId="51C96603">
            <w:pPr>
              <w:spacing w:before="81"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262.82</w:t>
            </w:r>
          </w:p>
        </w:tc>
        <w:tc>
          <w:tcPr>
            <w:tcW w:w="1413" w:type="dxa"/>
            <w:vAlign w:val="top"/>
          </w:tcPr>
          <w:p w14:paraId="7DD39E82">
            <w:pPr>
              <w:spacing w:before="81" w:line="188" w:lineRule="auto"/>
              <w:ind w:left="44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75.09</w:t>
            </w:r>
          </w:p>
        </w:tc>
      </w:tr>
    </w:tbl>
    <w:p w14:paraId="6222910B">
      <w:pPr>
        <w:spacing w:before="199" w:line="359" w:lineRule="auto"/>
        <w:ind w:left="124" w:right="112" w:firstLine="556"/>
        <w:jc w:val="both"/>
        <w:rPr>
          <w:rFonts w:ascii="宋体" w:hAnsi="宋体" w:eastAsia="宋体" w:cs="宋体"/>
          <w:sz w:val="28"/>
          <w:szCs w:val="28"/>
        </w:rPr>
      </w:pPr>
      <w:r>
        <w:rPr>
          <w:rFonts w:ascii="宋体" w:hAnsi="宋体" w:eastAsia="宋体" w:cs="宋体"/>
          <w:spacing w:val="-4"/>
          <w:sz w:val="28"/>
          <w:szCs w:val="28"/>
        </w:rPr>
        <w:t>在最不利气象条件下风险物质泄漏源对环境空气影响程度大、范</w:t>
      </w:r>
      <w:r>
        <w:rPr>
          <w:rFonts w:ascii="宋体" w:hAnsi="宋体" w:eastAsia="宋体" w:cs="宋体"/>
          <w:spacing w:val="8"/>
          <w:sz w:val="28"/>
          <w:szCs w:val="28"/>
        </w:rPr>
        <w:t xml:space="preserve"> </w:t>
      </w:r>
      <w:r>
        <w:rPr>
          <w:rFonts w:ascii="宋体" w:hAnsi="宋体" w:eastAsia="宋体" w:cs="宋体"/>
          <w:spacing w:val="-5"/>
          <w:sz w:val="28"/>
          <w:szCs w:val="28"/>
        </w:rPr>
        <w:t>围广，其中氯气在最不利气象条件下大气毒性终点</w:t>
      </w:r>
      <w:r>
        <w:rPr>
          <w:rFonts w:ascii="宋体" w:hAnsi="宋体" w:eastAsia="宋体" w:cs="宋体"/>
          <w:spacing w:val="-6"/>
          <w:sz w:val="28"/>
          <w:szCs w:val="28"/>
        </w:rPr>
        <w:t>浓度</w:t>
      </w:r>
      <w:r>
        <w:rPr>
          <w:rFonts w:ascii="Times New Roman" w:hAnsi="Times New Roman" w:eastAsia="Times New Roman" w:cs="Times New Roman"/>
          <w:spacing w:val="-6"/>
          <w:sz w:val="28"/>
          <w:szCs w:val="28"/>
        </w:rPr>
        <w:t>-1</w:t>
      </w:r>
      <w:r>
        <w:rPr>
          <w:rFonts w:ascii="Times New Roman" w:hAnsi="Times New Roman" w:eastAsia="Times New Roman" w:cs="Times New Roman"/>
          <w:spacing w:val="34"/>
          <w:sz w:val="28"/>
          <w:szCs w:val="28"/>
        </w:rPr>
        <w:t xml:space="preserve"> </w:t>
      </w:r>
      <w:r>
        <w:rPr>
          <w:rFonts w:ascii="宋体" w:hAnsi="宋体" w:eastAsia="宋体" w:cs="宋体"/>
          <w:spacing w:val="-6"/>
          <w:sz w:val="28"/>
          <w:szCs w:val="28"/>
        </w:rPr>
        <w:t>出现的最大</w:t>
      </w:r>
      <w:r>
        <w:rPr>
          <w:rFonts w:ascii="宋体" w:hAnsi="宋体" w:eastAsia="宋体" w:cs="宋体"/>
          <w:sz w:val="28"/>
          <w:szCs w:val="28"/>
        </w:rPr>
        <w:t xml:space="preserve"> </w:t>
      </w:r>
      <w:r>
        <w:rPr>
          <w:rFonts w:ascii="宋体" w:hAnsi="宋体" w:eastAsia="宋体" w:cs="宋体"/>
          <w:spacing w:val="-3"/>
          <w:sz w:val="28"/>
          <w:szCs w:val="28"/>
        </w:rPr>
        <w:t>范围是</w:t>
      </w:r>
      <w:r>
        <w:rPr>
          <w:rFonts w:ascii="宋体" w:hAnsi="宋体" w:eastAsia="宋体" w:cs="宋体"/>
          <w:spacing w:val="-61"/>
          <w:sz w:val="28"/>
          <w:szCs w:val="28"/>
        </w:rPr>
        <w:t xml:space="preserve"> </w:t>
      </w:r>
      <w:r>
        <w:rPr>
          <w:rFonts w:ascii="Times New Roman" w:hAnsi="Times New Roman" w:eastAsia="Times New Roman" w:cs="Times New Roman"/>
          <w:spacing w:val="-3"/>
          <w:sz w:val="28"/>
          <w:szCs w:val="28"/>
        </w:rPr>
        <w:t>371.8m</w:t>
      </w:r>
      <w:r>
        <w:rPr>
          <w:rFonts w:ascii="Times New Roman" w:hAnsi="Times New Roman" w:eastAsia="Times New Roman" w:cs="Times New Roman"/>
          <w:spacing w:val="-38"/>
          <w:sz w:val="28"/>
          <w:szCs w:val="28"/>
        </w:rPr>
        <w:t xml:space="preserve"> </w:t>
      </w:r>
      <w:r>
        <w:rPr>
          <w:rFonts w:ascii="宋体" w:hAnsi="宋体" w:eastAsia="宋体" w:cs="宋体"/>
          <w:spacing w:val="-3"/>
          <w:sz w:val="28"/>
          <w:szCs w:val="28"/>
        </w:rPr>
        <w:t>，大气毒性终点浓度</w:t>
      </w:r>
      <w:r>
        <w:rPr>
          <w:rFonts w:ascii="Times New Roman" w:hAnsi="Times New Roman" w:eastAsia="Times New Roman" w:cs="Times New Roman"/>
          <w:spacing w:val="-3"/>
          <w:sz w:val="28"/>
          <w:szCs w:val="28"/>
        </w:rPr>
        <w:t>-2</w:t>
      </w:r>
      <w:r>
        <w:rPr>
          <w:rFonts w:ascii="Times New Roman" w:hAnsi="Times New Roman" w:eastAsia="Times New Roman" w:cs="Times New Roman"/>
          <w:spacing w:val="33"/>
          <w:sz w:val="28"/>
          <w:szCs w:val="28"/>
        </w:rPr>
        <w:t xml:space="preserve"> </w:t>
      </w:r>
      <w:r>
        <w:rPr>
          <w:rFonts w:ascii="宋体" w:hAnsi="宋体" w:eastAsia="宋体" w:cs="宋体"/>
          <w:spacing w:val="-3"/>
          <w:sz w:val="28"/>
          <w:szCs w:val="28"/>
        </w:rPr>
        <w:t>出</w:t>
      </w:r>
      <w:r>
        <w:rPr>
          <w:rFonts w:ascii="宋体" w:hAnsi="宋体" w:eastAsia="宋体" w:cs="宋体"/>
          <w:spacing w:val="-4"/>
          <w:sz w:val="28"/>
          <w:szCs w:val="28"/>
        </w:rPr>
        <w:t>现的最大范围是</w:t>
      </w:r>
      <w:r>
        <w:rPr>
          <w:rFonts w:ascii="宋体" w:hAnsi="宋体" w:eastAsia="宋体" w:cs="宋体"/>
          <w:spacing w:val="-59"/>
          <w:sz w:val="28"/>
          <w:szCs w:val="28"/>
        </w:rPr>
        <w:t xml:space="preserve"> </w:t>
      </w:r>
      <w:r>
        <w:rPr>
          <w:rFonts w:ascii="Times New Roman" w:hAnsi="Times New Roman" w:eastAsia="Times New Roman" w:cs="Times New Roman"/>
          <w:spacing w:val="-4"/>
          <w:sz w:val="28"/>
          <w:szCs w:val="28"/>
        </w:rPr>
        <w:t>698.6m</w:t>
      </w:r>
      <w:r>
        <w:rPr>
          <w:rFonts w:ascii="Times New Roman" w:hAnsi="Times New Roman" w:eastAsia="Times New Roman" w:cs="Times New Roman"/>
          <w:spacing w:val="-38"/>
          <w:sz w:val="28"/>
          <w:szCs w:val="28"/>
        </w:rPr>
        <w:t xml:space="preserve"> </w:t>
      </w:r>
      <w:r>
        <w:rPr>
          <w:rFonts w:ascii="宋体" w:hAnsi="宋体" w:eastAsia="宋体" w:cs="宋体"/>
          <w:spacing w:val="-4"/>
          <w:sz w:val="28"/>
          <w:szCs w:val="28"/>
        </w:rPr>
        <w:t>，其</w:t>
      </w:r>
      <w:r>
        <w:rPr>
          <w:rFonts w:ascii="宋体" w:hAnsi="宋体" w:eastAsia="宋体" w:cs="宋体"/>
          <w:sz w:val="28"/>
          <w:szCs w:val="28"/>
        </w:rPr>
        <w:t xml:space="preserve"> </w:t>
      </w:r>
      <w:r>
        <w:rPr>
          <w:rFonts w:ascii="宋体" w:hAnsi="宋体" w:eastAsia="宋体" w:cs="宋体"/>
          <w:spacing w:val="-1"/>
          <w:sz w:val="28"/>
          <w:szCs w:val="28"/>
        </w:rPr>
        <w:t>余物质泄露影响距离均未超过硫酸最远影响范围。</w:t>
      </w:r>
    </w:p>
    <w:p w14:paraId="4EECAED5">
      <w:pPr>
        <w:spacing w:before="1" w:line="220" w:lineRule="auto"/>
        <w:ind w:left="122"/>
        <w:outlineLvl w:val="1"/>
        <w:rPr>
          <w:rFonts w:ascii="宋体" w:hAnsi="宋体" w:eastAsia="宋体" w:cs="宋体"/>
          <w:sz w:val="28"/>
          <w:szCs w:val="28"/>
        </w:rPr>
      </w:pPr>
      <w:bookmarkStart w:id="22" w:name="bookmark23"/>
      <w:bookmarkEnd w:id="22"/>
      <w:r>
        <w:rPr>
          <w:rFonts w:ascii="Times New Roman" w:hAnsi="Times New Roman" w:eastAsia="Times New Roman" w:cs="Times New Roman"/>
          <w:b/>
          <w:bCs/>
          <w:spacing w:val="-2"/>
          <w:sz w:val="28"/>
          <w:szCs w:val="28"/>
        </w:rPr>
        <w:t xml:space="preserve">7.2 </w:t>
      </w:r>
      <w:r>
        <w:rPr>
          <w:rFonts w:ascii="宋体" w:hAnsi="宋体" w:eastAsia="宋体" w:cs="宋体"/>
          <w:b/>
          <w:bCs/>
          <w:spacing w:val="-2"/>
          <w:sz w:val="28"/>
          <w:szCs w:val="28"/>
        </w:rPr>
        <w:t>环境影响分析</w:t>
      </w:r>
    </w:p>
    <w:p w14:paraId="1B4BA296">
      <w:pPr>
        <w:spacing w:before="210" w:line="221" w:lineRule="auto"/>
        <w:ind w:left="691"/>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）泄漏影响</w:t>
      </w:r>
    </w:p>
    <w:p w14:paraId="533902CF">
      <w:pPr>
        <w:spacing w:before="210" w:line="358" w:lineRule="auto"/>
        <w:ind w:left="127" w:right="112" w:firstLine="573"/>
        <w:rPr>
          <w:rFonts w:ascii="宋体" w:hAnsi="宋体" w:eastAsia="宋体" w:cs="宋体"/>
          <w:sz w:val="28"/>
          <w:szCs w:val="28"/>
        </w:rPr>
      </w:pPr>
      <w:r>
        <w:rPr>
          <w:rFonts w:ascii="宋体" w:hAnsi="宋体" w:eastAsia="宋体" w:cs="宋体"/>
          <w:spacing w:val="-5"/>
          <w:sz w:val="28"/>
          <w:szCs w:val="28"/>
        </w:rPr>
        <w:t>当项目停车场重载槽罐车发生泄漏后，氯气在最不利气象条件下</w:t>
      </w:r>
      <w:r>
        <w:rPr>
          <w:rFonts w:ascii="宋体" w:hAnsi="宋体" w:eastAsia="宋体" w:cs="宋体"/>
          <w:spacing w:val="17"/>
          <w:sz w:val="28"/>
          <w:szCs w:val="28"/>
        </w:rPr>
        <w:t xml:space="preserve"> </w:t>
      </w:r>
      <w:r>
        <w:rPr>
          <w:rFonts w:ascii="宋体" w:hAnsi="宋体" w:eastAsia="宋体" w:cs="宋体"/>
          <w:spacing w:val="-1"/>
          <w:sz w:val="28"/>
          <w:szCs w:val="28"/>
        </w:rPr>
        <w:t>大气毒性终点浓度</w:t>
      </w:r>
      <w:r>
        <w:rPr>
          <w:rFonts w:ascii="Times New Roman" w:hAnsi="Times New Roman" w:eastAsia="Times New Roman" w:cs="Times New Roman"/>
          <w:spacing w:val="-1"/>
          <w:sz w:val="28"/>
          <w:szCs w:val="28"/>
        </w:rPr>
        <w:t>-1</w:t>
      </w:r>
      <w:r>
        <w:rPr>
          <w:rFonts w:ascii="Times New Roman" w:hAnsi="Times New Roman" w:eastAsia="Times New Roman" w:cs="Times New Roman"/>
          <w:spacing w:val="53"/>
          <w:sz w:val="28"/>
          <w:szCs w:val="28"/>
        </w:rPr>
        <w:t xml:space="preserve"> </w:t>
      </w:r>
      <w:r>
        <w:rPr>
          <w:rFonts w:ascii="宋体" w:hAnsi="宋体" w:eastAsia="宋体" w:cs="宋体"/>
          <w:spacing w:val="-1"/>
          <w:sz w:val="28"/>
          <w:szCs w:val="28"/>
        </w:rPr>
        <w:t>出现的最大范围是</w:t>
      </w:r>
      <w:r>
        <w:rPr>
          <w:rFonts w:ascii="宋体" w:hAnsi="宋体" w:eastAsia="宋体" w:cs="宋体"/>
          <w:spacing w:val="-57"/>
          <w:sz w:val="28"/>
          <w:szCs w:val="28"/>
        </w:rPr>
        <w:t xml:space="preserve"> </w:t>
      </w:r>
      <w:r>
        <w:rPr>
          <w:rFonts w:ascii="Times New Roman" w:hAnsi="Times New Roman" w:eastAsia="Times New Roman" w:cs="Times New Roman"/>
          <w:spacing w:val="-1"/>
          <w:sz w:val="28"/>
          <w:szCs w:val="28"/>
        </w:rPr>
        <w:t>371.8m</w:t>
      </w:r>
      <w:r>
        <w:rPr>
          <w:rFonts w:ascii="Times New Roman" w:hAnsi="Times New Roman" w:eastAsia="Times New Roman" w:cs="Times New Roman"/>
          <w:spacing w:val="-33"/>
          <w:sz w:val="28"/>
          <w:szCs w:val="28"/>
        </w:rPr>
        <w:t xml:space="preserve"> </w:t>
      </w:r>
      <w:r>
        <w:rPr>
          <w:rFonts w:ascii="宋体" w:hAnsi="宋体" w:eastAsia="宋体" w:cs="宋体"/>
          <w:spacing w:val="-1"/>
          <w:sz w:val="28"/>
          <w:szCs w:val="28"/>
        </w:rPr>
        <w:t>，大气毒性终点浓度</w:t>
      </w:r>
    </w:p>
    <w:p w14:paraId="7BF9A480">
      <w:pPr>
        <w:spacing w:before="1" w:line="359" w:lineRule="auto"/>
        <w:ind w:left="123" w:right="112"/>
        <w:jc w:val="both"/>
        <w:rPr>
          <w:rFonts w:ascii="宋体" w:hAnsi="宋体" w:eastAsia="宋体" w:cs="宋体"/>
          <w:sz w:val="28"/>
          <w:szCs w:val="28"/>
        </w:rPr>
      </w:pPr>
      <w:r>
        <w:rPr>
          <w:rFonts w:ascii="Times New Roman" w:hAnsi="Times New Roman" w:eastAsia="Times New Roman" w:cs="Times New Roman"/>
          <w:spacing w:val="-1"/>
          <w:sz w:val="28"/>
          <w:szCs w:val="28"/>
        </w:rPr>
        <w:t>-2</w:t>
      </w:r>
      <w:r>
        <w:rPr>
          <w:rFonts w:ascii="Times New Roman" w:hAnsi="Times New Roman" w:eastAsia="Times New Roman" w:cs="Times New Roman"/>
          <w:spacing w:val="52"/>
          <w:w w:val="101"/>
          <w:sz w:val="28"/>
          <w:szCs w:val="28"/>
        </w:rPr>
        <w:t xml:space="preserve"> </w:t>
      </w:r>
      <w:r>
        <w:rPr>
          <w:rFonts w:ascii="宋体" w:hAnsi="宋体" w:eastAsia="宋体" w:cs="宋体"/>
          <w:spacing w:val="-1"/>
          <w:sz w:val="28"/>
          <w:szCs w:val="28"/>
        </w:rPr>
        <w:t>出现的最大范围是</w:t>
      </w:r>
      <w:r>
        <w:rPr>
          <w:rFonts w:ascii="宋体" w:hAnsi="宋体" w:eastAsia="宋体" w:cs="宋体"/>
          <w:spacing w:val="-54"/>
          <w:sz w:val="28"/>
          <w:szCs w:val="28"/>
        </w:rPr>
        <w:t xml:space="preserve"> </w:t>
      </w:r>
      <w:r>
        <w:rPr>
          <w:rFonts w:ascii="Times New Roman" w:hAnsi="Times New Roman" w:eastAsia="Times New Roman" w:cs="Times New Roman"/>
          <w:spacing w:val="-1"/>
          <w:sz w:val="28"/>
          <w:szCs w:val="28"/>
        </w:rPr>
        <w:t>698.6m</w:t>
      </w:r>
      <w:r>
        <w:rPr>
          <w:rFonts w:ascii="Times New Roman" w:hAnsi="Times New Roman" w:eastAsia="Times New Roman" w:cs="Times New Roman"/>
          <w:spacing w:val="-36"/>
          <w:sz w:val="28"/>
          <w:szCs w:val="28"/>
        </w:rPr>
        <w:t xml:space="preserve"> </w:t>
      </w:r>
      <w:r>
        <w:rPr>
          <w:rFonts w:ascii="宋体" w:hAnsi="宋体" w:eastAsia="宋体" w:cs="宋体"/>
          <w:spacing w:val="-1"/>
          <w:sz w:val="28"/>
          <w:szCs w:val="28"/>
        </w:rPr>
        <w:t>，其余物质泄露影响距离均未超过氨气</w:t>
      </w:r>
      <w:r>
        <w:rPr>
          <w:rFonts w:ascii="宋体" w:hAnsi="宋体" w:eastAsia="宋体" w:cs="宋体"/>
          <w:sz w:val="28"/>
          <w:szCs w:val="28"/>
        </w:rPr>
        <w:t xml:space="preserve"> </w:t>
      </w:r>
      <w:r>
        <w:rPr>
          <w:rFonts w:ascii="宋体" w:hAnsi="宋体" w:eastAsia="宋体" w:cs="宋体"/>
          <w:spacing w:val="2"/>
          <w:sz w:val="28"/>
          <w:szCs w:val="28"/>
        </w:rPr>
        <w:t>最远影响范围。根据项目周边</w:t>
      </w:r>
      <w:r>
        <w:rPr>
          <w:rFonts w:ascii="宋体" w:hAnsi="宋体" w:eastAsia="宋体" w:cs="宋体"/>
          <w:spacing w:val="-52"/>
          <w:sz w:val="28"/>
          <w:szCs w:val="28"/>
        </w:rPr>
        <w:t xml:space="preserve"> </w:t>
      </w:r>
      <w:r>
        <w:rPr>
          <w:rFonts w:ascii="Times New Roman" w:hAnsi="Times New Roman" w:eastAsia="Times New Roman" w:cs="Times New Roman"/>
          <w:spacing w:val="2"/>
          <w:sz w:val="28"/>
          <w:szCs w:val="28"/>
        </w:rPr>
        <w:t>5</w:t>
      </w:r>
      <w:r>
        <w:rPr>
          <w:rFonts w:ascii="Times New Roman" w:hAnsi="Times New Roman" w:eastAsia="Times New Roman" w:cs="Times New Roman"/>
          <w:sz w:val="28"/>
          <w:szCs w:val="28"/>
        </w:rPr>
        <w:t>km</w:t>
      </w:r>
      <w:r>
        <w:rPr>
          <w:rFonts w:ascii="Times New Roman" w:hAnsi="Times New Roman" w:eastAsia="Times New Roman" w:cs="Times New Roman"/>
          <w:spacing w:val="20"/>
          <w:sz w:val="28"/>
          <w:szCs w:val="28"/>
        </w:rPr>
        <w:t xml:space="preserve"> </w:t>
      </w:r>
      <w:r>
        <w:rPr>
          <w:rFonts w:ascii="宋体" w:hAnsi="宋体" w:eastAsia="宋体" w:cs="宋体"/>
          <w:spacing w:val="2"/>
          <w:sz w:val="28"/>
          <w:szCs w:val="28"/>
        </w:rPr>
        <w:t>范围内环境敏感目标调查，事故</w:t>
      </w:r>
      <w:r>
        <w:rPr>
          <w:rFonts w:ascii="宋体" w:hAnsi="宋体" w:eastAsia="宋体" w:cs="宋体"/>
          <w:sz w:val="28"/>
          <w:szCs w:val="28"/>
        </w:rPr>
        <w:t xml:space="preserve"> </w:t>
      </w:r>
      <w:r>
        <w:rPr>
          <w:rFonts w:ascii="宋体" w:hAnsi="宋体" w:eastAsia="宋体" w:cs="宋体"/>
          <w:spacing w:val="-4"/>
          <w:sz w:val="28"/>
          <w:szCs w:val="28"/>
        </w:rPr>
        <w:t>影响范围内大气环境敏感目标主要为周边工业企业职工，不涉及其他</w:t>
      </w:r>
      <w:r>
        <w:rPr>
          <w:rFonts w:ascii="宋体" w:hAnsi="宋体" w:eastAsia="宋体" w:cs="宋体"/>
          <w:spacing w:val="14"/>
          <w:sz w:val="28"/>
          <w:szCs w:val="28"/>
        </w:rPr>
        <w:t xml:space="preserve"> </w:t>
      </w:r>
      <w:r>
        <w:rPr>
          <w:rFonts w:ascii="宋体" w:hAnsi="宋体" w:eastAsia="宋体" w:cs="宋体"/>
          <w:spacing w:val="-2"/>
          <w:sz w:val="28"/>
          <w:szCs w:val="28"/>
        </w:rPr>
        <w:t>环境敏感区域。</w:t>
      </w:r>
    </w:p>
    <w:p w14:paraId="256F210E">
      <w:pPr>
        <w:spacing w:before="1" w:line="219" w:lineRule="auto"/>
        <w:ind w:left="691"/>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）发生火灾风险大气影响分析</w:t>
      </w:r>
    </w:p>
    <w:p w14:paraId="5BB3C84F">
      <w:pPr>
        <w:spacing w:before="210" w:line="361" w:lineRule="auto"/>
        <w:ind w:left="123" w:right="112" w:firstLine="561"/>
        <w:rPr>
          <w:rFonts w:ascii="宋体" w:hAnsi="宋体" w:eastAsia="宋体" w:cs="宋体"/>
          <w:sz w:val="28"/>
          <w:szCs w:val="28"/>
        </w:rPr>
      </w:pPr>
      <w:r>
        <w:rPr>
          <w:rFonts w:ascii="宋体" w:hAnsi="宋体" w:eastAsia="宋体" w:cs="宋体"/>
          <w:spacing w:val="-4"/>
          <w:sz w:val="28"/>
          <w:szCs w:val="28"/>
        </w:rPr>
        <w:t>火灾爆炸的影响主要是产生巨大的空气冲击波，使周围建筑物受</w:t>
      </w:r>
      <w:r>
        <w:rPr>
          <w:rFonts w:ascii="宋体" w:hAnsi="宋体" w:eastAsia="宋体" w:cs="宋体"/>
          <w:spacing w:val="5"/>
          <w:sz w:val="28"/>
          <w:szCs w:val="28"/>
        </w:rPr>
        <w:t xml:space="preserve"> </w:t>
      </w:r>
      <w:r>
        <w:rPr>
          <w:rFonts w:ascii="宋体" w:hAnsi="宋体" w:eastAsia="宋体" w:cs="宋体"/>
          <w:spacing w:val="-4"/>
          <w:sz w:val="28"/>
          <w:szCs w:val="28"/>
        </w:rPr>
        <w:t>损，人员伤亡；燃烧形成的强烈烟气和有毒有害气流，使周围环境空</w:t>
      </w:r>
    </w:p>
    <w:p w14:paraId="683C61DC">
      <w:pPr>
        <w:spacing w:line="361" w:lineRule="auto"/>
        <w:rPr>
          <w:rFonts w:ascii="宋体" w:hAnsi="宋体" w:eastAsia="宋体" w:cs="宋体"/>
          <w:sz w:val="28"/>
          <w:szCs w:val="28"/>
        </w:rPr>
        <w:sectPr>
          <w:footerReference r:id="rId122" w:type="default"/>
          <w:pgSz w:w="11906" w:h="16839"/>
          <w:pgMar w:top="400" w:right="1687" w:bottom="1259" w:left="1687" w:header="0" w:footer="1097" w:gutter="0"/>
          <w:cols w:space="720" w:num="1"/>
        </w:sectPr>
      </w:pPr>
    </w:p>
    <w:p w14:paraId="68581A89">
      <w:pPr>
        <w:pStyle w:val="2"/>
        <w:spacing w:line="246" w:lineRule="auto"/>
      </w:pPr>
    </w:p>
    <w:p w14:paraId="136B4B50">
      <w:pPr>
        <w:pStyle w:val="2"/>
        <w:spacing w:line="246" w:lineRule="auto"/>
      </w:pPr>
    </w:p>
    <w:p w14:paraId="1A536469">
      <w:pPr>
        <w:pStyle w:val="2"/>
        <w:spacing w:line="246" w:lineRule="auto"/>
      </w:pPr>
    </w:p>
    <w:p w14:paraId="7581BDD2">
      <w:pPr>
        <w:pStyle w:val="2"/>
        <w:spacing w:line="246" w:lineRule="auto"/>
      </w:pPr>
    </w:p>
    <w:p w14:paraId="003C9801">
      <w:pPr>
        <w:spacing w:before="91" w:line="359" w:lineRule="auto"/>
        <w:ind w:left="26"/>
        <w:jc w:val="both"/>
        <w:rPr>
          <w:rFonts w:ascii="宋体" w:hAnsi="宋体" w:eastAsia="宋体" w:cs="宋体"/>
          <w:sz w:val="28"/>
          <w:szCs w:val="28"/>
        </w:rPr>
      </w:pPr>
      <w:r>
        <w:rPr>
          <w:rFonts w:ascii="宋体" w:hAnsi="宋体" w:eastAsia="宋体" w:cs="宋体"/>
          <w:spacing w:val="-9"/>
          <w:sz w:val="28"/>
          <w:szCs w:val="28"/>
        </w:rPr>
        <w:t>气受污染。火灾会生成一氧化碳有害气体，人体</w:t>
      </w:r>
      <w:r>
        <w:rPr>
          <w:rFonts w:ascii="宋体" w:hAnsi="宋体" w:eastAsia="宋体" w:cs="宋体"/>
          <w:spacing w:val="-10"/>
          <w:sz w:val="28"/>
          <w:szCs w:val="28"/>
        </w:rPr>
        <w:t>吸入后容易导致中毒、</w:t>
      </w:r>
      <w:r>
        <w:rPr>
          <w:rFonts w:ascii="宋体" w:hAnsi="宋体" w:eastAsia="宋体" w:cs="宋体"/>
          <w:sz w:val="28"/>
          <w:szCs w:val="28"/>
        </w:rPr>
        <w:t xml:space="preserve"> </w:t>
      </w:r>
      <w:r>
        <w:rPr>
          <w:rFonts w:ascii="宋体" w:hAnsi="宋体" w:eastAsia="宋体" w:cs="宋体"/>
          <w:spacing w:val="-4"/>
          <w:sz w:val="28"/>
          <w:szCs w:val="28"/>
        </w:rPr>
        <w:t>死亡。当发生火灾、爆炸事故后，项目停车场所在的露天环境下有害</w:t>
      </w:r>
      <w:r>
        <w:rPr>
          <w:rFonts w:ascii="宋体" w:hAnsi="宋体" w:eastAsia="宋体" w:cs="宋体"/>
          <w:spacing w:val="13"/>
          <w:sz w:val="28"/>
          <w:szCs w:val="28"/>
        </w:rPr>
        <w:t xml:space="preserve"> </w:t>
      </w:r>
      <w:r>
        <w:rPr>
          <w:rFonts w:ascii="宋体" w:hAnsi="宋体" w:eastAsia="宋体" w:cs="宋体"/>
          <w:spacing w:val="-4"/>
          <w:sz w:val="28"/>
          <w:szCs w:val="28"/>
        </w:rPr>
        <w:t>气体主要集中于停车场停车区下风向周边区域，扩散距离有限，一般</w:t>
      </w:r>
      <w:r>
        <w:rPr>
          <w:rFonts w:ascii="宋体" w:hAnsi="宋体" w:eastAsia="宋体" w:cs="宋体"/>
          <w:spacing w:val="13"/>
          <w:sz w:val="28"/>
          <w:szCs w:val="28"/>
        </w:rPr>
        <w:t xml:space="preserve"> </w:t>
      </w:r>
      <w:r>
        <w:rPr>
          <w:rFonts w:ascii="宋体" w:hAnsi="宋体" w:eastAsia="宋体" w:cs="宋体"/>
          <w:spacing w:val="-3"/>
          <w:sz w:val="28"/>
          <w:szCs w:val="28"/>
        </w:rPr>
        <w:t>情形下</w:t>
      </w:r>
      <w:r>
        <w:rPr>
          <w:rFonts w:ascii="宋体" w:hAnsi="宋体" w:eastAsia="宋体" w:cs="宋体"/>
          <w:spacing w:val="-53"/>
          <w:sz w:val="28"/>
          <w:szCs w:val="28"/>
        </w:rPr>
        <w:t xml:space="preserve"> </w:t>
      </w:r>
      <w:r>
        <w:rPr>
          <w:rFonts w:ascii="Times New Roman" w:hAnsi="Times New Roman" w:eastAsia="Times New Roman" w:cs="Times New Roman"/>
          <w:spacing w:val="-3"/>
          <w:sz w:val="28"/>
          <w:szCs w:val="28"/>
        </w:rPr>
        <w:t xml:space="preserve">CO </w:t>
      </w:r>
      <w:r>
        <w:rPr>
          <w:rFonts w:ascii="宋体" w:hAnsi="宋体" w:eastAsia="宋体" w:cs="宋体"/>
          <w:spacing w:val="-3"/>
          <w:sz w:val="28"/>
          <w:szCs w:val="28"/>
        </w:rPr>
        <w:t>扩散后达不到半致死浓度的量，不会造成项目人员、周边</w:t>
      </w:r>
      <w:r>
        <w:rPr>
          <w:rFonts w:ascii="宋体" w:hAnsi="宋体" w:eastAsia="宋体" w:cs="宋体"/>
          <w:sz w:val="28"/>
          <w:szCs w:val="28"/>
        </w:rPr>
        <w:t xml:space="preserve"> </w:t>
      </w:r>
      <w:r>
        <w:rPr>
          <w:rFonts w:ascii="宋体" w:hAnsi="宋体" w:eastAsia="宋体" w:cs="宋体"/>
          <w:spacing w:val="-2"/>
          <w:sz w:val="28"/>
          <w:szCs w:val="28"/>
        </w:rPr>
        <w:t>居民中毒死亡。</w:t>
      </w:r>
    </w:p>
    <w:p w14:paraId="3C04902A">
      <w:pPr>
        <w:spacing w:before="1"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）地表水、地下水环境风险防范措施</w:t>
      </w:r>
    </w:p>
    <w:p w14:paraId="63A2A74E">
      <w:pPr>
        <w:spacing w:before="217" w:line="359" w:lineRule="auto"/>
        <w:ind w:left="23" w:right="23" w:firstLine="559"/>
        <w:rPr>
          <w:rFonts w:ascii="宋体" w:hAnsi="宋体" w:eastAsia="宋体" w:cs="宋体"/>
          <w:sz w:val="28"/>
          <w:szCs w:val="28"/>
        </w:rPr>
      </w:pPr>
      <w:r>
        <w:rPr>
          <w:rFonts w:ascii="宋体" w:hAnsi="宋体" w:eastAsia="宋体" w:cs="宋体"/>
          <w:spacing w:val="-4"/>
          <w:sz w:val="28"/>
          <w:szCs w:val="28"/>
        </w:rPr>
        <w:t>在地表水、地下水环境风险防范方面，本项目坚持以“注重源头</w:t>
      </w:r>
      <w:r>
        <w:rPr>
          <w:rFonts w:ascii="宋体" w:hAnsi="宋体" w:eastAsia="宋体" w:cs="宋体"/>
          <w:spacing w:val="8"/>
          <w:sz w:val="28"/>
          <w:szCs w:val="28"/>
        </w:rPr>
        <w:t xml:space="preserve"> </w:t>
      </w:r>
      <w:r>
        <w:rPr>
          <w:rFonts w:ascii="宋体" w:hAnsi="宋体" w:eastAsia="宋体" w:cs="宋体"/>
          <w:spacing w:val="-5"/>
          <w:sz w:val="28"/>
          <w:szCs w:val="28"/>
        </w:rPr>
        <w:t>控制、强化监测手段、污水集中处理、完善应急响应系统建设</w:t>
      </w:r>
      <w:r>
        <w:rPr>
          <w:rFonts w:ascii="宋体" w:hAnsi="宋体" w:eastAsia="宋体" w:cs="宋体"/>
          <w:spacing w:val="-95"/>
          <w:sz w:val="28"/>
          <w:szCs w:val="28"/>
        </w:rPr>
        <w:t xml:space="preserve"> </w:t>
      </w:r>
      <w:r>
        <w:rPr>
          <w:rFonts w:ascii="宋体" w:hAnsi="宋体" w:eastAsia="宋体" w:cs="宋体"/>
          <w:spacing w:val="-5"/>
          <w:sz w:val="28"/>
          <w:szCs w:val="28"/>
        </w:rPr>
        <w:t>”为原</w:t>
      </w:r>
      <w:r>
        <w:rPr>
          <w:rFonts w:ascii="宋体" w:hAnsi="宋体" w:eastAsia="宋体" w:cs="宋体"/>
          <w:sz w:val="28"/>
          <w:szCs w:val="28"/>
        </w:rPr>
        <w:t xml:space="preserve"> </w:t>
      </w:r>
      <w:r>
        <w:rPr>
          <w:rFonts w:ascii="宋体" w:hAnsi="宋体" w:eastAsia="宋体" w:cs="宋体"/>
          <w:spacing w:val="-5"/>
          <w:sz w:val="28"/>
          <w:szCs w:val="28"/>
        </w:rPr>
        <w:t>则，以“主动控制</w:t>
      </w:r>
      <w:r>
        <w:rPr>
          <w:rFonts w:ascii="宋体" w:hAnsi="宋体" w:eastAsia="宋体" w:cs="宋体"/>
          <w:spacing w:val="-95"/>
          <w:sz w:val="28"/>
          <w:szCs w:val="28"/>
        </w:rPr>
        <w:t xml:space="preserve"> </w:t>
      </w:r>
      <w:r>
        <w:rPr>
          <w:rFonts w:ascii="宋体" w:hAnsi="宋体" w:eastAsia="宋体" w:cs="宋体"/>
          <w:spacing w:val="-5"/>
          <w:sz w:val="28"/>
          <w:szCs w:val="28"/>
        </w:rPr>
        <w:t>”为宗旨，避免废水泄漏事故及防渗措施失效事故</w:t>
      </w:r>
      <w:r>
        <w:rPr>
          <w:rFonts w:ascii="宋体" w:hAnsi="宋体" w:eastAsia="宋体" w:cs="宋体"/>
          <w:sz w:val="28"/>
          <w:szCs w:val="28"/>
        </w:rPr>
        <w:t xml:space="preserve"> </w:t>
      </w:r>
      <w:r>
        <w:rPr>
          <w:rFonts w:ascii="宋体" w:hAnsi="宋体" w:eastAsia="宋体" w:cs="宋体"/>
          <w:spacing w:val="-4"/>
          <w:sz w:val="28"/>
          <w:szCs w:val="28"/>
        </w:rPr>
        <w:t>的发生。厂区内设置消防水池和事故水池，当发生泄露、火灾或爆炸</w:t>
      </w:r>
      <w:r>
        <w:rPr>
          <w:rFonts w:ascii="宋体" w:hAnsi="宋体" w:eastAsia="宋体" w:cs="宋体"/>
          <w:spacing w:val="15"/>
          <w:sz w:val="28"/>
          <w:szCs w:val="28"/>
        </w:rPr>
        <w:t xml:space="preserve"> </w:t>
      </w:r>
      <w:r>
        <w:rPr>
          <w:rFonts w:ascii="宋体" w:hAnsi="宋体" w:eastAsia="宋体" w:cs="宋体"/>
          <w:spacing w:val="-4"/>
          <w:sz w:val="28"/>
          <w:szCs w:val="28"/>
        </w:rPr>
        <w:t>事故时，泄露物、事故伴生、次生消防水进入收集系统，紧急关闭截</w:t>
      </w:r>
      <w:r>
        <w:rPr>
          <w:rFonts w:ascii="宋体" w:hAnsi="宋体" w:eastAsia="宋体" w:cs="宋体"/>
          <w:spacing w:val="15"/>
          <w:sz w:val="28"/>
          <w:szCs w:val="28"/>
        </w:rPr>
        <w:t xml:space="preserve"> </w:t>
      </w:r>
      <w:r>
        <w:rPr>
          <w:rFonts w:ascii="宋体" w:hAnsi="宋体" w:eastAsia="宋体" w:cs="宋体"/>
          <w:spacing w:val="-4"/>
          <w:sz w:val="28"/>
          <w:szCs w:val="28"/>
        </w:rPr>
        <w:t>流阀，可将泄露物、消防水截流在厂区内，若厂内污水处理装置不能</w:t>
      </w:r>
      <w:r>
        <w:rPr>
          <w:rFonts w:ascii="宋体" w:hAnsi="宋体" w:eastAsia="宋体" w:cs="宋体"/>
          <w:spacing w:val="15"/>
          <w:sz w:val="28"/>
          <w:szCs w:val="28"/>
        </w:rPr>
        <w:t xml:space="preserve"> </w:t>
      </w:r>
      <w:r>
        <w:rPr>
          <w:rFonts w:ascii="宋体" w:hAnsi="宋体" w:eastAsia="宋体" w:cs="宋体"/>
          <w:spacing w:val="-4"/>
          <w:sz w:val="28"/>
          <w:szCs w:val="28"/>
        </w:rPr>
        <w:t>处理泄露物，需排入污水</w:t>
      </w:r>
      <w:r>
        <w:rPr>
          <w:rFonts w:hint="eastAsia" w:ascii="宋体" w:hAnsi="宋体" w:eastAsia="宋体" w:cs="宋体"/>
          <w:spacing w:val="-4"/>
          <w:sz w:val="28"/>
          <w:szCs w:val="28"/>
          <w:lang w:val="en-US" w:eastAsia="zh-CN"/>
        </w:rPr>
        <w:t>处理</w:t>
      </w:r>
      <w:r>
        <w:rPr>
          <w:rFonts w:ascii="宋体" w:hAnsi="宋体" w:eastAsia="宋体" w:cs="宋体"/>
          <w:spacing w:val="-4"/>
          <w:sz w:val="28"/>
          <w:szCs w:val="28"/>
        </w:rPr>
        <w:t>厂应急处置系统，杜绝以任何形式直接进入</w:t>
      </w:r>
      <w:r>
        <w:rPr>
          <w:rFonts w:ascii="宋体" w:hAnsi="宋体" w:eastAsia="宋体" w:cs="宋体"/>
          <w:spacing w:val="15"/>
          <w:sz w:val="28"/>
          <w:szCs w:val="28"/>
        </w:rPr>
        <w:t xml:space="preserve"> </w:t>
      </w:r>
      <w:r>
        <w:rPr>
          <w:rFonts w:ascii="宋体" w:hAnsi="宋体" w:eastAsia="宋体" w:cs="宋体"/>
          <w:spacing w:val="-4"/>
          <w:sz w:val="28"/>
          <w:szCs w:val="28"/>
        </w:rPr>
        <w:t>地表水和地下水环境。另外，本项目停车区、候检区、维修车间、洗</w:t>
      </w:r>
      <w:r>
        <w:rPr>
          <w:rFonts w:ascii="宋体" w:hAnsi="宋体" w:eastAsia="宋体" w:cs="宋体"/>
          <w:spacing w:val="15"/>
          <w:sz w:val="28"/>
          <w:szCs w:val="28"/>
        </w:rPr>
        <w:t xml:space="preserve"> </w:t>
      </w:r>
      <w:r>
        <w:rPr>
          <w:rFonts w:ascii="宋体" w:hAnsi="宋体" w:eastAsia="宋体" w:cs="宋体"/>
          <w:spacing w:val="-4"/>
          <w:sz w:val="28"/>
          <w:szCs w:val="28"/>
        </w:rPr>
        <w:t>车车间、污水处理间、危废暂存间、事故应急池、初期雨水池以及场</w:t>
      </w:r>
      <w:r>
        <w:rPr>
          <w:rFonts w:ascii="宋体" w:hAnsi="宋体" w:eastAsia="宋体" w:cs="宋体"/>
          <w:spacing w:val="15"/>
          <w:sz w:val="28"/>
          <w:szCs w:val="28"/>
        </w:rPr>
        <w:t xml:space="preserve"> </w:t>
      </w:r>
      <w:r>
        <w:rPr>
          <w:rFonts w:ascii="宋体" w:hAnsi="宋体" w:eastAsia="宋体" w:cs="宋体"/>
          <w:spacing w:val="4"/>
          <w:sz w:val="28"/>
          <w:szCs w:val="28"/>
        </w:rPr>
        <w:t>区道路均按照《危险废物贮存污染控制标准》（</w:t>
      </w:r>
      <w:r>
        <w:rPr>
          <w:rFonts w:ascii="Times New Roman" w:hAnsi="Times New Roman" w:eastAsia="Times New Roman" w:cs="Times New Roman"/>
          <w:sz w:val="28"/>
          <w:szCs w:val="28"/>
        </w:rPr>
        <w:t>GB</w:t>
      </w:r>
      <w:r>
        <w:rPr>
          <w:rFonts w:ascii="Times New Roman" w:hAnsi="Times New Roman" w:eastAsia="Times New Roman" w:cs="Times New Roman"/>
          <w:spacing w:val="4"/>
          <w:sz w:val="28"/>
          <w:szCs w:val="28"/>
        </w:rPr>
        <w:t>18597-2023</w:t>
      </w:r>
      <w:r>
        <w:rPr>
          <w:rFonts w:ascii="宋体" w:hAnsi="宋体" w:eastAsia="宋体" w:cs="宋体"/>
          <w:spacing w:val="4"/>
          <w:sz w:val="28"/>
          <w:szCs w:val="28"/>
        </w:rPr>
        <w:t>）、</w:t>
      </w:r>
      <w:r>
        <w:rPr>
          <w:rFonts w:ascii="宋体" w:hAnsi="宋体" w:eastAsia="宋体" w:cs="宋体"/>
          <w:spacing w:val="11"/>
          <w:sz w:val="28"/>
          <w:szCs w:val="28"/>
        </w:rPr>
        <w:t xml:space="preserve"> </w:t>
      </w:r>
      <w:r>
        <w:rPr>
          <w:rFonts w:ascii="宋体" w:hAnsi="宋体" w:eastAsia="宋体" w:cs="宋体"/>
          <w:spacing w:val="-1"/>
          <w:sz w:val="28"/>
          <w:szCs w:val="28"/>
        </w:rPr>
        <w:t>《化工园区危险品运输车辆停车场建设标准》（</w:t>
      </w:r>
      <w:r>
        <w:rPr>
          <w:rFonts w:ascii="Times New Roman" w:hAnsi="Times New Roman" w:eastAsia="Times New Roman" w:cs="Times New Roman"/>
          <w:spacing w:val="-1"/>
          <w:sz w:val="28"/>
          <w:szCs w:val="28"/>
        </w:rPr>
        <w:t>T/CPCIF0050-2020</w:t>
      </w:r>
      <w:r>
        <w:rPr>
          <w:rFonts w:ascii="宋体" w:hAnsi="宋体" w:eastAsia="宋体" w:cs="宋体"/>
          <w:spacing w:val="-1"/>
          <w:sz w:val="28"/>
          <w:szCs w:val="28"/>
        </w:rPr>
        <w:t>）</w:t>
      </w:r>
      <w:r>
        <w:rPr>
          <w:rFonts w:ascii="宋体" w:hAnsi="宋体" w:eastAsia="宋体" w:cs="宋体"/>
          <w:spacing w:val="8"/>
          <w:sz w:val="28"/>
          <w:szCs w:val="28"/>
        </w:rPr>
        <w:t xml:space="preserve"> </w:t>
      </w:r>
      <w:r>
        <w:rPr>
          <w:rFonts w:ascii="宋体" w:hAnsi="宋体" w:eastAsia="宋体" w:cs="宋体"/>
          <w:spacing w:val="6"/>
          <w:sz w:val="28"/>
          <w:szCs w:val="28"/>
        </w:rPr>
        <w:t>等相关要求进行重点防渗，可采取措施将泄露物质控制在厂区范围</w:t>
      </w:r>
      <w:r>
        <w:rPr>
          <w:rFonts w:ascii="宋体" w:hAnsi="宋体" w:eastAsia="宋体" w:cs="宋体"/>
          <w:spacing w:val="1"/>
          <w:sz w:val="28"/>
          <w:szCs w:val="28"/>
        </w:rPr>
        <w:t xml:space="preserve"> </w:t>
      </w:r>
      <w:r>
        <w:rPr>
          <w:rFonts w:ascii="宋体" w:hAnsi="宋体" w:eastAsia="宋体" w:cs="宋体"/>
          <w:spacing w:val="-1"/>
          <w:sz w:val="28"/>
          <w:szCs w:val="28"/>
        </w:rPr>
        <w:t>内，一般不会有污染物泄漏至含水层，不会对水环境造成污染。</w:t>
      </w:r>
    </w:p>
    <w:p w14:paraId="3B3DF254">
      <w:pPr>
        <w:spacing w:before="159" w:line="226" w:lineRule="auto"/>
        <w:ind w:left="33"/>
        <w:outlineLvl w:val="0"/>
        <w:rPr>
          <w:rFonts w:ascii="黑体" w:hAnsi="黑体" w:eastAsia="黑体" w:cs="黑体"/>
          <w:sz w:val="31"/>
          <w:szCs w:val="31"/>
        </w:rPr>
      </w:pPr>
      <w:r>
        <w:rPr>
          <w:rFonts w:ascii="Times New Roman" w:hAnsi="Times New Roman" w:eastAsia="Times New Roman" w:cs="Times New Roman"/>
          <w:spacing w:val="7"/>
          <w:sz w:val="31"/>
          <w:szCs w:val="31"/>
        </w:rPr>
        <w:t xml:space="preserve">8 </w:t>
      </w:r>
      <w:r>
        <w:rPr>
          <w:rFonts w:ascii="黑体" w:hAnsi="黑体" w:eastAsia="黑体" w:cs="黑体"/>
          <w:spacing w:val="7"/>
          <w:sz w:val="31"/>
          <w:szCs w:val="31"/>
        </w:rPr>
        <w:t>环境风险防范措施与应急要求</w:t>
      </w:r>
    </w:p>
    <w:p w14:paraId="66A87F0A">
      <w:pPr>
        <w:spacing w:before="237" w:line="219" w:lineRule="auto"/>
        <w:ind w:left="23"/>
        <w:outlineLvl w:val="1"/>
        <w:rPr>
          <w:rFonts w:ascii="宋体" w:hAnsi="宋体" w:eastAsia="宋体" w:cs="宋体"/>
          <w:sz w:val="28"/>
          <w:szCs w:val="28"/>
        </w:rPr>
      </w:pPr>
      <w:bookmarkStart w:id="23" w:name="bookmark24"/>
      <w:bookmarkEnd w:id="23"/>
      <w:bookmarkStart w:id="24" w:name="bookmark25"/>
      <w:bookmarkEnd w:id="24"/>
      <w:r>
        <w:rPr>
          <w:rFonts w:ascii="Times New Roman" w:hAnsi="Times New Roman" w:eastAsia="Times New Roman" w:cs="Times New Roman"/>
          <w:b/>
          <w:bCs/>
          <w:spacing w:val="-3"/>
          <w:sz w:val="28"/>
          <w:szCs w:val="28"/>
        </w:rPr>
        <w:t xml:space="preserve">8.1 </w:t>
      </w:r>
      <w:r>
        <w:rPr>
          <w:rFonts w:ascii="宋体" w:hAnsi="宋体" w:eastAsia="宋体" w:cs="宋体"/>
          <w:b/>
          <w:bCs/>
          <w:spacing w:val="-3"/>
          <w:sz w:val="28"/>
          <w:szCs w:val="28"/>
        </w:rPr>
        <w:t>停车场组织机构设置</w:t>
      </w:r>
    </w:p>
    <w:p w14:paraId="43EB2BFC">
      <w:pPr>
        <w:spacing w:before="213" w:line="360" w:lineRule="auto"/>
        <w:ind w:left="25" w:right="97" w:firstLine="563"/>
        <w:jc w:val="both"/>
        <w:rPr>
          <w:rFonts w:ascii="宋体" w:hAnsi="宋体" w:eastAsia="宋体" w:cs="宋体"/>
          <w:sz w:val="28"/>
          <w:szCs w:val="28"/>
        </w:rPr>
      </w:pPr>
      <w:r>
        <w:rPr>
          <w:rFonts w:ascii="宋体" w:hAnsi="宋体" w:eastAsia="宋体" w:cs="宋体"/>
          <w:spacing w:val="-4"/>
          <w:sz w:val="28"/>
          <w:szCs w:val="28"/>
        </w:rPr>
        <w:t>企业设立安全环保科，并配备专业管理人员，制订突发环境事件</w:t>
      </w:r>
      <w:r>
        <w:rPr>
          <w:rFonts w:ascii="宋体" w:hAnsi="宋体" w:eastAsia="宋体" w:cs="宋体"/>
          <w:spacing w:val="2"/>
          <w:sz w:val="28"/>
          <w:szCs w:val="28"/>
        </w:rPr>
        <w:t xml:space="preserve"> </w:t>
      </w:r>
      <w:r>
        <w:rPr>
          <w:rFonts w:ascii="宋体" w:hAnsi="宋体" w:eastAsia="宋体" w:cs="宋体"/>
          <w:spacing w:val="-4"/>
          <w:sz w:val="28"/>
          <w:szCs w:val="28"/>
        </w:rPr>
        <w:t>应急预案，并定期开展相关培训，制定有各项安全生产管理制度和生</w:t>
      </w:r>
      <w:r>
        <w:rPr>
          <w:rFonts w:ascii="宋体" w:hAnsi="宋体" w:eastAsia="宋体" w:cs="宋体"/>
          <w:spacing w:val="14"/>
          <w:sz w:val="28"/>
          <w:szCs w:val="28"/>
        </w:rPr>
        <w:t xml:space="preserve"> </w:t>
      </w:r>
      <w:r>
        <w:rPr>
          <w:rFonts w:ascii="宋体" w:hAnsi="宋体" w:eastAsia="宋体" w:cs="宋体"/>
          <w:spacing w:val="-4"/>
          <w:sz w:val="28"/>
          <w:szCs w:val="28"/>
        </w:rPr>
        <w:t>产操作规程，项目建成后需加强安全教育，进一步提高职工的安全意</w:t>
      </w:r>
      <w:r>
        <w:rPr>
          <w:rFonts w:ascii="宋体" w:hAnsi="宋体" w:eastAsia="宋体" w:cs="宋体"/>
          <w:spacing w:val="14"/>
          <w:sz w:val="28"/>
          <w:szCs w:val="28"/>
        </w:rPr>
        <w:t xml:space="preserve"> </w:t>
      </w:r>
      <w:r>
        <w:rPr>
          <w:rFonts w:ascii="宋体" w:hAnsi="宋体" w:eastAsia="宋体" w:cs="宋体"/>
          <w:spacing w:val="-2"/>
          <w:sz w:val="28"/>
          <w:szCs w:val="28"/>
        </w:rPr>
        <w:t>识和安全防范能力。</w:t>
      </w:r>
    </w:p>
    <w:p w14:paraId="6E0FFCFC">
      <w:pPr>
        <w:spacing w:line="360" w:lineRule="auto"/>
        <w:rPr>
          <w:rFonts w:ascii="宋体" w:hAnsi="宋体" w:eastAsia="宋体" w:cs="宋体"/>
          <w:sz w:val="28"/>
          <w:szCs w:val="28"/>
        </w:rPr>
        <w:sectPr>
          <w:footerReference r:id="rId123" w:type="default"/>
          <w:pgSz w:w="11906" w:h="16839"/>
          <w:pgMar w:top="400" w:right="1701" w:bottom="1259" w:left="1785" w:header="0" w:footer="1097" w:gutter="0"/>
          <w:cols w:space="720" w:num="1"/>
        </w:sectPr>
      </w:pPr>
    </w:p>
    <w:p w14:paraId="054F5AEA">
      <w:pPr>
        <w:pStyle w:val="2"/>
        <w:spacing w:line="245" w:lineRule="auto"/>
      </w:pPr>
    </w:p>
    <w:p w14:paraId="2A571902">
      <w:pPr>
        <w:pStyle w:val="2"/>
        <w:spacing w:line="246" w:lineRule="auto"/>
      </w:pPr>
    </w:p>
    <w:p w14:paraId="03113D07">
      <w:pPr>
        <w:pStyle w:val="2"/>
        <w:spacing w:line="246" w:lineRule="auto"/>
      </w:pPr>
    </w:p>
    <w:p w14:paraId="651B979D">
      <w:pPr>
        <w:pStyle w:val="2"/>
        <w:spacing w:line="246" w:lineRule="auto"/>
      </w:pPr>
    </w:p>
    <w:p w14:paraId="455AE016">
      <w:pPr>
        <w:spacing w:before="91" w:line="219" w:lineRule="auto"/>
        <w:ind w:left="23"/>
        <w:outlineLvl w:val="1"/>
        <w:rPr>
          <w:rFonts w:ascii="宋体" w:hAnsi="宋体" w:eastAsia="宋体" w:cs="宋体"/>
          <w:sz w:val="28"/>
          <w:szCs w:val="28"/>
        </w:rPr>
      </w:pPr>
      <w:bookmarkStart w:id="25" w:name="bookmark26"/>
      <w:bookmarkEnd w:id="25"/>
      <w:r>
        <w:rPr>
          <w:rFonts w:ascii="Times New Roman" w:hAnsi="Times New Roman" w:eastAsia="Times New Roman" w:cs="Times New Roman"/>
          <w:b/>
          <w:bCs/>
          <w:spacing w:val="-5"/>
          <w:sz w:val="28"/>
          <w:szCs w:val="28"/>
        </w:rPr>
        <w:t>8.2</w:t>
      </w:r>
      <w:r>
        <w:rPr>
          <w:rFonts w:ascii="Times New Roman" w:hAnsi="Times New Roman" w:eastAsia="Times New Roman" w:cs="Times New Roman"/>
          <w:b/>
          <w:bCs/>
          <w:spacing w:val="19"/>
          <w:sz w:val="28"/>
          <w:szCs w:val="28"/>
        </w:rPr>
        <w:t xml:space="preserve"> </w:t>
      </w:r>
      <w:r>
        <w:rPr>
          <w:rFonts w:ascii="宋体" w:hAnsi="宋体" w:eastAsia="宋体" w:cs="宋体"/>
          <w:b/>
          <w:bCs/>
          <w:spacing w:val="-5"/>
          <w:sz w:val="28"/>
          <w:szCs w:val="28"/>
        </w:rPr>
        <w:t>总平面布置</w:t>
      </w:r>
    </w:p>
    <w:p w14:paraId="656EDAAE">
      <w:pPr>
        <w:spacing w:before="214" w:line="359" w:lineRule="auto"/>
        <w:ind w:left="25" w:right="6" w:firstLine="560"/>
        <w:jc w:val="both"/>
        <w:rPr>
          <w:rFonts w:ascii="宋体" w:hAnsi="宋体" w:eastAsia="宋体" w:cs="宋体"/>
          <w:sz w:val="28"/>
          <w:szCs w:val="28"/>
        </w:rPr>
      </w:pPr>
      <w:r>
        <w:rPr>
          <w:rFonts w:ascii="宋体" w:hAnsi="宋体" w:eastAsia="宋体" w:cs="宋体"/>
          <w:spacing w:val="-4"/>
          <w:sz w:val="28"/>
          <w:szCs w:val="28"/>
        </w:rPr>
        <w:t>本项目总平面布置严格按照《化工园区危险品运输车辆停车场建</w:t>
      </w:r>
      <w:r>
        <w:rPr>
          <w:rFonts w:ascii="宋体" w:hAnsi="宋体" w:eastAsia="宋体" w:cs="宋体"/>
          <w:spacing w:val="6"/>
          <w:sz w:val="28"/>
          <w:szCs w:val="28"/>
        </w:rPr>
        <w:t xml:space="preserve"> </w:t>
      </w:r>
      <w:r>
        <w:rPr>
          <w:rFonts w:ascii="宋体" w:hAnsi="宋体" w:eastAsia="宋体" w:cs="宋体"/>
          <w:spacing w:val="3"/>
          <w:sz w:val="28"/>
          <w:szCs w:val="28"/>
        </w:rPr>
        <w:t>设标准》（</w:t>
      </w:r>
      <w:r>
        <w:rPr>
          <w:rFonts w:ascii="Times New Roman" w:hAnsi="Times New Roman" w:eastAsia="Times New Roman" w:cs="Times New Roman"/>
          <w:spacing w:val="3"/>
          <w:sz w:val="28"/>
          <w:szCs w:val="28"/>
        </w:rPr>
        <w:t>T/</w:t>
      </w:r>
      <w:r>
        <w:rPr>
          <w:rFonts w:ascii="Times New Roman" w:hAnsi="Times New Roman" w:eastAsia="Times New Roman" w:cs="Times New Roman"/>
          <w:sz w:val="28"/>
          <w:szCs w:val="28"/>
        </w:rPr>
        <w:t>CPCIF</w:t>
      </w:r>
      <w:r>
        <w:rPr>
          <w:rFonts w:ascii="Times New Roman" w:hAnsi="Times New Roman" w:eastAsia="Times New Roman" w:cs="Times New Roman"/>
          <w:spacing w:val="3"/>
          <w:sz w:val="28"/>
          <w:szCs w:val="28"/>
        </w:rPr>
        <w:t xml:space="preserve"> 0050-2020</w:t>
      </w:r>
      <w:r>
        <w:rPr>
          <w:rFonts w:ascii="宋体" w:hAnsi="宋体" w:eastAsia="宋体" w:cs="宋体"/>
          <w:spacing w:val="3"/>
          <w:sz w:val="28"/>
          <w:szCs w:val="28"/>
        </w:rPr>
        <w:t>）等有关要求进行设计，充分利用站</w:t>
      </w:r>
      <w:r>
        <w:rPr>
          <w:rFonts w:ascii="宋体" w:hAnsi="宋体" w:eastAsia="宋体" w:cs="宋体"/>
          <w:spacing w:val="5"/>
          <w:sz w:val="28"/>
          <w:szCs w:val="28"/>
        </w:rPr>
        <w:t xml:space="preserve"> </w:t>
      </w:r>
      <w:r>
        <w:rPr>
          <w:rFonts w:ascii="宋体" w:hAnsi="宋体" w:eastAsia="宋体" w:cs="宋体"/>
          <w:spacing w:val="-4"/>
          <w:sz w:val="28"/>
          <w:szCs w:val="28"/>
        </w:rPr>
        <w:t>区现有土地资源，因地制宜、紧凑布置、节约用地，力求项目厂区与</w:t>
      </w:r>
      <w:r>
        <w:rPr>
          <w:rFonts w:ascii="宋体" w:hAnsi="宋体" w:eastAsia="宋体" w:cs="宋体"/>
          <w:spacing w:val="14"/>
          <w:sz w:val="28"/>
          <w:szCs w:val="28"/>
        </w:rPr>
        <w:t xml:space="preserve"> </w:t>
      </w:r>
      <w:r>
        <w:rPr>
          <w:rFonts w:ascii="宋体" w:hAnsi="宋体" w:eastAsia="宋体" w:cs="宋体"/>
          <w:spacing w:val="-10"/>
          <w:sz w:val="28"/>
          <w:szCs w:val="28"/>
        </w:rPr>
        <w:t>园区有机结合，方便管理，确保站区外道路及公用工程管线引入通畅，</w:t>
      </w:r>
      <w:r>
        <w:rPr>
          <w:rFonts w:ascii="宋体" w:hAnsi="宋体" w:eastAsia="宋体" w:cs="宋体"/>
          <w:sz w:val="28"/>
          <w:szCs w:val="28"/>
        </w:rPr>
        <w:t xml:space="preserve"> </w:t>
      </w:r>
      <w:r>
        <w:rPr>
          <w:rFonts w:ascii="宋体" w:hAnsi="宋体" w:eastAsia="宋体" w:cs="宋体"/>
          <w:spacing w:val="-4"/>
          <w:sz w:val="28"/>
          <w:szCs w:val="28"/>
        </w:rPr>
        <w:t>根据各个建构筑物功能，结合实际情况，根据停车流程和消防、绿化</w:t>
      </w:r>
      <w:r>
        <w:rPr>
          <w:rFonts w:ascii="宋体" w:hAnsi="宋体" w:eastAsia="宋体" w:cs="宋体"/>
          <w:spacing w:val="14"/>
          <w:sz w:val="28"/>
          <w:szCs w:val="28"/>
        </w:rPr>
        <w:t xml:space="preserve"> </w:t>
      </w:r>
      <w:r>
        <w:rPr>
          <w:rFonts w:ascii="宋体" w:hAnsi="宋体" w:eastAsia="宋体" w:cs="宋体"/>
          <w:spacing w:val="-1"/>
          <w:sz w:val="28"/>
          <w:szCs w:val="28"/>
        </w:rPr>
        <w:t>等要求，在总平面布置时，尽可能做到紧凑、合理、流畅。</w:t>
      </w:r>
    </w:p>
    <w:p w14:paraId="07488D40">
      <w:pPr>
        <w:spacing w:before="1" w:line="220" w:lineRule="auto"/>
        <w:ind w:left="23"/>
        <w:outlineLvl w:val="1"/>
        <w:rPr>
          <w:rFonts w:ascii="宋体" w:hAnsi="宋体" w:eastAsia="宋体" w:cs="宋体"/>
          <w:sz w:val="28"/>
          <w:szCs w:val="28"/>
        </w:rPr>
      </w:pPr>
      <w:bookmarkStart w:id="26" w:name="bookmark27"/>
      <w:bookmarkEnd w:id="26"/>
      <w:r>
        <w:rPr>
          <w:rFonts w:ascii="Times New Roman" w:hAnsi="Times New Roman" w:eastAsia="Times New Roman" w:cs="Times New Roman"/>
          <w:b/>
          <w:bCs/>
          <w:spacing w:val="-2"/>
          <w:sz w:val="28"/>
          <w:szCs w:val="28"/>
        </w:rPr>
        <w:t xml:space="preserve">8.3 </w:t>
      </w:r>
      <w:r>
        <w:rPr>
          <w:rFonts w:ascii="宋体" w:hAnsi="宋体" w:eastAsia="宋体" w:cs="宋体"/>
          <w:b/>
          <w:bCs/>
          <w:spacing w:val="-2"/>
          <w:sz w:val="28"/>
          <w:szCs w:val="28"/>
        </w:rPr>
        <w:t>安全防护、环境保护和消防配套</w:t>
      </w:r>
    </w:p>
    <w:p w14:paraId="0408E2BD">
      <w:pPr>
        <w:spacing w:before="209" w:line="336" w:lineRule="auto"/>
        <w:ind w:left="23" w:firstLine="568"/>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1</w:t>
      </w:r>
      <w:r>
        <w:rPr>
          <w:rFonts w:ascii="宋体" w:hAnsi="宋体" w:eastAsia="宋体" w:cs="宋体"/>
          <w:spacing w:val="1"/>
          <w:sz w:val="28"/>
          <w:szCs w:val="28"/>
        </w:rPr>
        <w:t>）根据火灾危险性等级和防火、防爆要求，建筑物的防火等</w:t>
      </w:r>
      <w:r>
        <w:rPr>
          <w:rFonts w:ascii="宋体" w:hAnsi="宋体" w:eastAsia="宋体" w:cs="宋体"/>
          <w:sz w:val="28"/>
          <w:szCs w:val="28"/>
        </w:rPr>
        <w:t xml:space="preserve"> </w:t>
      </w:r>
      <w:r>
        <w:rPr>
          <w:rFonts w:ascii="宋体" w:hAnsi="宋体" w:eastAsia="宋体" w:cs="宋体"/>
          <w:spacing w:val="-4"/>
          <w:sz w:val="28"/>
          <w:szCs w:val="28"/>
        </w:rPr>
        <w:t>级均采用国家现行规范要求按一、二级耐火等级设计，满足建筑防火</w:t>
      </w:r>
      <w:r>
        <w:rPr>
          <w:rFonts w:ascii="宋体" w:hAnsi="宋体" w:eastAsia="宋体" w:cs="宋体"/>
          <w:spacing w:val="15"/>
          <w:sz w:val="28"/>
          <w:szCs w:val="28"/>
        </w:rPr>
        <w:t xml:space="preserve"> </w:t>
      </w:r>
      <w:r>
        <w:rPr>
          <w:rFonts w:ascii="宋体" w:hAnsi="宋体" w:eastAsia="宋体" w:cs="宋体"/>
          <w:spacing w:val="-4"/>
          <w:sz w:val="28"/>
          <w:szCs w:val="28"/>
        </w:rPr>
        <w:t>要求。禁火区设置明显标志牌。运输易燃易爆化学品的运输车辆远离</w:t>
      </w:r>
      <w:r>
        <w:rPr>
          <w:rFonts w:ascii="宋体" w:hAnsi="宋体" w:eastAsia="宋体" w:cs="宋体"/>
          <w:spacing w:val="15"/>
          <w:sz w:val="28"/>
          <w:szCs w:val="28"/>
        </w:rPr>
        <w:t xml:space="preserve"> </w:t>
      </w:r>
      <w:r>
        <w:rPr>
          <w:rFonts w:ascii="宋体" w:hAnsi="宋体" w:eastAsia="宋体" w:cs="宋体"/>
          <w:spacing w:val="-4"/>
          <w:sz w:val="28"/>
          <w:szCs w:val="28"/>
        </w:rPr>
        <w:t>火源，避免与强氧化剂接触，不允许任何人员随便启动，操作全部在</w:t>
      </w:r>
      <w:r>
        <w:rPr>
          <w:rFonts w:ascii="宋体" w:hAnsi="宋体" w:eastAsia="宋体" w:cs="宋体"/>
          <w:spacing w:val="15"/>
          <w:sz w:val="28"/>
          <w:szCs w:val="28"/>
        </w:rPr>
        <w:t xml:space="preserve"> </w:t>
      </w:r>
      <w:r>
        <w:rPr>
          <w:rFonts w:ascii="宋体" w:hAnsi="宋体" w:eastAsia="宋体" w:cs="宋体"/>
          <w:spacing w:val="-1"/>
          <w:sz w:val="28"/>
          <w:szCs w:val="28"/>
        </w:rPr>
        <w:t>控制室进行。安全出口及安全疏散距离应符合《建筑设计防火规范》</w:t>
      </w:r>
      <w:r>
        <w:rPr>
          <w:rFonts w:ascii="宋体" w:hAnsi="宋体" w:eastAsia="宋体" w:cs="宋体"/>
          <w:spacing w:val="7"/>
          <w:sz w:val="28"/>
          <w:szCs w:val="28"/>
        </w:rPr>
        <w:t xml:space="preserve"> </w:t>
      </w:r>
      <w:r>
        <w:rPr>
          <w:rFonts w:ascii="宋体" w:hAnsi="宋体" w:eastAsia="宋体" w:cs="宋体"/>
          <w:spacing w:val="-1"/>
          <w:sz w:val="28"/>
          <w:szCs w:val="28"/>
        </w:rPr>
        <w:t>（</w:t>
      </w:r>
      <w:r>
        <w:rPr>
          <w:rFonts w:ascii="Times New Roman" w:hAnsi="Times New Roman" w:eastAsia="Times New Roman" w:cs="Times New Roman"/>
          <w:spacing w:val="-1"/>
          <w:sz w:val="28"/>
          <w:szCs w:val="28"/>
        </w:rPr>
        <w:t>GB50016-2006</w:t>
      </w:r>
      <w:r>
        <w:rPr>
          <w:rFonts w:ascii="宋体" w:hAnsi="宋体" w:eastAsia="宋体" w:cs="宋体"/>
          <w:spacing w:val="-1"/>
          <w:sz w:val="28"/>
          <w:szCs w:val="28"/>
        </w:rPr>
        <w:t>）的要求。</w:t>
      </w:r>
    </w:p>
    <w:p w14:paraId="04DD8B48">
      <w:pPr>
        <w:spacing w:before="211" w:line="313" w:lineRule="auto"/>
        <w:ind w:left="28" w:right="82" w:firstLine="563"/>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）本项目坚持以“注重源头控制、强化监测手段、污水集中</w:t>
      </w:r>
      <w:r>
        <w:rPr>
          <w:rFonts w:ascii="宋体" w:hAnsi="宋体" w:eastAsia="宋体" w:cs="宋体"/>
          <w:sz w:val="28"/>
          <w:szCs w:val="28"/>
        </w:rPr>
        <w:t xml:space="preserve"> </w:t>
      </w:r>
      <w:r>
        <w:rPr>
          <w:rFonts w:ascii="宋体" w:hAnsi="宋体" w:eastAsia="宋体" w:cs="宋体"/>
          <w:spacing w:val="-5"/>
          <w:sz w:val="28"/>
          <w:szCs w:val="28"/>
        </w:rPr>
        <w:t>处理、完善应急响应系统建设</w:t>
      </w:r>
      <w:r>
        <w:rPr>
          <w:rFonts w:ascii="宋体" w:hAnsi="宋体" w:eastAsia="宋体" w:cs="宋体"/>
          <w:spacing w:val="-99"/>
          <w:sz w:val="28"/>
          <w:szCs w:val="28"/>
        </w:rPr>
        <w:t xml:space="preserve"> </w:t>
      </w:r>
      <w:r>
        <w:rPr>
          <w:rFonts w:ascii="宋体" w:hAnsi="宋体" w:eastAsia="宋体" w:cs="宋体"/>
          <w:spacing w:val="-5"/>
          <w:sz w:val="28"/>
          <w:szCs w:val="28"/>
        </w:rPr>
        <w:t>”为原则，项目运营期产生的废水均采</w:t>
      </w:r>
      <w:r>
        <w:rPr>
          <w:rFonts w:ascii="宋体" w:hAnsi="宋体" w:eastAsia="宋体" w:cs="宋体"/>
          <w:sz w:val="28"/>
          <w:szCs w:val="28"/>
        </w:rPr>
        <w:t xml:space="preserve"> </w:t>
      </w:r>
      <w:r>
        <w:rPr>
          <w:rFonts w:ascii="宋体" w:hAnsi="宋体" w:eastAsia="宋体" w:cs="宋体"/>
          <w:spacing w:val="-1"/>
          <w:sz w:val="28"/>
          <w:szCs w:val="28"/>
        </w:rPr>
        <w:t>取相应的污染防治措施，厂区设置分区防渗。</w:t>
      </w:r>
    </w:p>
    <w:p w14:paraId="5450A8B3">
      <w:pPr>
        <w:spacing w:before="209" w:line="313" w:lineRule="auto"/>
        <w:ind w:left="27" w:right="82" w:firstLine="565"/>
        <w:rPr>
          <w:rFonts w:ascii="宋体" w:hAnsi="宋体" w:eastAsia="宋体" w:cs="宋体"/>
          <w:sz w:val="28"/>
          <w:szCs w:val="28"/>
        </w:rPr>
      </w:pPr>
      <w:r>
        <w:rPr>
          <w:rFonts w:ascii="宋体" w:hAnsi="宋体" w:eastAsia="宋体" w:cs="宋体"/>
          <w:spacing w:val="-5"/>
          <w:sz w:val="28"/>
          <w:szCs w:val="28"/>
        </w:rPr>
        <w:t>（</w:t>
      </w:r>
      <w:r>
        <w:rPr>
          <w:rFonts w:ascii="Times New Roman" w:hAnsi="Times New Roman" w:eastAsia="Times New Roman" w:cs="Times New Roman"/>
          <w:spacing w:val="-5"/>
          <w:sz w:val="28"/>
          <w:szCs w:val="28"/>
        </w:rPr>
        <w:t>3</w:t>
      </w:r>
      <w:r>
        <w:rPr>
          <w:rFonts w:ascii="宋体" w:hAnsi="宋体" w:eastAsia="宋体" w:cs="宋体"/>
          <w:spacing w:val="-5"/>
          <w:sz w:val="28"/>
          <w:szCs w:val="28"/>
        </w:rPr>
        <w:t>）本项目严格按照</w:t>
      </w:r>
      <w:r>
        <w:rPr>
          <w:rFonts w:ascii="宋体" w:hAnsi="宋体" w:eastAsia="宋体" w:cs="宋体"/>
          <w:spacing w:val="-57"/>
          <w:sz w:val="28"/>
          <w:szCs w:val="28"/>
        </w:rPr>
        <w:t xml:space="preserve"> </w:t>
      </w:r>
      <w:r>
        <w:rPr>
          <w:rFonts w:ascii="Times New Roman" w:hAnsi="Times New Roman" w:eastAsia="Times New Roman" w:cs="Times New Roman"/>
          <w:spacing w:val="-5"/>
          <w:sz w:val="28"/>
          <w:szCs w:val="28"/>
        </w:rPr>
        <w:t xml:space="preserve">GB 50974 </w:t>
      </w:r>
      <w:r>
        <w:rPr>
          <w:rFonts w:ascii="宋体" w:hAnsi="宋体" w:eastAsia="宋体" w:cs="宋体"/>
          <w:spacing w:val="-5"/>
          <w:sz w:val="28"/>
          <w:szCs w:val="28"/>
        </w:rPr>
        <w:t>有关要求配套消防给水及室外消</w:t>
      </w:r>
      <w:r>
        <w:rPr>
          <w:rFonts w:ascii="宋体" w:hAnsi="宋体" w:eastAsia="宋体" w:cs="宋体"/>
          <w:sz w:val="28"/>
          <w:szCs w:val="28"/>
        </w:rPr>
        <w:t xml:space="preserve"> </w:t>
      </w:r>
      <w:r>
        <w:rPr>
          <w:rFonts w:ascii="宋体" w:hAnsi="宋体" w:eastAsia="宋体" w:cs="宋体"/>
          <w:spacing w:val="-4"/>
          <w:sz w:val="28"/>
          <w:szCs w:val="28"/>
        </w:rPr>
        <w:t>火栓系统，设有智慧管控系统、视频监控系统、火灾自动报警系统及</w:t>
      </w:r>
      <w:r>
        <w:rPr>
          <w:rFonts w:ascii="宋体" w:hAnsi="宋体" w:eastAsia="宋体" w:cs="宋体"/>
          <w:spacing w:val="12"/>
          <w:sz w:val="28"/>
          <w:szCs w:val="28"/>
        </w:rPr>
        <w:t xml:space="preserve"> </w:t>
      </w:r>
      <w:r>
        <w:rPr>
          <w:rFonts w:ascii="宋体" w:hAnsi="宋体" w:eastAsia="宋体" w:cs="宋体"/>
          <w:spacing w:val="-1"/>
          <w:sz w:val="28"/>
          <w:szCs w:val="28"/>
        </w:rPr>
        <w:t>可燃气体探测器，重载停车区配置移动式消防炮。</w:t>
      </w:r>
    </w:p>
    <w:p w14:paraId="392BA555">
      <w:pPr>
        <w:spacing w:before="209" w:line="359" w:lineRule="auto"/>
        <w:ind w:left="23" w:right="82" w:firstLine="594"/>
        <w:rPr>
          <w:rFonts w:ascii="宋体" w:hAnsi="宋体" w:eastAsia="宋体" w:cs="宋体"/>
          <w:sz w:val="28"/>
          <w:szCs w:val="28"/>
        </w:rPr>
      </w:pPr>
      <w:r>
        <w:rPr>
          <w:rFonts w:ascii="宋体" w:hAnsi="宋体" w:eastAsia="宋体" w:cs="宋体"/>
          <w:spacing w:val="-5"/>
          <w:sz w:val="28"/>
          <w:szCs w:val="28"/>
        </w:rPr>
        <w:t>由于危险品的运输较其它货物的运输有更大的危险性，因此在运</w:t>
      </w:r>
      <w:r>
        <w:rPr>
          <w:rFonts w:ascii="宋体" w:hAnsi="宋体" w:eastAsia="宋体" w:cs="宋体"/>
          <w:spacing w:val="1"/>
          <w:sz w:val="28"/>
          <w:szCs w:val="28"/>
        </w:rPr>
        <w:t xml:space="preserve"> </w:t>
      </w:r>
      <w:r>
        <w:rPr>
          <w:rFonts w:ascii="宋体" w:hAnsi="宋体" w:eastAsia="宋体" w:cs="宋体"/>
          <w:spacing w:val="-1"/>
          <w:sz w:val="28"/>
          <w:szCs w:val="28"/>
        </w:rPr>
        <w:t>输过程中应小心谨慎，确保安全。为此注意以下几个问题：</w:t>
      </w:r>
    </w:p>
    <w:p w14:paraId="4AB9959C">
      <w:pPr>
        <w:spacing w:before="2"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1</w:t>
      </w:r>
      <w:r>
        <w:rPr>
          <w:rFonts w:ascii="宋体" w:hAnsi="宋体" w:eastAsia="宋体" w:cs="宋体"/>
          <w:spacing w:val="-2"/>
          <w:sz w:val="28"/>
          <w:szCs w:val="28"/>
        </w:rPr>
        <w:t>）合理规划运输路线及运输时间。</w:t>
      </w:r>
    </w:p>
    <w:p w14:paraId="1F141042">
      <w:pPr>
        <w:spacing w:before="211"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）危险品的装运应做到定车、定人。</w:t>
      </w:r>
    </w:p>
    <w:p w14:paraId="5BC63805">
      <w:pPr>
        <w:spacing w:before="212"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3</w:t>
      </w:r>
      <w:r>
        <w:rPr>
          <w:rFonts w:ascii="宋体" w:hAnsi="宋体" w:eastAsia="宋体" w:cs="宋体"/>
          <w:spacing w:val="1"/>
          <w:sz w:val="28"/>
          <w:szCs w:val="28"/>
        </w:rPr>
        <w:t>）被装运的危险物品必须在其外包装的明显部位按《危险货</w:t>
      </w:r>
    </w:p>
    <w:p w14:paraId="4ED28F65">
      <w:pPr>
        <w:spacing w:line="219" w:lineRule="auto"/>
        <w:rPr>
          <w:rFonts w:ascii="宋体" w:hAnsi="宋体" w:eastAsia="宋体" w:cs="宋体"/>
          <w:sz w:val="28"/>
          <w:szCs w:val="28"/>
        </w:rPr>
        <w:sectPr>
          <w:footerReference r:id="rId124" w:type="default"/>
          <w:pgSz w:w="11906" w:h="16839"/>
          <w:pgMar w:top="400" w:right="1717" w:bottom="1259" w:left="1785" w:header="0" w:footer="1097" w:gutter="0"/>
          <w:cols w:space="720" w:num="1"/>
        </w:sectPr>
      </w:pPr>
    </w:p>
    <w:p w14:paraId="58ABDE0E">
      <w:pPr>
        <w:pStyle w:val="2"/>
        <w:spacing w:line="246" w:lineRule="auto"/>
      </w:pPr>
    </w:p>
    <w:p w14:paraId="07F3244F">
      <w:pPr>
        <w:pStyle w:val="2"/>
        <w:spacing w:line="246" w:lineRule="auto"/>
      </w:pPr>
    </w:p>
    <w:p w14:paraId="4288AAC7">
      <w:pPr>
        <w:pStyle w:val="2"/>
        <w:spacing w:line="246" w:lineRule="auto"/>
      </w:pPr>
    </w:p>
    <w:p w14:paraId="6FAA75EF">
      <w:pPr>
        <w:pStyle w:val="2"/>
        <w:spacing w:line="246" w:lineRule="auto"/>
      </w:pPr>
    </w:p>
    <w:p w14:paraId="02A0EF85">
      <w:pPr>
        <w:spacing w:before="91" w:line="359" w:lineRule="auto"/>
        <w:ind w:left="27" w:right="21" w:hanging="2"/>
        <w:jc w:val="both"/>
        <w:rPr>
          <w:rFonts w:ascii="宋体" w:hAnsi="宋体" w:eastAsia="宋体" w:cs="宋体"/>
          <w:sz w:val="28"/>
          <w:szCs w:val="28"/>
        </w:rPr>
      </w:pPr>
      <w:r>
        <w:rPr>
          <w:rFonts w:ascii="宋体" w:hAnsi="宋体" w:eastAsia="宋体" w:cs="宋体"/>
          <w:spacing w:val="4"/>
          <w:sz w:val="28"/>
          <w:szCs w:val="28"/>
        </w:rPr>
        <w:t>物包装标志》（</w:t>
      </w:r>
      <w:r>
        <w:rPr>
          <w:rFonts w:ascii="Times New Roman" w:hAnsi="Times New Roman" w:eastAsia="Times New Roman" w:cs="Times New Roman"/>
          <w:sz w:val="28"/>
          <w:szCs w:val="28"/>
        </w:rPr>
        <w:t>GB</w:t>
      </w:r>
      <w:r>
        <w:rPr>
          <w:rFonts w:ascii="Times New Roman" w:hAnsi="Times New Roman" w:eastAsia="Times New Roman" w:cs="Times New Roman"/>
          <w:spacing w:val="4"/>
          <w:sz w:val="28"/>
          <w:szCs w:val="28"/>
        </w:rPr>
        <w:t>190-90</w:t>
      </w:r>
      <w:r>
        <w:rPr>
          <w:rFonts w:ascii="宋体" w:hAnsi="宋体" w:eastAsia="宋体" w:cs="宋体"/>
          <w:spacing w:val="4"/>
          <w:sz w:val="28"/>
          <w:szCs w:val="28"/>
        </w:rPr>
        <w:t>）规定的危险</w:t>
      </w:r>
      <w:r>
        <w:rPr>
          <w:rFonts w:ascii="宋体" w:hAnsi="宋体" w:eastAsia="宋体" w:cs="宋体"/>
          <w:spacing w:val="3"/>
          <w:sz w:val="28"/>
          <w:szCs w:val="28"/>
        </w:rPr>
        <w:t>物品标志，包装标志要粘牢</w:t>
      </w:r>
      <w:r>
        <w:rPr>
          <w:rFonts w:ascii="宋体" w:hAnsi="宋体" w:eastAsia="宋体" w:cs="宋体"/>
          <w:sz w:val="28"/>
          <w:szCs w:val="28"/>
        </w:rPr>
        <w:t xml:space="preserve"> </w:t>
      </w:r>
      <w:r>
        <w:rPr>
          <w:rFonts w:ascii="宋体" w:hAnsi="宋体" w:eastAsia="宋体" w:cs="宋体"/>
          <w:spacing w:val="-4"/>
          <w:sz w:val="28"/>
          <w:szCs w:val="28"/>
        </w:rPr>
        <w:t>固、正确。具有易燃、有毒等多种危险特性的化学品，则应该根据其</w:t>
      </w:r>
      <w:r>
        <w:rPr>
          <w:rFonts w:ascii="宋体" w:hAnsi="宋体" w:eastAsia="宋体" w:cs="宋体"/>
          <w:spacing w:val="12"/>
          <w:sz w:val="28"/>
          <w:szCs w:val="28"/>
        </w:rPr>
        <w:t xml:space="preserve"> </w:t>
      </w:r>
      <w:r>
        <w:rPr>
          <w:rFonts w:ascii="宋体" w:hAnsi="宋体" w:eastAsia="宋体" w:cs="宋体"/>
          <w:spacing w:val="-3"/>
          <w:sz w:val="28"/>
          <w:szCs w:val="28"/>
        </w:rPr>
        <w:t>不同危险特性而同时粘贴相应的几个包装标志，以便一旦发生问题，</w:t>
      </w:r>
      <w:r>
        <w:rPr>
          <w:rFonts w:ascii="宋体" w:hAnsi="宋体" w:eastAsia="宋体" w:cs="宋体"/>
          <w:spacing w:val="12"/>
          <w:sz w:val="28"/>
          <w:szCs w:val="28"/>
        </w:rPr>
        <w:t xml:space="preserve"> </w:t>
      </w:r>
      <w:r>
        <w:rPr>
          <w:rFonts w:ascii="宋体" w:hAnsi="宋体" w:eastAsia="宋体" w:cs="宋体"/>
          <w:spacing w:val="-2"/>
          <w:sz w:val="28"/>
          <w:szCs w:val="28"/>
        </w:rPr>
        <w:t>可以进行多种防护。</w:t>
      </w:r>
    </w:p>
    <w:p w14:paraId="76F43C6E">
      <w:pPr>
        <w:spacing w:before="2" w:line="324" w:lineRule="auto"/>
        <w:ind w:left="25" w:right="52" w:firstLine="567"/>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4</w:t>
      </w:r>
      <w:r>
        <w:rPr>
          <w:rFonts w:ascii="宋体" w:hAnsi="宋体" w:eastAsia="宋体" w:cs="宋体"/>
          <w:spacing w:val="1"/>
          <w:sz w:val="28"/>
          <w:szCs w:val="28"/>
        </w:rPr>
        <w:t>）在危险品运输过程中，一旦发生意外，在采取应急处理的</w:t>
      </w:r>
      <w:r>
        <w:rPr>
          <w:rFonts w:ascii="宋体" w:hAnsi="宋体" w:eastAsia="宋体" w:cs="宋体"/>
          <w:sz w:val="28"/>
          <w:szCs w:val="28"/>
        </w:rPr>
        <w:t xml:space="preserve"> </w:t>
      </w:r>
      <w:r>
        <w:rPr>
          <w:rFonts w:ascii="宋体" w:hAnsi="宋体" w:eastAsia="宋体" w:cs="宋体"/>
          <w:spacing w:val="-4"/>
          <w:sz w:val="28"/>
          <w:szCs w:val="28"/>
        </w:rPr>
        <w:t>同时，迅速报告公安机关和环保部门等有关部门，疏散群众，防止事</w:t>
      </w:r>
      <w:r>
        <w:rPr>
          <w:rFonts w:ascii="宋体" w:hAnsi="宋体" w:eastAsia="宋体" w:cs="宋体"/>
          <w:spacing w:val="14"/>
          <w:sz w:val="28"/>
          <w:szCs w:val="28"/>
        </w:rPr>
        <w:t xml:space="preserve"> </w:t>
      </w:r>
      <w:r>
        <w:rPr>
          <w:rFonts w:ascii="宋体" w:hAnsi="宋体" w:eastAsia="宋体" w:cs="宋体"/>
          <w:spacing w:val="-4"/>
          <w:sz w:val="28"/>
          <w:szCs w:val="28"/>
        </w:rPr>
        <w:t>态进一步扩大，并积极协助前来救助的公安交通和消防人员抢救伤者</w:t>
      </w:r>
      <w:r>
        <w:rPr>
          <w:rFonts w:ascii="宋体" w:hAnsi="宋体" w:eastAsia="宋体" w:cs="宋体"/>
          <w:spacing w:val="14"/>
          <w:sz w:val="28"/>
          <w:szCs w:val="28"/>
        </w:rPr>
        <w:t xml:space="preserve"> </w:t>
      </w:r>
      <w:r>
        <w:rPr>
          <w:rFonts w:ascii="宋体" w:hAnsi="宋体" w:eastAsia="宋体" w:cs="宋体"/>
          <w:spacing w:val="-1"/>
          <w:sz w:val="28"/>
          <w:szCs w:val="28"/>
        </w:rPr>
        <w:t>和物资，是损失降低到最低范围。</w:t>
      </w:r>
    </w:p>
    <w:p w14:paraId="5E07D7FB">
      <w:pPr>
        <w:spacing w:before="211" w:line="331" w:lineRule="auto"/>
        <w:ind w:left="23" w:right="52" w:firstLine="568"/>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5</w:t>
      </w:r>
      <w:r>
        <w:rPr>
          <w:rFonts w:ascii="宋体" w:hAnsi="宋体" w:eastAsia="宋体" w:cs="宋体"/>
          <w:spacing w:val="1"/>
          <w:sz w:val="28"/>
          <w:szCs w:val="28"/>
        </w:rPr>
        <w:t>）运输有毒和腐蚀性物品汽车的驾驶员和押运人员，在出车</w:t>
      </w:r>
      <w:r>
        <w:rPr>
          <w:rFonts w:ascii="宋体" w:hAnsi="宋体" w:eastAsia="宋体" w:cs="宋体"/>
          <w:sz w:val="28"/>
          <w:szCs w:val="28"/>
        </w:rPr>
        <w:t xml:space="preserve"> </w:t>
      </w:r>
      <w:r>
        <w:rPr>
          <w:rFonts w:ascii="宋体" w:hAnsi="宋体" w:eastAsia="宋体" w:cs="宋体"/>
          <w:spacing w:val="-4"/>
          <w:sz w:val="28"/>
          <w:szCs w:val="28"/>
        </w:rPr>
        <w:t>前必须检查防毒、防护用品和检查是否携带齐全有效，在运输途中发</w:t>
      </w:r>
      <w:r>
        <w:rPr>
          <w:rFonts w:ascii="宋体" w:hAnsi="宋体" w:eastAsia="宋体" w:cs="宋体"/>
          <w:spacing w:val="15"/>
          <w:sz w:val="28"/>
          <w:szCs w:val="28"/>
        </w:rPr>
        <w:t xml:space="preserve"> </w:t>
      </w:r>
      <w:r>
        <w:rPr>
          <w:rFonts w:ascii="宋体" w:hAnsi="宋体" w:eastAsia="宋体" w:cs="宋体"/>
          <w:spacing w:val="-4"/>
          <w:sz w:val="28"/>
          <w:szCs w:val="28"/>
        </w:rPr>
        <w:t>现泄漏时应当主动采取处理措施，防止事态进一步扩大，在切断泄漏</w:t>
      </w:r>
      <w:r>
        <w:rPr>
          <w:rFonts w:ascii="宋体" w:hAnsi="宋体" w:eastAsia="宋体" w:cs="宋体"/>
          <w:spacing w:val="15"/>
          <w:sz w:val="28"/>
          <w:szCs w:val="28"/>
        </w:rPr>
        <w:t xml:space="preserve"> </w:t>
      </w:r>
      <w:r>
        <w:rPr>
          <w:rFonts w:ascii="宋体" w:hAnsi="宋体" w:eastAsia="宋体" w:cs="宋体"/>
          <w:spacing w:val="-4"/>
          <w:sz w:val="28"/>
          <w:szCs w:val="28"/>
        </w:rPr>
        <w:t>源后，将情况及时向当地公安机关和有关部门报告，若处理不了，立</w:t>
      </w:r>
      <w:r>
        <w:rPr>
          <w:rFonts w:ascii="宋体" w:hAnsi="宋体" w:eastAsia="宋体" w:cs="宋体"/>
          <w:spacing w:val="15"/>
          <w:sz w:val="28"/>
          <w:szCs w:val="28"/>
        </w:rPr>
        <w:t xml:space="preserve"> </w:t>
      </w:r>
      <w:r>
        <w:rPr>
          <w:rFonts w:ascii="宋体" w:hAnsi="宋体" w:eastAsia="宋体" w:cs="宋体"/>
          <w:spacing w:val="-1"/>
          <w:sz w:val="28"/>
          <w:szCs w:val="28"/>
        </w:rPr>
        <w:t>即报告当地公安机关和有关部门，请求支援。</w:t>
      </w:r>
    </w:p>
    <w:p w14:paraId="13312081">
      <w:pPr>
        <w:spacing w:before="210" w:line="221" w:lineRule="auto"/>
        <w:ind w:left="23"/>
        <w:outlineLvl w:val="1"/>
        <w:rPr>
          <w:rFonts w:ascii="宋体" w:hAnsi="宋体" w:eastAsia="宋体" w:cs="宋体"/>
          <w:sz w:val="28"/>
          <w:szCs w:val="28"/>
        </w:rPr>
      </w:pPr>
      <w:bookmarkStart w:id="27" w:name="bookmark28"/>
      <w:bookmarkEnd w:id="27"/>
      <w:r>
        <w:rPr>
          <w:rFonts w:ascii="Times New Roman" w:hAnsi="Times New Roman" w:eastAsia="Times New Roman" w:cs="Times New Roman"/>
          <w:b/>
          <w:bCs/>
          <w:spacing w:val="-3"/>
          <w:sz w:val="28"/>
          <w:szCs w:val="28"/>
        </w:rPr>
        <w:t xml:space="preserve">8.5 </w:t>
      </w:r>
      <w:r>
        <w:rPr>
          <w:rFonts w:ascii="宋体" w:hAnsi="宋体" w:eastAsia="宋体" w:cs="宋体"/>
          <w:b/>
          <w:bCs/>
          <w:spacing w:val="-3"/>
          <w:sz w:val="28"/>
          <w:szCs w:val="28"/>
        </w:rPr>
        <w:t>危化品泄漏事故的防范措施</w:t>
      </w:r>
    </w:p>
    <w:p w14:paraId="3AC3C7AF">
      <w:pPr>
        <w:spacing w:before="212"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）预防措施</w:t>
      </w:r>
    </w:p>
    <w:p w14:paraId="07751875">
      <w:pPr>
        <w:spacing w:before="210" w:line="218" w:lineRule="auto"/>
        <w:ind w:left="583"/>
        <w:rPr>
          <w:rFonts w:ascii="宋体" w:hAnsi="宋体" w:eastAsia="宋体" w:cs="宋体"/>
          <w:sz w:val="28"/>
          <w:szCs w:val="28"/>
        </w:rPr>
      </w:pPr>
      <w:r>
        <w:rPr>
          <w:rFonts w:ascii="宋体" w:hAnsi="宋体" w:eastAsia="宋体" w:cs="宋体"/>
          <w:spacing w:val="-1"/>
          <w:sz w:val="28"/>
          <w:szCs w:val="28"/>
        </w:rPr>
        <w:t>①  风险评估与分类管理</w:t>
      </w:r>
    </w:p>
    <w:p w14:paraId="5D88AA15">
      <w:pPr>
        <w:spacing w:before="215" w:line="359" w:lineRule="auto"/>
        <w:ind w:left="26" w:firstLine="556"/>
        <w:rPr>
          <w:rFonts w:ascii="宋体" w:hAnsi="宋体" w:eastAsia="宋体" w:cs="宋体"/>
          <w:sz w:val="28"/>
          <w:szCs w:val="28"/>
        </w:rPr>
      </w:pPr>
      <w:r>
        <w:rPr>
          <w:rFonts w:ascii="宋体" w:hAnsi="宋体" w:eastAsia="宋体" w:cs="宋体"/>
          <w:spacing w:val="-2"/>
          <w:sz w:val="28"/>
          <w:szCs w:val="28"/>
        </w:rPr>
        <w:t>对停车场内化学品车辆进行登记，标注危险性质（易燃、腐蚀、</w:t>
      </w:r>
      <w:r>
        <w:rPr>
          <w:rFonts w:ascii="宋体" w:hAnsi="宋体" w:eastAsia="宋体" w:cs="宋体"/>
          <w:spacing w:val="4"/>
          <w:sz w:val="28"/>
          <w:szCs w:val="28"/>
        </w:rPr>
        <w:t xml:space="preserve"> </w:t>
      </w:r>
      <w:r>
        <w:rPr>
          <w:rFonts w:ascii="宋体" w:hAnsi="宋体" w:eastAsia="宋体" w:cs="宋体"/>
          <w:spacing w:val="-4"/>
          <w:sz w:val="28"/>
          <w:szCs w:val="28"/>
        </w:rPr>
        <w:t>有毒等）。划定专用停放区，远离火源及人流密集处，配备防爆照明</w:t>
      </w:r>
      <w:r>
        <w:rPr>
          <w:rFonts w:ascii="宋体" w:hAnsi="宋体" w:eastAsia="宋体" w:cs="宋体"/>
          <w:spacing w:val="13"/>
          <w:sz w:val="28"/>
          <w:szCs w:val="28"/>
        </w:rPr>
        <w:t xml:space="preserve"> </w:t>
      </w:r>
      <w:r>
        <w:rPr>
          <w:rFonts w:ascii="宋体" w:hAnsi="宋体" w:eastAsia="宋体" w:cs="宋体"/>
          <w:spacing w:val="-2"/>
          <w:sz w:val="28"/>
          <w:szCs w:val="28"/>
        </w:rPr>
        <w:t>和通风设施。</w:t>
      </w:r>
    </w:p>
    <w:p w14:paraId="6FB58522">
      <w:pPr>
        <w:spacing w:before="1" w:line="217" w:lineRule="auto"/>
        <w:ind w:left="581"/>
        <w:rPr>
          <w:rFonts w:ascii="宋体" w:hAnsi="宋体" w:eastAsia="宋体" w:cs="宋体"/>
          <w:sz w:val="28"/>
          <w:szCs w:val="28"/>
        </w:rPr>
      </w:pPr>
      <w:r>
        <w:rPr>
          <w:rFonts w:ascii="宋体" w:hAnsi="宋体" w:eastAsia="宋体" w:cs="宋体"/>
          <w:spacing w:val="-1"/>
          <w:sz w:val="28"/>
          <w:szCs w:val="28"/>
        </w:rPr>
        <w:t>②设施与设备保障</w:t>
      </w:r>
    </w:p>
    <w:p w14:paraId="04AA9D49">
      <w:pPr>
        <w:spacing w:before="213" w:line="359" w:lineRule="auto"/>
        <w:ind w:left="22" w:right="52" w:firstLine="567"/>
        <w:rPr>
          <w:rFonts w:ascii="宋体" w:hAnsi="宋体" w:eastAsia="宋体" w:cs="宋体"/>
          <w:sz w:val="28"/>
          <w:szCs w:val="28"/>
        </w:rPr>
      </w:pPr>
      <w:r>
        <w:rPr>
          <w:rFonts w:ascii="宋体" w:hAnsi="宋体" w:eastAsia="宋体" w:cs="宋体"/>
          <w:spacing w:val="-5"/>
          <w:sz w:val="28"/>
          <w:szCs w:val="28"/>
        </w:rPr>
        <w:t>安装地面防渗漏层（如</w:t>
      </w:r>
      <w:r>
        <w:rPr>
          <w:rFonts w:ascii="宋体" w:hAnsi="宋体" w:eastAsia="宋体" w:cs="宋体"/>
          <w:spacing w:val="-62"/>
          <w:sz w:val="28"/>
          <w:szCs w:val="28"/>
        </w:rPr>
        <w:t xml:space="preserve"> </w:t>
      </w:r>
      <w:r>
        <w:rPr>
          <w:rFonts w:ascii="Times New Roman" w:hAnsi="Times New Roman" w:eastAsia="Times New Roman" w:cs="Times New Roman"/>
          <w:spacing w:val="-5"/>
          <w:sz w:val="28"/>
          <w:szCs w:val="28"/>
        </w:rPr>
        <w:t xml:space="preserve">HDPE </w:t>
      </w:r>
      <w:r>
        <w:rPr>
          <w:rFonts w:ascii="宋体" w:hAnsi="宋体" w:eastAsia="宋体" w:cs="宋体"/>
          <w:spacing w:val="-5"/>
          <w:sz w:val="28"/>
          <w:szCs w:val="28"/>
        </w:rPr>
        <w:t>膜）及导流槽，连接事故水池。配</w:t>
      </w:r>
      <w:r>
        <w:rPr>
          <w:rFonts w:ascii="宋体" w:hAnsi="宋体" w:eastAsia="宋体" w:cs="宋体"/>
          <w:sz w:val="28"/>
          <w:szCs w:val="28"/>
        </w:rPr>
        <w:t xml:space="preserve"> </w:t>
      </w:r>
      <w:r>
        <w:rPr>
          <w:rFonts w:ascii="宋体" w:hAnsi="宋体" w:eastAsia="宋体" w:cs="宋体"/>
          <w:spacing w:val="-4"/>
          <w:sz w:val="28"/>
          <w:szCs w:val="28"/>
        </w:rPr>
        <w:t>置应急物资柜：吸附棉、防爆工具、防毒面具、应急照明、警示标识</w:t>
      </w:r>
      <w:r>
        <w:rPr>
          <w:rFonts w:ascii="宋体" w:hAnsi="宋体" w:eastAsia="宋体" w:cs="宋体"/>
          <w:spacing w:val="16"/>
          <w:sz w:val="28"/>
          <w:szCs w:val="28"/>
        </w:rPr>
        <w:t xml:space="preserve"> </w:t>
      </w:r>
      <w:r>
        <w:rPr>
          <w:rFonts w:ascii="宋体" w:hAnsi="宋体" w:eastAsia="宋体" w:cs="宋体"/>
          <w:spacing w:val="-4"/>
          <w:sz w:val="28"/>
          <w:szCs w:val="28"/>
        </w:rPr>
        <w:t>等。</w:t>
      </w:r>
    </w:p>
    <w:p w14:paraId="57B36F99">
      <w:pPr>
        <w:spacing w:before="1" w:line="217" w:lineRule="auto"/>
        <w:ind w:left="581"/>
        <w:rPr>
          <w:rFonts w:ascii="宋体" w:hAnsi="宋体" w:eastAsia="宋体" w:cs="宋体"/>
          <w:sz w:val="28"/>
          <w:szCs w:val="28"/>
        </w:rPr>
      </w:pPr>
      <w:r>
        <w:rPr>
          <w:rFonts w:ascii="宋体" w:hAnsi="宋体" w:eastAsia="宋体" w:cs="宋体"/>
          <w:spacing w:val="-1"/>
          <w:sz w:val="28"/>
          <w:szCs w:val="28"/>
        </w:rPr>
        <w:t>③定期维护与培训</w:t>
      </w:r>
    </w:p>
    <w:p w14:paraId="7C50C7FF">
      <w:pPr>
        <w:spacing w:before="215" w:line="220" w:lineRule="auto"/>
        <w:ind w:right="41"/>
        <w:jc w:val="right"/>
        <w:rPr>
          <w:rFonts w:ascii="宋体" w:hAnsi="宋体" w:eastAsia="宋体" w:cs="宋体"/>
          <w:sz w:val="28"/>
          <w:szCs w:val="28"/>
        </w:rPr>
      </w:pPr>
      <w:r>
        <w:rPr>
          <w:rFonts w:ascii="宋体" w:hAnsi="宋体" w:eastAsia="宋体" w:cs="宋体"/>
          <w:spacing w:val="-4"/>
          <w:sz w:val="28"/>
          <w:szCs w:val="28"/>
        </w:rPr>
        <w:t>每月检查化学品容器密封性及车辆管路，及时更换老化部件。开</w:t>
      </w:r>
    </w:p>
    <w:p w14:paraId="25489E26">
      <w:pPr>
        <w:spacing w:line="220" w:lineRule="auto"/>
        <w:rPr>
          <w:rFonts w:ascii="宋体" w:hAnsi="宋体" w:eastAsia="宋体" w:cs="宋体"/>
          <w:sz w:val="28"/>
          <w:szCs w:val="28"/>
        </w:rPr>
        <w:sectPr>
          <w:footerReference r:id="rId125" w:type="default"/>
          <w:pgSz w:w="11906" w:h="16839"/>
          <w:pgMar w:top="400" w:right="1747" w:bottom="1259" w:left="1785" w:header="0" w:footer="1097" w:gutter="0"/>
          <w:cols w:space="720" w:num="1"/>
        </w:sectPr>
      </w:pPr>
    </w:p>
    <w:p w14:paraId="737D083F">
      <w:pPr>
        <w:pStyle w:val="2"/>
        <w:spacing w:line="245" w:lineRule="auto"/>
      </w:pPr>
    </w:p>
    <w:p w14:paraId="488CEE34">
      <w:pPr>
        <w:pStyle w:val="2"/>
        <w:spacing w:line="246" w:lineRule="auto"/>
      </w:pPr>
    </w:p>
    <w:p w14:paraId="0D986580">
      <w:pPr>
        <w:pStyle w:val="2"/>
        <w:spacing w:line="246" w:lineRule="auto"/>
      </w:pPr>
    </w:p>
    <w:p w14:paraId="4A86E390">
      <w:pPr>
        <w:pStyle w:val="2"/>
        <w:spacing w:line="246" w:lineRule="auto"/>
      </w:pPr>
    </w:p>
    <w:p w14:paraId="6B25B3B9">
      <w:pPr>
        <w:spacing w:before="91" w:line="359" w:lineRule="auto"/>
        <w:ind w:left="23" w:right="98" w:firstLine="3"/>
        <w:rPr>
          <w:rFonts w:ascii="宋体" w:hAnsi="宋体" w:eastAsia="宋体" w:cs="宋体"/>
          <w:sz w:val="28"/>
          <w:szCs w:val="28"/>
        </w:rPr>
      </w:pPr>
      <w:r>
        <w:rPr>
          <w:rFonts w:ascii="宋体" w:hAnsi="宋体" w:eastAsia="宋体" w:cs="宋体"/>
          <w:spacing w:val="-4"/>
          <w:sz w:val="28"/>
          <w:szCs w:val="28"/>
        </w:rPr>
        <w:t>展全员应急演练，重点培训化学品特性、防护装备穿戴及初期处置流</w:t>
      </w:r>
      <w:r>
        <w:rPr>
          <w:rFonts w:ascii="宋体" w:hAnsi="宋体" w:eastAsia="宋体" w:cs="宋体"/>
          <w:spacing w:val="12"/>
          <w:sz w:val="28"/>
          <w:szCs w:val="28"/>
        </w:rPr>
        <w:t xml:space="preserve"> </w:t>
      </w:r>
      <w:r>
        <w:rPr>
          <w:rFonts w:ascii="宋体" w:hAnsi="宋体" w:eastAsia="宋体" w:cs="宋体"/>
          <w:spacing w:val="-5"/>
          <w:sz w:val="28"/>
          <w:szCs w:val="28"/>
        </w:rPr>
        <w:t>程。</w:t>
      </w:r>
    </w:p>
    <w:p w14:paraId="1C1AF63B">
      <w:pPr>
        <w:spacing w:line="221"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2</w:t>
      </w:r>
      <w:r>
        <w:rPr>
          <w:rFonts w:ascii="宋体" w:hAnsi="宋体" w:eastAsia="宋体" w:cs="宋体"/>
          <w:spacing w:val="-2"/>
          <w:sz w:val="28"/>
          <w:szCs w:val="28"/>
        </w:rPr>
        <w:t>）泄漏应急响应</w:t>
      </w:r>
    </w:p>
    <w:p w14:paraId="16D601E8">
      <w:pPr>
        <w:spacing w:before="208" w:line="313" w:lineRule="auto"/>
        <w:ind w:left="25" w:firstLine="838"/>
        <w:rPr>
          <w:rFonts w:ascii="宋体" w:hAnsi="宋体" w:eastAsia="宋体" w:cs="宋体"/>
          <w:sz w:val="28"/>
          <w:szCs w:val="28"/>
        </w:rPr>
      </w:pPr>
      <w:r>
        <w:rPr>
          <w:rFonts w:ascii="宋体" w:hAnsi="宋体" w:eastAsia="宋体" w:cs="宋体"/>
          <w:spacing w:val="-1"/>
          <w:sz w:val="28"/>
          <w:szCs w:val="28"/>
        </w:rPr>
        <w:t>①第一时间控制现场，拉响广播警示，设置警戒线（半径</w:t>
      </w:r>
      <w:r>
        <w:rPr>
          <w:rFonts w:ascii="Times New Roman" w:hAnsi="Times New Roman" w:eastAsia="Times New Roman" w:cs="Times New Roman"/>
          <w:spacing w:val="-1"/>
          <w:sz w:val="28"/>
          <w:szCs w:val="28"/>
        </w:rPr>
        <w:t>≥50</w:t>
      </w:r>
      <w:r>
        <w:rPr>
          <w:rFonts w:ascii="Times New Roman" w:hAnsi="Times New Roman" w:eastAsia="Times New Roman" w:cs="Times New Roman"/>
          <w:spacing w:val="5"/>
          <w:sz w:val="28"/>
          <w:szCs w:val="28"/>
        </w:rPr>
        <w:t xml:space="preserve">   </w:t>
      </w:r>
      <w:r>
        <w:rPr>
          <w:rFonts w:ascii="宋体" w:hAnsi="宋体" w:eastAsia="宋体" w:cs="宋体"/>
          <w:spacing w:val="-3"/>
          <w:sz w:val="28"/>
          <w:szCs w:val="28"/>
        </w:rPr>
        <w:t>米，视化学品危害调整</w:t>
      </w:r>
      <w:r>
        <w:rPr>
          <w:rFonts w:ascii="宋体" w:hAnsi="宋体" w:eastAsia="宋体" w:cs="宋体"/>
          <w:spacing w:val="-11"/>
          <w:sz w:val="28"/>
          <w:szCs w:val="28"/>
        </w:rPr>
        <w:t>），</w:t>
      </w:r>
      <w:r>
        <w:rPr>
          <w:rFonts w:ascii="宋体" w:hAnsi="宋体" w:eastAsia="宋体" w:cs="宋体"/>
          <w:spacing w:val="-3"/>
          <w:sz w:val="28"/>
          <w:szCs w:val="28"/>
        </w:rPr>
        <w:t>禁止无关人员进入。引导司机及附近人员</w:t>
      </w:r>
      <w:r>
        <w:rPr>
          <w:rFonts w:ascii="宋体" w:hAnsi="宋体" w:eastAsia="宋体" w:cs="宋体"/>
          <w:sz w:val="28"/>
          <w:szCs w:val="28"/>
        </w:rPr>
        <w:t xml:space="preserve"> </w:t>
      </w:r>
      <w:r>
        <w:rPr>
          <w:rFonts w:ascii="宋体" w:hAnsi="宋体" w:eastAsia="宋体" w:cs="宋体"/>
          <w:spacing w:val="-4"/>
          <w:sz w:val="28"/>
          <w:szCs w:val="28"/>
        </w:rPr>
        <w:t>至安全区域，确保呼吸道防护（如遇刺激性气体需佩戴</w:t>
      </w:r>
      <w:r>
        <w:rPr>
          <w:rFonts w:ascii="宋体" w:hAnsi="宋体" w:eastAsia="宋体" w:cs="宋体"/>
          <w:spacing w:val="-68"/>
          <w:sz w:val="28"/>
          <w:szCs w:val="28"/>
        </w:rPr>
        <w:t xml:space="preserve"> </w:t>
      </w:r>
      <w:r>
        <w:rPr>
          <w:rFonts w:ascii="Times New Roman" w:hAnsi="Times New Roman" w:eastAsia="Times New Roman" w:cs="Times New Roman"/>
          <w:spacing w:val="-4"/>
          <w:sz w:val="28"/>
          <w:szCs w:val="28"/>
        </w:rPr>
        <w:t>N95</w:t>
      </w:r>
      <w:r>
        <w:rPr>
          <w:rFonts w:ascii="Times New Roman" w:hAnsi="Times New Roman" w:eastAsia="Times New Roman" w:cs="Times New Roman"/>
          <w:spacing w:val="52"/>
          <w:sz w:val="28"/>
          <w:szCs w:val="28"/>
        </w:rPr>
        <w:t xml:space="preserve"> </w:t>
      </w:r>
      <w:r>
        <w:rPr>
          <w:rFonts w:ascii="宋体" w:hAnsi="宋体" w:eastAsia="宋体" w:cs="宋体"/>
          <w:spacing w:val="-4"/>
          <w:sz w:val="28"/>
          <w:szCs w:val="28"/>
        </w:rPr>
        <w:t>口罩）。</w:t>
      </w:r>
    </w:p>
    <w:p w14:paraId="012EA748">
      <w:pPr>
        <w:spacing w:before="210" w:line="218" w:lineRule="auto"/>
        <w:ind w:left="581"/>
        <w:rPr>
          <w:rFonts w:ascii="宋体" w:hAnsi="宋体" w:eastAsia="宋体" w:cs="宋体"/>
          <w:sz w:val="28"/>
          <w:szCs w:val="28"/>
        </w:rPr>
      </w:pPr>
      <w:r>
        <w:rPr>
          <w:rFonts w:ascii="宋体" w:hAnsi="宋体" w:eastAsia="宋体" w:cs="宋体"/>
          <w:spacing w:val="-2"/>
          <w:sz w:val="28"/>
          <w:szCs w:val="28"/>
        </w:rPr>
        <w:t>②堵截泄漏源</w:t>
      </w:r>
    </w:p>
    <w:p w14:paraId="73A7732A">
      <w:pPr>
        <w:spacing w:before="216" w:line="359" w:lineRule="auto"/>
        <w:ind w:left="25" w:right="97" w:firstLine="561"/>
        <w:jc w:val="both"/>
        <w:rPr>
          <w:rFonts w:ascii="宋体" w:hAnsi="宋体" w:eastAsia="宋体" w:cs="宋体"/>
          <w:sz w:val="28"/>
          <w:szCs w:val="28"/>
        </w:rPr>
      </w:pPr>
      <w:r>
        <w:rPr>
          <w:rFonts w:ascii="宋体" w:hAnsi="宋体" w:eastAsia="宋体" w:cs="宋体"/>
          <w:spacing w:val="-4"/>
          <w:sz w:val="28"/>
          <w:szCs w:val="28"/>
        </w:rPr>
        <w:t>液体泄漏使用沙土、膨胀珍珠岩或专用吸油毡覆盖泄漏点，形成</w:t>
      </w:r>
      <w:r>
        <w:rPr>
          <w:rFonts w:ascii="宋体" w:hAnsi="宋体" w:eastAsia="宋体" w:cs="宋体"/>
          <w:spacing w:val="5"/>
          <w:sz w:val="28"/>
          <w:szCs w:val="28"/>
        </w:rPr>
        <w:t xml:space="preserve"> </w:t>
      </w:r>
      <w:r>
        <w:rPr>
          <w:rFonts w:ascii="宋体" w:hAnsi="宋体" w:eastAsia="宋体" w:cs="宋体"/>
          <w:spacing w:val="-4"/>
          <w:sz w:val="28"/>
          <w:szCs w:val="28"/>
        </w:rPr>
        <w:t>隔离带防止扩散。对小范围泄漏，用耐酸碱手套直接收集；大面积泄</w:t>
      </w:r>
      <w:r>
        <w:rPr>
          <w:rFonts w:ascii="宋体" w:hAnsi="宋体" w:eastAsia="宋体" w:cs="宋体"/>
          <w:spacing w:val="14"/>
          <w:sz w:val="28"/>
          <w:szCs w:val="28"/>
        </w:rPr>
        <w:t xml:space="preserve"> </w:t>
      </w:r>
      <w:r>
        <w:rPr>
          <w:rFonts w:ascii="宋体" w:hAnsi="宋体" w:eastAsia="宋体" w:cs="宋体"/>
          <w:spacing w:val="-3"/>
          <w:sz w:val="28"/>
          <w:szCs w:val="28"/>
        </w:rPr>
        <w:t>漏则用铲子将吸附材料聚拢成堆。若为可燃气体（如甲烷</w:t>
      </w:r>
      <w:r>
        <w:rPr>
          <w:rFonts w:ascii="宋体" w:hAnsi="宋体" w:eastAsia="宋体" w:cs="宋体"/>
          <w:spacing w:val="-11"/>
          <w:sz w:val="28"/>
          <w:szCs w:val="28"/>
        </w:rPr>
        <w:t>），</w:t>
      </w:r>
      <w:r>
        <w:rPr>
          <w:rFonts w:ascii="宋体" w:hAnsi="宋体" w:eastAsia="宋体" w:cs="宋体"/>
          <w:spacing w:val="-3"/>
          <w:sz w:val="28"/>
          <w:szCs w:val="28"/>
        </w:rPr>
        <w:t>使用防</w:t>
      </w:r>
      <w:r>
        <w:rPr>
          <w:rFonts w:ascii="宋体" w:hAnsi="宋体" w:eastAsia="宋体" w:cs="宋体"/>
          <w:sz w:val="28"/>
          <w:szCs w:val="28"/>
        </w:rPr>
        <w:t xml:space="preserve"> </w:t>
      </w:r>
      <w:r>
        <w:rPr>
          <w:rFonts w:ascii="宋体" w:hAnsi="宋体" w:eastAsia="宋体" w:cs="宋体"/>
          <w:spacing w:val="-2"/>
          <w:sz w:val="28"/>
          <w:szCs w:val="28"/>
        </w:rPr>
        <w:t>爆工具切断气源阀门。</w:t>
      </w:r>
    </w:p>
    <w:p w14:paraId="1C146703">
      <w:pPr>
        <w:spacing w:before="1" w:line="217" w:lineRule="auto"/>
        <w:ind w:left="581"/>
        <w:rPr>
          <w:rFonts w:ascii="宋体" w:hAnsi="宋体" w:eastAsia="宋体" w:cs="宋体"/>
          <w:sz w:val="28"/>
          <w:szCs w:val="28"/>
        </w:rPr>
      </w:pPr>
      <w:r>
        <w:rPr>
          <w:rFonts w:ascii="宋体" w:hAnsi="宋体" w:eastAsia="宋体" w:cs="宋体"/>
          <w:spacing w:val="-2"/>
          <w:sz w:val="28"/>
          <w:szCs w:val="28"/>
        </w:rPr>
        <w:t>③收集与处置</w:t>
      </w:r>
    </w:p>
    <w:p w14:paraId="57390F5D">
      <w:pPr>
        <w:spacing w:before="215" w:line="359" w:lineRule="auto"/>
        <w:ind w:left="27" w:right="97" w:firstLine="556"/>
        <w:rPr>
          <w:rFonts w:ascii="宋体" w:hAnsi="宋体" w:eastAsia="宋体" w:cs="宋体"/>
          <w:sz w:val="28"/>
          <w:szCs w:val="28"/>
        </w:rPr>
      </w:pPr>
      <w:r>
        <w:rPr>
          <w:rFonts w:ascii="宋体" w:hAnsi="宋体" w:eastAsia="宋体" w:cs="宋体"/>
          <w:spacing w:val="-4"/>
          <w:sz w:val="28"/>
          <w:szCs w:val="28"/>
        </w:rPr>
        <w:t>根据化学品性质选用对应容器（如腐蚀性液体用玻璃罐，易燃物</w:t>
      </w:r>
      <w:r>
        <w:rPr>
          <w:rFonts w:ascii="宋体" w:hAnsi="宋体" w:eastAsia="宋体" w:cs="宋体"/>
          <w:spacing w:val="7"/>
          <w:sz w:val="28"/>
          <w:szCs w:val="28"/>
        </w:rPr>
        <w:t xml:space="preserve"> </w:t>
      </w:r>
      <w:r>
        <w:rPr>
          <w:rFonts w:ascii="宋体" w:hAnsi="宋体" w:eastAsia="宋体" w:cs="宋体"/>
          <w:spacing w:val="-2"/>
          <w:sz w:val="28"/>
          <w:szCs w:val="28"/>
        </w:rPr>
        <w:t>用金属桶</w:t>
      </w:r>
      <w:r>
        <w:rPr>
          <w:rFonts w:ascii="宋体" w:hAnsi="宋体" w:eastAsia="宋体" w:cs="宋体"/>
          <w:spacing w:val="12"/>
          <w:sz w:val="28"/>
          <w:szCs w:val="28"/>
        </w:rPr>
        <w:t>），</w:t>
      </w:r>
      <w:r>
        <w:rPr>
          <w:rFonts w:ascii="宋体" w:hAnsi="宋体" w:eastAsia="宋体" w:cs="宋体"/>
          <w:spacing w:val="-2"/>
          <w:sz w:val="28"/>
          <w:szCs w:val="28"/>
        </w:rPr>
        <w:t>标签注明名称、浓度及危险特性。</w:t>
      </w:r>
    </w:p>
    <w:p w14:paraId="022EFE58">
      <w:pPr>
        <w:spacing w:before="1"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3</w:t>
      </w:r>
      <w:r>
        <w:rPr>
          <w:rFonts w:ascii="宋体" w:hAnsi="宋体" w:eastAsia="宋体" w:cs="宋体"/>
          <w:spacing w:val="-3"/>
          <w:sz w:val="28"/>
          <w:szCs w:val="28"/>
        </w:rPr>
        <w:t>）协作与善后</w:t>
      </w:r>
    </w:p>
    <w:p w14:paraId="05EE7386">
      <w:pPr>
        <w:spacing w:before="209" w:line="359" w:lineRule="auto"/>
        <w:ind w:left="25" w:right="97" w:firstLine="561"/>
        <w:rPr>
          <w:rFonts w:ascii="宋体" w:hAnsi="宋体" w:eastAsia="宋体" w:cs="宋体"/>
          <w:sz w:val="28"/>
          <w:szCs w:val="28"/>
        </w:rPr>
      </w:pPr>
      <w:r>
        <w:rPr>
          <w:rFonts w:ascii="宋体" w:hAnsi="宋体" w:eastAsia="宋体" w:cs="宋体"/>
          <w:spacing w:val="1"/>
          <w:sz w:val="28"/>
          <w:szCs w:val="28"/>
        </w:rPr>
        <w:t>拨打</w:t>
      </w:r>
      <w:r>
        <w:rPr>
          <w:rFonts w:ascii="宋体" w:hAnsi="宋体" w:eastAsia="宋体" w:cs="宋体"/>
          <w:spacing w:val="-20"/>
          <w:sz w:val="28"/>
          <w:szCs w:val="28"/>
        </w:rPr>
        <w:t xml:space="preserve"> </w:t>
      </w:r>
      <w:r>
        <w:rPr>
          <w:rFonts w:ascii="Times New Roman" w:hAnsi="Times New Roman" w:eastAsia="Times New Roman" w:cs="Times New Roman"/>
          <w:spacing w:val="1"/>
          <w:sz w:val="28"/>
          <w:szCs w:val="28"/>
        </w:rPr>
        <w:t xml:space="preserve">12345 </w:t>
      </w:r>
      <w:r>
        <w:rPr>
          <w:rFonts w:ascii="宋体" w:hAnsi="宋体" w:eastAsia="宋体" w:cs="宋体"/>
          <w:spacing w:val="1"/>
          <w:sz w:val="28"/>
          <w:szCs w:val="28"/>
        </w:rPr>
        <w:t>政府热线及专业危废处理公司电话，</w:t>
      </w:r>
      <w:r>
        <w:rPr>
          <w:rFonts w:ascii="Times New Roman" w:hAnsi="Times New Roman" w:eastAsia="Times New Roman" w:cs="Times New Roman"/>
          <w:spacing w:val="1"/>
          <w:sz w:val="28"/>
          <w:szCs w:val="28"/>
        </w:rPr>
        <w:t>72</w:t>
      </w:r>
      <w:r>
        <w:rPr>
          <w:rFonts w:ascii="Times New Roman" w:hAnsi="Times New Roman" w:eastAsia="Times New Roman" w:cs="Times New Roman"/>
          <w:spacing w:val="22"/>
          <w:sz w:val="28"/>
          <w:szCs w:val="28"/>
        </w:rPr>
        <w:t xml:space="preserve"> </w:t>
      </w:r>
      <w:r>
        <w:rPr>
          <w:rFonts w:ascii="宋体" w:hAnsi="宋体" w:eastAsia="宋体" w:cs="宋体"/>
          <w:spacing w:val="1"/>
          <w:sz w:val="28"/>
          <w:szCs w:val="28"/>
        </w:rPr>
        <w:t>小时内完成</w:t>
      </w:r>
      <w:r>
        <w:rPr>
          <w:rFonts w:ascii="宋体" w:hAnsi="宋体" w:eastAsia="宋体" w:cs="宋体"/>
          <w:sz w:val="28"/>
          <w:szCs w:val="28"/>
        </w:rPr>
        <w:t xml:space="preserve"> </w:t>
      </w:r>
      <w:r>
        <w:rPr>
          <w:rFonts w:ascii="宋体" w:hAnsi="宋体" w:eastAsia="宋体" w:cs="宋体"/>
          <w:spacing w:val="-3"/>
          <w:sz w:val="28"/>
          <w:szCs w:val="28"/>
        </w:rPr>
        <w:t>事故报告，分析泄漏原因（如容器老化、操作不当等</w:t>
      </w:r>
      <w:r>
        <w:rPr>
          <w:rFonts w:ascii="宋体" w:hAnsi="宋体" w:eastAsia="宋体" w:cs="宋体"/>
          <w:spacing w:val="-11"/>
          <w:sz w:val="28"/>
          <w:szCs w:val="28"/>
        </w:rPr>
        <w:t>），</w:t>
      </w:r>
      <w:r>
        <w:rPr>
          <w:rFonts w:ascii="宋体" w:hAnsi="宋体" w:eastAsia="宋体" w:cs="宋体"/>
          <w:spacing w:val="-3"/>
          <w:sz w:val="28"/>
          <w:szCs w:val="28"/>
        </w:rPr>
        <w:t>制定整改方</w:t>
      </w:r>
      <w:r>
        <w:rPr>
          <w:rFonts w:ascii="宋体" w:hAnsi="宋体" w:eastAsia="宋体" w:cs="宋体"/>
          <w:sz w:val="28"/>
          <w:szCs w:val="28"/>
        </w:rPr>
        <w:t xml:space="preserve"> </w:t>
      </w:r>
      <w:r>
        <w:rPr>
          <w:rFonts w:ascii="宋体" w:hAnsi="宋体" w:eastAsia="宋体" w:cs="宋体"/>
          <w:spacing w:val="-1"/>
          <w:sz w:val="28"/>
          <w:szCs w:val="28"/>
        </w:rPr>
        <w:t>案。更新应急预案，增加针对泄漏类型的模拟演练。</w:t>
      </w:r>
    </w:p>
    <w:p w14:paraId="6C1FBC1F">
      <w:pPr>
        <w:spacing w:before="1" w:line="218" w:lineRule="auto"/>
        <w:ind w:left="23"/>
        <w:outlineLvl w:val="1"/>
        <w:rPr>
          <w:rFonts w:ascii="宋体" w:hAnsi="宋体" w:eastAsia="宋体" w:cs="宋体"/>
          <w:sz w:val="28"/>
          <w:szCs w:val="28"/>
        </w:rPr>
      </w:pPr>
      <w:bookmarkStart w:id="28" w:name="bookmark29"/>
      <w:bookmarkEnd w:id="28"/>
      <w:r>
        <w:rPr>
          <w:rFonts w:ascii="Times New Roman" w:hAnsi="Times New Roman" w:eastAsia="Times New Roman" w:cs="Times New Roman"/>
          <w:b/>
          <w:bCs/>
          <w:spacing w:val="-3"/>
          <w:sz w:val="28"/>
          <w:szCs w:val="28"/>
        </w:rPr>
        <w:t xml:space="preserve">8.6 </w:t>
      </w:r>
      <w:r>
        <w:rPr>
          <w:rFonts w:ascii="宋体" w:hAnsi="宋体" w:eastAsia="宋体" w:cs="宋体"/>
          <w:b/>
          <w:bCs/>
          <w:spacing w:val="-3"/>
          <w:sz w:val="28"/>
          <w:szCs w:val="28"/>
        </w:rPr>
        <w:t>火灾和爆炸事故的防范措施</w:t>
      </w:r>
    </w:p>
    <w:p w14:paraId="1D325285">
      <w:pPr>
        <w:spacing w:before="214" w:line="359" w:lineRule="auto"/>
        <w:ind w:left="26" w:right="97" w:firstLine="575"/>
        <w:jc w:val="both"/>
        <w:rPr>
          <w:rFonts w:ascii="宋体" w:hAnsi="宋体" w:eastAsia="宋体" w:cs="宋体"/>
          <w:sz w:val="28"/>
          <w:szCs w:val="28"/>
        </w:rPr>
      </w:pPr>
      <w:r>
        <w:rPr>
          <w:rFonts w:ascii="宋体" w:hAnsi="宋体" w:eastAsia="宋体" w:cs="宋体"/>
          <w:spacing w:val="-5"/>
          <w:sz w:val="28"/>
          <w:szCs w:val="28"/>
        </w:rPr>
        <w:t>当运输车辆发生泄漏事故时，若不及时采取措施，可能引起火灾</w:t>
      </w:r>
      <w:r>
        <w:rPr>
          <w:rFonts w:ascii="宋体" w:hAnsi="宋体" w:eastAsia="宋体" w:cs="宋体"/>
          <w:spacing w:val="17"/>
          <w:sz w:val="28"/>
          <w:szCs w:val="28"/>
        </w:rPr>
        <w:t xml:space="preserve"> </w:t>
      </w:r>
      <w:r>
        <w:rPr>
          <w:rFonts w:ascii="宋体" w:hAnsi="宋体" w:eastAsia="宋体" w:cs="宋体"/>
          <w:spacing w:val="6"/>
          <w:sz w:val="28"/>
          <w:szCs w:val="28"/>
        </w:rPr>
        <w:t>和爆炸等一系列重大事故。本项目主要采取以下火灾爆炸事故的预</w:t>
      </w:r>
      <w:r>
        <w:rPr>
          <w:rFonts w:ascii="宋体" w:hAnsi="宋体" w:eastAsia="宋体" w:cs="宋体"/>
          <w:sz w:val="28"/>
          <w:szCs w:val="28"/>
        </w:rPr>
        <w:t xml:space="preserve"> </w:t>
      </w:r>
      <w:r>
        <w:rPr>
          <w:rFonts w:ascii="宋体" w:hAnsi="宋体" w:eastAsia="宋体" w:cs="宋体"/>
          <w:spacing w:val="-6"/>
          <w:sz w:val="28"/>
          <w:szCs w:val="28"/>
        </w:rPr>
        <w:t>防：</w:t>
      </w:r>
    </w:p>
    <w:p w14:paraId="53F6E3E9">
      <w:pPr>
        <w:spacing w:before="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1</w:t>
      </w:r>
      <w:r>
        <w:rPr>
          <w:rFonts w:ascii="宋体" w:hAnsi="宋体" w:eastAsia="宋体" w:cs="宋体"/>
          <w:spacing w:val="-1"/>
          <w:sz w:val="28"/>
          <w:szCs w:val="28"/>
        </w:rPr>
        <w:t>）严禁吸烟、携带火种、穿带钉皮鞋等进入运输车停车区；</w:t>
      </w:r>
    </w:p>
    <w:p w14:paraId="04079BF1">
      <w:pPr>
        <w:spacing w:before="210" w:line="290" w:lineRule="auto"/>
        <w:ind w:left="29" w:right="25" w:firstLine="56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2</w:t>
      </w:r>
      <w:r>
        <w:rPr>
          <w:rFonts w:ascii="宋体" w:hAnsi="宋体" w:eastAsia="宋体" w:cs="宋体"/>
          <w:spacing w:val="1"/>
          <w:sz w:val="28"/>
          <w:szCs w:val="28"/>
        </w:rPr>
        <w:t>）满载停车区周围安装避雷装置、设置警示牌、安装烟感报</w:t>
      </w:r>
      <w:r>
        <w:rPr>
          <w:rFonts w:ascii="宋体" w:hAnsi="宋体" w:eastAsia="宋体" w:cs="宋体"/>
          <w:sz w:val="28"/>
          <w:szCs w:val="28"/>
        </w:rPr>
        <w:t xml:space="preserve"> </w:t>
      </w:r>
      <w:r>
        <w:rPr>
          <w:rFonts w:ascii="宋体" w:hAnsi="宋体" w:eastAsia="宋体" w:cs="宋体"/>
          <w:spacing w:val="-10"/>
          <w:sz w:val="28"/>
          <w:szCs w:val="28"/>
        </w:rPr>
        <w:t>警器、可燃气体报警仪、有毒气体报警器以及监控摄像</w:t>
      </w:r>
      <w:r>
        <w:rPr>
          <w:rFonts w:ascii="宋体" w:hAnsi="宋体" w:eastAsia="宋体" w:cs="宋体"/>
          <w:spacing w:val="-11"/>
          <w:sz w:val="28"/>
          <w:szCs w:val="28"/>
        </w:rPr>
        <w:t>头等预警装置；</w:t>
      </w:r>
    </w:p>
    <w:p w14:paraId="0B7FB163">
      <w:pPr>
        <w:spacing w:line="290" w:lineRule="auto"/>
        <w:rPr>
          <w:rFonts w:ascii="宋体" w:hAnsi="宋体" w:eastAsia="宋体" w:cs="宋体"/>
          <w:sz w:val="28"/>
          <w:szCs w:val="28"/>
        </w:rPr>
        <w:sectPr>
          <w:footerReference r:id="rId126" w:type="default"/>
          <w:pgSz w:w="11906" w:h="16839"/>
          <w:pgMar w:top="400" w:right="1701" w:bottom="1259" w:left="1785" w:header="0" w:footer="1097" w:gutter="0"/>
          <w:cols w:space="720" w:num="1"/>
        </w:sectPr>
      </w:pPr>
    </w:p>
    <w:p w14:paraId="7AFA6440">
      <w:pPr>
        <w:pStyle w:val="2"/>
        <w:spacing w:line="245" w:lineRule="auto"/>
      </w:pPr>
    </w:p>
    <w:p w14:paraId="06EEE9D0">
      <w:pPr>
        <w:pStyle w:val="2"/>
        <w:spacing w:line="246" w:lineRule="auto"/>
      </w:pPr>
    </w:p>
    <w:p w14:paraId="18EC5367">
      <w:pPr>
        <w:pStyle w:val="2"/>
        <w:spacing w:line="246" w:lineRule="auto"/>
      </w:pPr>
    </w:p>
    <w:p w14:paraId="09F04CC4">
      <w:pPr>
        <w:pStyle w:val="2"/>
        <w:spacing w:line="246" w:lineRule="auto"/>
      </w:pPr>
    </w:p>
    <w:p w14:paraId="71F8E37A">
      <w:pPr>
        <w:spacing w:before="91" w:line="220"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3</w:t>
      </w:r>
      <w:r>
        <w:rPr>
          <w:rFonts w:ascii="宋体" w:hAnsi="宋体" w:eastAsia="宋体" w:cs="宋体"/>
          <w:spacing w:val="-1"/>
          <w:sz w:val="28"/>
          <w:szCs w:val="28"/>
        </w:rPr>
        <w:t>）对运输车辆定期进行检查、维修、保养；</w:t>
      </w:r>
    </w:p>
    <w:p w14:paraId="6646A4DB">
      <w:pPr>
        <w:spacing w:before="211" w:line="219"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4</w:t>
      </w:r>
      <w:r>
        <w:rPr>
          <w:rFonts w:ascii="宋体" w:hAnsi="宋体" w:eastAsia="宋体" w:cs="宋体"/>
          <w:spacing w:val="-1"/>
          <w:sz w:val="28"/>
          <w:szCs w:val="28"/>
        </w:rPr>
        <w:t>）遵守各项规章制度和操作规程，严格执行岗位责任制；</w:t>
      </w:r>
    </w:p>
    <w:p w14:paraId="7A25B8A7">
      <w:pPr>
        <w:spacing w:before="212" w:line="220" w:lineRule="auto"/>
        <w:ind w:left="592"/>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5</w:t>
      </w:r>
      <w:r>
        <w:rPr>
          <w:rFonts w:ascii="宋体" w:hAnsi="宋体" w:eastAsia="宋体" w:cs="宋体"/>
          <w:spacing w:val="-1"/>
          <w:sz w:val="28"/>
          <w:szCs w:val="28"/>
        </w:rPr>
        <w:t>）停车区配备专人坚持巡回检查，发现问题及时处理；</w:t>
      </w:r>
    </w:p>
    <w:p w14:paraId="1E956665">
      <w:pPr>
        <w:spacing w:before="211" w:line="290" w:lineRule="auto"/>
        <w:ind w:left="28" w:right="98" w:firstLine="563"/>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6</w:t>
      </w:r>
      <w:r>
        <w:rPr>
          <w:rFonts w:ascii="宋体" w:hAnsi="宋体" w:eastAsia="宋体" w:cs="宋体"/>
          <w:spacing w:val="1"/>
          <w:sz w:val="28"/>
          <w:szCs w:val="28"/>
        </w:rPr>
        <w:t>）加强停车场内管理人员和运输车从业人员培训、教育和考</w:t>
      </w:r>
      <w:r>
        <w:rPr>
          <w:rFonts w:ascii="宋体" w:hAnsi="宋体" w:eastAsia="宋体" w:cs="宋体"/>
          <w:sz w:val="28"/>
          <w:szCs w:val="28"/>
        </w:rPr>
        <w:t xml:space="preserve"> </w:t>
      </w:r>
      <w:r>
        <w:rPr>
          <w:rFonts w:ascii="宋体" w:hAnsi="宋体" w:eastAsia="宋体" w:cs="宋体"/>
          <w:spacing w:val="-4"/>
          <w:sz w:val="28"/>
          <w:szCs w:val="28"/>
        </w:rPr>
        <w:t>核工作；</w:t>
      </w:r>
    </w:p>
    <w:p w14:paraId="346F4D06">
      <w:pPr>
        <w:spacing w:before="208" w:line="290" w:lineRule="auto"/>
        <w:ind w:left="25" w:right="98" w:firstLine="567"/>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7</w:t>
      </w:r>
      <w:r>
        <w:rPr>
          <w:rFonts w:ascii="宋体" w:hAnsi="宋体" w:eastAsia="宋体" w:cs="宋体"/>
          <w:spacing w:val="1"/>
          <w:sz w:val="28"/>
          <w:szCs w:val="28"/>
        </w:rPr>
        <w:t>）停车场内应配备一定的消防、堵漏等应急物资，有专人对</w:t>
      </w:r>
      <w:r>
        <w:rPr>
          <w:rFonts w:ascii="宋体" w:hAnsi="宋体" w:eastAsia="宋体" w:cs="宋体"/>
          <w:sz w:val="28"/>
          <w:szCs w:val="28"/>
        </w:rPr>
        <w:t xml:space="preserve"> </w:t>
      </w:r>
      <w:r>
        <w:rPr>
          <w:rFonts w:ascii="宋体" w:hAnsi="宋体" w:eastAsia="宋体" w:cs="宋体"/>
          <w:spacing w:val="-2"/>
          <w:sz w:val="28"/>
          <w:szCs w:val="28"/>
        </w:rPr>
        <w:t>应急物资进行管理。</w:t>
      </w:r>
    </w:p>
    <w:p w14:paraId="4AE5511F">
      <w:pPr>
        <w:spacing w:before="212" w:line="331" w:lineRule="auto"/>
        <w:ind w:left="22" w:right="97" w:firstLine="569"/>
        <w:rPr>
          <w:rFonts w:ascii="宋体" w:hAnsi="宋体" w:eastAsia="宋体" w:cs="宋体"/>
          <w:sz w:val="28"/>
          <w:szCs w:val="28"/>
        </w:rPr>
      </w:pPr>
      <w:r>
        <w:rPr>
          <w:rFonts w:ascii="宋体" w:hAnsi="宋体" w:eastAsia="宋体" w:cs="宋体"/>
          <w:spacing w:val="1"/>
          <w:sz w:val="28"/>
          <w:szCs w:val="28"/>
        </w:rPr>
        <w:t>（</w:t>
      </w:r>
      <w:r>
        <w:rPr>
          <w:rFonts w:ascii="Times New Roman" w:hAnsi="Times New Roman" w:eastAsia="Times New Roman" w:cs="Times New Roman"/>
          <w:spacing w:val="1"/>
          <w:sz w:val="28"/>
          <w:szCs w:val="28"/>
        </w:rPr>
        <w:t>8</w:t>
      </w:r>
      <w:r>
        <w:rPr>
          <w:rFonts w:ascii="宋体" w:hAnsi="宋体" w:eastAsia="宋体" w:cs="宋体"/>
          <w:spacing w:val="1"/>
          <w:sz w:val="28"/>
          <w:szCs w:val="28"/>
        </w:rPr>
        <w:t>）消防及火灾报系统：停车场内的满载运输车辆停车区应设</w:t>
      </w:r>
      <w:r>
        <w:rPr>
          <w:rFonts w:ascii="宋体" w:hAnsi="宋体" w:eastAsia="宋体" w:cs="宋体"/>
          <w:sz w:val="28"/>
          <w:szCs w:val="28"/>
        </w:rPr>
        <w:t xml:space="preserve"> </w:t>
      </w:r>
      <w:r>
        <w:rPr>
          <w:rFonts w:ascii="宋体" w:hAnsi="宋体" w:eastAsia="宋体" w:cs="宋体"/>
          <w:spacing w:val="-4"/>
          <w:sz w:val="28"/>
          <w:szCs w:val="28"/>
        </w:rPr>
        <w:t>置若干数量的烟感、可燃气体、火灾报警器等，分布在满载运输车停</w:t>
      </w:r>
      <w:r>
        <w:rPr>
          <w:rFonts w:ascii="宋体" w:hAnsi="宋体" w:eastAsia="宋体" w:cs="宋体"/>
          <w:spacing w:val="14"/>
          <w:sz w:val="28"/>
          <w:szCs w:val="28"/>
        </w:rPr>
        <w:t xml:space="preserve"> </w:t>
      </w:r>
      <w:r>
        <w:rPr>
          <w:rFonts w:ascii="宋体" w:hAnsi="宋体" w:eastAsia="宋体" w:cs="宋体"/>
          <w:spacing w:val="-4"/>
          <w:sz w:val="28"/>
          <w:szCs w:val="28"/>
        </w:rPr>
        <w:t>车区域四周。全厂区配备必要的消防设施，包括泡沫灭火器、消防水</w:t>
      </w:r>
      <w:r>
        <w:rPr>
          <w:rFonts w:ascii="宋体" w:hAnsi="宋体" w:eastAsia="宋体" w:cs="宋体"/>
          <w:spacing w:val="16"/>
          <w:sz w:val="28"/>
          <w:szCs w:val="28"/>
        </w:rPr>
        <w:t xml:space="preserve"> </w:t>
      </w:r>
      <w:r>
        <w:rPr>
          <w:rFonts w:ascii="宋体" w:hAnsi="宋体" w:eastAsia="宋体" w:cs="宋体"/>
          <w:spacing w:val="-4"/>
          <w:sz w:val="28"/>
          <w:szCs w:val="28"/>
        </w:rPr>
        <w:t>栓、泡沫消火栓、干粉灭火器、消防泵等。在辅助用房内设置一台备</w:t>
      </w:r>
      <w:r>
        <w:rPr>
          <w:rFonts w:ascii="宋体" w:hAnsi="宋体" w:eastAsia="宋体" w:cs="宋体"/>
          <w:spacing w:val="16"/>
          <w:sz w:val="28"/>
          <w:szCs w:val="28"/>
        </w:rPr>
        <w:t xml:space="preserve"> </w:t>
      </w:r>
      <w:r>
        <w:rPr>
          <w:rFonts w:ascii="宋体" w:hAnsi="宋体" w:eastAsia="宋体" w:cs="宋体"/>
          <w:spacing w:val="-1"/>
          <w:sz w:val="28"/>
          <w:szCs w:val="28"/>
        </w:rPr>
        <w:t>用的柴油发电机。</w:t>
      </w:r>
    </w:p>
    <w:p w14:paraId="58814DF9">
      <w:pPr>
        <w:spacing w:before="215" w:line="359" w:lineRule="auto"/>
        <w:ind w:left="26" w:firstLine="559"/>
        <w:jc w:val="both"/>
        <w:rPr>
          <w:rFonts w:ascii="宋体" w:hAnsi="宋体" w:eastAsia="宋体" w:cs="宋体"/>
          <w:sz w:val="28"/>
          <w:szCs w:val="28"/>
        </w:rPr>
      </w:pPr>
      <w:r>
        <w:rPr>
          <w:rFonts w:ascii="宋体" w:hAnsi="宋体" w:eastAsia="宋体" w:cs="宋体"/>
          <w:spacing w:val="-4"/>
          <w:sz w:val="28"/>
          <w:szCs w:val="28"/>
        </w:rPr>
        <w:t>停车区消防采用以水消防、泡沫灭火为主，干粉灭火次之，其它</w:t>
      </w:r>
      <w:r>
        <w:rPr>
          <w:rFonts w:ascii="宋体" w:hAnsi="宋体" w:eastAsia="宋体" w:cs="宋体"/>
          <w:spacing w:val="6"/>
          <w:sz w:val="28"/>
          <w:szCs w:val="28"/>
        </w:rPr>
        <w:t xml:space="preserve"> </w:t>
      </w:r>
      <w:r>
        <w:rPr>
          <w:rFonts w:ascii="宋体" w:hAnsi="宋体" w:eastAsia="宋体" w:cs="宋体"/>
          <w:spacing w:val="-4"/>
          <w:sz w:val="28"/>
          <w:szCs w:val="28"/>
        </w:rPr>
        <w:t>消防为辅的消防方案。消防给水管网按环状布置，管网上设置室外地</w:t>
      </w:r>
      <w:r>
        <w:rPr>
          <w:rFonts w:ascii="宋体" w:hAnsi="宋体" w:eastAsia="宋体" w:cs="宋体"/>
          <w:spacing w:val="13"/>
          <w:sz w:val="28"/>
          <w:szCs w:val="28"/>
        </w:rPr>
        <w:t xml:space="preserve"> </w:t>
      </w:r>
      <w:r>
        <w:rPr>
          <w:rFonts w:ascii="宋体" w:hAnsi="宋体" w:eastAsia="宋体" w:cs="宋体"/>
          <w:spacing w:val="-4"/>
          <w:sz w:val="28"/>
          <w:szCs w:val="28"/>
        </w:rPr>
        <w:t>上式消火栓，消火栓旁设置钢制消防箱。根据《消防给水及消火栓系</w:t>
      </w:r>
      <w:r>
        <w:rPr>
          <w:rFonts w:ascii="宋体" w:hAnsi="宋体" w:eastAsia="宋体" w:cs="宋体"/>
          <w:spacing w:val="13"/>
          <w:sz w:val="28"/>
          <w:szCs w:val="28"/>
        </w:rPr>
        <w:t xml:space="preserve"> </w:t>
      </w:r>
      <w:r>
        <w:rPr>
          <w:rFonts w:ascii="宋体" w:hAnsi="宋体" w:eastAsia="宋体" w:cs="宋体"/>
          <w:spacing w:val="-12"/>
          <w:sz w:val="28"/>
          <w:szCs w:val="28"/>
        </w:rPr>
        <w:t>统技术规范》（</w:t>
      </w:r>
      <w:r>
        <w:rPr>
          <w:rFonts w:ascii="Times New Roman" w:hAnsi="Times New Roman" w:eastAsia="Times New Roman" w:cs="Times New Roman"/>
          <w:spacing w:val="-12"/>
          <w:sz w:val="28"/>
          <w:szCs w:val="28"/>
        </w:rPr>
        <w:t>GB50974-2014</w:t>
      </w:r>
      <w:r>
        <w:rPr>
          <w:rFonts w:ascii="宋体" w:hAnsi="宋体" w:eastAsia="宋体" w:cs="宋体"/>
          <w:spacing w:val="-12"/>
          <w:sz w:val="28"/>
          <w:szCs w:val="28"/>
        </w:rPr>
        <w:t>）和《建筑设计防火规范》</w:t>
      </w:r>
      <w:r>
        <w:rPr>
          <w:rFonts w:ascii="Times New Roman" w:hAnsi="Times New Roman" w:eastAsia="Times New Roman" w:cs="Times New Roman"/>
          <w:spacing w:val="-12"/>
          <w:sz w:val="28"/>
          <w:szCs w:val="28"/>
        </w:rPr>
        <w:t>GB50016-2014</w:t>
      </w:r>
      <w:r>
        <w:rPr>
          <w:rFonts w:ascii="Times New Roman" w:hAnsi="Times New Roman" w:eastAsia="Times New Roman" w:cs="Times New Roman"/>
          <w:spacing w:val="3"/>
          <w:sz w:val="28"/>
          <w:szCs w:val="28"/>
        </w:rPr>
        <w:t xml:space="preserve">  </w:t>
      </w:r>
      <w:r>
        <w:rPr>
          <w:rFonts w:ascii="宋体" w:hAnsi="宋体" w:eastAsia="宋体" w:cs="宋体"/>
          <w:spacing w:val="-2"/>
          <w:sz w:val="28"/>
          <w:szCs w:val="28"/>
        </w:rPr>
        <w:t>（</w:t>
      </w:r>
      <w:r>
        <w:rPr>
          <w:rFonts w:ascii="Times New Roman" w:hAnsi="Times New Roman" w:eastAsia="Times New Roman" w:cs="Times New Roman"/>
          <w:spacing w:val="-2"/>
          <w:sz w:val="28"/>
          <w:szCs w:val="28"/>
        </w:rPr>
        <w:t xml:space="preserve">2018 </w:t>
      </w:r>
      <w:r>
        <w:rPr>
          <w:rFonts w:ascii="宋体" w:hAnsi="宋体" w:eastAsia="宋体" w:cs="宋体"/>
          <w:spacing w:val="-2"/>
          <w:sz w:val="28"/>
          <w:szCs w:val="28"/>
        </w:rPr>
        <w:t>年版）的规定，本项目消防给水</w:t>
      </w:r>
      <w:r>
        <w:rPr>
          <w:rFonts w:ascii="宋体" w:hAnsi="宋体" w:eastAsia="宋体" w:cs="宋体"/>
          <w:spacing w:val="-3"/>
          <w:sz w:val="28"/>
          <w:szCs w:val="28"/>
        </w:rPr>
        <w:t>采用临时高压消防给水系统，</w:t>
      </w:r>
      <w:r>
        <w:rPr>
          <w:rFonts w:ascii="宋体" w:hAnsi="宋体" w:eastAsia="宋体" w:cs="宋体"/>
          <w:sz w:val="28"/>
          <w:szCs w:val="28"/>
        </w:rPr>
        <w:t xml:space="preserve"> </w:t>
      </w:r>
      <w:r>
        <w:rPr>
          <w:rFonts w:ascii="宋体" w:hAnsi="宋体" w:eastAsia="宋体" w:cs="宋体"/>
          <w:spacing w:val="-4"/>
          <w:sz w:val="28"/>
          <w:szCs w:val="28"/>
        </w:rPr>
        <w:t>停车场内同一时间内的火灾次数按一次考虑。本项目消防用水量最大</w:t>
      </w:r>
      <w:r>
        <w:rPr>
          <w:rFonts w:ascii="宋体" w:hAnsi="宋体" w:eastAsia="宋体" w:cs="宋体"/>
          <w:spacing w:val="13"/>
          <w:sz w:val="28"/>
          <w:szCs w:val="28"/>
        </w:rPr>
        <w:t xml:space="preserve"> </w:t>
      </w:r>
      <w:r>
        <w:rPr>
          <w:rFonts w:ascii="宋体" w:hAnsi="宋体" w:eastAsia="宋体" w:cs="宋体"/>
          <w:spacing w:val="-9"/>
          <w:sz w:val="28"/>
          <w:szCs w:val="28"/>
        </w:rPr>
        <w:t>处为重载车辆停车场，场区设有消防水池及消防</w:t>
      </w:r>
      <w:r>
        <w:rPr>
          <w:rFonts w:ascii="宋体" w:hAnsi="宋体" w:eastAsia="宋体" w:cs="宋体"/>
          <w:spacing w:val="-10"/>
          <w:sz w:val="28"/>
          <w:szCs w:val="28"/>
        </w:rPr>
        <w:t>水泵，满足消防要求。</w:t>
      </w:r>
    </w:p>
    <w:p w14:paraId="57C834F5">
      <w:pPr>
        <w:spacing w:before="1" w:line="219" w:lineRule="auto"/>
        <w:ind w:left="23"/>
        <w:outlineLvl w:val="1"/>
        <w:rPr>
          <w:rFonts w:ascii="宋体" w:hAnsi="宋体" w:eastAsia="宋体" w:cs="宋体"/>
          <w:sz w:val="28"/>
          <w:szCs w:val="28"/>
        </w:rPr>
      </w:pPr>
      <w:bookmarkStart w:id="29" w:name="bookmark30"/>
      <w:bookmarkEnd w:id="29"/>
      <w:r>
        <w:rPr>
          <w:rFonts w:ascii="Times New Roman" w:hAnsi="Times New Roman" w:eastAsia="Times New Roman" w:cs="Times New Roman"/>
          <w:b/>
          <w:bCs/>
          <w:spacing w:val="-3"/>
          <w:sz w:val="28"/>
          <w:szCs w:val="28"/>
        </w:rPr>
        <w:t xml:space="preserve">8.7 </w:t>
      </w:r>
      <w:r>
        <w:rPr>
          <w:rFonts w:ascii="宋体" w:hAnsi="宋体" w:eastAsia="宋体" w:cs="宋体"/>
          <w:b/>
          <w:bCs/>
          <w:spacing w:val="-3"/>
          <w:sz w:val="28"/>
          <w:szCs w:val="28"/>
        </w:rPr>
        <w:t>废水事故排放防范及应急措施</w:t>
      </w:r>
    </w:p>
    <w:p w14:paraId="34E9F565">
      <w:pPr>
        <w:spacing w:before="210"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）总体要求</w:t>
      </w:r>
    </w:p>
    <w:p w14:paraId="1ACFBB5C">
      <w:pPr>
        <w:spacing w:before="210" w:line="360" w:lineRule="auto"/>
        <w:ind w:left="25" w:right="67" w:firstLine="562"/>
        <w:rPr>
          <w:rFonts w:ascii="宋体" w:hAnsi="宋体" w:eastAsia="宋体" w:cs="宋体"/>
          <w:sz w:val="28"/>
          <w:szCs w:val="28"/>
        </w:rPr>
      </w:pPr>
      <w:r>
        <w:rPr>
          <w:rFonts w:ascii="宋体" w:hAnsi="宋体" w:eastAsia="宋体" w:cs="宋体"/>
          <w:spacing w:val="-4"/>
          <w:sz w:val="28"/>
          <w:szCs w:val="28"/>
        </w:rPr>
        <w:t>厂区内设置事故水池，用于事故状态下危险化学品的收集。雨水</w:t>
      </w:r>
      <w:r>
        <w:rPr>
          <w:rFonts w:ascii="宋体" w:hAnsi="宋体" w:eastAsia="宋体" w:cs="宋体"/>
          <w:spacing w:val="4"/>
          <w:sz w:val="28"/>
          <w:szCs w:val="28"/>
        </w:rPr>
        <w:t xml:space="preserve"> </w:t>
      </w:r>
      <w:r>
        <w:rPr>
          <w:rFonts w:ascii="宋体" w:hAnsi="宋体" w:eastAsia="宋体" w:cs="宋体"/>
          <w:spacing w:val="-4"/>
          <w:sz w:val="28"/>
          <w:szCs w:val="28"/>
        </w:rPr>
        <w:t>和污水接管口分别设置截流阀，发生泄露、火灾或爆炸事故时，泄露</w:t>
      </w:r>
      <w:r>
        <w:rPr>
          <w:rFonts w:ascii="宋体" w:hAnsi="宋体" w:eastAsia="宋体" w:cs="宋体"/>
          <w:spacing w:val="14"/>
          <w:sz w:val="28"/>
          <w:szCs w:val="28"/>
        </w:rPr>
        <w:t xml:space="preserve"> </w:t>
      </w:r>
      <w:r>
        <w:rPr>
          <w:rFonts w:ascii="宋体" w:hAnsi="宋体" w:eastAsia="宋体" w:cs="宋体"/>
          <w:spacing w:val="-4"/>
          <w:sz w:val="28"/>
          <w:szCs w:val="28"/>
        </w:rPr>
        <w:t>物、事故伴生、次生消防水流入收集系统，紧急关闭截流阀，可将泄</w:t>
      </w:r>
      <w:r>
        <w:rPr>
          <w:rFonts w:ascii="宋体" w:hAnsi="宋体" w:eastAsia="宋体" w:cs="宋体"/>
          <w:spacing w:val="14"/>
          <w:sz w:val="28"/>
          <w:szCs w:val="28"/>
        </w:rPr>
        <w:t xml:space="preserve"> </w:t>
      </w:r>
      <w:r>
        <w:rPr>
          <w:rFonts w:ascii="宋体" w:hAnsi="宋体" w:eastAsia="宋体" w:cs="宋体"/>
          <w:spacing w:val="-3"/>
          <w:sz w:val="28"/>
          <w:szCs w:val="28"/>
        </w:rPr>
        <w:t>露物、消防水截流在厂区内，若厂内污水处理装置不能处理泄露物，</w:t>
      </w:r>
    </w:p>
    <w:p w14:paraId="16A29741">
      <w:pPr>
        <w:spacing w:line="360" w:lineRule="auto"/>
        <w:rPr>
          <w:rFonts w:ascii="宋体" w:hAnsi="宋体" w:eastAsia="宋体" w:cs="宋体"/>
          <w:sz w:val="28"/>
          <w:szCs w:val="28"/>
        </w:rPr>
        <w:sectPr>
          <w:footerReference r:id="rId127" w:type="default"/>
          <w:pgSz w:w="11906" w:h="16839"/>
          <w:pgMar w:top="400" w:right="1701" w:bottom="1259" w:left="1785" w:header="0" w:footer="1097" w:gutter="0"/>
          <w:cols w:space="720" w:num="1"/>
        </w:sectPr>
      </w:pPr>
    </w:p>
    <w:p w14:paraId="3894E0F7">
      <w:pPr>
        <w:pStyle w:val="2"/>
        <w:spacing w:line="245" w:lineRule="auto"/>
      </w:pPr>
    </w:p>
    <w:p w14:paraId="69AA755A">
      <w:pPr>
        <w:pStyle w:val="2"/>
        <w:spacing w:line="246" w:lineRule="auto"/>
      </w:pPr>
    </w:p>
    <w:p w14:paraId="205C7598">
      <w:pPr>
        <w:pStyle w:val="2"/>
        <w:spacing w:line="246" w:lineRule="auto"/>
      </w:pPr>
    </w:p>
    <w:p w14:paraId="306A7318">
      <w:pPr>
        <w:pStyle w:val="2"/>
        <w:spacing w:line="246" w:lineRule="auto"/>
      </w:pPr>
    </w:p>
    <w:p w14:paraId="0AD3AB4B">
      <w:pPr>
        <w:spacing w:before="91" w:line="359" w:lineRule="auto"/>
        <w:ind w:left="28" w:right="120" w:firstLine="12"/>
        <w:rPr>
          <w:rFonts w:ascii="宋体" w:hAnsi="宋体" w:eastAsia="宋体" w:cs="宋体"/>
          <w:sz w:val="28"/>
          <w:szCs w:val="28"/>
        </w:rPr>
      </w:pPr>
      <w:r>
        <w:rPr>
          <w:rFonts w:ascii="宋体" w:hAnsi="宋体" w:eastAsia="宋体" w:cs="宋体"/>
          <w:spacing w:val="-4"/>
          <w:sz w:val="28"/>
          <w:szCs w:val="28"/>
        </w:rPr>
        <w:t>需排入污水</w:t>
      </w:r>
      <w:r>
        <w:rPr>
          <w:rFonts w:hint="eastAsia" w:ascii="宋体" w:hAnsi="宋体" w:eastAsia="宋体" w:cs="宋体"/>
          <w:spacing w:val="-4"/>
          <w:sz w:val="28"/>
          <w:szCs w:val="28"/>
          <w:lang w:val="en-US" w:eastAsia="zh-CN"/>
        </w:rPr>
        <w:t>处理</w:t>
      </w:r>
      <w:r>
        <w:rPr>
          <w:rFonts w:ascii="宋体" w:hAnsi="宋体" w:eastAsia="宋体" w:cs="宋体"/>
          <w:spacing w:val="-4"/>
          <w:sz w:val="28"/>
          <w:szCs w:val="28"/>
        </w:rPr>
        <w:t>厂应急处置系统，杜绝以任何形式直接进入地表水和地下</w:t>
      </w:r>
      <w:r>
        <w:rPr>
          <w:rFonts w:ascii="宋体" w:hAnsi="宋体" w:eastAsia="宋体" w:cs="宋体"/>
          <w:sz w:val="28"/>
          <w:szCs w:val="28"/>
        </w:rPr>
        <w:t xml:space="preserve"> </w:t>
      </w:r>
      <w:r>
        <w:rPr>
          <w:rFonts w:ascii="宋体" w:hAnsi="宋体" w:eastAsia="宋体" w:cs="宋体"/>
          <w:spacing w:val="-4"/>
          <w:sz w:val="28"/>
          <w:szCs w:val="28"/>
        </w:rPr>
        <w:t>水环境。</w:t>
      </w:r>
    </w:p>
    <w:p w14:paraId="10E0CB03">
      <w:pPr>
        <w:spacing w:before="1" w:line="219"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）事故水池设计</w:t>
      </w:r>
    </w:p>
    <w:p w14:paraId="241229EE">
      <w:pPr>
        <w:spacing w:before="212" w:line="359" w:lineRule="auto"/>
        <w:ind w:left="25" w:firstLine="561"/>
        <w:rPr>
          <w:rFonts w:ascii="宋体" w:hAnsi="宋体" w:eastAsia="宋体" w:cs="宋体"/>
          <w:sz w:val="28"/>
          <w:szCs w:val="28"/>
        </w:rPr>
      </w:pPr>
      <w:r>
        <w:rPr>
          <w:rFonts w:ascii="宋体" w:hAnsi="宋体" w:eastAsia="宋体" w:cs="宋体"/>
          <w:spacing w:val="-10"/>
          <w:sz w:val="28"/>
          <w:szCs w:val="28"/>
        </w:rPr>
        <w:t>依据《化工建设项目环境保护工程设计标准》（</w:t>
      </w:r>
      <w:r>
        <w:rPr>
          <w:rFonts w:ascii="Times New Roman" w:hAnsi="Times New Roman" w:eastAsia="Times New Roman" w:cs="Times New Roman"/>
          <w:spacing w:val="-10"/>
          <w:sz w:val="28"/>
          <w:szCs w:val="28"/>
        </w:rPr>
        <w:t>GB/T 50483-2019</w:t>
      </w:r>
      <w:r>
        <w:rPr>
          <w:rFonts w:ascii="宋体" w:hAnsi="宋体" w:eastAsia="宋体" w:cs="宋体"/>
          <w:spacing w:val="-10"/>
          <w:sz w:val="28"/>
          <w:szCs w:val="28"/>
        </w:rPr>
        <w:t>）</w:t>
      </w:r>
      <w:r>
        <w:rPr>
          <w:rFonts w:ascii="宋体" w:hAnsi="宋体" w:eastAsia="宋体" w:cs="宋体"/>
          <w:spacing w:val="2"/>
          <w:sz w:val="28"/>
          <w:szCs w:val="28"/>
        </w:rPr>
        <w:t xml:space="preserve"> </w:t>
      </w:r>
      <w:r>
        <w:rPr>
          <w:rFonts w:ascii="宋体" w:hAnsi="宋体" w:eastAsia="宋体" w:cs="宋体"/>
          <w:spacing w:val="-4"/>
          <w:sz w:val="28"/>
          <w:szCs w:val="28"/>
        </w:rPr>
        <w:t>第</w:t>
      </w:r>
      <w:r>
        <w:rPr>
          <w:rFonts w:ascii="宋体" w:hAnsi="宋体" w:eastAsia="宋体" w:cs="宋体"/>
          <w:spacing w:val="-57"/>
          <w:sz w:val="28"/>
          <w:szCs w:val="28"/>
        </w:rPr>
        <w:t xml:space="preserve"> </w:t>
      </w:r>
      <w:r>
        <w:rPr>
          <w:rFonts w:ascii="Times New Roman" w:hAnsi="Times New Roman" w:eastAsia="Times New Roman" w:cs="Times New Roman"/>
          <w:spacing w:val="-4"/>
          <w:sz w:val="28"/>
          <w:szCs w:val="28"/>
        </w:rPr>
        <w:t xml:space="preserve">6.6.3 </w:t>
      </w:r>
      <w:r>
        <w:rPr>
          <w:rFonts w:ascii="宋体" w:hAnsi="宋体" w:eastAsia="宋体" w:cs="宋体"/>
          <w:spacing w:val="-4"/>
          <w:sz w:val="28"/>
          <w:szCs w:val="28"/>
        </w:rPr>
        <w:t>条和《石油化工企业设计防火规范》（</w:t>
      </w:r>
      <w:r>
        <w:rPr>
          <w:rFonts w:ascii="Times New Roman" w:hAnsi="Times New Roman" w:eastAsia="Times New Roman" w:cs="Times New Roman"/>
          <w:spacing w:val="-4"/>
          <w:sz w:val="28"/>
          <w:szCs w:val="28"/>
        </w:rPr>
        <w:t>GB50160-20</w:t>
      </w:r>
      <w:r>
        <w:rPr>
          <w:rFonts w:ascii="Times New Roman" w:hAnsi="Times New Roman" w:eastAsia="Times New Roman" w:cs="Times New Roman"/>
          <w:spacing w:val="-5"/>
          <w:sz w:val="28"/>
          <w:szCs w:val="28"/>
        </w:rPr>
        <w:t>08</w:t>
      </w:r>
      <w:r>
        <w:rPr>
          <w:rFonts w:ascii="宋体" w:hAnsi="宋体" w:eastAsia="宋体" w:cs="宋体"/>
          <w:spacing w:val="-78"/>
          <w:sz w:val="28"/>
          <w:szCs w:val="28"/>
        </w:rPr>
        <w:t>）（</w:t>
      </w:r>
      <w:r>
        <w:rPr>
          <w:rFonts w:ascii="Times New Roman" w:hAnsi="Times New Roman" w:eastAsia="Times New Roman" w:cs="Times New Roman"/>
          <w:spacing w:val="-5"/>
          <w:sz w:val="28"/>
          <w:szCs w:val="28"/>
        </w:rPr>
        <w:t>2018</w:t>
      </w:r>
      <w:r>
        <w:rPr>
          <w:rFonts w:ascii="Times New Roman" w:hAnsi="Times New Roman" w:eastAsia="Times New Roman" w:cs="Times New Roman"/>
          <w:sz w:val="28"/>
          <w:szCs w:val="28"/>
        </w:rPr>
        <w:t xml:space="preserve">   </w:t>
      </w:r>
      <w:r>
        <w:rPr>
          <w:rFonts w:ascii="宋体" w:hAnsi="宋体" w:eastAsia="宋体" w:cs="宋体"/>
          <w:spacing w:val="-4"/>
          <w:sz w:val="28"/>
          <w:szCs w:val="28"/>
        </w:rPr>
        <w:t>年版）第</w:t>
      </w:r>
      <w:r>
        <w:rPr>
          <w:rFonts w:ascii="宋体" w:hAnsi="宋体" w:eastAsia="宋体" w:cs="宋体"/>
          <w:spacing w:val="-62"/>
          <w:sz w:val="28"/>
          <w:szCs w:val="28"/>
        </w:rPr>
        <w:t xml:space="preserve"> </w:t>
      </w:r>
      <w:r>
        <w:rPr>
          <w:rFonts w:ascii="Times New Roman" w:hAnsi="Times New Roman" w:eastAsia="Times New Roman" w:cs="Times New Roman"/>
          <w:spacing w:val="-4"/>
          <w:sz w:val="28"/>
          <w:szCs w:val="28"/>
        </w:rPr>
        <w:t>7.3.</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4"/>
          <w:sz w:val="28"/>
          <w:szCs w:val="28"/>
        </w:rPr>
        <w:t xml:space="preserve">10 </w:t>
      </w:r>
      <w:r>
        <w:rPr>
          <w:rFonts w:ascii="宋体" w:hAnsi="宋体" w:eastAsia="宋体" w:cs="宋体"/>
          <w:spacing w:val="-4"/>
          <w:sz w:val="28"/>
          <w:szCs w:val="28"/>
        </w:rPr>
        <w:t>条要求，本项目设置事故水池</w:t>
      </w:r>
      <w:r>
        <w:rPr>
          <w:rFonts w:ascii="宋体" w:hAnsi="宋体" w:eastAsia="宋体" w:cs="宋体"/>
          <w:spacing w:val="-5"/>
          <w:sz w:val="28"/>
          <w:szCs w:val="28"/>
        </w:rPr>
        <w:t>。事故水池容积的计算</w:t>
      </w:r>
      <w:r>
        <w:rPr>
          <w:rFonts w:ascii="宋体" w:hAnsi="宋体" w:eastAsia="宋体" w:cs="宋体"/>
          <w:sz w:val="28"/>
          <w:szCs w:val="28"/>
        </w:rPr>
        <w:t xml:space="preserve">  </w:t>
      </w:r>
      <w:r>
        <w:rPr>
          <w:rFonts w:ascii="宋体" w:hAnsi="宋体" w:eastAsia="宋体" w:cs="宋体"/>
          <w:spacing w:val="-4"/>
          <w:sz w:val="28"/>
          <w:szCs w:val="28"/>
        </w:rPr>
        <w:t>需要综合考虑可能收集的事故废水、初期雨水等水量，以确保在发生</w:t>
      </w:r>
      <w:r>
        <w:rPr>
          <w:rFonts w:ascii="宋体" w:hAnsi="宋体" w:eastAsia="宋体" w:cs="宋体"/>
          <w:spacing w:val="7"/>
          <w:sz w:val="28"/>
          <w:szCs w:val="28"/>
        </w:rPr>
        <w:t xml:space="preserve">  </w:t>
      </w:r>
      <w:r>
        <w:rPr>
          <w:rFonts w:ascii="宋体" w:hAnsi="宋体" w:eastAsia="宋体" w:cs="宋体"/>
          <w:spacing w:val="-1"/>
          <w:sz w:val="28"/>
          <w:szCs w:val="28"/>
        </w:rPr>
        <w:t>事故时能够有效容纳各类液体，避免其外排造成环境污染。</w:t>
      </w:r>
    </w:p>
    <w:p w14:paraId="17F1C9E8">
      <w:pPr>
        <w:spacing w:before="2" w:line="289" w:lineRule="auto"/>
        <w:ind w:left="25" w:right="120" w:firstLine="558"/>
        <w:rPr>
          <w:rFonts w:ascii="宋体" w:hAnsi="宋体" w:eastAsia="宋体" w:cs="宋体"/>
          <w:sz w:val="28"/>
          <w:szCs w:val="28"/>
        </w:rPr>
      </w:pPr>
      <w:r>
        <w:rPr>
          <w:rFonts w:ascii="宋体" w:hAnsi="宋体" w:eastAsia="宋体" w:cs="宋体"/>
          <w:sz w:val="28"/>
          <w:szCs w:val="28"/>
        </w:rPr>
        <w:t>①事故废水</w:t>
      </w:r>
      <w:r>
        <w:rPr>
          <w:rFonts w:ascii="宋体" w:hAnsi="宋体" w:eastAsia="宋体" w:cs="宋体"/>
          <w:spacing w:val="-61"/>
          <w:sz w:val="28"/>
          <w:szCs w:val="28"/>
        </w:rPr>
        <w:t xml:space="preserve"> </w:t>
      </w:r>
      <w:r>
        <w:rPr>
          <w:rFonts w:ascii="Times New Roman" w:hAnsi="Times New Roman" w:eastAsia="Times New Roman" w:cs="Times New Roman"/>
          <w:sz w:val="28"/>
          <w:szCs w:val="28"/>
        </w:rPr>
        <w:t>Q1</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，事故废水设定为收集系统范围内发生事故的一 </w:t>
      </w:r>
      <w:r>
        <w:rPr>
          <w:rFonts w:ascii="宋体" w:hAnsi="宋体" w:eastAsia="宋体" w:cs="宋体"/>
          <w:spacing w:val="-1"/>
          <w:sz w:val="28"/>
          <w:szCs w:val="28"/>
        </w:rPr>
        <w:t>个罐组或一套装置的物料量，以最大物料量计，取</w:t>
      </w:r>
      <w:r>
        <w:rPr>
          <w:rFonts w:ascii="宋体" w:hAnsi="宋体" w:eastAsia="宋体" w:cs="宋体"/>
          <w:spacing w:val="-56"/>
          <w:sz w:val="28"/>
          <w:szCs w:val="28"/>
        </w:rPr>
        <w:t xml:space="preserve"> </w:t>
      </w:r>
      <w:r>
        <w:rPr>
          <w:rFonts w:ascii="Times New Roman" w:hAnsi="Times New Roman" w:eastAsia="Times New Roman" w:cs="Times New Roman"/>
          <w:spacing w:val="-1"/>
          <w:sz w:val="28"/>
          <w:szCs w:val="28"/>
        </w:rPr>
        <w:t>30m</w:t>
      </w:r>
      <w:r>
        <w:rPr>
          <w:rFonts w:ascii="Times New Roman" w:hAnsi="Times New Roman" w:eastAsia="Times New Roman" w:cs="Times New Roman"/>
          <w:spacing w:val="-1"/>
          <w:position w:val="9"/>
          <w:sz w:val="18"/>
          <w:szCs w:val="18"/>
        </w:rPr>
        <w:t>3</w:t>
      </w:r>
      <w:r>
        <w:rPr>
          <w:rFonts w:ascii="宋体" w:hAnsi="宋体" w:eastAsia="宋体" w:cs="宋体"/>
          <w:spacing w:val="-1"/>
          <w:sz w:val="28"/>
          <w:szCs w:val="28"/>
        </w:rPr>
        <w:t>。</w:t>
      </w:r>
    </w:p>
    <w:p w14:paraId="7A567661">
      <w:pPr>
        <w:spacing w:before="209" w:line="290" w:lineRule="auto"/>
        <w:ind w:left="56" w:right="120" w:firstLine="525"/>
        <w:rPr>
          <w:rFonts w:ascii="宋体" w:hAnsi="宋体" w:eastAsia="宋体" w:cs="宋体"/>
          <w:sz w:val="28"/>
          <w:szCs w:val="28"/>
        </w:rPr>
      </w:pPr>
      <w:r>
        <w:rPr>
          <w:rFonts w:ascii="宋体" w:hAnsi="宋体" w:eastAsia="宋体" w:cs="宋体"/>
          <w:sz w:val="28"/>
          <w:szCs w:val="28"/>
        </w:rPr>
        <w:t>②初期雨水</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Q2</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，考虑发生事故时可能进入收集系统的降雨量可 </w:t>
      </w:r>
      <w:r>
        <w:rPr>
          <w:rFonts w:ascii="宋体" w:hAnsi="宋体" w:eastAsia="宋体" w:cs="宋体"/>
          <w:spacing w:val="-3"/>
          <w:sz w:val="28"/>
          <w:szCs w:val="28"/>
        </w:rPr>
        <w:t>以被初期雨水池收集，初期雨水量不计入。</w:t>
      </w:r>
    </w:p>
    <w:p w14:paraId="21093A71">
      <w:pPr>
        <w:spacing w:before="211" w:line="289" w:lineRule="auto"/>
        <w:ind w:left="23" w:right="120" w:firstLine="558"/>
        <w:rPr>
          <w:rFonts w:ascii="宋体" w:hAnsi="宋体" w:eastAsia="宋体" w:cs="宋体"/>
          <w:sz w:val="28"/>
          <w:szCs w:val="28"/>
        </w:rPr>
      </w:pPr>
      <w:r>
        <w:rPr>
          <w:rFonts w:ascii="宋体" w:hAnsi="宋体" w:eastAsia="宋体" w:cs="宋体"/>
          <w:sz w:val="28"/>
          <w:szCs w:val="28"/>
        </w:rPr>
        <w:t>③消防废水</w:t>
      </w:r>
      <w:r>
        <w:rPr>
          <w:rFonts w:ascii="宋体" w:hAnsi="宋体" w:eastAsia="宋体" w:cs="宋体"/>
          <w:spacing w:val="-60"/>
          <w:sz w:val="28"/>
          <w:szCs w:val="28"/>
        </w:rPr>
        <w:t xml:space="preserve"> </w:t>
      </w:r>
      <w:r>
        <w:rPr>
          <w:rFonts w:ascii="Times New Roman" w:hAnsi="Times New Roman" w:eastAsia="Times New Roman" w:cs="Times New Roman"/>
          <w:sz w:val="28"/>
          <w:szCs w:val="28"/>
        </w:rPr>
        <w:t>Q3</w:t>
      </w:r>
      <w:r>
        <w:rPr>
          <w:rFonts w:ascii="Times New Roman" w:hAnsi="Times New Roman" w:eastAsia="Times New Roman" w:cs="Times New Roman"/>
          <w:spacing w:val="-35"/>
          <w:sz w:val="28"/>
          <w:szCs w:val="28"/>
        </w:rPr>
        <w:t xml:space="preserve"> </w:t>
      </w:r>
      <w:r>
        <w:rPr>
          <w:rFonts w:ascii="宋体" w:hAnsi="宋体" w:eastAsia="宋体" w:cs="宋体"/>
          <w:sz w:val="28"/>
          <w:szCs w:val="28"/>
        </w:rPr>
        <w:t xml:space="preserve">，根据前文公用工程给排水分析可知，一次消防 </w:t>
      </w:r>
      <w:r>
        <w:rPr>
          <w:rFonts w:ascii="宋体" w:hAnsi="宋体" w:eastAsia="宋体" w:cs="宋体"/>
          <w:spacing w:val="-2"/>
          <w:sz w:val="28"/>
          <w:szCs w:val="28"/>
        </w:rPr>
        <w:t>废水排放量为</w:t>
      </w:r>
      <w:r>
        <w:rPr>
          <w:rFonts w:ascii="宋体" w:hAnsi="宋体" w:eastAsia="宋体" w:cs="宋体"/>
          <w:spacing w:val="-54"/>
          <w:sz w:val="28"/>
          <w:szCs w:val="28"/>
        </w:rPr>
        <w:t xml:space="preserve"> </w:t>
      </w:r>
      <w:r>
        <w:rPr>
          <w:rFonts w:ascii="Times New Roman" w:hAnsi="Times New Roman" w:eastAsia="Times New Roman" w:cs="Times New Roman"/>
          <w:spacing w:val="-2"/>
          <w:sz w:val="28"/>
          <w:szCs w:val="28"/>
        </w:rPr>
        <w:t>388.8m</w:t>
      </w:r>
      <w:r>
        <w:rPr>
          <w:rFonts w:ascii="Times New Roman" w:hAnsi="Times New Roman" w:eastAsia="Times New Roman" w:cs="Times New Roman"/>
          <w:spacing w:val="-2"/>
          <w:position w:val="8"/>
          <w:sz w:val="18"/>
          <w:szCs w:val="18"/>
        </w:rPr>
        <w:t>3</w:t>
      </w:r>
      <w:r>
        <w:rPr>
          <w:rFonts w:ascii="宋体" w:hAnsi="宋体" w:eastAsia="宋体" w:cs="宋体"/>
          <w:spacing w:val="-2"/>
          <w:sz w:val="28"/>
          <w:szCs w:val="28"/>
        </w:rPr>
        <w:t>。</w:t>
      </w:r>
    </w:p>
    <w:p w14:paraId="45F36130">
      <w:pPr>
        <w:spacing w:before="213" w:line="218" w:lineRule="auto"/>
        <w:ind w:left="581"/>
        <w:rPr>
          <w:rFonts w:ascii="宋体" w:hAnsi="宋体" w:eastAsia="宋体" w:cs="宋体"/>
          <w:sz w:val="28"/>
          <w:szCs w:val="28"/>
        </w:rPr>
      </w:pPr>
      <w:r>
        <w:rPr>
          <w:rFonts w:ascii="宋体" w:hAnsi="宋体" w:eastAsia="宋体" w:cs="宋体"/>
          <w:spacing w:val="-2"/>
          <w:sz w:val="28"/>
          <w:szCs w:val="28"/>
        </w:rPr>
        <w:t>④发生事故可以转输到其他储存或处理设施的物料量</w:t>
      </w:r>
      <w:r>
        <w:rPr>
          <w:rFonts w:ascii="宋体" w:hAnsi="宋体" w:eastAsia="宋体" w:cs="宋体"/>
          <w:spacing w:val="-56"/>
          <w:sz w:val="28"/>
          <w:szCs w:val="28"/>
        </w:rPr>
        <w:t xml:space="preserve"> </w:t>
      </w:r>
      <w:r>
        <w:rPr>
          <w:rFonts w:ascii="Times New Roman" w:hAnsi="Times New Roman" w:eastAsia="Times New Roman" w:cs="Times New Roman"/>
          <w:spacing w:val="-2"/>
          <w:sz w:val="28"/>
          <w:szCs w:val="28"/>
        </w:rPr>
        <w:t>V4</w:t>
      </w:r>
      <w:r>
        <w:rPr>
          <w:rFonts w:ascii="Times New Roman" w:hAnsi="Times New Roman" w:eastAsia="Times New Roman" w:cs="Times New Roman"/>
          <w:spacing w:val="-37"/>
          <w:sz w:val="28"/>
          <w:szCs w:val="28"/>
        </w:rPr>
        <w:t xml:space="preserve"> </w:t>
      </w:r>
      <w:r>
        <w:rPr>
          <w:rFonts w:ascii="宋体" w:hAnsi="宋体" w:eastAsia="宋体" w:cs="宋体"/>
          <w:spacing w:val="-2"/>
          <w:sz w:val="28"/>
          <w:szCs w:val="28"/>
        </w:rPr>
        <w:t>，</w:t>
      </w:r>
      <w:r>
        <w:rPr>
          <w:rFonts w:ascii="Times New Roman" w:hAnsi="Times New Roman" w:eastAsia="Times New Roman" w:cs="Times New Roman"/>
          <w:spacing w:val="-2"/>
          <w:sz w:val="28"/>
          <w:szCs w:val="28"/>
        </w:rPr>
        <w:t>0</w:t>
      </w:r>
      <w:r>
        <w:rPr>
          <w:rFonts w:ascii="宋体" w:hAnsi="宋体" w:eastAsia="宋体" w:cs="宋体"/>
          <w:spacing w:val="-2"/>
          <w:sz w:val="28"/>
          <w:szCs w:val="28"/>
        </w:rPr>
        <w:t>。</w:t>
      </w:r>
    </w:p>
    <w:p w14:paraId="02C49623">
      <w:pPr>
        <w:spacing w:before="161" w:line="355" w:lineRule="auto"/>
        <w:ind w:left="29" w:right="120" w:firstLine="554"/>
        <w:rPr>
          <w:rFonts w:ascii="宋体" w:hAnsi="宋体" w:eastAsia="宋体" w:cs="宋体"/>
          <w:sz w:val="28"/>
          <w:szCs w:val="28"/>
        </w:rPr>
      </w:pPr>
      <w:r>
        <w:rPr>
          <w:rFonts w:ascii="宋体" w:hAnsi="宋体" w:eastAsia="宋体" w:cs="宋体"/>
          <w:spacing w:val="-6"/>
          <w:sz w:val="28"/>
          <w:szCs w:val="28"/>
        </w:rPr>
        <w:t>事故水池的有效容积</w:t>
      </w:r>
      <w:r>
        <w:rPr>
          <w:rFonts w:ascii="宋体" w:hAnsi="宋体" w:eastAsia="宋体" w:cs="宋体"/>
          <w:spacing w:val="-65"/>
          <w:sz w:val="28"/>
          <w:szCs w:val="28"/>
        </w:rPr>
        <w:t xml:space="preserve"> </w:t>
      </w:r>
      <w:r>
        <w:rPr>
          <w:rFonts w:ascii="Times New Roman" w:hAnsi="Times New Roman" w:eastAsia="Times New Roman" w:cs="Times New Roman"/>
          <w:spacing w:val="-6"/>
          <w:sz w:val="28"/>
          <w:szCs w:val="28"/>
        </w:rPr>
        <w:t xml:space="preserve">V </w:t>
      </w:r>
      <w:r>
        <w:rPr>
          <w:rFonts w:ascii="宋体" w:hAnsi="宋体" w:eastAsia="宋体" w:cs="宋体"/>
          <w:spacing w:val="-6"/>
          <w:sz w:val="28"/>
          <w:szCs w:val="28"/>
        </w:rPr>
        <w:t>应满足：</w:t>
      </w:r>
      <w:r>
        <w:rPr>
          <w:rFonts w:ascii="Times New Roman" w:hAnsi="Times New Roman" w:eastAsia="Times New Roman" w:cs="Times New Roman"/>
          <w:spacing w:val="-6"/>
          <w:sz w:val="28"/>
          <w:szCs w:val="28"/>
        </w:rPr>
        <w:t>V≥Q1+Q2+Q3—V4=418.8m</w:t>
      </w:r>
      <w:r>
        <w:rPr>
          <w:rFonts w:ascii="Times New Roman" w:hAnsi="Times New Roman" w:eastAsia="Times New Roman" w:cs="Times New Roman"/>
          <w:spacing w:val="-6"/>
          <w:position w:val="9"/>
          <w:sz w:val="18"/>
          <w:szCs w:val="18"/>
        </w:rPr>
        <w:t>3</w:t>
      </w:r>
      <w:r>
        <w:rPr>
          <w:rFonts w:ascii="宋体" w:hAnsi="宋体" w:eastAsia="宋体" w:cs="宋体"/>
          <w:spacing w:val="-6"/>
          <w:sz w:val="28"/>
          <w:szCs w:val="28"/>
        </w:rPr>
        <w:t>，本</w:t>
      </w:r>
      <w:r>
        <w:rPr>
          <w:rFonts w:ascii="宋体" w:hAnsi="宋体" w:eastAsia="宋体" w:cs="宋体"/>
          <w:sz w:val="28"/>
          <w:szCs w:val="28"/>
        </w:rPr>
        <w:t xml:space="preserve"> </w:t>
      </w:r>
      <w:r>
        <w:rPr>
          <w:rFonts w:ascii="宋体" w:hAnsi="宋体" w:eastAsia="宋体" w:cs="宋体"/>
          <w:spacing w:val="-4"/>
          <w:sz w:val="28"/>
          <w:szCs w:val="28"/>
        </w:rPr>
        <w:t>项目事故水池容积为</w:t>
      </w:r>
      <w:r>
        <w:rPr>
          <w:rFonts w:ascii="宋体" w:hAnsi="宋体" w:eastAsia="宋体" w:cs="宋体"/>
          <w:spacing w:val="-31"/>
          <w:sz w:val="28"/>
          <w:szCs w:val="28"/>
        </w:rPr>
        <w:t xml:space="preserve"> </w:t>
      </w:r>
      <w:r>
        <w:rPr>
          <w:rFonts w:ascii="Times New Roman" w:hAnsi="Times New Roman" w:eastAsia="Times New Roman" w:cs="Times New Roman"/>
          <w:spacing w:val="-4"/>
          <w:sz w:val="28"/>
          <w:szCs w:val="28"/>
        </w:rPr>
        <w:t>1255m</w:t>
      </w:r>
      <w:r>
        <w:rPr>
          <w:rFonts w:ascii="Times New Roman" w:hAnsi="Times New Roman" w:eastAsia="Times New Roman" w:cs="Times New Roman"/>
          <w:spacing w:val="-4"/>
          <w:position w:val="9"/>
          <w:sz w:val="18"/>
          <w:szCs w:val="18"/>
        </w:rPr>
        <w:t>3</w:t>
      </w:r>
      <w:r>
        <w:rPr>
          <w:rFonts w:ascii="Times New Roman" w:hAnsi="Times New Roman" w:eastAsia="Times New Roman" w:cs="Times New Roman"/>
          <w:spacing w:val="-10"/>
          <w:position w:val="9"/>
          <w:sz w:val="18"/>
          <w:szCs w:val="18"/>
        </w:rPr>
        <w:t xml:space="preserve"> </w:t>
      </w:r>
      <w:r>
        <w:rPr>
          <w:rFonts w:ascii="宋体" w:hAnsi="宋体" w:eastAsia="宋体" w:cs="宋体"/>
          <w:spacing w:val="-4"/>
          <w:sz w:val="28"/>
          <w:szCs w:val="28"/>
        </w:rPr>
        <w:t>，满足收集需求。</w:t>
      </w:r>
    </w:p>
    <w:p w14:paraId="623A5F5A">
      <w:pPr>
        <w:spacing w:before="64" w:line="220"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）事故废水收集说明：</w:t>
      </w:r>
    </w:p>
    <w:p w14:paraId="4FB93E1D">
      <w:pPr>
        <w:spacing w:before="211" w:line="218" w:lineRule="auto"/>
        <w:ind w:left="583"/>
        <w:rPr>
          <w:rFonts w:ascii="宋体" w:hAnsi="宋体" w:eastAsia="宋体" w:cs="宋体"/>
          <w:sz w:val="28"/>
          <w:szCs w:val="28"/>
        </w:rPr>
      </w:pPr>
      <w:r>
        <w:rPr>
          <w:rFonts w:ascii="宋体" w:hAnsi="宋体" w:eastAsia="宋体" w:cs="宋体"/>
          <w:spacing w:val="-1"/>
          <w:sz w:val="28"/>
          <w:szCs w:val="28"/>
        </w:rPr>
        <w:t>①全厂实施雨污分流。</w:t>
      </w:r>
    </w:p>
    <w:p w14:paraId="7FC8AA8D">
      <w:pPr>
        <w:spacing w:before="218" w:line="312" w:lineRule="auto"/>
        <w:ind w:left="22" w:right="120" w:firstLine="559"/>
        <w:rPr>
          <w:rFonts w:ascii="宋体" w:hAnsi="宋体" w:eastAsia="宋体" w:cs="宋体"/>
          <w:sz w:val="28"/>
          <w:szCs w:val="28"/>
        </w:rPr>
      </w:pPr>
      <w:r>
        <w:rPr>
          <w:rFonts w:ascii="宋体" w:hAnsi="宋体" w:eastAsia="宋体" w:cs="宋体"/>
          <w:spacing w:val="-4"/>
          <w:sz w:val="28"/>
          <w:szCs w:val="28"/>
        </w:rPr>
        <w:t>②若污水处理设施出水水质超标或发生事故无法正常运行时，可</w:t>
      </w:r>
      <w:r>
        <w:rPr>
          <w:rFonts w:ascii="宋体" w:hAnsi="宋体" w:eastAsia="宋体" w:cs="宋体"/>
          <w:spacing w:val="9"/>
          <w:sz w:val="28"/>
          <w:szCs w:val="28"/>
        </w:rPr>
        <w:t xml:space="preserve"> </w:t>
      </w:r>
      <w:r>
        <w:rPr>
          <w:rFonts w:ascii="宋体" w:hAnsi="宋体" w:eastAsia="宋体" w:cs="宋体"/>
          <w:spacing w:val="-4"/>
          <w:sz w:val="28"/>
          <w:szCs w:val="28"/>
        </w:rPr>
        <w:t>将污水处理设施出水排到事故水池暂存，当污水处理设施恢复运行或</w:t>
      </w:r>
      <w:r>
        <w:rPr>
          <w:rFonts w:ascii="宋体" w:hAnsi="宋体" w:eastAsia="宋体" w:cs="宋体"/>
          <w:spacing w:val="16"/>
          <w:sz w:val="28"/>
          <w:szCs w:val="28"/>
        </w:rPr>
        <w:t xml:space="preserve"> </w:t>
      </w:r>
      <w:r>
        <w:rPr>
          <w:rFonts w:ascii="宋体" w:hAnsi="宋体" w:eastAsia="宋体" w:cs="宋体"/>
          <w:sz w:val="28"/>
          <w:szCs w:val="28"/>
        </w:rPr>
        <w:t>出水水质达标后再将事故水池废水达到污水处</w:t>
      </w:r>
      <w:r>
        <w:rPr>
          <w:rFonts w:ascii="宋体" w:hAnsi="宋体" w:eastAsia="宋体" w:cs="宋体"/>
          <w:spacing w:val="-1"/>
          <w:sz w:val="28"/>
          <w:szCs w:val="28"/>
        </w:rPr>
        <w:t>理设施进一步处理。</w:t>
      </w:r>
    </w:p>
    <w:p w14:paraId="0B388C97">
      <w:pPr>
        <w:spacing w:before="211" w:line="221" w:lineRule="auto"/>
        <w:ind w:left="23"/>
        <w:outlineLvl w:val="1"/>
        <w:rPr>
          <w:rFonts w:ascii="宋体" w:hAnsi="宋体" w:eastAsia="宋体" w:cs="宋体"/>
          <w:sz w:val="28"/>
          <w:szCs w:val="28"/>
        </w:rPr>
      </w:pPr>
      <w:bookmarkStart w:id="30" w:name="bookmark31"/>
      <w:bookmarkEnd w:id="30"/>
      <w:r>
        <w:rPr>
          <w:rFonts w:ascii="Times New Roman" w:hAnsi="Times New Roman" w:eastAsia="Times New Roman" w:cs="Times New Roman"/>
          <w:b/>
          <w:bCs/>
          <w:spacing w:val="-3"/>
          <w:sz w:val="28"/>
          <w:szCs w:val="28"/>
        </w:rPr>
        <w:t xml:space="preserve">8.8 </w:t>
      </w:r>
      <w:r>
        <w:rPr>
          <w:rFonts w:ascii="宋体" w:hAnsi="宋体" w:eastAsia="宋体" w:cs="宋体"/>
          <w:b/>
          <w:bCs/>
          <w:spacing w:val="-3"/>
          <w:sz w:val="28"/>
          <w:szCs w:val="28"/>
        </w:rPr>
        <w:t>环境风险应急预案建议</w:t>
      </w:r>
    </w:p>
    <w:p w14:paraId="335E223E">
      <w:pPr>
        <w:spacing w:before="211" w:line="361" w:lineRule="auto"/>
        <w:ind w:left="26" w:right="120" w:firstLine="573"/>
        <w:rPr>
          <w:rFonts w:ascii="宋体" w:hAnsi="宋体" w:eastAsia="宋体" w:cs="宋体"/>
          <w:sz w:val="28"/>
          <w:szCs w:val="28"/>
        </w:rPr>
      </w:pPr>
      <w:r>
        <w:rPr>
          <w:rFonts w:ascii="宋体" w:hAnsi="宋体" w:eastAsia="宋体" w:cs="宋体"/>
          <w:spacing w:val="6"/>
          <w:sz w:val="28"/>
          <w:szCs w:val="28"/>
        </w:rPr>
        <w:t>随着近年来各行业出现的环保事故，建设单位应按照关</w:t>
      </w:r>
      <w:r>
        <w:rPr>
          <w:rFonts w:ascii="宋体" w:hAnsi="宋体" w:eastAsia="宋体" w:cs="宋体"/>
          <w:spacing w:val="5"/>
          <w:sz w:val="28"/>
          <w:szCs w:val="28"/>
        </w:rPr>
        <w:t>于印发</w:t>
      </w:r>
      <w:r>
        <w:rPr>
          <w:rFonts w:ascii="宋体" w:hAnsi="宋体" w:eastAsia="宋体" w:cs="宋体"/>
          <w:sz w:val="28"/>
          <w:szCs w:val="28"/>
        </w:rPr>
        <w:t xml:space="preserve"> </w:t>
      </w:r>
      <w:r>
        <w:rPr>
          <w:rFonts w:ascii="宋体" w:hAnsi="宋体" w:eastAsia="宋体" w:cs="宋体"/>
          <w:spacing w:val="-4"/>
          <w:sz w:val="28"/>
          <w:szCs w:val="28"/>
        </w:rPr>
        <w:t>《企业事业单位突发环境事件应急预案备案管理办法（试行）》的通</w:t>
      </w:r>
    </w:p>
    <w:p w14:paraId="713C26AE">
      <w:pPr>
        <w:spacing w:line="361" w:lineRule="auto"/>
        <w:rPr>
          <w:rFonts w:ascii="宋体" w:hAnsi="宋体" w:eastAsia="宋体" w:cs="宋体"/>
          <w:sz w:val="28"/>
          <w:szCs w:val="28"/>
        </w:rPr>
        <w:sectPr>
          <w:footerReference r:id="rId128" w:type="default"/>
          <w:pgSz w:w="11906" w:h="16839"/>
          <w:pgMar w:top="400" w:right="1679" w:bottom="1259" w:left="1785" w:header="0" w:footer="1097" w:gutter="0"/>
          <w:cols w:space="720" w:num="1"/>
        </w:sectPr>
      </w:pPr>
    </w:p>
    <w:p w14:paraId="02673C59">
      <w:pPr>
        <w:pStyle w:val="2"/>
        <w:spacing w:line="246" w:lineRule="auto"/>
      </w:pPr>
    </w:p>
    <w:p w14:paraId="25784C3D">
      <w:pPr>
        <w:pStyle w:val="2"/>
        <w:spacing w:line="246" w:lineRule="auto"/>
      </w:pPr>
    </w:p>
    <w:p w14:paraId="142EA7F0">
      <w:pPr>
        <w:pStyle w:val="2"/>
        <w:spacing w:line="246" w:lineRule="auto"/>
      </w:pPr>
    </w:p>
    <w:p w14:paraId="02A17C93">
      <w:pPr>
        <w:pStyle w:val="2"/>
        <w:spacing w:line="246" w:lineRule="auto"/>
      </w:pPr>
    </w:p>
    <w:p w14:paraId="596B3C69">
      <w:pPr>
        <w:spacing w:before="91" w:line="359" w:lineRule="auto"/>
        <w:ind w:left="46" w:right="23" w:firstLine="3"/>
        <w:jc w:val="both"/>
        <w:rPr>
          <w:rFonts w:ascii="宋体" w:hAnsi="宋体" w:eastAsia="宋体" w:cs="宋体"/>
          <w:sz w:val="28"/>
          <w:szCs w:val="28"/>
        </w:rPr>
      </w:pPr>
      <w:r>
        <w:rPr>
          <w:rFonts w:ascii="宋体" w:hAnsi="宋体" w:eastAsia="宋体" w:cs="宋体"/>
          <w:spacing w:val="-2"/>
          <w:sz w:val="28"/>
          <w:szCs w:val="28"/>
        </w:rPr>
        <w:t>知要求编制突发环境事件应急预案，经评审后报当地主管部门评审、</w:t>
      </w:r>
      <w:r>
        <w:rPr>
          <w:rFonts w:ascii="宋体" w:hAnsi="宋体" w:eastAsia="宋体" w:cs="宋体"/>
          <w:spacing w:val="1"/>
          <w:sz w:val="28"/>
          <w:szCs w:val="28"/>
        </w:rPr>
        <w:t xml:space="preserve"> </w:t>
      </w:r>
      <w:r>
        <w:rPr>
          <w:rFonts w:ascii="宋体" w:hAnsi="宋体" w:eastAsia="宋体" w:cs="宋体"/>
          <w:spacing w:val="-4"/>
          <w:sz w:val="28"/>
          <w:szCs w:val="28"/>
        </w:rPr>
        <w:t>备案，本评价结论可作为应急预案编制参照意见之一，本评价与应急</w:t>
      </w:r>
      <w:r>
        <w:rPr>
          <w:rFonts w:ascii="宋体" w:hAnsi="宋体" w:eastAsia="宋体" w:cs="宋体"/>
          <w:spacing w:val="12"/>
          <w:sz w:val="28"/>
          <w:szCs w:val="28"/>
        </w:rPr>
        <w:t xml:space="preserve"> </w:t>
      </w:r>
      <w:r>
        <w:rPr>
          <w:rFonts w:ascii="宋体" w:hAnsi="宋体" w:eastAsia="宋体" w:cs="宋体"/>
          <w:spacing w:val="-1"/>
          <w:sz w:val="28"/>
          <w:szCs w:val="28"/>
        </w:rPr>
        <w:t>预案有冲突部分应以应急预案为准。</w:t>
      </w:r>
    </w:p>
    <w:p w14:paraId="258C0E17">
      <w:pPr>
        <w:spacing w:line="361" w:lineRule="auto"/>
        <w:ind w:left="43" w:firstLine="559"/>
        <w:rPr>
          <w:rFonts w:ascii="宋体" w:hAnsi="宋体" w:eastAsia="宋体" w:cs="宋体"/>
          <w:sz w:val="28"/>
          <w:szCs w:val="28"/>
        </w:rPr>
      </w:pPr>
      <w:r>
        <w:rPr>
          <w:rFonts w:ascii="宋体" w:hAnsi="宋体" w:eastAsia="宋体" w:cs="宋体"/>
          <w:spacing w:val="-9"/>
          <w:sz w:val="28"/>
          <w:szCs w:val="28"/>
        </w:rPr>
        <w:t>根据《建设项目环境风险评价技术导则》（</w:t>
      </w:r>
      <w:r>
        <w:rPr>
          <w:rFonts w:ascii="Times New Roman" w:hAnsi="Times New Roman" w:eastAsia="Times New Roman" w:cs="Times New Roman"/>
          <w:spacing w:val="-9"/>
          <w:sz w:val="28"/>
          <w:szCs w:val="28"/>
        </w:rPr>
        <w:t>HJ169-2018</w:t>
      </w:r>
      <w:r>
        <w:rPr>
          <w:rFonts w:ascii="宋体" w:hAnsi="宋体" w:eastAsia="宋体" w:cs="宋体"/>
          <w:spacing w:val="-9"/>
          <w:sz w:val="28"/>
          <w:szCs w:val="28"/>
        </w:rPr>
        <w:t>）的要求，</w:t>
      </w:r>
      <w:r>
        <w:rPr>
          <w:rFonts w:ascii="宋体" w:hAnsi="宋体" w:eastAsia="宋体" w:cs="宋体"/>
          <w:spacing w:val="13"/>
          <w:sz w:val="28"/>
          <w:szCs w:val="28"/>
        </w:rPr>
        <w:t xml:space="preserve"> </w:t>
      </w:r>
      <w:r>
        <w:rPr>
          <w:rFonts w:ascii="宋体" w:hAnsi="宋体" w:eastAsia="宋体" w:cs="宋体"/>
          <w:spacing w:val="-1"/>
          <w:sz w:val="28"/>
          <w:szCs w:val="28"/>
        </w:rPr>
        <w:t>环境风险应急预案应包括内容见表：</w:t>
      </w:r>
    </w:p>
    <w:p w14:paraId="2CFE6ACE">
      <w:pPr>
        <w:spacing w:before="108" w:line="219" w:lineRule="auto"/>
        <w:ind w:left="2829"/>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8.8-1    </w:t>
      </w:r>
      <w:r>
        <w:rPr>
          <w:rFonts w:ascii="宋体" w:hAnsi="宋体" w:eastAsia="宋体" w:cs="宋体"/>
          <w:b/>
          <w:bCs/>
          <w:spacing w:val="-2"/>
          <w:sz w:val="24"/>
          <w:szCs w:val="24"/>
        </w:rPr>
        <w:t>应急预案框架表</w:t>
      </w:r>
    </w:p>
    <w:p w14:paraId="1B912C04">
      <w:pPr>
        <w:spacing w:line="111" w:lineRule="exact"/>
      </w:pPr>
    </w:p>
    <w:tbl>
      <w:tblPr>
        <w:tblStyle w:val="5"/>
        <w:tblW w:w="8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1407"/>
        <w:gridCol w:w="6408"/>
      </w:tblGrid>
      <w:tr w14:paraId="2D0AF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51" w:type="dxa"/>
            <w:vAlign w:val="top"/>
          </w:tcPr>
          <w:p w14:paraId="40C41B23">
            <w:pPr>
              <w:pStyle w:val="6"/>
              <w:spacing w:before="109" w:line="221" w:lineRule="auto"/>
              <w:ind w:left="40"/>
              <w:rPr>
                <w:sz w:val="24"/>
                <w:szCs w:val="24"/>
              </w:rPr>
            </w:pPr>
            <w:r>
              <w:rPr>
                <w:spacing w:val="-5"/>
                <w:sz w:val="24"/>
                <w:szCs w:val="24"/>
              </w:rPr>
              <w:t>序号</w:t>
            </w:r>
          </w:p>
        </w:tc>
        <w:tc>
          <w:tcPr>
            <w:tcW w:w="1407" w:type="dxa"/>
            <w:vAlign w:val="top"/>
          </w:tcPr>
          <w:p w14:paraId="1A2CCC5D">
            <w:pPr>
              <w:pStyle w:val="6"/>
              <w:spacing w:before="110" w:line="220" w:lineRule="auto"/>
              <w:ind w:left="473"/>
              <w:rPr>
                <w:sz w:val="24"/>
                <w:szCs w:val="24"/>
              </w:rPr>
            </w:pPr>
            <w:r>
              <w:rPr>
                <w:spacing w:val="-7"/>
                <w:sz w:val="24"/>
                <w:szCs w:val="24"/>
              </w:rPr>
              <w:t>项目</w:t>
            </w:r>
          </w:p>
        </w:tc>
        <w:tc>
          <w:tcPr>
            <w:tcW w:w="6408" w:type="dxa"/>
            <w:vAlign w:val="top"/>
          </w:tcPr>
          <w:p w14:paraId="21AD8EFC">
            <w:pPr>
              <w:pStyle w:val="6"/>
              <w:spacing w:before="110" w:line="219" w:lineRule="auto"/>
              <w:ind w:left="2637"/>
              <w:rPr>
                <w:sz w:val="24"/>
                <w:szCs w:val="24"/>
              </w:rPr>
            </w:pPr>
            <w:r>
              <w:rPr>
                <w:spacing w:val="-8"/>
                <w:sz w:val="24"/>
                <w:szCs w:val="24"/>
              </w:rPr>
              <w:t>内容及要求</w:t>
            </w:r>
          </w:p>
        </w:tc>
      </w:tr>
      <w:tr w14:paraId="57D7F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1" w:type="dxa"/>
            <w:vAlign w:val="top"/>
          </w:tcPr>
          <w:p w14:paraId="6F393F71">
            <w:pPr>
              <w:spacing w:before="233" w:line="188" w:lineRule="auto"/>
              <w:ind w:left="24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07" w:type="dxa"/>
            <w:vAlign w:val="top"/>
          </w:tcPr>
          <w:p w14:paraId="63250C9B">
            <w:pPr>
              <w:pStyle w:val="6"/>
              <w:spacing w:before="191" w:line="220" w:lineRule="auto"/>
              <w:ind w:left="476"/>
              <w:rPr>
                <w:sz w:val="24"/>
                <w:szCs w:val="24"/>
              </w:rPr>
            </w:pPr>
            <w:r>
              <w:rPr>
                <w:spacing w:val="-8"/>
                <w:sz w:val="24"/>
                <w:szCs w:val="24"/>
              </w:rPr>
              <w:t>总则</w:t>
            </w:r>
          </w:p>
        </w:tc>
        <w:tc>
          <w:tcPr>
            <w:tcW w:w="6408" w:type="dxa"/>
            <w:vAlign w:val="top"/>
          </w:tcPr>
          <w:p w14:paraId="43C3D9F0">
            <w:pPr>
              <w:pStyle w:val="6"/>
              <w:spacing w:before="35" w:line="219" w:lineRule="auto"/>
              <w:ind w:left="92"/>
              <w:rPr>
                <w:sz w:val="24"/>
                <w:szCs w:val="24"/>
              </w:rPr>
            </w:pPr>
            <w:r>
              <w:rPr>
                <w:spacing w:val="-1"/>
                <w:sz w:val="24"/>
                <w:szCs w:val="24"/>
              </w:rPr>
              <w:t>简述应急预案编制目的、依据、事件分级、适用范围、工作</w:t>
            </w:r>
          </w:p>
          <w:p w14:paraId="64A0B121">
            <w:pPr>
              <w:pStyle w:val="6"/>
              <w:spacing w:before="28" w:line="206" w:lineRule="auto"/>
              <w:ind w:left="1893"/>
              <w:rPr>
                <w:sz w:val="24"/>
                <w:szCs w:val="24"/>
              </w:rPr>
            </w:pPr>
            <w:r>
              <w:rPr>
                <w:spacing w:val="-2"/>
                <w:sz w:val="24"/>
                <w:szCs w:val="24"/>
              </w:rPr>
              <w:t>原则及应急预案关系说明</w:t>
            </w:r>
          </w:p>
        </w:tc>
      </w:tr>
      <w:tr w14:paraId="35CF1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51" w:type="dxa"/>
            <w:vAlign w:val="top"/>
          </w:tcPr>
          <w:p w14:paraId="6680347D">
            <w:pPr>
              <w:spacing w:line="318" w:lineRule="auto"/>
              <w:rPr>
                <w:rFonts w:ascii="Arial"/>
                <w:sz w:val="21"/>
              </w:rPr>
            </w:pPr>
          </w:p>
          <w:p w14:paraId="79120924">
            <w:pPr>
              <w:spacing w:before="69" w:line="188" w:lineRule="auto"/>
              <w:ind w:left="21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07" w:type="dxa"/>
            <w:vAlign w:val="top"/>
          </w:tcPr>
          <w:p w14:paraId="650C384A">
            <w:pPr>
              <w:pStyle w:val="6"/>
              <w:spacing w:before="37" w:line="221" w:lineRule="auto"/>
              <w:ind w:left="110"/>
              <w:rPr>
                <w:sz w:val="24"/>
                <w:szCs w:val="24"/>
              </w:rPr>
            </w:pPr>
            <w:r>
              <w:rPr>
                <w:spacing w:val="-2"/>
                <w:sz w:val="24"/>
                <w:szCs w:val="24"/>
              </w:rPr>
              <w:t>应急组织指</w:t>
            </w:r>
          </w:p>
          <w:p w14:paraId="7C1A13F2">
            <w:pPr>
              <w:pStyle w:val="6"/>
              <w:spacing w:before="22" w:line="220" w:lineRule="auto"/>
              <w:ind w:left="109"/>
              <w:rPr>
                <w:sz w:val="24"/>
                <w:szCs w:val="24"/>
              </w:rPr>
            </w:pPr>
            <w:r>
              <w:rPr>
                <w:spacing w:val="-2"/>
                <w:sz w:val="24"/>
                <w:szCs w:val="24"/>
              </w:rPr>
              <w:t>挥体系与职</w:t>
            </w:r>
          </w:p>
          <w:p w14:paraId="73A04897">
            <w:pPr>
              <w:pStyle w:val="6"/>
              <w:spacing w:before="26" w:line="206" w:lineRule="auto"/>
              <w:ind w:left="598"/>
              <w:rPr>
                <w:sz w:val="24"/>
                <w:szCs w:val="24"/>
              </w:rPr>
            </w:pPr>
            <w:r>
              <w:rPr>
                <w:sz w:val="24"/>
                <w:szCs w:val="24"/>
              </w:rPr>
              <w:t>责</w:t>
            </w:r>
          </w:p>
        </w:tc>
        <w:tc>
          <w:tcPr>
            <w:tcW w:w="6408" w:type="dxa"/>
            <w:vAlign w:val="top"/>
          </w:tcPr>
          <w:p w14:paraId="610800ED">
            <w:pPr>
              <w:spacing w:line="267" w:lineRule="auto"/>
              <w:rPr>
                <w:rFonts w:ascii="Arial"/>
                <w:sz w:val="21"/>
              </w:rPr>
            </w:pPr>
          </w:p>
          <w:p w14:paraId="478D51EF">
            <w:pPr>
              <w:pStyle w:val="6"/>
              <w:spacing w:before="78" w:line="219" w:lineRule="auto"/>
              <w:ind w:left="956"/>
              <w:rPr>
                <w:sz w:val="24"/>
                <w:szCs w:val="24"/>
              </w:rPr>
            </w:pPr>
            <w:r>
              <w:rPr>
                <w:spacing w:val="-3"/>
                <w:sz w:val="24"/>
                <w:szCs w:val="24"/>
              </w:rPr>
              <w:t>内部应急组织机构与职责、外部指挥与协调</w:t>
            </w:r>
          </w:p>
        </w:tc>
      </w:tr>
      <w:tr w14:paraId="640AB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403F6562">
            <w:pPr>
              <w:spacing w:before="149"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07" w:type="dxa"/>
            <w:vAlign w:val="top"/>
          </w:tcPr>
          <w:p w14:paraId="4C60B7A9">
            <w:pPr>
              <w:pStyle w:val="6"/>
              <w:spacing w:before="108" w:line="220" w:lineRule="auto"/>
              <w:ind w:left="112"/>
              <w:rPr>
                <w:sz w:val="24"/>
                <w:szCs w:val="24"/>
              </w:rPr>
            </w:pPr>
            <w:r>
              <w:rPr>
                <w:spacing w:val="-3"/>
                <w:sz w:val="24"/>
                <w:szCs w:val="24"/>
              </w:rPr>
              <w:t>预防与预警</w:t>
            </w:r>
          </w:p>
        </w:tc>
        <w:tc>
          <w:tcPr>
            <w:tcW w:w="6408" w:type="dxa"/>
            <w:vAlign w:val="top"/>
          </w:tcPr>
          <w:p w14:paraId="52218C26">
            <w:pPr>
              <w:pStyle w:val="6"/>
              <w:spacing w:before="108" w:line="219" w:lineRule="auto"/>
              <w:ind w:left="1408"/>
              <w:rPr>
                <w:sz w:val="24"/>
                <w:szCs w:val="24"/>
              </w:rPr>
            </w:pPr>
            <w:r>
              <w:rPr>
                <w:spacing w:val="-1"/>
                <w:sz w:val="24"/>
                <w:szCs w:val="24"/>
              </w:rPr>
              <w:t>提出预防、预警措施及预警的解除</w:t>
            </w:r>
          </w:p>
        </w:tc>
      </w:tr>
      <w:tr w14:paraId="1D93D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51" w:type="dxa"/>
            <w:vAlign w:val="top"/>
          </w:tcPr>
          <w:p w14:paraId="68340FCC">
            <w:pPr>
              <w:spacing w:line="312" w:lineRule="auto"/>
              <w:rPr>
                <w:rFonts w:ascii="Arial"/>
                <w:sz w:val="21"/>
              </w:rPr>
            </w:pPr>
          </w:p>
          <w:p w14:paraId="54B6C18F">
            <w:pPr>
              <w:spacing w:line="313" w:lineRule="auto"/>
              <w:rPr>
                <w:rFonts w:ascii="Arial"/>
                <w:sz w:val="21"/>
              </w:rPr>
            </w:pPr>
          </w:p>
          <w:p w14:paraId="76DCE550">
            <w:pPr>
              <w:spacing w:line="313" w:lineRule="auto"/>
              <w:rPr>
                <w:rFonts w:ascii="Arial"/>
                <w:sz w:val="21"/>
              </w:rPr>
            </w:pPr>
          </w:p>
          <w:p w14:paraId="6CACD63E">
            <w:pPr>
              <w:spacing w:before="69" w:line="188" w:lineRule="auto"/>
              <w:ind w:left="21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07" w:type="dxa"/>
            <w:vAlign w:val="top"/>
          </w:tcPr>
          <w:p w14:paraId="58F61A59">
            <w:pPr>
              <w:spacing w:line="296" w:lineRule="auto"/>
              <w:rPr>
                <w:rFonts w:ascii="Arial"/>
                <w:sz w:val="21"/>
              </w:rPr>
            </w:pPr>
          </w:p>
          <w:p w14:paraId="2E4D0576">
            <w:pPr>
              <w:spacing w:line="296" w:lineRule="auto"/>
              <w:rPr>
                <w:rFonts w:ascii="Arial"/>
                <w:sz w:val="21"/>
              </w:rPr>
            </w:pPr>
          </w:p>
          <w:p w14:paraId="33B76FFD">
            <w:pPr>
              <w:spacing w:line="296" w:lineRule="auto"/>
              <w:rPr>
                <w:rFonts w:ascii="Arial"/>
                <w:sz w:val="21"/>
              </w:rPr>
            </w:pPr>
          </w:p>
          <w:p w14:paraId="2E7C6F60">
            <w:pPr>
              <w:pStyle w:val="6"/>
              <w:spacing w:before="78" w:line="221" w:lineRule="auto"/>
              <w:ind w:left="230"/>
              <w:rPr>
                <w:sz w:val="24"/>
                <w:szCs w:val="24"/>
              </w:rPr>
            </w:pPr>
            <w:r>
              <w:rPr>
                <w:spacing w:val="-3"/>
                <w:sz w:val="24"/>
                <w:szCs w:val="24"/>
              </w:rPr>
              <w:t>应急处置</w:t>
            </w:r>
          </w:p>
        </w:tc>
        <w:tc>
          <w:tcPr>
            <w:tcW w:w="6408" w:type="dxa"/>
            <w:vAlign w:val="top"/>
          </w:tcPr>
          <w:p w14:paraId="7776754A">
            <w:pPr>
              <w:pStyle w:val="6"/>
              <w:spacing w:before="37" w:line="219" w:lineRule="auto"/>
              <w:ind w:left="92"/>
              <w:rPr>
                <w:sz w:val="24"/>
                <w:szCs w:val="24"/>
              </w:rPr>
            </w:pPr>
            <w:r>
              <w:rPr>
                <w:spacing w:val="-1"/>
                <w:sz w:val="24"/>
                <w:szCs w:val="24"/>
              </w:rPr>
              <w:t>先期处置措施。发生突发环境事件时，企业应当立即采取有</w:t>
            </w:r>
          </w:p>
          <w:p w14:paraId="1E705B54">
            <w:pPr>
              <w:pStyle w:val="6"/>
              <w:spacing w:before="27" w:line="219" w:lineRule="auto"/>
              <w:ind w:left="93"/>
              <w:rPr>
                <w:sz w:val="24"/>
                <w:szCs w:val="24"/>
              </w:rPr>
            </w:pPr>
            <w:r>
              <w:rPr>
                <w:spacing w:val="-1"/>
                <w:sz w:val="24"/>
                <w:szCs w:val="24"/>
              </w:rPr>
              <w:t>效先期措施来防止污染物的扩散，如明确切断污染源的基本</w:t>
            </w:r>
          </w:p>
          <w:p w14:paraId="25EDFC3B">
            <w:pPr>
              <w:pStyle w:val="6"/>
              <w:spacing w:before="25" w:line="219" w:lineRule="auto"/>
              <w:ind w:left="88"/>
              <w:rPr>
                <w:sz w:val="24"/>
                <w:szCs w:val="24"/>
              </w:rPr>
            </w:pPr>
            <w:r>
              <w:rPr>
                <w:sz w:val="24"/>
                <w:szCs w:val="24"/>
              </w:rPr>
              <w:t>方案、明确污水排放口和雨水排放口的应急阀门开合等。响</w:t>
            </w:r>
          </w:p>
          <w:p w14:paraId="7A9D0DFB">
            <w:pPr>
              <w:pStyle w:val="6"/>
              <w:spacing w:before="26" w:line="218" w:lineRule="auto"/>
              <w:jc w:val="right"/>
              <w:rPr>
                <w:sz w:val="24"/>
                <w:szCs w:val="24"/>
              </w:rPr>
            </w:pPr>
            <w:r>
              <w:rPr>
                <w:spacing w:val="-4"/>
                <w:sz w:val="24"/>
                <w:szCs w:val="24"/>
              </w:rPr>
              <w:t>应分级、应急响应程序（发生《突发环境事件信</w:t>
            </w:r>
            <w:r>
              <w:rPr>
                <w:spacing w:val="-5"/>
                <w:sz w:val="24"/>
                <w:szCs w:val="24"/>
              </w:rPr>
              <w:t>息报告办法》</w:t>
            </w:r>
          </w:p>
          <w:p w14:paraId="2AC292C2">
            <w:pPr>
              <w:pStyle w:val="6"/>
              <w:spacing w:before="29" w:line="219" w:lineRule="auto"/>
              <w:ind w:left="110"/>
              <w:rPr>
                <w:sz w:val="24"/>
                <w:szCs w:val="24"/>
              </w:rPr>
            </w:pPr>
            <w:r>
              <w:rPr>
                <w:spacing w:val="-3"/>
                <w:sz w:val="24"/>
                <w:szCs w:val="24"/>
              </w:rPr>
              <w:t>中列为重大或特别重大突发环境事件时，企业应在</w:t>
            </w:r>
            <w:r>
              <w:rPr>
                <w:spacing w:val="-31"/>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spacing w:val="-3"/>
                <w:sz w:val="24"/>
                <w:szCs w:val="24"/>
              </w:rPr>
              <w:t>小时内</w:t>
            </w:r>
          </w:p>
          <w:p w14:paraId="4BAC0C1C">
            <w:pPr>
              <w:pStyle w:val="6"/>
              <w:spacing w:before="24" w:line="218" w:lineRule="auto"/>
              <w:jc w:val="right"/>
              <w:rPr>
                <w:sz w:val="24"/>
                <w:szCs w:val="24"/>
              </w:rPr>
            </w:pPr>
            <w:r>
              <w:rPr>
                <w:spacing w:val="-5"/>
                <w:sz w:val="24"/>
                <w:szCs w:val="24"/>
              </w:rPr>
              <w:t>向当地政府和环保部门报告。应急处置、受伤人员现场</w:t>
            </w:r>
            <w:r>
              <w:rPr>
                <w:spacing w:val="-6"/>
                <w:sz w:val="24"/>
                <w:szCs w:val="24"/>
              </w:rPr>
              <w:t>救护、</w:t>
            </w:r>
          </w:p>
          <w:p w14:paraId="7359D001">
            <w:pPr>
              <w:pStyle w:val="6"/>
              <w:spacing w:before="29" w:line="206" w:lineRule="auto"/>
              <w:ind w:left="2369"/>
              <w:rPr>
                <w:sz w:val="24"/>
                <w:szCs w:val="24"/>
              </w:rPr>
            </w:pPr>
            <w:r>
              <w:rPr>
                <w:spacing w:val="-2"/>
                <w:sz w:val="24"/>
                <w:szCs w:val="24"/>
              </w:rPr>
              <w:t>救治与医院救治</w:t>
            </w:r>
          </w:p>
        </w:tc>
      </w:tr>
      <w:tr w14:paraId="2CA11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1110763F">
            <w:pPr>
              <w:spacing w:before="155" w:line="185" w:lineRule="auto"/>
              <w:ind w:left="22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07" w:type="dxa"/>
            <w:vAlign w:val="top"/>
          </w:tcPr>
          <w:p w14:paraId="37941C98">
            <w:pPr>
              <w:pStyle w:val="6"/>
              <w:spacing w:before="111" w:line="221" w:lineRule="auto"/>
              <w:ind w:left="230"/>
              <w:rPr>
                <w:sz w:val="24"/>
                <w:szCs w:val="24"/>
              </w:rPr>
            </w:pPr>
            <w:r>
              <w:rPr>
                <w:spacing w:val="-3"/>
                <w:sz w:val="24"/>
                <w:szCs w:val="24"/>
              </w:rPr>
              <w:t>应急终止</w:t>
            </w:r>
          </w:p>
        </w:tc>
        <w:tc>
          <w:tcPr>
            <w:tcW w:w="6408" w:type="dxa"/>
            <w:vAlign w:val="top"/>
          </w:tcPr>
          <w:p w14:paraId="0A329E48">
            <w:pPr>
              <w:pStyle w:val="6"/>
              <w:spacing w:before="110" w:line="219" w:lineRule="auto"/>
              <w:ind w:left="1670"/>
              <w:rPr>
                <w:sz w:val="24"/>
                <w:szCs w:val="24"/>
              </w:rPr>
            </w:pPr>
            <w:r>
              <w:rPr>
                <w:spacing w:val="-3"/>
                <w:sz w:val="24"/>
                <w:szCs w:val="24"/>
              </w:rPr>
              <w:t>明确应急终止的条件、程序。</w:t>
            </w:r>
          </w:p>
        </w:tc>
      </w:tr>
      <w:tr w14:paraId="2B000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7A1D8843">
            <w:pPr>
              <w:spacing w:before="151"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07" w:type="dxa"/>
            <w:vAlign w:val="top"/>
          </w:tcPr>
          <w:p w14:paraId="46845CFB">
            <w:pPr>
              <w:pStyle w:val="6"/>
              <w:spacing w:before="109" w:line="220" w:lineRule="auto"/>
              <w:ind w:left="232"/>
              <w:rPr>
                <w:sz w:val="24"/>
                <w:szCs w:val="24"/>
              </w:rPr>
            </w:pPr>
            <w:r>
              <w:rPr>
                <w:spacing w:val="-3"/>
                <w:sz w:val="24"/>
                <w:szCs w:val="24"/>
              </w:rPr>
              <w:t>后期处置</w:t>
            </w:r>
          </w:p>
        </w:tc>
        <w:tc>
          <w:tcPr>
            <w:tcW w:w="6408" w:type="dxa"/>
            <w:vAlign w:val="top"/>
          </w:tcPr>
          <w:p w14:paraId="354E39C7">
            <w:pPr>
              <w:pStyle w:val="6"/>
              <w:spacing w:before="109" w:line="218" w:lineRule="auto"/>
              <w:ind w:left="2009"/>
              <w:rPr>
                <w:sz w:val="24"/>
                <w:szCs w:val="24"/>
              </w:rPr>
            </w:pPr>
            <w:r>
              <w:rPr>
                <w:spacing w:val="-2"/>
                <w:sz w:val="24"/>
                <w:szCs w:val="24"/>
              </w:rPr>
              <w:t>善后处置，评估与总结</w:t>
            </w:r>
          </w:p>
        </w:tc>
      </w:tr>
      <w:tr w14:paraId="7AD67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1" w:type="dxa"/>
            <w:vAlign w:val="top"/>
          </w:tcPr>
          <w:p w14:paraId="7D1A0B73">
            <w:pPr>
              <w:spacing w:before="238" w:line="185" w:lineRule="auto"/>
              <w:ind w:left="22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07" w:type="dxa"/>
            <w:vAlign w:val="top"/>
          </w:tcPr>
          <w:p w14:paraId="3B517ADF">
            <w:pPr>
              <w:pStyle w:val="6"/>
              <w:spacing w:before="193" w:line="219" w:lineRule="auto"/>
              <w:ind w:left="230"/>
              <w:rPr>
                <w:sz w:val="24"/>
                <w:szCs w:val="24"/>
              </w:rPr>
            </w:pPr>
            <w:r>
              <w:rPr>
                <w:spacing w:val="-3"/>
                <w:sz w:val="24"/>
                <w:szCs w:val="24"/>
              </w:rPr>
              <w:t>应急保障</w:t>
            </w:r>
          </w:p>
        </w:tc>
        <w:tc>
          <w:tcPr>
            <w:tcW w:w="6408" w:type="dxa"/>
            <w:vAlign w:val="top"/>
          </w:tcPr>
          <w:p w14:paraId="52BC9A33">
            <w:pPr>
              <w:pStyle w:val="6"/>
              <w:spacing w:before="38" w:line="222" w:lineRule="auto"/>
              <w:ind w:left="327" w:right="84" w:hanging="238"/>
              <w:rPr>
                <w:sz w:val="24"/>
                <w:szCs w:val="24"/>
              </w:rPr>
            </w:pPr>
            <w:r>
              <w:rPr>
                <w:spacing w:val="-1"/>
                <w:sz w:val="24"/>
                <w:szCs w:val="24"/>
              </w:rPr>
              <w:t>人力资源保障，资金保障，物资保障，医疗卫生保障，交通</w:t>
            </w:r>
            <w:r>
              <w:rPr>
                <w:spacing w:val="13"/>
                <w:sz w:val="24"/>
                <w:szCs w:val="24"/>
              </w:rPr>
              <w:t xml:space="preserve"> </w:t>
            </w:r>
            <w:r>
              <w:rPr>
                <w:spacing w:val="-1"/>
                <w:sz w:val="24"/>
                <w:szCs w:val="24"/>
              </w:rPr>
              <w:t>运输保障，通信与信息保障，科学技术保障，其他保障</w:t>
            </w:r>
          </w:p>
        </w:tc>
      </w:tr>
      <w:tr w14:paraId="5538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7EA9A8F8">
            <w:pPr>
              <w:spacing w:before="153" w:line="188" w:lineRule="auto"/>
              <w:ind w:left="22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07" w:type="dxa"/>
            <w:vAlign w:val="top"/>
          </w:tcPr>
          <w:p w14:paraId="7EDB04FA">
            <w:pPr>
              <w:pStyle w:val="6"/>
              <w:spacing w:before="111" w:line="219" w:lineRule="auto"/>
              <w:ind w:left="231"/>
              <w:rPr>
                <w:sz w:val="24"/>
                <w:szCs w:val="24"/>
              </w:rPr>
            </w:pPr>
            <w:r>
              <w:rPr>
                <w:spacing w:val="-3"/>
                <w:sz w:val="24"/>
                <w:szCs w:val="24"/>
              </w:rPr>
              <w:t>监督管理</w:t>
            </w:r>
          </w:p>
        </w:tc>
        <w:tc>
          <w:tcPr>
            <w:tcW w:w="6408" w:type="dxa"/>
            <w:vAlign w:val="top"/>
          </w:tcPr>
          <w:p w14:paraId="6B954B47">
            <w:pPr>
              <w:pStyle w:val="6"/>
              <w:spacing w:before="111" w:line="219" w:lineRule="auto"/>
              <w:ind w:left="1167"/>
              <w:rPr>
                <w:sz w:val="24"/>
                <w:szCs w:val="24"/>
              </w:rPr>
            </w:pPr>
            <w:r>
              <w:rPr>
                <w:spacing w:val="-1"/>
                <w:sz w:val="24"/>
                <w:szCs w:val="24"/>
              </w:rPr>
              <w:t>应急预案演练，宣教培训，责任与奖惩</w:t>
            </w:r>
          </w:p>
        </w:tc>
      </w:tr>
      <w:tr w14:paraId="73D2C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51" w:type="dxa"/>
            <w:vAlign w:val="top"/>
          </w:tcPr>
          <w:p w14:paraId="3EA28BAF">
            <w:pPr>
              <w:spacing w:before="152" w:line="188" w:lineRule="auto"/>
              <w:ind w:left="22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07" w:type="dxa"/>
            <w:vAlign w:val="top"/>
          </w:tcPr>
          <w:p w14:paraId="74AADDA6">
            <w:pPr>
              <w:pStyle w:val="6"/>
              <w:spacing w:before="110" w:line="219" w:lineRule="auto"/>
              <w:ind w:left="488"/>
              <w:rPr>
                <w:sz w:val="24"/>
                <w:szCs w:val="24"/>
              </w:rPr>
            </w:pPr>
            <w:r>
              <w:rPr>
                <w:spacing w:val="-15"/>
                <w:sz w:val="24"/>
                <w:szCs w:val="24"/>
              </w:rPr>
              <w:t>附则</w:t>
            </w:r>
          </w:p>
        </w:tc>
        <w:tc>
          <w:tcPr>
            <w:tcW w:w="6408" w:type="dxa"/>
            <w:vAlign w:val="top"/>
          </w:tcPr>
          <w:p w14:paraId="177E0380">
            <w:pPr>
              <w:pStyle w:val="6"/>
              <w:spacing w:before="111" w:line="219" w:lineRule="auto"/>
              <w:ind w:left="930"/>
              <w:rPr>
                <w:sz w:val="24"/>
                <w:szCs w:val="24"/>
              </w:rPr>
            </w:pPr>
            <w:r>
              <w:rPr>
                <w:spacing w:val="-1"/>
                <w:sz w:val="24"/>
                <w:szCs w:val="24"/>
              </w:rPr>
              <w:t>名词术语、预案解释，修订情况，实施日期</w:t>
            </w:r>
          </w:p>
        </w:tc>
      </w:tr>
      <w:tr w14:paraId="3BEE8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551" w:type="dxa"/>
            <w:vAlign w:val="top"/>
          </w:tcPr>
          <w:p w14:paraId="54CC35D5">
            <w:pPr>
              <w:spacing w:line="315" w:lineRule="auto"/>
              <w:rPr>
                <w:rFonts w:ascii="Arial"/>
                <w:sz w:val="21"/>
              </w:rPr>
            </w:pPr>
          </w:p>
          <w:p w14:paraId="0636E703">
            <w:pPr>
              <w:spacing w:line="315" w:lineRule="auto"/>
              <w:rPr>
                <w:rFonts w:ascii="Arial"/>
                <w:sz w:val="21"/>
              </w:rPr>
            </w:pPr>
          </w:p>
          <w:p w14:paraId="6A47552D">
            <w:pPr>
              <w:spacing w:before="69" w:line="188" w:lineRule="auto"/>
              <w:ind w:left="1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407" w:type="dxa"/>
            <w:vAlign w:val="top"/>
          </w:tcPr>
          <w:p w14:paraId="0C1A0895">
            <w:pPr>
              <w:spacing w:line="289" w:lineRule="auto"/>
              <w:rPr>
                <w:rFonts w:ascii="Arial"/>
                <w:sz w:val="21"/>
              </w:rPr>
            </w:pPr>
          </w:p>
          <w:p w14:paraId="58680F7A">
            <w:pPr>
              <w:spacing w:line="290" w:lineRule="auto"/>
              <w:rPr>
                <w:rFonts w:ascii="Arial"/>
                <w:sz w:val="21"/>
              </w:rPr>
            </w:pPr>
          </w:p>
          <w:p w14:paraId="495C4922">
            <w:pPr>
              <w:pStyle w:val="6"/>
              <w:spacing w:before="78" w:line="219" w:lineRule="auto"/>
              <w:ind w:left="488"/>
              <w:rPr>
                <w:sz w:val="24"/>
                <w:szCs w:val="24"/>
              </w:rPr>
            </w:pPr>
            <w:r>
              <w:rPr>
                <w:spacing w:val="-15"/>
                <w:sz w:val="24"/>
                <w:szCs w:val="24"/>
              </w:rPr>
              <w:t>附件</w:t>
            </w:r>
          </w:p>
        </w:tc>
        <w:tc>
          <w:tcPr>
            <w:tcW w:w="6408" w:type="dxa"/>
            <w:vAlign w:val="top"/>
          </w:tcPr>
          <w:p w14:paraId="454D4FA6">
            <w:pPr>
              <w:pStyle w:val="6"/>
              <w:spacing w:before="40" w:line="233" w:lineRule="auto"/>
              <w:ind w:left="36" w:firstLine="59"/>
              <w:jc w:val="both"/>
              <w:rPr>
                <w:sz w:val="24"/>
                <w:szCs w:val="24"/>
              </w:rPr>
            </w:pPr>
            <w:r>
              <w:rPr>
                <w:spacing w:val="-2"/>
                <w:sz w:val="24"/>
                <w:szCs w:val="24"/>
              </w:rPr>
              <w:t>突发环境事件风险评估报告，根据本单位实际，按照《建设</w:t>
            </w:r>
            <w:r>
              <w:rPr>
                <w:sz w:val="24"/>
                <w:szCs w:val="24"/>
              </w:rPr>
              <w:t xml:space="preserve">  </w:t>
            </w:r>
            <w:r>
              <w:rPr>
                <w:spacing w:val="-4"/>
                <w:sz w:val="24"/>
                <w:szCs w:val="24"/>
              </w:rPr>
              <w:t>项目环境风险评价技术导则》（</w:t>
            </w:r>
            <w:r>
              <w:rPr>
                <w:rFonts w:ascii="Times New Roman" w:hAnsi="Times New Roman" w:eastAsia="Times New Roman" w:cs="Times New Roman"/>
                <w:spacing w:val="-4"/>
                <w:sz w:val="24"/>
                <w:szCs w:val="24"/>
              </w:rPr>
              <w:t>HJ/T169-2018</w:t>
            </w:r>
            <w:r>
              <w:rPr>
                <w:spacing w:val="-4"/>
                <w:sz w:val="24"/>
                <w:szCs w:val="24"/>
              </w:rPr>
              <w:t>）和其他</w:t>
            </w:r>
            <w:r>
              <w:rPr>
                <w:spacing w:val="-5"/>
                <w:sz w:val="24"/>
                <w:szCs w:val="24"/>
              </w:rPr>
              <w:t>突发环</w:t>
            </w:r>
            <w:r>
              <w:rPr>
                <w:sz w:val="24"/>
                <w:szCs w:val="24"/>
              </w:rPr>
              <w:t xml:space="preserve"> 境事件风险评估指南的要求，委托有资质的咨询机构进行环</w:t>
            </w:r>
            <w:r>
              <w:rPr>
                <w:spacing w:val="3"/>
                <w:sz w:val="24"/>
                <w:szCs w:val="24"/>
              </w:rPr>
              <w:t xml:space="preserve">  </w:t>
            </w:r>
            <w:r>
              <w:rPr>
                <w:sz w:val="24"/>
                <w:szCs w:val="24"/>
              </w:rPr>
              <w:t>境风险评估，明确本单位环境危险源、周边环境状况及环境</w:t>
            </w:r>
            <w:r>
              <w:rPr>
                <w:spacing w:val="3"/>
                <w:sz w:val="24"/>
                <w:szCs w:val="24"/>
              </w:rPr>
              <w:t xml:space="preserve">  </w:t>
            </w:r>
            <w:r>
              <w:rPr>
                <w:spacing w:val="-3"/>
                <w:sz w:val="24"/>
                <w:szCs w:val="24"/>
              </w:rPr>
              <w:t>敏感点的情况，编制本企业的</w:t>
            </w:r>
            <w:r>
              <w:rPr>
                <w:rFonts w:ascii="Times New Roman" w:hAnsi="Times New Roman" w:eastAsia="Times New Roman" w:cs="Times New Roman"/>
                <w:spacing w:val="-3"/>
                <w:sz w:val="24"/>
                <w:szCs w:val="24"/>
              </w:rPr>
              <w:t>“</w:t>
            </w:r>
            <w:r>
              <w:rPr>
                <w:spacing w:val="-3"/>
                <w:sz w:val="24"/>
                <w:szCs w:val="24"/>
              </w:rPr>
              <w:t>突发环境事件风险评估</w:t>
            </w:r>
            <w:r>
              <w:rPr>
                <w:spacing w:val="-4"/>
                <w:sz w:val="24"/>
                <w:szCs w:val="24"/>
              </w:rPr>
              <w:t>报告</w:t>
            </w:r>
            <w:r>
              <w:rPr>
                <w:rFonts w:ascii="Times New Roman" w:hAnsi="Times New Roman" w:eastAsia="Times New Roman" w:cs="Times New Roman"/>
                <w:spacing w:val="-4"/>
                <w:sz w:val="24"/>
                <w:szCs w:val="24"/>
              </w:rPr>
              <w:t>”</w:t>
            </w:r>
            <w:r>
              <w:rPr>
                <w:spacing w:val="-4"/>
                <w:sz w:val="24"/>
                <w:szCs w:val="24"/>
              </w:rPr>
              <w:t>。</w:t>
            </w:r>
          </w:p>
        </w:tc>
      </w:tr>
    </w:tbl>
    <w:p w14:paraId="28551B03">
      <w:pPr>
        <w:spacing w:before="196" w:line="361" w:lineRule="auto"/>
        <w:ind w:left="42" w:right="76" w:firstLine="560"/>
        <w:jc w:val="both"/>
        <w:rPr>
          <w:rFonts w:ascii="宋体" w:hAnsi="宋体" w:eastAsia="宋体" w:cs="宋体"/>
          <w:sz w:val="28"/>
          <w:szCs w:val="28"/>
        </w:rPr>
      </w:pPr>
      <w:r>
        <w:rPr>
          <w:rFonts w:ascii="宋体" w:hAnsi="宋体" w:eastAsia="宋体" w:cs="宋体"/>
          <w:spacing w:val="-4"/>
          <w:sz w:val="28"/>
          <w:szCs w:val="28"/>
        </w:rPr>
        <w:t>应急预案的设立目的在于一旦发生风险时能及时控制污染源；抢</w:t>
      </w:r>
      <w:r>
        <w:rPr>
          <w:rFonts w:ascii="宋体" w:hAnsi="宋体" w:eastAsia="宋体" w:cs="宋体"/>
          <w:spacing w:val="7"/>
          <w:sz w:val="28"/>
          <w:szCs w:val="28"/>
        </w:rPr>
        <w:t xml:space="preserve"> </w:t>
      </w:r>
      <w:r>
        <w:rPr>
          <w:rFonts w:ascii="宋体" w:hAnsi="宋体" w:eastAsia="宋体" w:cs="宋体"/>
          <w:spacing w:val="-4"/>
          <w:sz w:val="28"/>
          <w:szCs w:val="28"/>
        </w:rPr>
        <w:t>救受害人员，有效降低伤亡率；指导有关群众防护、组织群众撤离疏</w:t>
      </w:r>
      <w:r>
        <w:rPr>
          <w:rFonts w:ascii="宋体" w:hAnsi="宋体" w:eastAsia="宋体" w:cs="宋体"/>
          <w:spacing w:val="15"/>
          <w:sz w:val="28"/>
          <w:szCs w:val="28"/>
        </w:rPr>
        <w:t xml:space="preserve"> </w:t>
      </w:r>
      <w:r>
        <w:rPr>
          <w:rFonts w:ascii="宋体" w:hAnsi="宋体" w:eastAsia="宋体" w:cs="宋体"/>
          <w:spacing w:val="-4"/>
          <w:sz w:val="28"/>
          <w:szCs w:val="28"/>
        </w:rPr>
        <w:t>散；做好现场清消，清除危害后果，防止对人的继续危害和对环境的</w:t>
      </w:r>
    </w:p>
    <w:p w14:paraId="57682042">
      <w:pPr>
        <w:spacing w:line="361" w:lineRule="auto"/>
        <w:rPr>
          <w:rFonts w:ascii="宋体" w:hAnsi="宋体" w:eastAsia="宋体" w:cs="宋体"/>
          <w:sz w:val="28"/>
          <w:szCs w:val="28"/>
        </w:rPr>
        <w:sectPr>
          <w:footerReference r:id="rId129" w:type="default"/>
          <w:pgSz w:w="11906" w:h="16839"/>
          <w:pgMar w:top="400" w:right="1723" w:bottom="1259" w:left="1767" w:header="0" w:footer="1097" w:gutter="0"/>
          <w:cols w:space="720" w:num="1"/>
        </w:sectPr>
      </w:pPr>
    </w:p>
    <w:p w14:paraId="4FF86AF1">
      <w:pPr>
        <w:pStyle w:val="2"/>
        <w:spacing w:line="245" w:lineRule="auto"/>
      </w:pPr>
    </w:p>
    <w:p w14:paraId="3B74D7E5">
      <w:pPr>
        <w:pStyle w:val="2"/>
        <w:spacing w:line="245" w:lineRule="auto"/>
      </w:pPr>
    </w:p>
    <w:p w14:paraId="79DFA1AB">
      <w:pPr>
        <w:pStyle w:val="2"/>
        <w:spacing w:line="246" w:lineRule="auto"/>
      </w:pPr>
    </w:p>
    <w:p w14:paraId="5352D43D">
      <w:pPr>
        <w:pStyle w:val="2"/>
        <w:spacing w:line="246" w:lineRule="auto"/>
      </w:pPr>
    </w:p>
    <w:p w14:paraId="56A29D19">
      <w:pPr>
        <w:spacing w:before="91" w:line="221" w:lineRule="auto"/>
        <w:ind w:left="27"/>
        <w:rPr>
          <w:rFonts w:ascii="宋体" w:hAnsi="宋体" w:eastAsia="宋体" w:cs="宋体"/>
          <w:sz w:val="28"/>
          <w:szCs w:val="28"/>
        </w:rPr>
      </w:pPr>
      <w:r>
        <w:rPr>
          <w:rFonts w:ascii="宋体" w:hAnsi="宋体" w:eastAsia="宋体" w:cs="宋体"/>
          <w:spacing w:val="-4"/>
          <w:sz w:val="28"/>
          <w:szCs w:val="28"/>
        </w:rPr>
        <w:t>污染。</w:t>
      </w:r>
    </w:p>
    <w:p w14:paraId="615B5BBB">
      <w:pPr>
        <w:spacing w:before="210" w:line="220"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1</w:t>
      </w:r>
      <w:r>
        <w:rPr>
          <w:rFonts w:ascii="宋体" w:hAnsi="宋体" w:eastAsia="宋体" w:cs="宋体"/>
          <w:spacing w:val="-3"/>
          <w:sz w:val="28"/>
          <w:szCs w:val="28"/>
        </w:rPr>
        <w:t>）内部保障</w:t>
      </w:r>
    </w:p>
    <w:p w14:paraId="2D13F07D">
      <w:pPr>
        <w:spacing w:before="209" w:line="290" w:lineRule="auto"/>
        <w:ind w:left="38" w:firstLine="544"/>
        <w:rPr>
          <w:rFonts w:ascii="宋体" w:hAnsi="宋体" w:eastAsia="宋体" w:cs="宋体"/>
          <w:sz w:val="28"/>
          <w:szCs w:val="28"/>
        </w:rPr>
      </w:pPr>
      <w:r>
        <w:rPr>
          <w:rFonts w:ascii="宋体" w:hAnsi="宋体" w:eastAsia="宋体" w:cs="宋体"/>
          <w:spacing w:val="-10"/>
          <w:sz w:val="28"/>
          <w:szCs w:val="28"/>
        </w:rPr>
        <w:t>①建立应急救援队伍，包括技术、灭火、疏散、抢修、现场救护、</w:t>
      </w:r>
      <w:r>
        <w:rPr>
          <w:rFonts w:ascii="宋体" w:hAnsi="宋体" w:eastAsia="宋体" w:cs="宋体"/>
          <w:spacing w:val="4"/>
          <w:sz w:val="28"/>
          <w:szCs w:val="28"/>
        </w:rPr>
        <w:t xml:space="preserve"> </w:t>
      </w:r>
      <w:r>
        <w:rPr>
          <w:rFonts w:ascii="宋体" w:hAnsi="宋体" w:eastAsia="宋体" w:cs="宋体"/>
          <w:spacing w:val="-3"/>
          <w:sz w:val="28"/>
          <w:szCs w:val="28"/>
        </w:rPr>
        <w:t>医疗、通讯等人员；</w:t>
      </w:r>
    </w:p>
    <w:p w14:paraId="7F01C995">
      <w:pPr>
        <w:spacing w:before="211" w:line="289" w:lineRule="auto"/>
        <w:ind w:left="28" w:right="97" w:firstLine="553"/>
        <w:rPr>
          <w:rFonts w:ascii="宋体" w:hAnsi="宋体" w:eastAsia="宋体" w:cs="宋体"/>
          <w:sz w:val="28"/>
          <w:szCs w:val="28"/>
        </w:rPr>
      </w:pPr>
      <w:r>
        <w:rPr>
          <w:rFonts w:ascii="宋体" w:hAnsi="宋体" w:eastAsia="宋体" w:cs="宋体"/>
          <w:spacing w:val="-4"/>
          <w:sz w:val="28"/>
          <w:szCs w:val="28"/>
        </w:rPr>
        <w:t>②企业配备消防布置图、现场平面布置图、危险化学品安全技术</w:t>
      </w:r>
      <w:r>
        <w:rPr>
          <w:rFonts w:ascii="宋体" w:hAnsi="宋体" w:eastAsia="宋体" w:cs="宋体"/>
          <w:spacing w:val="9"/>
          <w:sz w:val="28"/>
          <w:szCs w:val="28"/>
        </w:rPr>
        <w:t xml:space="preserve"> </w:t>
      </w:r>
      <w:r>
        <w:rPr>
          <w:rFonts w:ascii="宋体" w:hAnsi="宋体" w:eastAsia="宋体" w:cs="宋体"/>
          <w:spacing w:val="-3"/>
          <w:sz w:val="28"/>
          <w:szCs w:val="28"/>
        </w:rPr>
        <w:t>说明书等；</w:t>
      </w:r>
    </w:p>
    <w:p w14:paraId="323D08B7">
      <w:pPr>
        <w:spacing w:before="212" w:line="218" w:lineRule="auto"/>
        <w:ind w:left="581"/>
        <w:rPr>
          <w:rFonts w:ascii="宋体" w:hAnsi="宋体" w:eastAsia="宋体" w:cs="宋体"/>
          <w:sz w:val="28"/>
          <w:szCs w:val="28"/>
        </w:rPr>
      </w:pPr>
      <w:r>
        <w:rPr>
          <w:rFonts w:ascii="宋体" w:hAnsi="宋体" w:eastAsia="宋体" w:cs="宋体"/>
          <w:spacing w:val="-1"/>
          <w:sz w:val="28"/>
          <w:szCs w:val="28"/>
        </w:rPr>
        <w:t>③完善应急通信系统；</w:t>
      </w:r>
    </w:p>
    <w:p w14:paraId="76FA6F8E">
      <w:pPr>
        <w:spacing w:before="214" w:line="218" w:lineRule="auto"/>
        <w:ind w:left="581"/>
        <w:rPr>
          <w:rFonts w:ascii="宋体" w:hAnsi="宋体" w:eastAsia="宋体" w:cs="宋体"/>
          <w:sz w:val="28"/>
          <w:szCs w:val="28"/>
        </w:rPr>
      </w:pPr>
      <w:r>
        <w:rPr>
          <w:rFonts w:ascii="宋体" w:hAnsi="宋体" w:eastAsia="宋体" w:cs="宋体"/>
          <w:spacing w:val="-1"/>
          <w:sz w:val="28"/>
          <w:szCs w:val="28"/>
        </w:rPr>
        <w:t>④设置应急电源、照明灯等；</w:t>
      </w:r>
    </w:p>
    <w:p w14:paraId="571202DA">
      <w:pPr>
        <w:spacing w:before="215" w:line="218" w:lineRule="auto"/>
        <w:ind w:left="581"/>
        <w:rPr>
          <w:rFonts w:ascii="宋体" w:hAnsi="宋体" w:eastAsia="宋体" w:cs="宋体"/>
          <w:sz w:val="28"/>
          <w:szCs w:val="28"/>
        </w:rPr>
      </w:pPr>
      <w:r>
        <w:rPr>
          <w:rFonts w:ascii="宋体" w:hAnsi="宋体" w:eastAsia="宋体" w:cs="宋体"/>
          <w:spacing w:val="-1"/>
          <w:sz w:val="28"/>
          <w:szCs w:val="28"/>
        </w:rPr>
        <w:t>⑤设置急救药箱，配备救护人员；</w:t>
      </w:r>
    </w:p>
    <w:p w14:paraId="1028A81E">
      <w:pPr>
        <w:spacing w:before="214" w:line="218" w:lineRule="auto"/>
        <w:ind w:left="581"/>
        <w:rPr>
          <w:rFonts w:ascii="宋体" w:hAnsi="宋体" w:eastAsia="宋体" w:cs="宋体"/>
          <w:sz w:val="28"/>
          <w:szCs w:val="28"/>
        </w:rPr>
      </w:pPr>
      <w:r>
        <w:rPr>
          <w:rFonts w:ascii="宋体" w:hAnsi="宋体" w:eastAsia="宋体" w:cs="宋体"/>
          <w:spacing w:val="-1"/>
          <w:sz w:val="28"/>
          <w:szCs w:val="28"/>
        </w:rPr>
        <w:t>⑥为员工配备齐全的个人防护用品；</w:t>
      </w:r>
    </w:p>
    <w:p w14:paraId="7768876B">
      <w:pPr>
        <w:spacing w:before="214" w:line="218" w:lineRule="auto"/>
        <w:ind w:left="581"/>
        <w:rPr>
          <w:rFonts w:ascii="宋体" w:hAnsi="宋体" w:eastAsia="宋体" w:cs="宋体"/>
          <w:sz w:val="28"/>
          <w:szCs w:val="28"/>
        </w:rPr>
      </w:pPr>
      <w:r>
        <w:rPr>
          <w:rFonts w:ascii="宋体" w:hAnsi="宋体" w:eastAsia="宋体" w:cs="宋体"/>
          <w:spacing w:val="-1"/>
          <w:sz w:val="28"/>
          <w:szCs w:val="28"/>
        </w:rPr>
        <w:t>⑦建立安全生产责任制、安全培训制度、应急救援演练制度；</w:t>
      </w:r>
    </w:p>
    <w:p w14:paraId="0291D79B">
      <w:pPr>
        <w:spacing w:before="214" w:line="218" w:lineRule="auto"/>
        <w:ind w:left="581"/>
        <w:rPr>
          <w:rFonts w:ascii="宋体" w:hAnsi="宋体" w:eastAsia="宋体" w:cs="宋体"/>
          <w:sz w:val="28"/>
          <w:szCs w:val="28"/>
        </w:rPr>
      </w:pPr>
      <w:r>
        <w:rPr>
          <w:rFonts w:ascii="宋体" w:hAnsi="宋体" w:eastAsia="宋体" w:cs="宋体"/>
          <w:spacing w:val="-1"/>
          <w:sz w:val="28"/>
          <w:szCs w:val="28"/>
        </w:rPr>
        <w:t>⑧建立值班制度；</w:t>
      </w:r>
    </w:p>
    <w:p w14:paraId="4D4DE406">
      <w:pPr>
        <w:spacing w:before="214" w:line="218" w:lineRule="auto"/>
        <w:ind w:left="581"/>
        <w:rPr>
          <w:rFonts w:ascii="宋体" w:hAnsi="宋体" w:eastAsia="宋体" w:cs="宋体"/>
          <w:sz w:val="28"/>
          <w:szCs w:val="28"/>
        </w:rPr>
      </w:pPr>
      <w:r>
        <w:rPr>
          <w:rFonts w:ascii="宋体" w:hAnsi="宋体" w:eastAsia="宋体" w:cs="宋体"/>
          <w:spacing w:val="-1"/>
          <w:sz w:val="28"/>
          <w:szCs w:val="28"/>
        </w:rPr>
        <w:t>⑨企业消防设施由各部门安全员专人维护管理。</w:t>
      </w:r>
    </w:p>
    <w:p w14:paraId="7CB6A5CD">
      <w:pPr>
        <w:spacing w:before="212"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2</w:t>
      </w:r>
      <w:r>
        <w:rPr>
          <w:rFonts w:ascii="宋体" w:hAnsi="宋体" w:eastAsia="宋体" w:cs="宋体"/>
          <w:spacing w:val="-3"/>
          <w:sz w:val="28"/>
          <w:szCs w:val="28"/>
        </w:rPr>
        <w:t>）培训计划</w:t>
      </w:r>
    </w:p>
    <w:p w14:paraId="62B6462A">
      <w:pPr>
        <w:spacing w:before="210" w:line="325" w:lineRule="auto"/>
        <w:ind w:left="25" w:right="97" w:firstLine="558"/>
        <w:rPr>
          <w:rFonts w:ascii="宋体" w:hAnsi="宋体" w:eastAsia="宋体" w:cs="宋体"/>
          <w:sz w:val="28"/>
          <w:szCs w:val="28"/>
        </w:rPr>
      </w:pPr>
      <w:r>
        <w:rPr>
          <w:rFonts w:ascii="宋体" w:hAnsi="宋体" w:eastAsia="宋体" w:cs="宋体"/>
          <w:spacing w:val="-4"/>
          <w:sz w:val="28"/>
          <w:szCs w:val="28"/>
        </w:rPr>
        <w:t>①应急救援人员及员工的应急回应的培训总指挥计划、牵头，对</w:t>
      </w:r>
      <w:r>
        <w:rPr>
          <w:rFonts w:ascii="宋体" w:hAnsi="宋体" w:eastAsia="宋体" w:cs="宋体"/>
          <w:spacing w:val="8"/>
          <w:sz w:val="28"/>
          <w:szCs w:val="28"/>
        </w:rPr>
        <w:t xml:space="preserve"> </w:t>
      </w:r>
      <w:r>
        <w:rPr>
          <w:rFonts w:ascii="宋体" w:hAnsi="宋体" w:eastAsia="宋体" w:cs="宋体"/>
          <w:spacing w:val="-4"/>
          <w:sz w:val="28"/>
          <w:szCs w:val="28"/>
        </w:rPr>
        <w:t>相关人员进行事故应急救援培训。企业进行预警级（三级）应急培训</w:t>
      </w:r>
      <w:r>
        <w:rPr>
          <w:rFonts w:ascii="宋体" w:hAnsi="宋体" w:eastAsia="宋体" w:cs="宋体"/>
          <w:spacing w:val="14"/>
          <w:sz w:val="28"/>
          <w:szCs w:val="28"/>
        </w:rPr>
        <w:t xml:space="preserve"> </w:t>
      </w:r>
      <w:r>
        <w:rPr>
          <w:rFonts w:ascii="宋体" w:hAnsi="宋体" w:eastAsia="宋体" w:cs="宋体"/>
          <w:spacing w:val="-4"/>
          <w:sz w:val="28"/>
          <w:szCs w:val="28"/>
        </w:rPr>
        <w:t>每年应不少于两次，企业应急二级回应培训每年应不少于一次，并记</w:t>
      </w:r>
      <w:r>
        <w:rPr>
          <w:rFonts w:ascii="宋体" w:hAnsi="宋体" w:eastAsia="宋体" w:cs="宋体"/>
          <w:spacing w:val="14"/>
          <w:sz w:val="28"/>
          <w:szCs w:val="28"/>
        </w:rPr>
        <w:t xml:space="preserve"> </w:t>
      </w:r>
      <w:r>
        <w:rPr>
          <w:rFonts w:ascii="宋体" w:hAnsi="宋体" w:eastAsia="宋体" w:cs="宋体"/>
          <w:spacing w:val="-5"/>
          <w:sz w:val="28"/>
          <w:szCs w:val="28"/>
        </w:rPr>
        <w:t>录。</w:t>
      </w:r>
    </w:p>
    <w:p w14:paraId="47003459">
      <w:pPr>
        <w:spacing w:before="207" w:line="218" w:lineRule="auto"/>
        <w:ind w:left="581"/>
        <w:rPr>
          <w:rFonts w:ascii="宋体" w:hAnsi="宋体" w:eastAsia="宋体" w:cs="宋体"/>
          <w:sz w:val="28"/>
          <w:szCs w:val="28"/>
        </w:rPr>
      </w:pPr>
      <w:r>
        <w:rPr>
          <w:rFonts w:ascii="宋体" w:hAnsi="宋体" w:eastAsia="宋体" w:cs="宋体"/>
          <w:spacing w:val="-2"/>
          <w:sz w:val="28"/>
          <w:szCs w:val="28"/>
        </w:rPr>
        <w:t>②培训内容</w:t>
      </w:r>
    </w:p>
    <w:p w14:paraId="47D077B4">
      <w:pPr>
        <w:spacing w:before="216" w:line="359" w:lineRule="auto"/>
        <w:ind w:left="27" w:right="97" w:firstLine="561"/>
        <w:jc w:val="both"/>
        <w:rPr>
          <w:rFonts w:ascii="宋体" w:hAnsi="宋体" w:eastAsia="宋体" w:cs="宋体"/>
          <w:sz w:val="28"/>
          <w:szCs w:val="28"/>
        </w:rPr>
      </w:pPr>
      <w:r>
        <w:rPr>
          <w:rFonts w:ascii="宋体" w:hAnsi="宋体" w:eastAsia="宋体" w:cs="宋体"/>
          <w:spacing w:val="-4"/>
          <w:sz w:val="28"/>
          <w:szCs w:val="28"/>
        </w:rPr>
        <w:t>企业的事故特征、企业危险分析与后果评价、应急事故分级应急</w:t>
      </w:r>
      <w:r>
        <w:rPr>
          <w:rFonts w:ascii="宋体" w:hAnsi="宋体" w:eastAsia="宋体" w:cs="宋体"/>
          <w:spacing w:val="2"/>
          <w:sz w:val="28"/>
          <w:szCs w:val="28"/>
        </w:rPr>
        <w:t xml:space="preserve"> </w:t>
      </w:r>
      <w:r>
        <w:rPr>
          <w:rFonts w:ascii="宋体" w:hAnsi="宋体" w:eastAsia="宋体" w:cs="宋体"/>
          <w:spacing w:val="-4"/>
          <w:sz w:val="28"/>
          <w:szCs w:val="28"/>
        </w:rPr>
        <w:t>救援系统与指挥体系，各应急救援组织的职责、应急状态下专项应急</w:t>
      </w:r>
      <w:r>
        <w:rPr>
          <w:rFonts w:ascii="宋体" w:hAnsi="宋体" w:eastAsia="宋体" w:cs="宋体"/>
          <w:spacing w:val="12"/>
          <w:sz w:val="28"/>
          <w:szCs w:val="28"/>
        </w:rPr>
        <w:t xml:space="preserve"> </w:t>
      </w:r>
      <w:r>
        <w:rPr>
          <w:rFonts w:ascii="宋体" w:hAnsi="宋体" w:eastAsia="宋体" w:cs="宋体"/>
          <w:spacing w:val="-1"/>
          <w:sz w:val="28"/>
          <w:szCs w:val="28"/>
        </w:rPr>
        <w:t>救援队完成应急任务中所需的基本知识与技能等。</w:t>
      </w:r>
    </w:p>
    <w:p w14:paraId="63B657A7">
      <w:pPr>
        <w:spacing w:line="219" w:lineRule="auto"/>
        <w:ind w:left="592"/>
        <w:rPr>
          <w:rFonts w:ascii="宋体" w:hAnsi="宋体" w:eastAsia="宋体" w:cs="宋体"/>
          <w:sz w:val="28"/>
          <w:szCs w:val="28"/>
        </w:rPr>
      </w:pPr>
      <w:r>
        <w:rPr>
          <w:rFonts w:ascii="宋体" w:hAnsi="宋体" w:eastAsia="宋体" w:cs="宋体"/>
          <w:spacing w:val="-2"/>
          <w:sz w:val="28"/>
          <w:szCs w:val="28"/>
        </w:rPr>
        <w:t>（</w:t>
      </w:r>
      <w:r>
        <w:rPr>
          <w:rFonts w:ascii="Times New Roman" w:hAnsi="Times New Roman" w:eastAsia="Times New Roman" w:cs="Times New Roman"/>
          <w:spacing w:val="-2"/>
          <w:sz w:val="28"/>
          <w:szCs w:val="28"/>
        </w:rPr>
        <w:t>3</w:t>
      </w:r>
      <w:r>
        <w:rPr>
          <w:rFonts w:ascii="宋体" w:hAnsi="宋体" w:eastAsia="宋体" w:cs="宋体"/>
          <w:spacing w:val="-2"/>
          <w:sz w:val="28"/>
          <w:szCs w:val="28"/>
        </w:rPr>
        <w:t>）周边人员应急回应知识宣传</w:t>
      </w:r>
    </w:p>
    <w:p w14:paraId="5E806D5D">
      <w:pPr>
        <w:spacing w:before="211" w:line="362" w:lineRule="auto"/>
        <w:ind w:left="36" w:right="97" w:firstLine="556"/>
        <w:rPr>
          <w:rFonts w:ascii="宋体" w:hAnsi="宋体" w:eastAsia="宋体" w:cs="宋体"/>
          <w:sz w:val="28"/>
          <w:szCs w:val="28"/>
        </w:rPr>
      </w:pPr>
      <w:r>
        <w:rPr>
          <w:rFonts w:ascii="宋体" w:hAnsi="宋体" w:eastAsia="宋体" w:cs="宋体"/>
          <w:spacing w:val="-4"/>
          <w:sz w:val="28"/>
          <w:szCs w:val="28"/>
        </w:rPr>
        <w:t>公司每年定期对周边界区人员进行应急知识宣传，以提高相</w:t>
      </w:r>
      <w:r>
        <w:rPr>
          <w:rFonts w:ascii="宋体" w:hAnsi="宋体" w:eastAsia="宋体" w:cs="宋体"/>
          <w:spacing w:val="-5"/>
          <w:sz w:val="28"/>
          <w:szCs w:val="28"/>
        </w:rPr>
        <w:t>关人</w:t>
      </w:r>
      <w:r>
        <w:rPr>
          <w:rFonts w:ascii="宋体" w:hAnsi="宋体" w:eastAsia="宋体" w:cs="宋体"/>
          <w:sz w:val="28"/>
          <w:szCs w:val="28"/>
        </w:rPr>
        <w:t xml:space="preserve"> </w:t>
      </w:r>
      <w:r>
        <w:rPr>
          <w:rFonts w:ascii="宋体" w:hAnsi="宋体" w:eastAsia="宋体" w:cs="宋体"/>
          <w:spacing w:val="-3"/>
          <w:sz w:val="28"/>
          <w:szCs w:val="28"/>
        </w:rPr>
        <w:t>员对危险目标的认识。</w:t>
      </w:r>
    </w:p>
    <w:p w14:paraId="49A844CE">
      <w:pPr>
        <w:spacing w:line="362" w:lineRule="auto"/>
        <w:rPr>
          <w:rFonts w:ascii="宋体" w:hAnsi="宋体" w:eastAsia="宋体" w:cs="宋体"/>
          <w:sz w:val="28"/>
          <w:szCs w:val="28"/>
        </w:rPr>
        <w:sectPr>
          <w:footerReference r:id="rId130" w:type="default"/>
          <w:pgSz w:w="11906" w:h="16839"/>
          <w:pgMar w:top="400" w:right="1701" w:bottom="1259" w:left="1785" w:header="0" w:footer="1097" w:gutter="0"/>
          <w:cols w:space="720" w:num="1"/>
        </w:sectPr>
      </w:pPr>
    </w:p>
    <w:p w14:paraId="14D7ACFA">
      <w:pPr>
        <w:pStyle w:val="2"/>
        <w:spacing w:line="245" w:lineRule="auto"/>
      </w:pPr>
    </w:p>
    <w:p w14:paraId="4084C106">
      <w:pPr>
        <w:pStyle w:val="2"/>
        <w:spacing w:line="245" w:lineRule="auto"/>
      </w:pPr>
    </w:p>
    <w:p w14:paraId="2827574C">
      <w:pPr>
        <w:pStyle w:val="2"/>
        <w:spacing w:line="246" w:lineRule="auto"/>
      </w:pPr>
    </w:p>
    <w:p w14:paraId="341AB96E">
      <w:pPr>
        <w:pStyle w:val="2"/>
        <w:spacing w:line="246" w:lineRule="auto"/>
      </w:pPr>
    </w:p>
    <w:p w14:paraId="197A937B">
      <w:pPr>
        <w:spacing w:before="91" w:line="221" w:lineRule="auto"/>
        <w:ind w:left="592"/>
        <w:rPr>
          <w:rFonts w:ascii="宋体" w:hAnsi="宋体" w:eastAsia="宋体" w:cs="宋体"/>
          <w:sz w:val="28"/>
          <w:szCs w:val="28"/>
        </w:rPr>
      </w:pPr>
      <w:r>
        <w:rPr>
          <w:rFonts w:ascii="宋体" w:hAnsi="宋体" w:eastAsia="宋体" w:cs="宋体"/>
          <w:spacing w:val="-3"/>
          <w:sz w:val="28"/>
          <w:szCs w:val="28"/>
        </w:rPr>
        <w:t>（</w:t>
      </w:r>
      <w:r>
        <w:rPr>
          <w:rFonts w:ascii="Times New Roman" w:hAnsi="Times New Roman" w:eastAsia="Times New Roman" w:cs="Times New Roman"/>
          <w:spacing w:val="-3"/>
          <w:sz w:val="28"/>
          <w:szCs w:val="28"/>
        </w:rPr>
        <w:t>4</w:t>
      </w:r>
      <w:r>
        <w:rPr>
          <w:rFonts w:ascii="宋体" w:hAnsi="宋体" w:eastAsia="宋体" w:cs="宋体"/>
          <w:spacing w:val="-3"/>
          <w:sz w:val="28"/>
          <w:szCs w:val="28"/>
        </w:rPr>
        <w:t>）应急培训</w:t>
      </w:r>
    </w:p>
    <w:p w14:paraId="757CFFFB">
      <w:pPr>
        <w:spacing w:before="211" w:line="359" w:lineRule="auto"/>
        <w:ind w:left="26" w:firstLine="559"/>
        <w:rPr>
          <w:rFonts w:ascii="宋体" w:hAnsi="宋体" w:eastAsia="宋体" w:cs="宋体"/>
          <w:sz w:val="28"/>
          <w:szCs w:val="28"/>
        </w:rPr>
      </w:pPr>
      <w:r>
        <w:rPr>
          <w:rFonts w:ascii="宋体" w:hAnsi="宋体" w:eastAsia="宋体" w:cs="宋体"/>
          <w:spacing w:val="-4"/>
          <w:sz w:val="28"/>
          <w:szCs w:val="28"/>
        </w:rPr>
        <w:t>要加强对各救援队伍的培训。每年年中对应急救援人员进行一次</w:t>
      </w:r>
      <w:r>
        <w:rPr>
          <w:rFonts w:ascii="宋体" w:hAnsi="宋体" w:eastAsia="宋体" w:cs="宋体"/>
          <w:spacing w:val="6"/>
          <w:sz w:val="28"/>
          <w:szCs w:val="28"/>
        </w:rPr>
        <w:t xml:space="preserve"> </w:t>
      </w:r>
      <w:r>
        <w:rPr>
          <w:rFonts w:ascii="宋体" w:hAnsi="宋体" w:eastAsia="宋体" w:cs="宋体"/>
          <w:spacing w:val="-2"/>
          <w:sz w:val="28"/>
          <w:szCs w:val="28"/>
        </w:rPr>
        <w:t>培训；做到四懂（懂得泄漏和火灾的危险性、预防措施、安全处置、</w:t>
      </w:r>
      <w:r>
        <w:rPr>
          <w:rFonts w:ascii="宋体" w:hAnsi="宋体" w:eastAsia="宋体" w:cs="宋体"/>
          <w:spacing w:val="5"/>
          <w:sz w:val="28"/>
          <w:szCs w:val="28"/>
        </w:rPr>
        <w:t xml:space="preserve"> </w:t>
      </w:r>
      <w:r>
        <w:rPr>
          <w:rFonts w:ascii="宋体" w:hAnsi="宋体" w:eastAsia="宋体" w:cs="宋体"/>
          <w:spacing w:val="-2"/>
          <w:sz w:val="28"/>
          <w:szCs w:val="28"/>
        </w:rPr>
        <w:t>逃生方法</w:t>
      </w:r>
      <w:r>
        <w:rPr>
          <w:rFonts w:ascii="宋体" w:hAnsi="宋体" w:eastAsia="宋体" w:cs="宋体"/>
          <w:spacing w:val="19"/>
          <w:sz w:val="28"/>
          <w:szCs w:val="28"/>
        </w:rPr>
        <w:t>），</w:t>
      </w:r>
      <w:r>
        <w:rPr>
          <w:rFonts w:ascii="宋体" w:hAnsi="宋体" w:eastAsia="宋体" w:cs="宋体"/>
          <w:spacing w:val="-2"/>
          <w:sz w:val="28"/>
          <w:szCs w:val="28"/>
        </w:rPr>
        <w:t>四会（会报警、使用灭火器、灭初期火、逃生）。</w:t>
      </w:r>
    </w:p>
    <w:p w14:paraId="7AF55AF0">
      <w:pPr>
        <w:spacing w:before="2" w:line="360" w:lineRule="auto"/>
        <w:ind w:left="22" w:right="52" w:firstLine="568"/>
        <w:rPr>
          <w:rFonts w:ascii="宋体" w:hAnsi="宋体" w:eastAsia="宋体" w:cs="宋体"/>
          <w:sz w:val="28"/>
          <w:szCs w:val="28"/>
        </w:rPr>
      </w:pPr>
      <w:r>
        <w:rPr>
          <w:rFonts w:ascii="宋体" w:hAnsi="宋体" w:eastAsia="宋体" w:cs="宋体"/>
          <w:spacing w:val="-4"/>
          <w:sz w:val="28"/>
          <w:szCs w:val="28"/>
        </w:rPr>
        <w:t>另外，应注意加强园区或周边人员应急回应知识的宣传，通过板</w:t>
      </w:r>
      <w:r>
        <w:rPr>
          <w:rFonts w:ascii="宋体" w:hAnsi="宋体" w:eastAsia="宋体" w:cs="宋体"/>
          <w:sz w:val="28"/>
          <w:szCs w:val="28"/>
        </w:rPr>
        <w:t xml:space="preserve"> </w:t>
      </w:r>
      <w:r>
        <w:rPr>
          <w:rFonts w:ascii="宋体" w:hAnsi="宋体" w:eastAsia="宋体" w:cs="宋体"/>
          <w:spacing w:val="-1"/>
          <w:sz w:val="28"/>
          <w:szCs w:val="28"/>
        </w:rPr>
        <w:t>报、传单、讲课等形式，使周边人员了解一定的事故防范措施。</w:t>
      </w:r>
    </w:p>
    <w:p w14:paraId="7491ABC9">
      <w:pPr>
        <w:spacing w:before="2" w:line="228" w:lineRule="auto"/>
        <w:ind w:left="26"/>
        <w:outlineLvl w:val="0"/>
        <w:rPr>
          <w:rFonts w:ascii="黑体" w:hAnsi="黑体" w:eastAsia="黑体" w:cs="黑体"/>
          <w:sz w:val="31"/>
          <w:szCs w:val="31"/>
        </w:rPr>
      </w:pPr>
      <w:bookmarkStart w:id="31" w:name="bookmark32"/>
      <w:bookmarkEnd w:id="31"/>
      <w:r>
        <w:rPr>
          <w:rFonts w:ascii="Times New Roman" w:hAnsi="Times New Roman" w:eastAsia="Times New Roman" w:cs="Times New Roman"/>
          <w:spacing w:val="2"/>
          <w:sz w:val="31"/>
          <w:szCs w:val="31"/>
        </w:rPr>
        <w:t>9</w:t>
      </w:r>
      <w:r>
        <w:rPr>
          <w:rFonts w:ascii="Times New Roman" w:hAnsi="Times New Roman" w:eastAsia="Times New Roman" w:cs="Times New Roman"/>
          <w:spacing w:val="23"/>
          <w:sz w:val="31"/>
          <w:szCs w:val="31"/>
        </w:rPr>
        <w:t xml:space="preserve"> </w:t>
      </w:r>
      <w:r>
        <w:rPr>
          <w:rFonts w:ascii="黑体" w:hAnsi="黑体" w:eastAsia="黑体" w:cs="黑体"/>
          <w:spacing w:val="2"/>
          <w:sz w:val="31"/>
          <w:szCs w:val="31"/>
        </w:rPr>
        <w:t>分析结论</w:t>
      </w:r>
    </w:p>
    <w:p w14:paraId="1F12FA63">
      <w:pPr>
        <w:spacing w:before="233" w:line="359" w:lineRule="auto"/>
        <w:ind w:left="23" w:firstLine="561"/>
        <w:jc w:val="both"/>
        <w:rPr>
          <w:rFonts w:ascii="宋体" w:hAnsi="宋体" w:eastAsia="宋体" w:cs="宋体"/>
          <w:sz w:val="28"/>
          <w:szCs w:val="28"/>
        </w:rPr>
      </w:pPr>
      <w:r>
        <w:rPr>
          <w:rFonts w:ascii="宋体" w:hAnsi="宋体" w:eastAsia="宋体" w:cs="宋体"/>
          <w:spacing w:val="6"/>
          <w:sz w:val="28"/>
          <w:szCs w:val="28"/>
        </w:rPr>
        <w:t>本项目为鄂托克经济开发区棋西项目区危险化学品车辆专用停</w:t>
      </w:r>
      <w:r>
        <w:rPr>
          <w:rFonts w:ascii="宋体" w:hAnsi="宋体" w:eastAsia="宋体" w:cs="宋体"/>
          <w:spacing w:val="12"/>
          <w:sz w:val="28"/>
          <w:szCs w:val="28"/>
        </w:rPr>
        <w:t xml:space="preserve"> </w:t>
      </w:r>
      <w:r>
        <w:rPr>
          <w:rFonts w:ascii="宋体" w:hAnsi="宋体" w:eastAsia="宋体" w:cs="宋体"/>
          <w:spacing w:val="-4"/>
          <w:sz w:val="28"/>
          <w:szCs w:val="28"/>
        </w:rPr>
        <w:t>车场项目，建设内容为危险化学品车辆专用停车场以及辅助设施，包</w:t>
      </w:r>
      <w:r>
        <w:rPr>
          <w:rFonts w:ascii="宋体" w:hAnsi="宋体" w:eastAsia="宋体" w:cs="宋体"/>
          <w:spacing w:val="15"/>
          <w:sz w:val="28"/>
          <w:szCs w:val="28"/>
        </w:rPr>
        <w:t xml:space="preserve"> </w:t>
      </w:r>
      <w:r>
        <w:rPr>
          <w:rFonts w:ascii="宋体" w:hAnsi="宋体" w:eastAsia="宋体" w:cs="宋体"/>
          <w:spacing w:val="-1"/>
          <w:sz w:val="28"/>
          <w:szCs w:val="28"/>
        </w:rPr>
        <w:t>括停车位</w:t>
      </w:r>
      <w:r>
        <w:rPr>
          <w:rFonts w:ascii="宋体" w:hAnsi="宋体" w:eastAsia="宋体" w:cs="宋体"/>
          <w:spacing w:val="-59"/>
          <w:sz w:val="28"/>
          <w:szCs w:val="28"/>
        </w:rPr>
        <w:t xml:space="preserve"> </w:t>
      </w:r>
      <w:r>
        <w:rPr>
          <w:rFonts w:ascii="Times New Roman" w:hAnsi="Times New Roman" w:eastAsia="Times New Roman" w:cs="Times New Roman"/>
          <w:spacing w:val="-1"/>
          <w:sz w:val="28"/>
          <w:szCs w:val="28"/>
        </w:rPr>
        <w:t xml:space="preserve">92 </w:t>
      </w:r>
      <w:r>
        <w:rPr>
          <w:rFonts w:ascii="宋体" w:hAnsi="宋体" w:eastAsia="宋体" w:cs="宋体"/>
          <w:spacing w:val="-1"/>
          <w:sz w:val="28"/>
          <w:szCs w:val="28"/>
        </w:rPr>
        <w:t>个（空载车位</w:t>
      </w:r>
      <w:r>
        <w:rPr>
          <w:rFonts w:ascii="宋体" w:hAnsi="宋体" w:eastAsia="宋体" w:cs="宋体"/>
          <w:spacing w:val="-53"/>
          <w:sz w:val="28"/>
          <w:szCs w:val="28"/>
        </w:rPr>
        <w:t xml:space="preserve"> </w:t>
      </w:r>
      <w:r>
        <w:rPr>
          <w:rFonts w:ascii="Times New Roman" w:hAnsi="Times New Roman" w:eastAsia="Times New Roman" w:cs="Times New Roman"/>
          <w:spacing w:val="-1"/>
          <w:sz w:val="28"/>
          <w:szCs w:val="28"/>
        </w:rPr>
        <w:t xml:space="preserve">82 </w:t>
      </w:r>
      <w:r>
        <w:rPr>
          <w:rFonts w:ascii="宋体" w:hAnsi="宋体" w:eastAsia="宋体" w:cs="宋体"/>
          <w:spacing w:val="-1"/>
          <w:sz w:val="28"/>
          <w:szCs w:val="28"/>
        </w:rPr>
        <w:t>个、重载车位</w:t>
      </w:r>
      <w:r>
        <w:rPr>
          <w:rFonts w:ascii="宋体" w:hAnsi="宋体" w:eastAsia="宋体" w:cs="宋体"/>
          <w:spacing w:val="-38"/>
          <w:sz w:val="28"/>
          <w:szCs w:val="28"/>
        </w:rPr>
        <w:t xml:space="preserve"> </w:t>
      </w:r>
      <w:r>
        <w:rPr>
          <w:rFonts w:ascii="Times New Roman" w:hAnsi="Times New Roman" w:eastAsia="Times New Roman" w:cs="Times New Roman"/>
          <w:spacing w:val="-1"/>
          <w:sz w:val="28"/>
          <w:szCs w:val="28"/>
        </w:rPr>
        <w:t xml:space="preserve">10 </w:t>
      </w:r>
      <w:r>
        <w:rPr>
          <w:rFonts w:ascii="宋体" w:hAnsi="宋体" w:eastAsia="宋体" w:cs="宋体"/>
          <w:spacing w:val="-2"/>
          <w:sz w:val="28"/>
          <w:szCs w:val="28"/>
        </w:rPr>
        <w:t>个</w:t>
      </w:r>
      <w:r>
        <w:rPr>
          <w:rFonts w:ascii="宋体" w:hAnsi="宋体" w:eastAsia="宋体" w:cs="宋体"/>
          <w:spacing w:val="7"/>
          <w:sz w:val="28"/>
          <w:szCs w:val="28"/>
        </w:rPr>
        <w:t>），</w:t>
      </w:r>
      <w:r>
        <w:rPr>
          <w:rFonts w:ascii="宋体" w:hAnsi="宋体" w:eastAsia="宋体" w:cs="宋体"/>
          <w:spacing w:val="-2"/>
          <w:sz w:val="28"/>
          <w:szCs w:val="28"/>
        </w:rPr>
        <w:t>配套综合管理</w:t>
      </w:r>
      <w:r>
        <w:rPr>
          <w:rFonts w:ascii="宋体" w:hAnsi="宋体" w:eastAsia="宋体" w:cs="宋体"/>
          <w:sz w:val="28"/>
          <w:szCs w:val="28"/>
        </w:rPr>
        <w:t xml:space="preserve"> </w:t>
      </w:r>
      <w:r>
        <w:rPr>
          <w:rFonts w:ascii="宋体" w:hAnsi="宋体" w:eastAsia="宋体" w:cs="宋体"/>
          <w:spacing w:val="-2"/>
          <w:sz w:val="28"/>
          <w:szCs w:val="28"/>
        </w:rPr>
        <w:t>用房、餐厅、污水处理间、危废暂存间、消防水泵房、汽车维修间、</w:t>
      </w:r>
      <w:r>
        <w:rPr>
          <w:rFonts w:ascii="宋体" w:hAnsi="宋体" w:eastAsia="宋体" w:cs="宋体"/>
          <w:spacing w:val="8"/>
          <w:sz w:val="28"/>
          <w:szCs w:val="28"/>
        </w:rPr>
        <w:t xml:space="preserve"> </w:t>
      </w:r>
      <w:r>
        <w:rPr>
          <w:rFonts w:ascii="宋体" w:hAnsi="宋体" w:eastAsia="宋体" w:cs="宋体"/>
          <w:spacing w:val="-4"/>
          <w:sz w:val="28"/>
          <w:szCs w:val="28"/>
        </w:rPr>
        <w:t>洗车间（仅清洗空车外壁）、门卫、消防水池、初期雨水池、事故应</w:t>
      </w:r>
      <w:r>
        <w:rPr>
          <w:rFonts w:ascii="宋体" w:hAnsi="宋体" w:eastAsia="宋体" w:cs="宋体"/>
          <w:spacing w:val="15"/>
          <w:sz w:val="28"/>
          <w:szCs w:val="28"/>
        </w:rPr>
        <w:t xml:space="preserve"> </w:t>
      </w:r>
      <w:r>
        <w:rPr>
          <w:rFonts w:ascii="宋体" w:hAnsi="宋体" w:eastAsia="宋体" w:cs="宋体"/>
          <w:spacing w:val="-2"/>
          <w:sz w:val="28"/>
          <w:szCs w:val="28"/>
        </w:rPr>
        <w:t>急池等附属设施。</w:t>
      </w:r>
    </w:p>
    <w:p w14:paraId="45BBDB15">
      <w:pPr>
        <w:spacing w:line="359" w:lineRule="auto"/>
        <w:ind w:left="23" w:firstLine="564"/>
        <w:jc w:val="both"/>
        <w:rPr>
          <w:rFonts w:ascii="宋体" w:hAnsi="宋体" w:eastAsia="宋体" w:cs="宋体"/>
          <w:sz w:val="28"/>
          <w:szCs w:val="28"/>
        </w:rPr>
      </w:pPr>
      <w:r>
        <w:rPr>
          <w:rFonts w:ascii="宋体" w:hAnsi="宋体" w:eastAsia="宋体" w:cs="宋体"/>
          <w:spacing w:val="-4"/>
          <w:sz w:val="28"/>
          <w:szCs w:val="28"/>
        </w:rPr>
        <w:t>项目主要环境风险为满载运输车辆在停车场内停放时的泄漏、火</w:t>
      </w:r>
      <w:r>
        <w:rPr>
          <w:rFonts w:ascii="宋体" w:hAnsi="宋体" w:eastAsia="宋体" w:cs="宋体"/>
          <w:spacing w:val="2"/>
          <w:sz w:val="28"/>
          <w:szCs w:val="28"/>
        </w:rPr>
        <w:t xml:space="preserve"> </w:t>
      </w:r>
      <w:r>
        <w:rPr>
          <w:rFonts w:ascii="宋体" w:hAnsi="宋体" w:eastAsia="宋体" w:cs="宋体"/>
          <w:spacing w:val="-4"/>
          <w:sz w:val="28"/>
          <w:szCs w:val="28"/>
        </w:rPr>
        <w:t>灾、爆炸事故以及其泄漏、火灾爆炸引发的次生环境污染事故。环境</w:t>
      </w:r>
      <w:r>
        <w:rPr>
          <w:rFonts w:ascii="宋体" w:hAnsi="宋体" w:eastAsia="宋体" w:cs="宋体"/>
          <w:spacing w:val="15"/>
          <w:sz w:val="28"/>
          <w:szCs w:val="28"/>
        </w:rPr>
        <w:t xml:space="preserve"> </w:t>
      </w:r>
      <w:r>
        <w:rPr>
          <w:rFonts w:ascii="宋体" w:hAnsi="宋体" w:eastAsia="宋体" w:cs="宋体"/>
          <w:spacing w:val="-2"/>
          <w:sz w:val="28"/>
          <w:szCs w:val="28"/>
        </w:rPr>
        <w:t>风险的客观存在无法改变，但通过科学的设计、施工、操作和管理，</w:t>
      </w:r>
      <w:r>
        <w:rPr>
          <w:rFonts w:ascii="宋体" w:hAnsi="宋体" w:eastAsia="宋体" w:cs="宋体"/>
          <w:spacing w:val="8"/>
          <w:sz w:val="28"/>
          <w:szCs w:val="28"/>
        </w:rPr>
        <w:t xml:space="preserve"> </w:t>
      </w:r>
      <w:r>
        <w:rPr>
          <w:rFonts w:ascii="宋体" w:hAnsi="宋体" w:eastAsia="宋体" w:cs="宋体"/>
          <w:spacing w:val="-4"/>
          <w:sz w:val="28"/>
          <w:szCs w:val="28"/>
        </w:rPr>
        <w:t>可将风险事故发生的可能性和危害性降低到最小程度，真正做到防患</w:t>
      </w:r>
      <w:r>
        <w:rPr>
          <w:rFonts w:ascii="宋体" w:hAnsi="宋体" w:eastAsia="宋体" w:cs="宋体"/>
          <w:spacing w:val="15"/>
          <w:sz w:val="28"/>
          <w:szCs w:val="28"/>
        </w:rPr>
        <w:t xml:space="preserve"> </w:t>
      </w:r>
      <w:r>
        <w:rPr>
          <w:rFonts w:ascii="宋体" w:hAnsi="宋体" w:eastAsia="宋体" w:cs="宋体"/>
          <w:spacing w:val="-4"/>
          <w:sz w:val="28"/>
          <w:szCs w:val="28"/>
        </w:rPr>
        <w:t>于未然，达到预防事故发生的目的。风险管理的重点在于减缓、防范</w:t>
      </w:r>
      <w:r>
        <w:rPr>
          <w:rFonts w:ascii="宋体" w:hAnsi="宋体" w:eastAsia="宋体" w:cs="宋体"/>
          <w:spacing w:val="15"/>
          <w:sz w:val="28"/>
          <w:szCs w:val="28"/>
        </w:rPr>
        <w:t xml:space="preserve"> </w:t>
      </w:r>
      <w:r>
        <w:rPr>
          <w:rFonts w:ascii="宋体" w:hAnsi="宋体" w:eastAsia="宋体" w:cs="宋体"/>
          <w:spacing w:val="-4"/>
          <w:sz w:val="28"/>
          <w:szCs w:val="28"/>
        </w:rPr>
        <w:t>措施。从风险防范方面提出本项目应采用的防范及应急处理措施，主</w:t>
      </w:r>
      <w:r>
        <w:rPr>
          <w:rFonts w:ascii="宋体" w:hAnsi="宋体" w:eastAsia="宋体" w:cs="宋体"/>
          <w:spacing w:val="15"/>
          <w:sz w:val="28"/>
          <w:szCs w:val="28"/>
        </w:rPr>
        <w:t xml:space="preserve"> </w:t>
      </w:r>
      <w:r>
        <w:rPr>
          <w:rFonts w:ascii="宋体" w:hAnsi="宋体" w:eastAsia="宋体" w:cs="宋体"/>
          <w:spacing w:val="-4"/>
          <w:sz w:val="28"/>
          <w:szCs w:val="28"/>
        </w:rPr>
        <w:t>要内容包括选址、总图布置和建筑安全防范、运输过程风险防范、物</w:t>
      </w:r>
      <w:r>
        <w:rPr>
          <w:rFonts w:ascii="宋体" w:hAnsi="宋体" w:eastAsia="宋体" w:cs="宋体"/>
          <w:spacing w:val="15"/>
          <w:sz w:val="28"/>
          <w:szCs w:val="28"/>
        </w:rPr>
        <w:t xml:space="preserve"> </w:t>
      </w:r>
      <w:r>
        <w:rPr>
          <w:rFonts w:ascii="宋体" w:hAnsi="宋体" w:eastAsia="宋体" w:cs="宋体"/>
          <w:spacing w:val="-2"/>
          <w:sz w:val="28"/>
          <w:szCs w:val="28"/>
        </w:rPr>
        <w:t>料泄漏事故的防范、火灾和爆炸事故的防范、消防及火灾报警系统、</w:t>
      </w:r>
      <w:r>
        <w:rPr>
          <w:rFonts w:ascii="宋体" w:hAnsi="宋体" w:eastAsia="宋体" w:cs="宋体"/>
          <w:spacing w:val="8"/>
          <w:sz w:val="28"/>
          <w:szCs w:val="28"/>
        </w:rPr>
        <w:t xml:space="preserve"> </w:t>
      </w:r>
      <w:r>
        <w:rPr>
          <w:rFonts w:ascii="宋体" w:hAnsi="宋体" w:eastAsia="宋体" w:cs="宋体"/>
          <w:spacing w:val="-1"/>
          <w:sz w:val="28"/>
          <w:szCs w:val="28"/>
        </w:rPr>
        <w:t>废水事故排放防范及应急等。</w:t>
      </w:r>
    </w:p>
    <w:p w14:paraId="24C338CD">
      <w:pPr>
        <w:spacing w:before="2" w:line="361" w:lineRule="auto"/>
        <w:ind w:left="26" w:right="52" w:firstLine="559"/>
        <w:jc w:val="both"/>
        <w:rPr>
          <w:rFonts w:ascii="宋体" w:hAnsi="宋体" w:eastAsia="宋体" w:cs="宋体"/>
          <w:sz w:val="28"/>
          <w:szCs w:val="28"/>
        </w:rPr>
      </w:pPr>
      <w:r>
        <w:rPr>
          <w:rFonts w:ascii="宋体" w:hAnsi="宋体" w:eastAsia="宋体" w:cs="宋体"/>
          <w:spacing w:val="-4"/>
          <w:sz w:val="28"/>
          <w:szCs w:val="28"/>
        </w:rPr>
        <w:t>本项目环境风险值水平与同行业比较是可以接受的，通过加强管</w:t>
      </w:r>
      <w:r>
        <w:rPr>
          <w:rFonts w:ascii="宋体" w:hAnsi="宋体" w:eastAsia="宋体" w:cs="宋体"/>
          <w:spacing w:val="6"/>
          <w:sz w:val="28"/>
          <w:szCs w:val="28"/>
        </w:rPr>
        <w:t xml:space="preserve"> </w:t>
      </w:r>
      <w:r>
        <w:rPr>
          <w:rFonts w:ascii="宋体" w:hAnsi="宋体" w:eastAsia="宋体" w:cs="宋体"/>
          <w:spacing w:val="-4"/>
          <w:sz w:val="28"/>
          <w:szCs w:val="28"/>
        </w:rPr>
        <w:t>理，并严格落实评价中提出的风险防范措施后，可在较大程度上避免</w:t>
      </w:r>
      <w:r>
        <w:rPr>
          <w:rFonts w:ascii="宋体" w:hAnsi="宋体" w:eastAsia="宋体" w:cs="宋体"/>
          <w:spacing w:val="13"/>
          <w:sz w:val="28"/>
          <w:szCs w:val="28"/>
        </w:rPr>
        <w:t xml:space="preserve"> </w:t>
      </w:r>
      <w:r>
        <w:rPr>
          <w:rFonts w:ascii="宋体" w:hAnsi="宋体" w:eastAsia="宋体" w:cs="宋体"/>
          <w:spacing w:val="-4"/>
          <w:sz w:val="28"/>
          <w:szCs w:val="28"/>
        </w:rPr>
        <w:t>风险的产生。项目建成后，应进行必要的工程质量、施工等方面的验</w:t>
      </w:r>
    </w:p>
    <w:p w14:paraId="3D82EF19">
      <w:pPr>
        <w:spacing w:line="361" w:lineRule="auto"/>
        <w:rPr>
          <w:rFonts w:ascii="宋体" w:hAnsi="宋体" w:eastAsia="宋体" w:cs="宋体"/>
          <w:sz w:val="28"/>
          <w:szCs w:val="28"/>
        </w:rPr>
        <w:sectPr>
          <w:footerReference r:id="rId131" w:type="default"/>
          <w:pgSz w:w="11906" w:h="16839"/>
          <w:pgMar w:top="400" w:right="1747" w:bottom="1259" w:left="1785" w:header="0" w:footer="1097" w:gutter="0"/>
          <w:cols w:space="720" w:num="1"/>
        </w:sectPr>
      </w:pPr>
    </w:p>
    <w:p w14:paraId="73B0F91D">
      <w:pPr>
        <w:pStyle w:val="2"/>
        <w:spacing w:line="246" w:lineRule="auto"/>
      </w:pPr>
    </w:p>
    <w:p w14:paraId="24F1A0AA">
      <w:pPr>
        <w:pStyle w:val="2"/>
        <w:spacing w:line="246" w:lineRule="auto"/>
      </w:pPr>
    </w:p>
    <w:p w14:paraId="55AF1290">
      <w:pPr>
        <w:pStyle w:val="2"/>
        <w:spacing w:line="246" w:lineRule="auto"/>
      </w:pPr>
    </w:p>
    <w:p w14:paraId="0E90B4ED">
      <w:pPr>
        <w:pStyle w:val="2"/>
        <w:spacing w:line="246" w:lineRule="auto"/>
      </w:pPr>
    </w:p>
    <w:p w14:paraId="5EB2E554">
      <w:pPr>
        <w:spacing w:before="91" w:line="360" w:lineRule="auto"/>
        <w:ind w:left="25" w:right="13" w:firstLine="9"/>
        <w:jc w:val="both"/>
        <w:rPr>
          <w:rFonts w:ascii="宋体" w:hAnsi="宋体" w:eastAsia="宋体" w:cs="宋体"/>
          <w:sz w:val="28"/>
          <w:szCs w:val="28"/>
        </w:rPr>
      </w:pPr>
      <w:r>
        <w:rPr>
          <w:rFonts w:ascii="宋体" w:hAnsi="宋体" w:eastAsia="宋体" w:cs="宋体"/>
          <w:spacing w:val="-4"/>
          <w:sz w:val="28"/>
          <w:szCs w:val="28"/>
        </w:rPr>
        <w:t>收后，方投入正常生产。厂内主要责任人及安全管理人员必须经安监</w:t>
      </w:r>
      <w:r>
        <w:rPr>
          <w:rFonts w:ascii="宋体" w:hAnsi="宋体" w:eastAsia="宋体" w:cs="宋体"/>
          <w:spacing w:val="4"/>
          <w:sz w:val="28"/>
          <w:szCs w:val="28"/>
        </w:rPr>
        <w:t xml:space="preserve"> </w:t>
      </w:r>
      <w:r>
        <w:rPr>
          <w:rFonts w:ascii="宋体" w:hAnsi="宋体" w:eastAsia="宋体" w:cs="宋体"/>
          <w:spacing w:val="-4"/>
          <w:sz w:val="28"/>
          <w:szCs w:val="28"/>
        </w:rPr>
        <w:t>部门培训，考核合格后持证上岗；特种作业人员必须经过专业培训持</w:t>
      </w:r>
      <w:r>
        <w:rPr>
          <w:rFonts w:ascii="宋体" w:hAnsi="宋体" w:eastAsia="宋体" w:cs="宋体"/>
          <w:spacing w:val="14"/>
          <w:sz w:val="28"/>
          <w:szCs w:val="28"/>
        </w:rPr>
        <w:t xml:space="preserve"> </w:t>
      </w:r>
      <w:r>
        <w:rPr>
          <w:rFonts w:ascii="宋体" w:hAnsi="宋体" w:eastAsia="宋体" w:cs="宋体"/>
          <w:spacing w:val="-4"/>
          <w:sz w:val="28"/>
          <w:szCs w:val="28"/>
        </w:rPr>
        <w:t>证上岗。其他从业人员均应经过三级安全教育，持证上岗。在各环境</w:t>
      </w:r>
      <w:r>
        <w:rPr>
          <w:rFonts w:ascii="宋体" w:hAnsi="宋体" w:eastAsia="宋体" w:cs="宋体"/>
          <w:spacing w:val="14"/>
          <w:sz w:val="28"/>
          <w:szCs w:val="28"/>
        </w:rPr>
        <w:t xml:space="preserve"> </w:t>
      </w:r>
      <w:r>
        <w:rPr>
          <w:rFonts w:ascii="宋体" w:hAnsi="宋体" w:eastAsia="宋体" w:cs="宋体"/>
          <w:spacing w:val="-4"/>
          <w:sz w:val="28"/>
          <w:szCs w:val="28"/>
        </w:rPr>
        <w:t>风险防范措施落实到位的情况下，将可大降低本项目的环境风险，最</w:t>
      </w:r>
      <w:r>
        <w:rPr>
          <w:rFonts w:ascii="宋体" w:hAnsi="宋体" w:eastAsia="宋体" w:cs="宋体"/>
          <w:spacing w:val="14"/>
          <w:sz w:val="28"/>
          <w:szCs w:val="28"/>
        </w:rPr>
        <w:t xml:space="preserve"> </w:t>
      </w:r>
      <w:r>
        <w:rPr>
          <w:rFonts w:ascii="宋体" w:hAnsi="宋体" w:eastAsia="宋体" w:cs="宋体"/>
          <w:spacing w:val="-1"/>
          <w:sz w:val="28"/>
          <w:szCs w:val="28"/>
        </w:rPr>
        <w:t>大程度减少对环境可能造成的危害。</w:t>
      </w:r>
    </w:p>
    <w:p w14:paraId="21D71957">
      <w:pPr>
        <w:spacing w:line="360" w:lineRule="auto"/>
        <w:rPr>
          <w:rFonts w:ascii="宋体" w:hAnsi="宋体" w:eastAsia="宋体" w:cs="宋体"/>
          <w:sz w:val="28"/>
          <w:szCs w:val="28"/>
        </w:rPr>
        <w:sectPr>
          <w:footerReference r:id="rId132" w:type="default"/>
          <w:pgSz w:w="11906" w:h="16839"/>
          <w:pgMar w:top="400" w:right="1785" w:bottom="1259" w:left="1785" w:header="0" w:footer="1097" w:gutter="0"/>
          <w:cols w:space="720" w:num="1"/>
        </w:sectPr>
      </w:pPr>
    </w:p>
    <w:p w14:paraId="54667151">
      <w:pPr>
        <w:pStyle w:val="2"/>
        <w:spacing w:line="245" w:lineRule="auto"/>
      </w:pPr>
    </w:p>
    <w:p w14:paraId="4EC533ED">
      <w:pPr>
        <w:pStyle w:val="2"/>
        <w:spacing w:line="245" w:lineRule="auto"/>
      </w:pPr>
    </w:p>
    <w:p w14:paraId="5F5CDA5F">
      <w:pPr>
        <w:pStyle w:val="2"/>
        <w:spacing w:line="245" w:lineRule="auto"/>
      </w:pPr>
    </w:p>
    <w:p w14:paraId="58663572">
      <w:pPr>
        <w:pStyle w:val="2"/>
        <w:spacing w:line="246" w:lineRule="auto"/>
      </w:pPr>
    </w:p>
    <w:p w14:paraId="1EC7EE1B">
      <w:pPr>
        <w:spacing w:before="101" w:line="228" w:lineRule="auto"/>
        <w:ind w:left="44"/>
        <w:outlineLvl w:val="0"/>
        <w:rPr>
          <w:rFonts w:ascii="黑体" w:hAnsi="黑体" w:eastAsia="黑体" w:cs="黑体"/>
          <w:sz w:val="31"/>
          <w:szCs w:val="31"/>
        </w:rPr>
      </w:pPr>
      <w:bookmarkStart w:id="32" w:name="bookmark33"/>
      <w:bookmarkEnd w:id="32"/>
      <w:r>
        <w:rPr>
          <w:rFonts w:ascii="黑体" w:hAnsi="黑体" w:eastAsia="黑体" w:cs="黑体"/>
          <w:spacing w:val="2"/>
          <w:sz w:val="31"/>
          <w:szCs w:val="31"/>
        </w:rPr>
        <w:t>附图附件</w:t>
      </w:r>
    </w:p>
    <w:p w14:paraId="472BA6AE">
      <w:pPr>
        <w:spacing w:before="227" w:line="219" w:lineRule="auto"/>
        <w:ind w:left="42"/>
        <w:outlineLvl w:val="1"/>
        <w:rPr>
          <w:rFonts w:ascii="宋体" w:hAnsi="宋体" w:eastAsia="宋体" w:cs="宋体"/>
          <w:sz w:val="24"/>
          <w:szCs w:val="24"/>
        </w:rPr>
      </w:pPr>
      <w:bookmarkStart w:id="33" w:name="bookmark34"/>
      <w:bookmarkEnd w:id="33"/>
      <w:r>
        <w:rPr>
          <w:rFonts w:ascii="宋体" w:hAnsi="宋体" w:eastAsia="宋体" w:cs="宋体"/>
          <w:b/>
          <w:bCs/>
          <w:spacing w:val="-5"/>
          <w:sz w:val="24"/>
          <w:szCs w:val="24"/>
        </w:rPr>
        <w:t>附件一</w:t>
      </w:r>
      <w:r>
        <w:rPr>
          <w:rFonts w:ascii="宋体" w:hAnsi="宋体" w:eastAsia="宋体" w:cs="宋体"/>
          <w:spacing w:val="-5"/>
          <w:sz w:val="24"/>
          <w:szCs w:val="24"/>
        </w:rPr>
        <w:t xml:space="preserve"> </w:t>
      </w:r>
      <w:r>
        <w:rPr>
          <w:rFonts w:ascii="宋体" w:hAnsi="宋体" w:eastAsia="宋体" w:cs="宋体"/>
          <w:b/>
          <w:bCs/>
          <w:spacing w:val="-5"/>
          <w:sz w:val="24"/>
          <w:szCs w:val="24"/>
        </w:rPr>
        <w:t>项目委托书</w:t>
      </w:r>
    </w:p>
    <w:p w14:paraId="6CC01B7F">
      <w:pPr>
        <w:spacing w:line="219" w:lineRule="auto"/>
        <w:rPr>
          <w:rFonts w:ascii="宋体" w:hAnsi="宋体" w:eastAsia="宋体" w:cs="宋体"/>
          <w:sz w:val="24"/>
          <w:szCs w:val="24"/>
        </w:rPr>
        <w:sectPr>
          <w:footerReference r:id="rId133" w:type="default"/>
          <w:pgSz w:w="11906" w:h="16839"/>
          <w:pgMar w:top="400" w:right="1785" w:bottom="1259" w:left="1785" w:header="0" w:footer="1097" w:gutter="0"/>
          <w:cols w:space="720" w:num="1"/>
        </w:sectPr>
      </w:pPr>
    </w:p>
    <w:p w14:paraId="409E86A8">
      <w:pPr>
        <w:pStyle w:val="2"/>
        <w:spacing w:line="247" w:lineRule="auto"/>
      </w:pPr>
    </w:p>
    <w:p w14:paraId="1DE04E3E">
      <w:pPr>
        <w:pStyle w:val="2"/>
        <w:spacing w:line="247" w:lineRule="auto"/>
      </w:pPr>
    </w:p>
    <w:p w14:paraId="3EE07EE5">
      <w:pPr>
        <w:pStyle w:val="2"/>
        <w:spacing w:line="248" w:lineRule="auto"/>
      </w:pPr>
    </w:p>
    <w:p w14:paraId="2020B784">
      <w:pPr>
        <w:pStyle w:val="2"/>
        <w:spacing w:line="248" w:lineRule="auto"/>
      </w:pPr>
    </w:p>
    <w:p w14:paraId="2B45BDB6">
      <w:pPr>
        <w:spacing w:before="78" w:line="219" w:lineRule="auto"/>
        <w:ind w:left="42"/>
        <w:outlineLvl w:val="1"/>
        <w:rPr>
          <w:rFonts w:ascii="宋体" w:hAnsi="宋体" w:eastAsia="宋体" w:cs="宋体"/>
          <w:sz w:val="24"/>
          <w:szCs w:val="24"/>
        </w:rPr>
      </w:pPr>
      <w:bookmarkStart w:id="34" w:name="bookmark35"/>
      <w:bookmarkEnd w:id="34"/>
      <w:r>
        <w:rPr>
          <w:rFonts w:ascii="宋体" w:hAnsi="宋体" w:eastAsia="宋体" w:cs="宋体"/>
          <w:b/>
          <w:bCs/>
          <w:spacing w:val="-6"/>
          <w:sz w:val="24"/>
          <w:szCs w:val="24"/>
        </w:rPr>
        <w:t>附件二</w:t>
      </w:r>
      <w:r>
        <w:rPr>
          <w:rFonts w:ascii="宋体" w:hAnsi="宋体" w:eastAsia="宋体" w:cs="宋体"/>
          <w:spacing w:val="-6"/>
          <w:sz w:val="24"/>
          <w:szCs w:val="24"/>
        </w:rPr>
        <w:t xml:space="preserve"> </w:t>
      </w:r>
      <w:r>
        <w:rPr>
          <w:rFonts w:ascii="宋体" w:hAnsi="宋体" w:eastAsia="宋体" w:cs="宋体"/>
          <w:b/>
          <w:bCs/>
          <w:spacing w:val="-6"/>
          <w:sz w:val="24"/>
          <w:szCs w:val="24"/>
        </w:rPr>
        <w:t>可研批复</w:t>
      </w:r>
    </w:p>
    <w:p w14:paraId="343E7B6E">
      <w:pPr>
        <w:spacing w:before="146" w:line="11446" w:lineRule="exact"/>
        <w:ind w:firstLine="42"/>
      </w:pPr>
      <w:r>
        <w:rPr>
          <w:position w:val="-228"/>
        </w:rPr>
        <w:drawing>
          <wp:inline distT="0" distB="0" distL="0" distR="0">
            <wp:extent cx="5239385" cy="72675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87"/>
                    <a:stretch>
                      <a:fillRect/>
                    </a:stretch>
                  </pic:blipFill>
                  <pic:spPr>
                    <a:xfrm>
                      <a:off x="0" y="0"/>
                      <a:ext cx="5239511" cy="7267956"/>
                    </a:xfrm>
                    <a:prstGeom prst="rect">
                      <a:avLst/>
                    </a:prstGeom>
                  </pic:spPr>
                </pic:pic>
              </a:graphicData>
            </a:graphic>
          </wp:inline>
        </w:drawing>
      </w:r>
    </w:p>
    <w:p w14:paraId="297277C4">
      <w:pPr>
        <w:spacing w:line="11446" w:lineRule="exact"/>
        <w:sectPr>
          <w:footerReference r:id="rId134" w:type="default"/>
          <w:pgSz w:w="11906" w:h="16839"/>
          <w:pgMar w:top="400" w:right="1785" w:bottom="1259" w:left="1785" w:header="0" w:footer="1097" w:gutter="0"/>
          <w:cols w:space="720" w:num="1"/>
        </w:sectPr>
      </w:pPr>
    </w:p>
    <w:p w14:paraId="6511803C">
      <w:pPr>
        <w:pStyle w:val="2"/>
        <w:spacing w:line="258" w:lineRule="auto"/>
      </w:pPr>
    </w:p>
    <w:p w14:paraId="118B39FE">
      <w:pPr>
        <w:pStyle w:val="2"/>
        <w:spacing w:line="258" w:lineRule="auto"/>
      </w:pPr>
    </w:p>
    <w:p w14:paraId="6D3F9B2A">
      <w:pPr>
        <w:pStyle w:val="2"/>
        <w:spacing w:line="258" w:lineRule="auto"/>
      </w:pPr>
    </w:p>
    <w:p w14:paraId="022EC096">
      <w:pPr>
        <w:pStyle w:val="2"/>
        <w:spacing w:line="259" w:lineRule="auto"/>
      </w:pPr>
    </w:p>
    <w:p w14:paraId="7C75AFD8">
      <w:pPr>
        <w:spacing w:line="11563" w:lineRule="exact"/>
        <w:ind w:firstLine="21"/>
      </w:pPr>
      <w:r>
        <w:rPr>
          <w:position w:val="-231"/>
        </w:rPr>
        <w:drawing>
          <wp:inline distT="0" distB="0" distL="0" distR="0">
            <wp:extent cx="5266690" cy="73425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88"/>
                    <a:stretch>
                      <a:fillRect/>
                    </a:stretch>
                  </pic:blipFill>
                  <pic:spPr>
                    <a:xfrm>
                      <a:off x="0" y="0"/>
                      <a:ext cx="5266944" cy="7342631"/>
                    </a:xfrm>
                    <a:prstGeom prst="rect">
                      <a:avLst/>
                    </a:prstGeom>
                  </pic:spPr>
                </pic:pic>
              </a:graphicData>
            </a:graphic>
          </wp:inline>
        </w:drawing>
      </w:r>
    </w:p>
    <w:p w14:paraId="0E458640">
      <w:pPr>
        <w:spacing w:line="11563" w:lineRule="exact"/>
        <w:sectPr>
          <w:footerReference r:id="rId135" w:type="default"/>
          <w:pgSz w:w="11906" w:h="16839"/>
          <w:pgMar w:top="400" w:right="1785" w:bottom="1259" w:left="1785" w:header="0" w:footer="1097" w:gutter="0"/>
          <w:cols w:space="720" w:num="1"/>
        </w:sectPr>
      </w:pPr>
    </w:p>
    <w:p w14:paraId="1C2CA405">
      <w:pPr>
        <w:pStyle w:val="2"/>
        <w:spacing w:line="247" w:lineRule="auto"/>
      </w:pPr>
    </w:p>
    <w:p w14:paraId="75708A9E">
      <w:pPr>
        <w:pStyle w:val="2"/>
        <w:spacing w:line="247" w:lineRule="auto"/>
      </w:pPr>
    </w:p>
    <w:p w14:paraId="06174951">
      <w:pPr>
        <w:pStyle w:val="2"/>
        <w:spacing w:line="248" w:lineRule="auto"/>
      </w:pPr>
    </w:p>
    <w:p w14:paraId="7B4E32E1">
      <w:pPr>
        <w:pStyle w:val="2"/>
        <w:spacing w:line="248" w:lineRule="auto"/>
      </w:pPr>
    </w:p>
    <w:p w14:paraId="776BBD06">
      <w:pPr>
        <w:spacing w:before="78" w:line="219" w:lineRule="auto"/>
        <w:ind w:left="42"/>
        <w:outlineLvl w:val="1"/>
        <w:rPr>
          <w:rFonts w:ascii="宋体" w:hAnsi="宋体" w:eastAsia="宋体" w:cs="宋体"/>
          <w:sz w:val="24"/>
          <w:szCs w:val="24"/>
        </w:rPr>
      </w:pPr>
      <w:bookmarkStart w:id="35" w:name="bookmark36"/>
      <w:bookmarkEnd w:id="35"/>
      <w:r>
        <w:rPr>
          <w:rFonts w:ascii="宋体" w:hAnsi="宋体" w:eastAsia="宋体" w:cs="宋体"/>
          <w:b/>
          <w:bCs/>
          <w:spacing w:val="-5"/>
          <w:sz w:val="24"/>
          <w:szCs w:val="24"/>
        </w:rPr>
        <w:t>附件三</w:t>
      </w:r>
      <w:r>
        <w:rPr>
          <w:rFonts w:ascii="宋体" w:hAnsi="宋体" w:eastAsia="宋体" w:cs="宋体"/>
          <w:spacing w:val="-5"/>
          <w:sz w:val="24"/>
          <w:szCs w:val="24"/>
        </w:rPr>
        <w:t xml:space="preserve"> </w:t>
      </w:r>
      <w:r>
        <w:rPr>
          <w:rFonts w:ascii="宋体" w:hAnsi="宋体" w:eastAsia="宋体" w:cs="宋体"/>
          <w:b/>
          <w:bCs/>
          <w:spacing w:val="-5"/>
          <w:sz w:val="24"/>
          <w:szCs w:val="24"/>
        </w:rPr>
        <w:t>初步设计批复</w:t>
      </w:r>
    </w:p>
    <w:p w14:paraId="398DDCD4">
      <w:pPr>
        <w:spacing w:before="146" w:line="10754" w:lineRule="exact"/>
        <w:ind w:firstLine="191"/>
      </w:pPr>
      <w:r>
        <w:rPr>
          <w:position w:val="-215"/>
        </w:rPr>
        <w:drawing>
          <wp:inline distT="0" distB="0" distL="0" distR="0">
            <wp:extent cx="5048885" cy="682879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89"/>
                    <a:stretch>
                      <a:fillRect/>
                    </a:stretch>
                  </pic:blipFill>
                  <pic:spPr>
                    <a:xfrm>
                      <a:off x="0" y="0"/>
                      <a:ext cx="5049011" cy="6829044"/>
                    </a:xfrm>
                    <a:prstGeom prst="rect">
                      <a:avLst/>
                    </a:prstGeom>
                  </pic:spPr>
                </pic:pic>
              </a:graphicData>
            </a:graphic>
          </wp:inline>
        </w:drawing>
      </w:r>
    </w:p>
    <w:p w14:paraId="39F8B718">
      <w:pPr>
        <w:spacing w:line="10754" w:lineRule="exact"/>
        <w:sectPr>
          <w:footerReference r:id="rId136" w:type="default"/>
          <w:pgSz w:w="11906" w:h="16839"/>
          <w:pgMar w:top="400" w:right="1785" w:bottom="1259" w:left="1785" w:header="0" w:footer="1097" w:gutter="0"/>
          <w:cols w:space="720" w:num="1"/>
        </w:sectPr>
      </w:pPr>
    </w:p>
    <w:p w14:paraId="73299C15">
      <w:pPr>
        <w:pStyle w:val="2"/>
        <w:spacing w:line="258" w:lineRule="auto"/>
      </w:pPr>
    </w:p>
    <w:p w14:paraId="28E3A76A">
      <w:pPr>
        <w:pStyle w:val="2"/>
        <w:spacing w:line="258" w:lineRule="auto"/>
      </w:pPr>
    </w:p>
    <w:p w14:paraId="0328CAA9">
      <w:pPr>
        <w:pStyle w:val="2"/>
        <w:spacing w:line="258" w:lineRule="auto"/>
      </w:pPr>
    </w:p>
    <w:p w14:paraId="01106806">
      <w:pPr>
        <w:pStyle w:val="2"/>
        <w:spacing w:line="259" w:lineRule="auto"/>
      </w:pPr>
    </w:p>
    <w:p w14:paraId="675A4542">
      <w:pPr>
        <w:spacing w:line="10726" w:lineRule="exact"/>
        <w:ind w:firstLine="213"/>
      </w:pPr>
      <w:r>
        <w:rPr>
          <w:position w:val="-214"/>
        </w:rPr>
        <w:drawing>
          <wp:inline distT="0" distB="0" distL="0" distR="0">
            <wp:extent cx="5019675" cy="68103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0"/>
                    <a:stretch>
                      <a:fillRect/>
                    </a:stretch>
                  </pic:blipFill>
                  <pic:spPr>
                    <a:xfrm>
                      <a:off x="0" y="0"/>
                      <a:ext cx="5020055" cy="6810756"/>
                    </a:xfrm>
                    <a:prstGeom prst="rect">
                      <a:avLst/>
                    </a:prstGeom>
                  </pic:spPr>
                </pic:pic>
              </a:graphicData>
            </a:graphic>
          </wp:inline>
        </w:drawing>
      </w:r>
    </w:p>
    <w:p w14:paraId="184D7DE4">
      <w:pPr>
        <w:spacing w:line="10726" w:lineRule="exact"/>
        <w:sectPr>
          <w:footerReference r:id="rId137" w:type="default"/>
          <w:pgSz w:w="11906" w:h="16839"/>
          <w:pgMar w:top="400" w:right="1785" w:bottom="1259" w:left="1785" w:header="0" w:footer="1097" w:gutter="0"/>
          <w:cols w:space="720" w:num="1"/>
        </w:sectPr>
      </w:pPr>
    </w:p>
    <w:p w14:paraId="58C4334C">
      <w:pPr>
        <w:pStyle w:val="2"/>
        <w:spacing w:line="258" w:lineRule="auto"/>
      </w:pPr>
    </w:p>
    <w:p w14:paraId="1F927FD3">
      <w:pPr>
        <w:pStyle w:val="2"/>
        <w:spacing w:line="258" w:lineRule="auto"/>
      </w:pPr>
    </w:p>
    <w:p w14:paraId="240537E1">
      <w:pPr>
        <w:pStyle w:val="2"/>
        <w:spacing w:line="258" w:lineRule="auto"/>
      </w:pPr>
    </w:p>
    <w:p w14:paraId="358C2238">
      <w:pPr>
        <w:pStyle w:val="2"/>
        <w:spacing w:line="259" w:lineRule="auto"/>
      </w:pPr>
    </w:p>
    <w:p w14:paraId="7F24C496">
      <w:pPr>
        <w:spacing w:line="10726" w:lineRule="exact"/>
        <w:ind w:firstLine="184"/>
      </w:pPr>
      <w:r>
        <w:rPr>
          <w:position w:val="-214"/>
        </w:rPr>
        <w:drawing>
          <wp:inline distT="0" distB="0" distL="0" distR="0">
            <wp:extent cx="5057775" cy="681037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1"/>
                    <a:stretch>
                      <a:fillRect/>
                    </a:stretch>
                  </pic:blipFill>
                  <pic:spPr>
                    <a:xfrm>
                      <a:off x="0" y="0"/>
                      <a:ext cx="5058155" cy="6810756"/>
                    </a:xfrm>
                    <a:prstGeom prst="rect">
                      <a:avLst/>
                    </a:prstGeom>
                  </pic:spPr>
                </pic:pic>
              </a:graphicData>
            </a:graphic>
          </wp:inline>
        </w:drawing>
      </w:r>
    </w:p>
    <w:p w14:paraId="1EA585A1">
      <w:pPr>
        <w:spacing w:line="10726" w:lineRule="exact"/>
        <w:sectPr>
          <w:footerReference r:id="rId138" w:type="default"/>
          <w:pgSz w:w="11906" w:h="16839"/>
          <w:pgMar w:top="400" w:right="1785" w:bottom="1259" w:left="1785" w:header="0" w:footer="1097" w:gutter="0"/>
          <w:cols w:space="720" w:num="1"/>
        </w:sectPr>
      </w:pPr>
    </w:p>
    <w:p w14:paraId="27D6DD1F">
      <w:pPr>
        <w:pStyle w:val="2"/>
        <w:spacing w:line="247" w:lineRule="auto"/>
      </w:pPr>
    </w:p>
    <w:p w14:paraId="323C38FF">
      <w:pPr>
        <w:pStyle w:val="2"/>
        <w:spacing w:line="247" w:lineRule="auto"/>
      </w:pPr>
    </w:p>
    <w:p w14:paraId="48ECAC28">
      <w:pPr>
        <w:pStyle w:val="2"/>
        <w:spacing w:line="248" w:lineRule="auto"/>
      </w:pPr>
    </w:p>
    <w:p w14:paraId="760CA68D">
      <w:pPr>
        <w:pStyle w:val="2"/>
        <w:spacing w:line="248" w:lineRule="auto"/>
      </w:pPr>
    </w:p>
    <w:p w14:paraId="2ECFF4AD">
      <w:pPr>
        <w:spacing w:before="78" w:line="219" w:lineRule="auto"/>
        <w:ind w:left="42"/>
        <w:outlineLvl w:val="1"/>
        <w:rPr>
          <w:rFonts w:ascii="宋体" w:hAnsi="宋体" w:eastAsia="宋体" w:cs="宋体"/>
          <w:sz w:val="24"/>
          <w:szCs w:val="24"/>
        </w:rPr>
      </w:pPr>
      <w:bookmarkStart w:id="36" w:name="bookmark37"/>
      <w:bookmarkEnd w:id="36"/>
      <w:r>
        <w:rPr>
          <w:rFonts w:ascii="宋体" w:hAnsi="宋体" w:eastAsia="宋体" w:cs="宋体"/>
          <w:b/>
          <w:bCs/>
          <w:spacing w:val="-5"/>
          <w:sz w:val="24"/>
          <w:szCs w:val="24"/>
        </w:rPr>
        <w:t>附件四</w:t>
      </w:r>
      <w:r>
        <w:rPr>
          <w:rFonts w:ascii="宋体" w:hAnsi="宋体" w:eastAsia="宋体" w:cs="宋体"/>
          <w:spacing w:val="-5"/>
          <w:sz w:val="24"/>
          <w:szCs w:val="24"/>
        </w:rPr>
        <w:t xml:space="preserve"> </w:t>
      </w:r>
      <w:r>
        <w:rPr>
          <w:rFonts w:ascii="宋体" w:hAnsi="宋体" w:eastAsia="宋体" w:cs="宋体"/>
          <w:b/>
          <w:bCs/>
          <w:spacing w:val="-5"/>
          <w:sz w:val="24"/>
          <w:szCs w:val="24"/>
        </w:rPr>
        <w:t>用地选址意见</w:t>
      </w:r>
    </w:p>
    <w:p w14:paraId="6B519356">
      <w:pPr>
        <w:spacing w:line="219" w:lineRule="auto"/>
        <w:rPr>
          <w:rFonts w:ascii="宋体" w:hAnsi="宋体" w:eastAsia="宋体" w:cs="宋体"/>
          <w:sz w:val="24"/>
          <w:szCs w:val="24"/>
        </w:rPr>
        <w:sectPr>
          <w:footerReference r:id="rId139" w:type="default"/>
          <w:pgSz w:w="11906" w:h="16839"/>
          <w:pgMar w:top="400" w:right="1785" w:bottom="1259" w:left="1785" w:header="0" w:footer="1097" w:gutter="0"/>
          <w:cols w:space="720" w:num="1"/>
        </w:sectPr>
      </w:pPr>
    </w:p>
    <w:p w14:paraId="52C6F738">
      <w:pPr>
        <w:pStyle w:val="2"/>
        <w:spacing w:line="247" w:lineRule="auto"/>
      </w:pPr>
    </w:p>
    <w:p w14:paraId="54FD0EBA">
      <w:pPr>
        <w:pStyle w:val="2"/>
        <w:spacing w:line="247" w:lineRule="auto"/>
      </w:pPr>
    </w:p>
    <w:p w14:paraId="3044743B">
      <w:pPr>
        <w:pStyle w:val="2"/>
        <w:spacing w:line="248" w:lineRule="auto"/>
      </w:pPr>
    </w:p>
    <w:p w14:paraId="204C71D6">
      <w:pPr>
        <w:pStyle w:val="2"/>
        <w:spacing w:line="248" w:lineRule="auto"/>
      </w:pPr>
    </w:p>
    <w:p w14:paraId="74C056BD">
      <w:pPr>
        <w:spacing w:before="78" w:line="219" w:lineRule="auto"/>
        <w:ind w:left="42"/>
        <w:outlineLvl w:val="1"/>
        <w:rPr>
          <w:rFonts w:ascii="宋体" w:hAnsi="宋体" w:eastAsia="宋体" w:cs="宋体"/>
          <w:sz w:val="24"/>
          <w:szCs w:val="24"/>
        </w:rPr>
      </w:pPr>
      <w:bookmarkStart w:id="37" w:name="bookmark38"/>
      <w:bookmarkEnd w:id="37"/>
      <w:r>
        <w:rPr>
          <w:rFonts w:ascii="宋体" w:hAnsi="宋体" w:eastAsia="宋体" w:cs="宋体"/>
          <w:b/>
          <w:bCs/>
          <w:spacing w:val="-6"/>
          <w:sz w:val="24"/>
          <w:szCs w:val="24"/>
        </w:rPr>
        <w:t>附件五</w:t>
      </w:r>
      <w:r>
        <w:rPr>
          <w:rFonts w:ascii="宋体" w:hAnsi="宋体" w:eastAsia="宋体" w:cs="宋体"/>
          <w:spacing w:val="29"/>
          <w:sz w:val="24"/>
          <w:szCs w:val="24"/>
        </w:rPr>
        <w:t xml:space="preserve"> </w:t>
      </w:r>
      <w:r>
        <w:rPr>
          <w:rFonts w:ascii="宋体" w:hAnsi="宋体" w:eastAsia="宋体" w:cs="宋体"/>
          <w:b/>
          <w:bCs/>
          <w:spacing w:val="-6"/>
          <w:sz w:val="24"/>
          <w:szCs w:val="24"/>
        </w:rPr>
        <w:t>园区规划环评审查意见</w:t>
      </w:r>
    </w:p>
    <w:p w14:paraId="2689B9B2">
      <w:pPr>
        <w:spacing w:before="146" w:line="11146" w:lineRule="exact"/>
        <w:ind w:firstLine="237"/>
      </w:pPr>
      <w:r>
        <w:rPr>
          <w:position w:val="-222"/>
        </w:rPr>
        <w:drawing>
          <wp:inline distT="0" distB="0" distL="0" distR="0">
            <wp:extent cx="4991100" cy="70770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2"/>
                    <a:stretch>
                      <a:fillRect/>
                    </a:stretch>
                  </pic:blipFill>
                  <pic:spPr>
                    <a:xfrm>
                      <a:off x="0" y="0"/>
                      <a:ext cx="4991100" cy="7077456"/>
                    </a:xfrm>
                    <a:prstGeom prst="rect">
                      <a:avLst/>
                    </a:prstGeom>
                  </pic:spPr>
                </pic:pic>
              </a:graphicData>
            </a:graphic>
          </wp:inline>
        </w:drawing>
      </w:r>
    </w:p>
    <w:p w14:paraId="4DEDA781">
      <w:pPr>
        <w:spacing w:line="11146" w:lineRule="exact"/>
        <w:sectPr>
          <w:footerReference r:id="rId140" w:type="default"/>
          <w:pgSz w:w="11906" w:h="16839"/>
          <w:pgMar w:top="400" w:right="1785" w:bottom="1259" w:left="1785" w:header="0" w:footer="1097" w:gutter="0"/>
          <w:cols w:space="720" w:num="1"/>
        </w:sectPr>
      </w:pPr>
    </w:p>
    <w:p w14:paraId="7E22EDFC">
      <w:pPr>
        <w:pStyle w:val="2"/>
        <w:spacing w:line="258" w:lineRule="auto"/>
      </w:pPr>
    </w:p>
    <w:p w14:paraId="014623AA">
      <w:pPr>
        <w:pStyle w:val="2"/>
        <w:spacing w:line="258" w:lineRule="auto"/>
      </w:pPr>
    </w:p>
    <w:p w14:paraId="7BE1F345">
      <w:pPr>
        <w:pStyle w:val="2"/>
        <w:spacing w:line="258" w:lineRule="auto"/>
      </w:pPr>
    </w:p>
    <w:p w14:paraId="5E26A89A">
      <w:pPr>
        <w:pStyle w:val="2"/>
        <w:spacing w:line="259" w:lineRule="auto"/>
      </w:pPr>
    </w:p>
    <w:p w14:paraId="54605CF9">
      <w:pPr>
        <w:spacing w:line="11100" w:lineRule="exact"/>
        <w:ind w:firstLine="244"/>
      </w:pPr>
      <w:r>
        <w:rPr>
          <w:position w:val="-222"/>
        </w:rPr>
        <w:drawing>
          <wp:inline distT="0" distB="0" distL="0" distR="0">
            <wp:extent cx="4981575" cy="704850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93"/>
                    <a:stretch>
                      <a:fillRect/>
                    </a:stretch>
                  </pic:blipFill>
                  <pic:spPr>
                    <a:xfrm>
                      <a:off x="0" y="0"/>
                      <a:ext cx="4981955" cy="7048500"/>
                    </a:xfrm>
                    <a:prstGeom prst="rect">
                      <a:avLst/>
                    </a:prstGeom>
                  </pic:spPr>
                </pic:pic>
              </a:graphicData>
            </a:graphic>
          </wp:inline>
        </w:drawing>
      </w:r>
    </w:p>
    <w:p w14:paraId="5646A7DC">
      <w:pPr>
        <w:spacing w:line="11100" w:lineRule="exact"/>
        <w:sectPr>
          <w:footerReference r:id="rId141" w:type="default"/>
          <w:pgSz w:w="11906" w:h="16839"/>
          <w:pgMar w:top="400" w:right="1785" w:bottom="1259" w:left="1785" w:header="0" w:footer="1097" w:gutter="0"/>
          <w:cols w:space="720" w:num="1"/>
        </w:sectPr>
      </w:pPr>
    </w:p>
    <w:p w14:paraId="22447001">
      <w:pPr>
        <w:pStyle w:val="2"/>
        <w:spacing w:line="258" w:lineRule="auto"/>
      </w:pPr>
    </w:p>
    <w:p w14:paraId="506E70F3">
      <w:pPr>
        <w:pStyle w:val="2"/>
        <w:spacing w:line="258" w:lineRule="auto"/>
      </w:pPr>
    </w:p>
    <w:p w14:paraId="2F602753">
      <w:pPr>
        <w:pStyle w:val="2"/>
        <w:spacing w:line="258" w:lineRule="auto"/>
      </w:pPr>
    </w:p>
    <w:p w14:paraId="70CC898B">
      <w:pPr>
        <w:pStyle w:val="2"/>
        <w:spacing w:line="259" w:lineRule="auto"/>
      </w:pPr>
    </w:p>
    <w:p w14:paraId="094FFDA8">
      <w:pPr>
        <w:spacing w:line="11175" w:lineRule="exact"/>
        <w:ind w:firstLine="198"/>
      </w:pPr>
      <w:r>
        <w:rPr>
          <w:position w:val="-223"/>
        </w:rPr>
        <w:drawing>
          <wp:inline distT="0" distB="0" distL="0" distR="0">
            <wp:extent cx="5038090" cy="70954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4"/>
                    <a:stretch>
                      <a:fillRect/>
                    </a:stretch>
                  </pic:blipFill>
                  <pic:spPr>
                    <a:xfrm>
                      <a:off x="0" y="0"/>
                      <a:ext cx="5038344" cy="7095744"/>
                    </a:xfrm>
                    <a:prstGeom prst="rect">
                      <a:avLst/>
                    </a:prstGeom>
                  </pic:spPr>
                </pic:pic>
              </a:graphicData>
            </a:graphic>
          </wp:inline>
        </w:drawing>
      </w:r>
    </w:p>
    <w:p w14:paraId="384888DD">
      <w:pPr>
        <w:spacing w:line="11175" w:lineRule="exact"/>
        <w:sectPr>
          <w:footerReference r:id="rId142" w:type="default"/>
          <w:pgSz w:w="11906" w:h="16839"/>
          <w:pgMar w:top="400" w:right="1785" w:bottom="1259" w:left="1785" w:header="0" w:footer="1097" w:gutter="0"/>
          <w:cols w:space="720" w:num="1"/>
        </w:sectPr>
      </w:pPr>
    </w:p>
    <w:p w14:paraId="140AC2CD">
      <w:pPr>
        <w:pStyle w:val="2"/>
        <w:spacing w:line="258" w:lineRule="auto"/>
      </w:pPr>
    </w:p>
    <w:p w14:paraId="1CFD6FC3">
      <w:pPr>
        <w:pStyle w:val="2"/>
        <w:spacing w:line="258" w:lineRule="auto"/>
      </w:pPr>
    </w:p>
    <w:p w14:paraId="04FF7610">
      <w:pPr>
        <w:pStyle w:val="2"/>
        <w:spacing w:line="258" w:lineRule="auto"/>
      </w:pPr>
    </w:p>
    <w:p w14:paraId="441E2254">
      <w:pPr>
        <w:pStyle w:val="2"/>
        <w:spacing w:line="259" w:lineRule="auto"/>
      </w:pPr>
    </w:p>
    <w:p w14:paraId="766E4CBB">
      <w:pPr>
        <w:spacing w:line="11146" w:lineRule="exact"/>
        <w:ind w:firstLine="251"/>
      </w:pPr>
      <w:r>
        <w:rPr>
          <w:position w:val="-222"/>
        </w:rPr>
        <w:drawing>
          <wp:inline distT="0" distB="0" distL="0" distR="0">
            <wp:extent cx="4972685" cy="707707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95"/>
                    <a:stretch>
                      <a:fillRect/>
                    </a:stretch>
                  </pic:blipFill>
                  <pic:spPr>
                    <a:xfrm>
                      <a:off x="0" y="0"/>
                      <a:ext cx="4972811" cy="7077456"/>
                    </a:xfrm>
                    <a:prstGeom prst="rect">
                      <a:avLst/>
                    </a:prstGeom>
                  </pic:spPr>
                </pic:pic>
              </a:graphicData>
            </a:graphic>
          </wp:inline>
        </w:drawing>
      </w:r>
    </w:p>
    <w:p w14:paraId="30D5E23C">
      <w:pPr>
        <w:spacing w:line="11146" w:lineRule="exact"/>
        <w:sectPr>
          <w:footerReference r:id="rId143" w:type="default"/>
          <w:pgSz w:w="11906" w:h="16839"/>
          <w:pgMar w:top="400" w:right="1785" w:bottom="1257" w:left="1785" w:header="0" w:footer="1097" w:gutter="0"/>
          <w:cols w:space="720" w:num="1"/>
        </w:sectPr>
      </w:pPr>
    </w:p>
    <w:p w14:paraId="03B08638">
      <w:pPr>
        <w:pStyle w:val="2"/>
        <w:spacing w:line="258" w:lineRule="auto"/>
      </w:pPr>
    </w:p>
    <w:p w14:paraId="76569C6C">
      <w:pPr>
        <w:pStyle w:val="2"/>
        <w:spacing w:line="258" w:lineRule="auto"/>
      </w:pPr>
    </w:p>
    <w:p w14:paraId="61C19709">
      <w:pPr>
        <w:pStyle w:val="2"/>
        <w:spacing w:line="258" w:lineRule="auto"/>
      </w:pPr>
    </w:p>
    <w:p w14:paraId="78CE5F01">
      <w:pPr>
        <w:pStyle w:val="2"/>
        <w:spacing w:line="259" w:lineRule="auto"/>
      </w:pPr>
    </w:p>
    <w:p w14:paraId="1F7DC185">
      <w:pPr>
        <w:spacing w:line="11069" w:lineRule="exact"/>
        <w:ind w:firstLine="230"/>
      </w:pPr>
      <w:r>
        <w:rPr>
          <w:position w:val="-221"/>
        </w:rPr>
        <w:drawing>
          <wp:inline distT="0" distB="0" distL="0" distR="0">
            <wp:extent cx="4999990" cy="702818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96"/>
                    <a:stretch>
                      <a:fillRect/>
                    </a:stretch>
                  </pic:blipFill>
                  <pic:spPr>
                    <a:xfrm>
                      <a:off x="0" y="0"/>
                      <a:ext cx="5000244" cy="7028688"/>
                    </a:xfrm>
                    <a:prstGeom prst="rect">
                      <a:avLst/>
                    </a:prstGeom>
                  </pic:spPr>
                </pic:pic>
              </a:graphicData>
            </a:graphic>
          </wp:inline>
        </w:drawing>
      </w:r>
    </w:p>
    <w:p w14:paraId="6545170E">
      <w:pPr>
        <w:spacing w:line="11069" w:lineRule="exact"/>
        <w:sectPr>
          <w:footerReference r:id="rId144" w:type="default"/>
          <w:pgSz w:w="11906" w:h="16839"/>
          <w:pgMar w:top="400" w:right="1785" w:bottom="1259" w:left="1785" w:header="0" w:footer="1097" w:gutter="0"/>
          <w:cols w:space="720" w:num="1"/>
        </w:sectPr>
      </w:pPr>
    </w:p>
    <w:p w14:paraId="3199E5B1">
      <w:pPr>
        <w:pStyle w:val="2"/>
        <w:spacing w:line="258" w:lineRule="auto"/>
      </w:pPr>
    </w:p>
    <w:p w14:paraId="00E96330">
      <w:pPr>
        <w:pStyle w:val="2"/>
        <w:spacing w:line="258" w:lineRule="auto"/>
      </w:pPr>
    </w:p>
    <w:p w14:paraId="7E9EC8D2">
      <w:pPr>
        <w:pStyle w:val="2"/>
        <w:spacing w:line="258" w:lineRule="auto"/>
      </w:pPr>
    </w:p>
    <w:p w14:paraId="10979B98">
      <w:pPr>
        <w:pStyle w:val="2"/>
        <w:spacing w:line="259" w:lineRule="auto"/>
      </w:pPr>
    </w:p>
    <w:p w14:paraId="149D0DC8">
      <w:pPr>
        <w:spacing w:line="11129" w:lineRule="exact"/>
        <w:ind w:firstLine="230"/>
      </w:pPr>
      <w:r>
        <w:rPr>
          <w:position w:val="-222"/>
        </w:rPr>
        <w:drawing>
          <wp:inline distT="0" distB="0" distL="0" distR="0">
            <wp:extent cx="4999990" cy="706628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97"/>
                    <a:stretch>
                      <a:fillRect/>
                    </a:stretch>
                  </pic:blipFill>
                  <pic:spPr>
                    <a:xfrm>
                      <a:off x="0" y="0"/>
                      <a:ext cx="5000244" cy="7066788"/>
                    </a:xfrm>
                    <a:prstGeom prst="rect">
                      <a:avLst/>
                    </a:prstGeom>
                  </pic:spPr>
                </pic:pic>
              </a:graphicData>
            </a:graphic>
          </wp:inline>
        </w:drawing>
      </w:r>
    </w:p>
    <w:p w14:paraId="53F62908">
      <w:pPr>
        <w:spacing w:line="11129" w:lineRule="exact"/>
        <w:sectPr>
          <w:footerReference r:id="rId145" w:type="default"/>
          <w:pgSz w:w="11906" w:h="16839"/>
          <w:pgMar w:top="400" w:right="1785" w:bottom="1257" w:left="1785" w:header="0" w:footer="1097" w:gutter="0"/>
          <w:cols w:space="720" w:num="1"/>
        </w:sectPr>
      </w:pPr>
    </w:p>
    <w:p w14:paraId="5043FDF9">
      <w:pPr>
        <w:pStyle w:val="2"/>
        <w:spacing w:line="258" w:lineRule="auto"/>
      </w:pPr>
    </w:p>
    <w:p w14:paraId="2EA18EC9">
      <w:pPr>
        <w:pStyle w:val="2"/>
        <w:spacing w:line="258" w:lineRule="auto"/>
      </w:pPr>
    </w:p>
    <w:p w14:paraId="05AF0B04">
      <w:pPr>
        <w:pStyle w:val="2"/>
        <w:spacing w:line="258" w:lineRule="auto"/>
      </w:pPr>
    </w:p>
    <w:p w14:paraId="0A43C297">
      <w:pPr>
        <w:pStyle w:val="2"/>
        <w:spacing w:line="259" w:lineRule="auto"/>
      </w:pPr>
    </w:p>
    <w:p w14:paraId="75218369">
      <w:pPr>
        <w:spacing w:line="11100" w:lineRule="exact"/>
        <w:ind w:firstLine="237"/>
      </w:pPr>
      <w:r>
        <w:rPr>
          <w:position w:val="-222"/>
        </w:rPr>
        <w:drawing>
          <wp:inline distT="0" distB="0" distL="0" distR="0">
            <wp:extent cx="4991100" cy="70485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98"/>
                    <a:stretch>
                      <a:fillRect/>
                    </a:stretch>
                  </pic:blipFill>
                  <pic:spPr>
                    <a:xfrm>
                      <a:off x="0" y="0"/>
                      <a:ext cx="4991100" cy="7048500"/>
                    </a:xfrm>
                    <a:prstGeom prst="rect">
                      <a:avLst/>
                    </a:prstGeom>
                  </pic:spPr>
                </pic:pic>
              </a:graphicData>
            </a:graphic>
          </wp:inline>
        </w:drawing>
      </w:r>
    </w:p>
    <w:p w14:paraId="47E37AE2">
      <w:pPr>
        <w:spacing w:line="11100" w:lineRule="exact"/>
        <w:sectPr>
          <w:footerReference r:id="rId146" w:type="default"/>
          <w:pgSz w:w="11906" w:h="16839"/>
          <w:pgMar w:top="400" w:right="1785" w:bottom="1259" w:left="1785" w:header="0" w:footer="1097" w:gutter="0"/>
          <w:cols w:space="720" w:num="1"/>
        </w:sectPr>
      </w:pPr>
    </w:p>
    <w:p w14:paraId="6D47E214">
      <w:pPr>
        <w:pStyle w:val="2"/>
        <w:spacing w:line="247" w:lineRule="auto"/>
      </w:pPr>
    </w:p>
    <w:p w14:paraId="3B60DA6D">
      <w:pPr>
        <w:pStyle w:val="2"/>
        <w:spacing w:line="247" w:lineRule="auto"/>
      </w:pPr>
    </w:p>
    <w:p w14:paraId="5E5CA629">
      <w:pPr>
        <w:pStyle w:val="2"/>
        <w:spacing w:line="248" w:lineRule="auto"/>
      </w:pPr>
    </w:p>
    <w:p w14:paraId="561ED5A1">
      <w:pPr>
        <w:pStyle w:val="2"/>
        <w:spacing w:line="248" w:lineRule="auto"/>
      </w:pPr>
    </w:p>
    <w:p w14:paraId="3F837B17">
      <w:pPr>
        <w:spacing w:before="78" w:line="218" w:lineRule="auto"/>
        <w:ind w:left="42"/>
        <w:outlineLvl w:val="1"/>
        <w:rPr>
          <w:rFonts w:ascii="宋体" w:hAnsi="宋体" w:eastAsia="宋体" w:cs="宋体"/>
          <w:sz w:val="24"/>
          <w:szCs w:val="24"/>
        </w:rPr>
      </w:pPr>
      <w:bookmarkStart w:id="38" w:name="bookmark39"/>
      <w:bookmarkEnd w:id="38"/>
      <w:r>
        <w:rPr>
          <w:rFonts w:ascii="宋体" w:hAnsi="宋体" w:eastAsia="宋体" w:cs="宋体"/>
          <w:b/>
          <w:bCs/>
          <w:spacing w:val="-4"/>
          <w:sz w:val="24"/>
          <w:szCs w:val="24"/>
        </w:rPr>
        <w:t>附件六</w:t>
      </w:r>
      <w:r>
        <w:rPr>
          <w:rFonts w:ascii="宋体" w:hAnsi="宋体" w:eastAsia="宋体" w:cs="宋体"/>
          <w:spacing w:val="-4"/>
          <w:sz w:val="24"/>
          <w:szCs w:val="24"/>
        </w:rPr>
        <w:t xml:space="preserve"> </w:t>
      </w:r>
      <w:r>
        <w:rPr>
          <w:rFonts w:ascii="宋体" w:hAnsi="宋体" w:eastAsia="宋体" w:cs="宋体"/>
          <w:b/>
          <w:bCs/>
          <w:spacing w:val="-4"/>
          <w:sz w:val="24"/>
          <w:szCs w:val="24"/>
        </w:rPr>
        <w:t>园区区域评估报告审查意见</w:t>
      </w:r>
    </w:p>
    <w:p w14:paraId="1AC3E599">
      <w:pPr>
        <w:spacing w:before="147" w:line="10745" w:lineRule="exact"/>
        <w:ind w:firstLine="14"/>
      </w:pPr>
      <w:r>
        <w:rPr>
          <w:position w:val="-214"/>
        </w:rPr>
        <w:drawing>
          <wp:inline distT="0" distB="0" distL="0" distR="0">
            <wp:extent cx="5273040" cy="68224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99"/>
                    <a:stretch>
                      <a:fillRect/>
                    </a:stretch>
                  </pic:blipFill>
                  <pic:spPr>
                    <a:xfrm>
                      <a:off x="0" y="0"/>
                      <a:ext cx="5273040" cy="6822947"/>
                    </a:xfrm>
                    <a:prstGeom prst="rect">
                      <a:avLst/>
                    </a:prstGeom>
                  </pic:spPr>
                </pic:pic>
              </a:graphicData>
            </a:graphic>
          </wp:inline>
        </w:drawing>
      </w:r>
    </w:p>
    <w:p w14:paraId="17D9552A">
      <w:pPr>
        <w:spacing w:line="10745" w:lineRule="exact"/>
        <w:sectPr>
          <w:footerReference r:id="rId147" w:type="default"/>
          <w:pgSz w:w="11906" w:h="16839"/>
          <w:pgMar w:top="400" w:right="1785" w:bottom="1259" w:left="1785" w:header="0" w:footer="1097" w:gutter="0"/>
          <w:cols w:space="720" w:num="1"/>
        </w:sectPr>
      </w:pPr>
    </w:p>
    <w:p w14:paraId="02508F91">
      <w:pPr>
        <w:pStyle w:val="2"/>
        <w:spacing w:line="258" w:lineRule="auto"/>
      </w:pPr>
    </w:p>
    <w:p w14:paraId="10516BFB">
      <w:pPr>
        <w:pStyle w:val="2"/>
        <w:spacing w:line="258" w:lineRule="auto"/>
      </w:pPr>
    </w:p>
    <w:p w14:paraId="01AE6585">
      <w:pPr>
        <w:pStyle w:val="2"/>
        <w:spacing w:line="258" w:lineRule="auto"/>
      </w:pPr>
    </w:p>
    <w:p w14:paraId="3D4E095A">
      <w:pPr>
        <w:pStyle w:val="2"/>
        <w:spacing w:line="259" w:lineRule="auto"/>
      </w:pPr>
    </w:p>
    <w:p w14:paraId="665F1F8F">
      <w:pPr>
        <w:spacing w:line="13291" w:lineRule="exact"/>
        <w:ind w:firstLine="45"/>
      </w:pPr>
      <w:r>
        <w:rPr>
          <w:position w:val="-265"/>
        </w:rPr>
        <w:drawing>
          <wp:inline distT="0" distB="0" distL="0" distR="0">
            <wp:extent cx="5234940" cy="84397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00"/>
                    <a:stretch>
                      <a:fillRect/>
                    </a:stretch>
                  </pic:blipFill>
                  <pic:spPr>
                    <a:xfrm>
                      <a:off x="0" y="0"/>
                      <a:ext cx="5234940" cy="8439911"/>
                    </a:xfrm>
                    <a:prstGeom prst="rect">
                      <a:avLst/>
                    </a:prstGeom>
                  </pic:spPr>
                </pic:pic>
              </a:graphicData>
            </a:graphic>
          </wp:inline>
        </w:drawing>
      </w:r>
    </w:p>
    <w:p w14:paraId="0462A9F2">
      <w:pPr>
        <w:spacing w:line="13291" w:lineRule="exact"/>
        <w:sectPr>
          <w:footerReference r:id="rId148" w:type="default"/>
          <w:pgSz w:w="11906" w:h="16839"/>
          <w:pgMar w:top="400" w:right="1785" w:bottom="1259" w:left="1785" w:header="0" w:footer="1097" w:gutter="0"/>
          <w:cols w:space="720" w:num="1"/>
        </w:sectPr>
      </w:pPr>
    </w:p>
    <w:p w14:paraId="553ED92B">
      <w:pPr>
        <w:pStyle w:val="2"/>
        <w:spacing w:line="247" w:lineRule="auto"/>
      </w:pPr>
    </w:p>
    <w:p w14:paraId="5045CD84">
      <w:pPr>
        <w:pStyle w:val="2"/>
        <w:spacing w:line="247" w:lineRule="auto"/>
      </w:pPr>
    </w:p>
    <w:p w14:paraId="3C2DD2DA">
      <w:pPr>
        <w:pStyle w:val="2"/>
        <w:spacing w:line="248" w:lineRule="auto"/>
      </w:pPr>
    </w:p>
    <w:p w14:paraId="09F3BB6C">
      <w:pPr>
        <w:pStyle w:val="2"/>
        <w:spacing w:line="248" w:lineRule="auto"/>
      </w:pPr>
    </w:p>
    <w:p w14:paraId="612E91FC">
      <w:pPr>
        <w:spacing w:before="78" w:line="219" w:lineRule="auto"/>
        <w:ind w:left="42"/>
        <w:outlineLvl w:val="1"/>
        <w:rPr>
          <w:rFonts w:ascii="宋体" w:hAnsi="宋体" w:eastAsia="宋体" w:cs="宋体"/>
          <w:sz w:val="24"/>
          <w:szCs w:val="24"/>
        </w:rPr>
      </w:pPr>
      <w:bookmarkStart w:id="39" w:name="bookmark40"/>
      <w:bookmarkEnd w:id="39"/>
      <w:r>
        <w:rPr>
          <w:rFonts w:ascii="宋体" w:hAnsi="宋体" w:eastAsia="宋体" w:cs="宋体"/>
          <w:b/>
          <w:bCs/>
          <w:spacing w:val="-5"/>
          <w:sz w:val="24"/>
          <w:szCs w:val="24"/>
        </w:rPr>
        <w:t>附图一</w:t>
      </w:r>
      <w:r>
        <w:rPr>
          <w:rFonts w:ascii="宋体" w:hAnsi="宋体" w:eastAsia="宋体" w:cs="宋体"/>
          <w:spacing w:val="-5"/>
          <w:sz w:val="24"/>
          <w:szCs w:val="24"/>
        </w:rPr>
        <w:t xml:space="preserve"> </w:t>
      </w:r>
      <w:r>
        <w:rPr>
          <w:rFonts w:ascii="宋体" w:hAnsi="宋体" w:eastAsia="宋体" w:cs="宋体"/>
          <w:b/>
          <w:bCs/>
          <w:spacing w:val="-5"/>
          <w:sz w:val="24"/>
          <w:szCs w:val="24"/>
        </w:rPr>
        <w:t>项目地理位置图</w:t>
      </w:r>
    </w:p>
    <w:p w14:paraId="70548597">
      <w:pPr>
        <w:pStyle w:val="2"/>
        <w:spacing w:line="242" w:lineRule="auto"/>
      </w:pPr>
    </w:p>
    <w:p w14:paraId="41612B1F">
      <w:pPr>
        <w:pStyle w:val="2"/>
        <w:spacing w:line="242" w:lineRule="auto"/>
      </w:pPr>
    </w:p>
    <w:p w14:paraId="51345008">
      <w:pPr>
        <w:pStyle w:val="2"/>
        <w:spacing w:line="242" w:lineRule="auto"/>
      </w:pPr>
    </w:p>
    <w:p w14:paraId="2BDF3FDA">
      <w:pPr>
        <w:pStyle w:val="2"/>
        <w:spacing w:line="242" w:lineRule="auto"/>
      </w:pPr>
    </w:p>
    <w:p w14:paraId="5B37C419">
      <w:pPr>
        <w:spacing w:line="11650" w:lineRule="exact"/>
        <w:ind w:firstLine="14"/>
      </w:pPr>
      <w:r>
        <w:rPr>
          <w:position w:val="-232"/>
        </w:rPr>
        <w:drawing>
          <wp:inline distT="0" distB="0" distL="0" distR="0">
            <wp:extent cx="5324475" cy="73971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1"/>
                    <a:stretch>
                      <a:fillRect/>
                    </a:stretch>
                  </pic:blipFill>
                  <pic:spPr>
                    <a:xfrm>
                      <a:off x="0" y="0"/>
                      <a:ext cx="5324855" cy="7397496"/>
                    </a:xfrm>
                    <a:prstGeom prst="rect">
                      <a:avLst/>
                    </a:prstGeom>
                  </pic:spPr>
                </pic:pic>
              </a:graphicData>
            </a:graphic>
          </wp:inline>
        </w:drawing>
      </w:r>
    </w:p>
    <w:p w14:paraId="0E889C84">
      <w:pPr>
        <w:spacing w:line="11650" w:lineRule="exact"/>
        <w:sectPr>
          <w:footerReference r:id="rId149" w:type="default"/>
          <w:pgSz w:w="11906" w:h="16839"/>
          <w:pgMar w:top="400" w:right="1720" w:bottom="1259" w:left="1785" w:header="0" w:footer="1097" w:gutter="0"/>
          <w:cols w:space="720" w:num="1"/>
        </w:sectPr>
      </w:pPr>
    </w:p>
    <w:p w14:paraId="2DC2EBF6">
      <w:pPr>
        <w:pStyle w:val="2"/>
        <w:spacing w:line="247" w:lineRule="auto"/>
      </w:pPr>
    </w:p>
    <w:p w14:paraId="7F72EC0B">
      <w:pPr>
        <w:pStyle w:val="2"/>
        <w:spacing w:line="247" w:lineRule="auto"/>
      </w:pPr>
    </w:p>
    <w:p w14:paraId="434E2079">
      <w:pPr>
        <w:pStyle w:val="2"/>
        <w:spacing w:line="248" w:lineRule="auto"/>
      </w:pPr>
    </w:p>
    <w:p w14:paraId="1C1168D2">
      <w:pPr>
        <w:pStyle w:val="2"/>
        <w:spacing w:line="248" w:lineRule="auto"/>
      </w:pPr>
    </w:p>
    <w:p w14:paraId="582755D7">
      <w:pPr>
        <w:spacing w:before="78" w:line="219" w:lineRule="auto"/>
        <w:ind w:left="42"/>
        <w:outlineLvl w:val="1"/>
        <w:rPr>
          <w:rFonts w:ascii="宋体" w:hAnsi="宋体" w:eastAsia="宋体" w:cs="宋体"/>
          <w:sz w:val="24"/>
          <w:szCs w:val="24"/>
        </w:rPr>
      </w:pPr>
      <w:bookmarkStart w:id="40" w:name="bookmark41"/>
      <w:bookmarkEnd w:id="40"/>
      <w:r>
        <w:rPr>
          <w:rFonts w:ascii="宋体" w:hAnsi="宋体" w:eastAsia="宋体" w:cs="宋体"/>
          <w:b/>
          <w:bCs/>
          <w:spacing w:val="-4"/>
          <w:sz w:val="24"/>
          <w:szCs w:val="24"/>
        </w:rPr>
        <w:t>附图二</w:t>
      </w:r>
      <w:r>
        <w:rPr>
          <w:rFonts w:ascii="宋体" w:hAnsi="宋体" w:eastAsia="宋体" w:cs="宋体"/>
          <w:spacing w:val="-4"/>
          <w:sz w:val="24"/>
          <w:szCs w:val="24"/>
        </w:rPr>
        <w:t xml:space="preserve"> </w:t>
      </w:r>
      <w:r>
        <w:rPr>
          <w:rFonts w:ascii="宋体" w:hAnsi="宋体" w:eastAsia="宋体" w:cs="宋体"/>
          <w:b/>
          <w:bCs/>
          <w:spacing w:val="-4"/>
          <w:sz w:val="24"/>
          <w:szCs w:val="24"/>
        </w:rPr>
        <w:t>拟建场址及四邻现状图</w:t>
      </w:r>
    </w:p>
    <w:p w14:paraId="0B20FEAE">
      <w:pPr>
        <w:spacing w:before="146" w:line="12787" w:lineRule="exact"/>
        <w:ind w:firstLine="642"/>
      </w:pPr>
      <w:r>
        <w:rPr>
          <w:position w:val="-255"/>
        </w:rPr>
        <w:drawing>
          <wp:inline distT="0" distB="0" distL="0" distR="0">
            <wp:extent cx="4474210" cy="81197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2"/>
                    <a:stretch>
                      <a:fillRect/>
                    </a:stretch>
                  </pic:blipFill>
                  <pic:spPr>
                    <a:xfrm>
                      <a:off x="0" y="0"/>
                      <a:ext cx="4474463" cy="8119871"/>
                    </a:xfrm>
                    <a:prstGeom prst="rect">
                      <a:avLst/>
                    </a:prstGeom>
                  </pic:spPr>
                </pic:pic>
              </a:graphicData>
            </a:graphic>
          </wp:inline>
        </w:drawing>
      </w:r>
    </w:p>
    <w:p w14:paraId="7A2E7F9E">
      <w:pPr>
        <w:spacing w:line="12787" w:lineRule="exact"/>
        <w:sectPr>
          <w:footerReference r:id="rId150" w:type="default"/>
          <w:pgSz w:w="11906" w:h="16839"/>
          <w:pgMar w:top="400" w:right="1785" w:bottom="1259" w:left="1785" w:header="0" w:footer="1097" w:gutter="0"/>
          <w:cols w:space="720" w:num="1"/>
        </w:sectPr>
      </w:pPr>
    </w:p>
    <w:p w14:paraId="6A2524F9">
      <w:pPr>
        <w:pStyle w:val="2"/>
        <w:spacing w:line="247" w:lineRule="auto"/>
      </w:pPr>
    </w:p>
    <w:p w14:paraId="45E54E84">
      <w:pPr>
        <w:pStyle w:val="2"/>
        <w:spacing w:line="247" w:lineRule="auto"/>
      </w:pPr>
    </w:p>
    <w:p w14:paraId="1A707FF9">
      <w:pPr>
        <w:pStyle w:val="2"/>
        <w:spacing w:line="248" w:lineRule="auto"/>
      </w:pPr>
    </w:p>
    <w:p w14:paraId="5A505421">
      <w:pPr>
        <w:pStyle w:val="2"/>
        <w:spacing w:line="248" w:lineRule="auto"/>
      </w:pPr>
    </w:p>
    <w:p w14:paraId="116DB4E1">
      <w:pPr>
        <w:spacing w:before="78" w:line="219" w:lineRule="auto"/>
        <w:outlineLvl w:val="1"/>
        <w:rPr>
          <w:rFonts w:ascii="宋体" w:hAnsi="宋体" w:eastAsia="宋体" w:cs="宋体"/>
          <w:sz w:val="24"/>
          <w:szCs w:val="24"/>
        </w:rPr>
      </w:pPr>
      <w:bookmarkStart w:id="41" w:name="bookmark42"/>
      <w:bookmarkEnd w:id="41"/>
      <w:r>
        <w:rPr>
          <w:rFonts w:ascii="宋体" w:hAnsi="宋体" w:eastAsia="宋体" w:cs="宋体"/>
          <w:b/>
          <w:bCs/>
          <w:spacing w:val="-5"/>
          <w:sz w:val="24"/>
          <w:szCs w:val="24"/>
        </w:rPr>
        <w:t>附图三</w:t>
      </w:r>
      <w:r>
        <w:rPr>
          <w:rFonts w:ascii="宋体" w:hAnsi="宋体" w:eastAsia="宋体" w:cs="宋体"/>
          <w:spacing w:val="-5"/>
          <w:sz w:val="24"/>
          <w:szCs w:val="24"/>
        </w:rPr>
        <w:t xml:space="preserve"> </w:t>
      </w:r>
      <w:r>
        <w:rPr>
          <w:rFonts w:ascii="宋体" w:hAnsi="宋体" w:eastAsia="宋体" w:cs="宋体"/>
          <w:b/>
          <w:bCs/>
          <w:spacing w:val="-5"/>
          <w:sz w:val="24"/>
          <w:szCs w:val="24"/>
        </w:rPr>
        <w:t>平面布置图</w:t>
      </w:r>
    </w:p>
    <w:p w14:paraId="2CBF02DA">
      <w:pPr>
        <w:spacing w:before="145" w:line="8438" w:lineRule="exact"/>
        <w:ind w:firstLine="1536"/>
      </w:pPr>
      <w:r>
        <w:rPr>
          <w:position w:val="-168"/>
        </w:rPr>
        <w:drawing>
          <wp:inline distT="0" distB="0" distL="0" distR="0">
            <wp:extent cx="7334250" cy="53574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3"/>
                    <a:stretch>
                      <a:fillRect/>
                    </a:stretch>
                  </pic:blipFill>
                  <pic:spPr>
                    <a:xfrm>
                      <a:off x="0" y="0"/>
                      <a:ext cx="7334250" cy="5357621"/>
                    </a:xfrm>
                    <a:prstGeom prst="rect">
                      <a:avLst/>
                    </a:prstGeom>
                  </pic:spPr>
                </pic:pic>
              </a:graphicData>
            </a:graphic>
          </wp:inline>
        </w:drawing>
      </w:r>
    </w:p>
    <w:p w14:paraId="34548FA7">
      <w:pPr>
        <w:spacing w:line="8438" w:lineRule="exact"/>
        <w:sectPr>
          <w:footerReference r:id="rId151" w:type="default"/>
          <w:pgSz w:w="16839" w:h="11906"/>
          <w:pgMar w:top="400" w:right="2525" w:bottom="1259" w:left="1108" w:header="0" w:footer="1097" w:gutter="0"/>
          <w:cols w:space="720" w:num="1"/>
        </w:sectPr>
      </w:pPr>
    </w:p>
    <w:p w14:paraId="23C764FA">
      <w:pPr>
        <w:pStyle w:val="2"/>
        <w:spacing w:line="247" w:lineRule="auto"/>
      </w:pPr>
    </w:p>
    <w:p w14:paraId="71E88A1D">
      <w:pPr>
        <w:pStyle w:val="2"/>
        <w:spacing w:line="247" w:lineRule="auto"/>
      </w:pPr>
    </w:p>
    <w:p w14:paraId="1E7D5F94">
      <w:pPr>
        <w:pStyle w:val="2"/>
        <w:spacing w:line="248" w:lineRule="auto"/>
      </w:pPr>
    </w:p>
    <w:p w14:paraId="520489A8">
      <w:pPr>
        <w:pStyle w:val="2"/>
        <w:spacing w:line="248" w:lineRule="auto"/>
      </w:pPr>
    </w:p>
    <w:p w14:paraId="2BC300FF">
      <w:pPr>
        <w:spacing w:before="78" w:line="219" w:lineRule="auto"/>
        <w:ind w:left="42"/>
        <w:outlineLvl w:val="1"/>
        <w:rPr>
          <w:rFonts w:ascii="宋体" w:hAnsi="宋体" w:eastAsia="宋体" w:cs="宋体"/>
          <w:sz w:val="24"/>
          <w:szCs w:val="24"/>
        </w:rPr>
      </w:pPr>
      <w:bookmarkStart w:id="42" w:name="bookmark43"/>
      <w:bookmarkEnd w:id="42"/>
      <w:r>
        <w:rPr>
          <w:rFonts w:ascii="宋体" w:hAnsi="宋体" w:eastAsia="宋体" w:cs="宋体"/>
          <w:b/>
          <w:bCs/>
          <w:spacing w:val="-5"/>
          <w:sz w:val="24"/>
          <w:szCs w:val="24"/>
        </w:rPr>
        <w:t>附图四</w:t>
      </w:r>
      <w:r>
        <w:rPr>
          <w:rFonts w:ascii="宋体" w:hAnsi="宋体" w:eastAsia="宋体" w:cs="宋体"/>
          <w:spacing w:val="-5"/>
          <w:sz w:val="24"/>
          <w:szCs w:val="24"/>
        </w:rPr>
        <w:t xml:space="preserve"> </w:t>
      </w:r>
      <w:r>
        <w:rPr>
          <w:rFonts w:ascii="宋体" w:hAnsi="宋体" w:eastAsia="宋体" w:cs="宋体"/>
          <w:b/>
          <w:bCs/>
          <w:spacing w:val="-5"/>
          <w:sz w:val="24"/>
          <w:szCs w:val="24"/>
        </w:rPr>
        <w:t>分区防渗图</w:t>
      </w:r>
    </w:p>
    <w:p w14:paraId="731C020F">
      <w:pPr>
        <w:pStyle w:val="2"/>
        <w:spacing w:line="243" w:lineRule="auto"/>
      </w:pPr>
    </w:p>
    <w:p w14:paraId="015A3CAA">
      <w:pPr>
        <w:pStyle w:val="2"/>
        <w:spacing w:line="243" w:lineRule="auto"/>
      </w:pPr>
    </w:p>
    <w:p w14:paraId="2418F067">
      <w:pPr>
        <w:pStyle w:val="2"/>
        <w:spacing w:line="243" w:lineRule="auto"/>
      </w:pPr>
    </w:p>
    <w:p w14:paraId="024BC2CE">
      <w:pPr>
        <w:pStyle w:val="2"/>
        <w:spacing w:line="243" w:lineRule="auto"/>
      </w:pPr>
    </w:p>
    <w:p w14:paraId="3F1C3A22">
      <w:pPr>
        <w:pStyle w:val="2"/>
        <w:spacing w:line="243" w:lineRule="auto"/>
      </w:pPr>
    </w:p>
    <w:p w14:paraId="2B7E75D4">
      <w:pPr>
        <w:pStyle w:val="2"/>
        <w:spacing w:line="243" w:lineRule="auto"/>
      </w:pPr>
    </w:p>
    <w:p w14:paraId="13515281">
      <w:pPr>
        <w:pStyle w:val="2"/>
        <w:spacing w:line="243" w:lineRule="auto"/>
      </w:pPr>
    </w:p>
    <w:p w14:paraId="259ED32F">
      <w:pPr>
        <w:pStyle w:val="2"/>
        <w:spacing w:line="243" w:lineRule="auto"/>
      </w:pPr>
    </w:p>
    <w:p w14:paraId="161BE1E9">
      <w:pPr>
        <w:pStyle w:val="2"/>
        <w:spacing w:line="243" w:lineRule="auto"/>
      </w:pPr>
    </w:p>
    <w:p w14:paraId="06375854">
      <w:pPr>
        <w:pStyle w:val="2"/>
        <w:spacing w:line="244" w:lineRule="auto"/>
      </w:pPr>
    </w:p>
    <w:p w14:paraId="67975E7F">
      <w:pPr>
        <w:pStyle w:val="2"/>
        <w:spacing w:line="244" w:lineRule="auto"/>
      </w:pPr>
    </w:p>
    <w:p w14:paraId="54637CA5">
      <w:pPr>
        <w:pStyle w:val="2"/>
        <w:spacing w:line="244" w:lineRule="auto"/>
      </w:pPr>
    </w:p>
    <w:p w14:paraId="40198217">
      <w:pPr>
        <w:pStyle w:val="2"/>
        <w:spacing w:line="244" w:lineRule="auto"/>
      </w:pPr>
    </w:p>
    <w:p w14:paraId="0EBF47CD">
      <w:pPr>
        <w:spacing w:line="7840" w:lineRule="exact"/>
        <w:ind w:firstLine="18"/>
      </w:pPr>
      <w:r>
        <w:rPr>
          <w:position w:val="-156"/>
        </w:rPr>
        <w:drawing>
          <wp:inline distT="0" distB="0" distL="0" distR="0">
            <wp:extent cx="5269865" cy="49784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04"/>
                    <a:stretch>
                      <a:fillRect/>
                    </a:stretch>
                  </pic:blipFill>
                  <pic:spPr>
                    <a:xfrm>
                      <a:off x="0" y="0"/>
                      <a:ext cx="5269991" cy="4978908"/>
                    </a:xfrm>
                    <a:prstGeom prst="rect">
                      <a:avLst/>
                    </a:prstGeom>
                  </pic:spPr>
                </pic:pic>
              </a:graphicData>
            </a:graphic>
          </wp:inline>
        </w:drawing>
      </w:r>
    </w:p>
    <w:sectPr>
      <w:footerReference r:id="rId152" w:type="default"/>
      <w:pgSz w:w="11906" w:h="16839"/>
      <w:pgMar w:top="400" w:right="1785" w:bottom="1259" w:left="1785" w:header="0" w:footer="109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FB4B">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7BC0C">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016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B3460">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E339">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A1E5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381F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5ED2B">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CDCE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3A42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55F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9AACF">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84D22">
    <w:pPr>
      <w:spacing w:line="176" w:lineRule="auto"/>
      <w:ind w:left="420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83E8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E2C2">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61F7A">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455DF">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C5EBB">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3586">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59E0">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FE462">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388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84D1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1D80A">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C7F36">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EA8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1858C">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2947B">
    <w:pPr>
      <w:spacing w:line="176" w:lineRule="auto"/>
      <w:ind w:left="41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CE27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781D">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20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20E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AA8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B888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15713">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7EF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B27C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B28B5">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95B61">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418F">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32673">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A524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F902">
    <w:pPr>
      <w:spacing w:line="173"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7267">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9B4A7">
    <w:pPr>
      <w:spacing w:line="173"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EDD2">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18C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D06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4D3B4">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50AE">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A7B0">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9D9A">
    <w:pPr>
      <w:spacing w:line="176" w:lineRule="auto"/>
      <w:ind w:left="73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01D29">
    <w:pPr>
      <w:spacing w:line="176" w:lineRule="auto"/>
      <w:ind w:left="415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002E">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96372">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E4CB0">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C011E">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61105">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C56C">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1A78">
    <w:pPr>
      <w:spacing w:line="176" w:lineRule="auto"/>
      <w:ind w:left="420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4597">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6868">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CF63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223E">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35E54">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40B9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A5B25">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B07A">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80C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18"/>
        <w:szCs w:val="18"/>
      </w:rPr>
      <w:t>29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3"/>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D7FEA">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8AA4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FE9C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337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2A916">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1AE5">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C53C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4B29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70BE">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868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D314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39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B3B5">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D89B">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- 40</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1C92">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BEF48">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- 42</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83D2">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- 43</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EA0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9A2F">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F6B6">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FE34">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7BC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B33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- 49</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2B0A9">
    <w:pPr>
      <w:spacing w:line="173"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0A9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A1AD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2820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54EDC">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6CB0">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42B29">
    <w:pPr>
      <w:spacing w:line="173"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D9153">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605D">
    <w:pPr>
      <w:spacing w:line="173"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64A">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AB89">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6EB44">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442DA">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A736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CD69E">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FB00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8FB9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745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4EC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1A9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920C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1F204">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69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A8A93">
    <w:pPr>
      <w:spacing w:line="173"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0E60">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1ECB">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0072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988A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B79A8">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7C55">
    <w:pPr>
      <w:spacing w:line="173"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3B3F">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8241">
    <w:pPr>
      <w:spacing w:line="173"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76925">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78</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E216E">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79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D115">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77D61">
    <w:pPr>
      <w:spacing w:line="176" w:lineRule="auto"/>
      <w:ind w:left="430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41750">
    <w:pPr>
      <w:spacing w:line="176" w:lineRule="auto"/>
      <w:ind w:left="700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5"/>
        <w:sz w:val="18"/>
        <w:szCs w:val="18"/>
      </w:rPr>
      <w:t>81</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8109">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D6AD3">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0"/>
        <w:sz w:val="18"/>
        <w:szCs w:val="18"/>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EF9E">
    <w:pPr>
      <w:spacing w:line="176" w:lineRule="auto"/>
      <w:ind w:left="420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4"/>
        <w:sz w:val="18"/>
        <w:szCs w:val="18"/>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3E9BB">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F5E41">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4"/>
        <w:sz w:val="18"/>
        <w:szCs w:val="18"/>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4DAA">
    <w:pPr>
      <w:spacing w:line="173"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5</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D747">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6</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6"/>
        <w:sz w:val="18"/>
        <w:szCs w:val="18"/>
      </w:rPr>
      <w:t>-</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A84D">
    <w:pPr>
      <w:spacing w:line="173"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5"/>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5F1E">
    <w:pPr>
      <w:spacing w:line="176" w:lineRule="auto"/>
      <w:ind w:left="425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86F84">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7"/>
        <w:sz w:val="18"/>
        <w:szCs w:val="18"/>
      </w:rPr>
      <w:t>8</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4D65">
    <w:pPr>
      <w:spacing w:line="176" w:lineRule="auto"/>
      <w:ind w:left="43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pacing w:val="-5"/>
        <w:sz w:val="18"/>
        <w:szCs w:val="18"/>
      </w:rPr>
      <w:t>9</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5"/>
        <w:sz w:val="18"/>
        <w:szCs w:val="18"/>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DF8B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10</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1A7BA">
    <w:pPr>
      <w:spacing w:line="176" w:lineRule="auto"/>
      <w:ind w:left="426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24"/>
        <w:w w:val="101"/>
        <w:sz w:val="18"/>
        <w:szCs w:val="18"/>
      </w:rPr>
      <w:t xml:space="preserve"> </w:t>
    </w:r>
    <w:r>
      <w:rPr>
        <w:rFonts w:ascii="Times New Roman" w:hAnsi="Times New Roman" w:eastAsia="Times New Roman" w:cs="Times New Roman"/>
        <w:spacing w:val="-9"/>
        <w:sz w:val="18"/>
        <w:szCs w:val="18"/>
      </w:rPr>
      <w:t>11</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9"/>
        <w:sz w:val="18"/>
        <w:szCs w:val="18"/>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7271">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E09D">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4CCA1">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6965">
    <w:pPr>
      <w:spacing w:line="176" w:lineRule="auto"/>
      <w:ind w:left="4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B3B4">
    <w:pPr>
      <w:spacing w:line="176" w:lineRule="auto"/>
      <w:ind w:left="4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987A7">
    <w:pPr>
      <w:spacing w:line="176" w:lineRule="auto"/>
      <w:ind w:left="4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7"/>
        <w:sz w:val="18"/>
        <w:szCs w:val="18"/>
      </w:rPr>
      <w:t>17</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pacing w:val="-7"/>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45B12">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6BA1">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DA1A66"/>
    <w:rsid w:val="1A8344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6" Type="http://schemas.openxmlformats.org/officeDocument/2006/relationships/fontTable" Target="fontTable.xml"/><Relationship Id="rId205" Type="http://schemas.openxmlformats.org/officeDocument/2006/relationships/customXml" Target="../customXml/item1.xml"/><Relationship Id="rId204" Type="http://schemas.openxmlformats.org/officeDocument/2006/relationships/image" Target="media/image51.jpeg"/><Relationship Id="rId203" Type="http://schemas.openxmlformats.org/officeDocument/2006/relationships/image" Target="media/image50.png"/><Relationship Id="rId202" Type="http://schemas.openxmlformats.org/officeDocument/2006/relationships/image" Target="media/image49.png"/><Relationship Id="rId201" Type="http://schemas.openxmlformats.org/officeDocument/2006/relationships/image" Target="media/image48.jpeg"/><Relationship Id="rId200" Type="http://schemas.openxmlformats.org/officeDocument/2006/relationships/image" Target="media/image47.jpe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46.jpeg"/><Relationship Id="rId198" Type="http://schemas.openxmlformats.org/officeDocument/2006/relationships/image" Target="media/image45.jpeg"/><Relationship Id="rId197" Type="http://schemas.openxmlformats.org/officeDocument/2006/relationships/image" Target="media/image44.jpeg"/><Relationship Id="rId196" Type="http://schemas.openxmlformats.org/officeDocument/2006/relationships/image" Target="media/image43.jpeg"/><Relationship Id="rId195" Type="http://schemas.openxmlformats.org/officeDocument/2006/relationships/image" Target="media/image42.jpeg"/><Relationship Id="rId194" Type="http://schemas.openxmlformats.org/officeDocument/2006/relationships/image" Target="media/image41.jpeg"/><Relationship Id="rId193" Type="http://schemas.openxmlformats.org/officeDocument/2006/relationships/image" Target="media/image40.jpeg"/><Relationship Id="rId192" Type="http://schemas.openxmlformats.org/officeDocument/2006/relationships/image" Target="media/image39.jpeg"/><Relationship Id="rId191" Type="http://schemas.openxmlformats.org/officeDocument/2006/relationships/image" Target="media/image38.jpeg"/><Relationship Id="rId190" Type="http://schemas.openxmlformats.org/officeDocument/2006/relationships/image" Target="media/image37.jpeg"/><Relationship Id="rId19" Type="http://schemas.openxmlformats.org/officeDocument/2006/relationships/footer" Target="footer13.xml"/><Relationship Id="rId189" Type="http://schemas.openxmlformats.org/officeDocument/2006/relationships/image" Target="media/image36.jpeg"/><Relationship Id="rId188" Type="http://schemas.openxmlformats.org/officeDocument/2006/relationships/image" Target="media/image35.jpeg"/><Relationship Id="rId187" Type="http://schemas.openxmlformats.org/officeDocument/2006/relationships/image" Target="media/image34.jpeg"/><Relationship Id="rId186" Type="http://schemas.openxmlformats.org/officeDocument/2006/relationships/image" Target="media/image33.jpeg"/><Relationship Id="rId185" Type="http://schemas.openxmlformats.org/officeDocument/2006/relationships/image" Target="media/image32.jpeg"/><Relationship Id="rId184" Type="http://schemas.openxmlformats.org/officeDocument/2006/relationships/image" Target="media/image31.jpeg"/><Relationship Id="rId183" Type="http://schemas.openxmlformats.org/officeDocument/2006/relationships/image" Target="media/image30.jpeg"/><Relationship Id="rId182" Type="http://schemas.openxmlformats.org/officeDocument/2006/relationships/image" Target="media/image29.jpeg"/><Relationship Id="rId181" Type="http://schemas.openxmlformats.org/officeDocument/2006/relationships/image" Target="media/image28.jpeg"/><Relationship Id="rId180" Type="http://schemas.openxmlformats.org/officeDocument/2006/relationships/image" Target="media/image27.jpeg"/><Relationship Id="rId18" Type="http://schemas.openxmlformats.org/officeDocument/2006/relationships/footer" Target="footer12.xml"/><Relationship Id="rId179" Type="http://schemas.openxmlformats.org/officeDocument/2006/relationships/image" Target="media/image26.jpeg"/><Relationship Id="rId178" Type="http://schemas.openxmlformats.org/officeDocument/2006/relationships/image" Target="media/image25.jpeg"/><Relationship Id="rId177" Type="http://schemas.openxmlformats.org/officeDocument/2006/relationships/image" Target="media/image24.jpeg"/><Relationship Id="rId176" Type="http://schemas.openxmlformats.org/officeDocument/2006/relationships/image" Target="media/image23.jpeg"/><Relationship Id="rId175" Type="http://schemas.openxmlformats.org/officeDocument/2006/relationships/image" Target="media/image22.jpeg"/><Relationship Id="rId174" Type="http://schemas.openxmlformats.org/officeDocument/2006/relationships/image" Target="media/image21.jpeg"/><Relationship Id="rId173" Type="http://schemas.openxmlformats.org/officeDocument/2006/relationships/image" Target="media/image20.jpeg"/><Relationship Id="rId172" Type="http://schemas.openxmlformats.org/officeDocument/2006/relationships/image" Target="media/image19.jpeg"/><Relationship Id="rId171" Type="http://schemas.openxmlformats.org/officeDocument/2006/relationships/image" Target="media/image18.jpeg"/><Relationship Id="rId170" Type="http://schemas.openxmlformats.org/officeDocument/2006/relationships/image" Target="media/image17.jpeg"/><Relationship Id="rId17" Type="http://schemas.openxmlformats.org/officeDocument/2006/relationships/footer" Target="footer11.xml"/><Relationship Id="rId169" Type="http://schemas.openxmlformats.org/officeDocument/2006/relationships/image" Target="media/image16.png"/><Relationship Id="rId168" Type="http://schemas.openxmlformats.org/officeDocument/2006/relationships/image" Target="media/image15.jpeg"/><Relationship Id="rId167" Type="http://schemas.openxmlformats.org/officeDocument/2006/relationships/image" Target="media/image14.jpeg"/><Relationship Id="rId166" Type="http://schemas.openxmlformats.org/officeDocument/2006/relationships/image" Target="media/image13.png"/><Relationship Id="rId165" Type="http://schemas.openxmlformats.org/officeDocument/2006/relationships/image" Target="media/image12.png"/><Relationship Id="rId164" Type="http://schemas.openxmlformats.org/officeDocument/2006/relationships/image" Target="media/image11.png"/><Relationship Id="rId163" Type="http://schemas.openxmlformats.org/officeDocument/2006/relationships/image" Target="media/image10.png"/><Relationship Id="rId162" Type="http://schemas.openxmlformats.org/officeDocument/2006/relationships/image" Target="media/image9.jpeg"/><Relationship Id="rId161" Type="http://schemas.openxmlformats.org/officeDocument/2006/relationships/image" Target="media/image8.png"/><Relationship Id="rId160" Type="http://schemas.openxmlformats.org/officeDocument/2006/relationships/image" Target="media/image7.png"/><Relationship Id="rId16" Type="http://schemas.openxmlformats.org/officeDocument/2006/relationships/footer" Target="footer10.xml"/><Relationship Id="rId159" Type="http://schemas.openxmlformats.org/officeDocument/2006/relationships/image" Target="media/image6.jpeg"/><Relationship Id="rId158" Type="http://schemas.openxmlformats.org/officeDocument/2006/relationships/image" Target="media/image5.jpeg"/><Relationship Id="rId157" Type="http://schemas.openxmlformats.org/officeDocument/2006/relationships/image" Target="media/image4.png"/><Relationship Id="rId156" Type="http://schemas.openxmlformats.org/officeDocument/2006/relationships/image" Target="media/image3.png"/><Relationship Id="rId155" Type="http://schemas.openxmlformats.org/officeDocument/2006/relationships/image" Target="media/image2.png"/><Relationship Id="rId154" Type="http://schemas.openxmlformats.org/officeDocument/2006/relationships/image" Target="media/image1.png"/><Relationship Id="rId153" Type="http://schemas.openxmlformats.org/officeDocument/2006/relationships/theme" Target="theme/theme1.xml"/><Relationship Id="rId152" Type="http://schemas.openxmlformats.org/officeDocument/2006/relationships/footer" Target="footer146.xml"/><Relationship Id="rId151" Type="http://schemas.openxmlformats.org/officeDocument/2006/relationships/footer" Target="footer145.xml"/><Relationship Id="rId150" Type="http://schemas.openxmlformats.org/officeDocument/2006/relationships/footer" Target="footer144.xml"/><Relationship Id="rId15" Type="http://schemas.openxmlformats.org/officeDocument/2006/relationships/footer" Target="footer9.xml"/><Relationship Id="rId149" Type="http://schemas.openxmlformats.org/officeDocument/2006/relationships/footer" Target="footer14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8.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7.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6.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5.xml"/><Relationship Id="rId109" Type="http://schemas.openxmlformats.org/officeDocument/2006/relationships/footer" Target="footer103.xml"/><Relationship Id="rId108" Type="http://schemas.openxmlformats.org/officeDocument/2006/relationships/footer" Target="footer102.xml"/><Relationship Id="rId107" Type="http://schemas.openxmlformats.org/officeDocument/2006/relationships/footer" Target="footer101.xml"/><Relationship Id="rId106" Type="http://schemas.openxmlformats.org/officeDocument/2006/relationships/footer" Target="footer100.xml"/><Relationship Id="rId105" Type="http://schemas.openxmlformats.org/officeDocument/2006/relationships/footer" Target="footer99.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153</Pages>
  <Words>12379</Words>
  <Characters>12841</Characters>
  <TotalTime>4</TotalTime>
  <ScaleCrop>false</ScaleCrop>
  <LinksUpToDate>false</LinksUpToDate>
  <CharactersWithSpaces>13589</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2025-04-10T16:48:00Z</dcterms:created>
  <dc:creator>19534</dc:creator>
  <cp:lastModifiedBy>z'k</cp:lastModifiedBy>
  <dcterms:modified xsi:type="dcterms:W3CDTF">2025-04-28T02:43:06Z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2025-04-11T09:02:14Z</vt:filetime>
  </property>
  <property fmtid="{D5CDD505-2E9C-101B-9397-08002B2CF9AE}" pid="4" name="KSOTemplateDocerSaveRecord">
    <vt:lpwstr>eyJoZGlkIjoiMjJkNTk5ODJkOWFhZjVjZTFiYmMzYzI2MjcwOWU1NGUifQ==</vt:lpwstr>
  </property>
  <property fmtid="{D5CDD505-2E9C-101B-9397-08002B2CF9AE}" pid="5" name="KSOProductBuildVer">
    <vt:lpwstr>2052-12.1.0.20784</vt:lpwstr>
  </property>
  <property fmtid="{D5CDD505-2E9C-101B-9397-08002B2CF9AE}" pid="6" name="ICV">
    <vt:lpwstr>D7509C949B1B4C3DA0D9A047F0579D57_12</vt:lpwstr>
  </property>
</Properties>
</file>